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68" w:rsidRPr="00DF769C" w:rsidRDefault="006D6B68" w:rsidP="006D6B68">
      <w:pPr>
        <w:pStyle w:val="1"/>
        <w:spacing w:before="0" w:after="10" w:line="560" w:lineRule="exact"/>
        <w:jc w:val="center"/>
        <w:rPr>
          <w:rFonts w:ascii="方正小标宋简体" w:eastAsia="方正小标宋简体" w:hAnsi="方正小标宋简体" w:cs="方正小标宋简体"/>
          <w:bCs w:val="0"/>
          <w:color w:val="000000" w:themeColor="text1"/>
        </w:rPr>
      </w:pPr>
      <w:bookmarkStart w:id="0" w:name="_Toc24724726"/>
      <w:r w:rsidRPr="00DF769C">
        <w:rPr>
          <w:rFonts w:ascii="方正小标宋简体" w:eastAsia="方正小标宋简体" w:hAnsi="方正小标宋简体" w:cs="方正小标宋简体" w:hint="eastAsia"/>
          <w:bCs w:val="0"/>
          <w:color w:val="000000" w:themeColor="text1"/>
        </w:rPr>
        <w:t>救灾生产领域基层政务公开标准目录</w:t>
      </w:r>
      <w:bookmarkEnd w:id="0"/>
      <w:r w:rsidR="00DF769C">
        <w:rPr>
          <w:rFonts w:ascii="方正小标宋简体" w:eastAsia="方正小标宋简体" w:hAnsi="方正小标宋简体" w:cs="方正小标宋简体" w:hint="eastAsia"/>
          <w:bCs w:val="0"/>
          <w:color w:val="000000" w:themeColor="text1"/>
        </w:rPr>
        <w:t>（乡镇）</w:t>
      </w:r>
    </w:p>
    <w:tbl>
      <w:tblPr>
        <w:tblW w:w="15049" w:type="dxa"/>
        <w:jc w:val="center"/>
        <w:tblLayout w:type="fixed"/>
        <w:tblLook w:val="0000"/>
      </w:tblPr>
      <w:tblGrid>
        <w:gridCol w:w="540"/>
        <w:gridCol w:w="900"/>
        <w:gridCol w:w="1080"/>
        <w:gridCol w:w="2320"/>
        <w:gridCol w:w="2660"/>
        <w:gridCol w:w="1276"/>
        <w:gridCol w:w="1417"/>
        <w:gridCol w:w="1134"/>
        <w:gridCol w:w="709"/>
        <w:gridCol w:w="506"/>
        <w:gridCol w:w="486"/>
        <w:gridCol w:w="538"/>
        <w:gridCol w:w="533"/>
        <w:gridCol w:w="147"/>
        <w:gridCol w:w="803"/>
      </w:tblGrid>
      <w:tr w:rsidR="006D6B68" w:rsidRPr="00DF769C" w:rsidTr="00C83545">
        <w:trPr>
          <w:trHeight w:val="417"/>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序号</w:t>
            </w:r>
          </w:p>
        </w:tc>
        <w:tc>
          <w:tcPr>
            <w:tcW w:w="198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公开事项</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公开内容（要素）</w:t>
            </w:r>
          </w:p>
        </w:tc>
        <w:tc>
          <w:tcPr>
            <w:tcW w:w="2660"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公开依据</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公开时限</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公开主体</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公开渠道和</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载体</w:t>
            </w:r>
          </w:p>
        </w:tc>
        <w:tc>
          <w:tcPr>
            <w:tcW w:w="1215"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公开对象</w:t>
            </w:r>
          </w:p>
        </w:tc>
        <w:tc>
          <w:tcPr>
            <w:tcW w:w="1024"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公开方式</w:t>
            </w:r>
          </w:p>
        </w:tc>
        <w:tc>
          <w:tcPr>
            <w:tcW w:w="1483" w:type="dxa"/>
            <w:gridSpan w:val="3"/>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公开层级</w:t>
            </w:r>
          </w:p>
        </w:tc>
      </w:tr>
      <w:tr w:rsidR="006D6B68" w:rsidRPr="00DF769C" w:rsidTr="00C83545">
        <w:trPr>
          <w:trHeight w:val="461"/>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p>
        </w:tc>
        <w:tc>
          <w:tcPr>
            <w:tcW w:w="900" w:type="dxa"/>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一级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1080" w:type="dxa"/>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二级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2320"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p>
        </w:tc>
        <w:tc>
          <w:tcPr>
            <w:tcW w:w="709" w:type="dxa"/>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全</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社</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会</w:t>
            </w:r>
          </w:p>
        </w:tc>
        <w:tc>
          <w:tcPr>
            <w:tcW w:w="506" w:type="dxa"/>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特定</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群众</w:t>
            </w:r>
          </w:p>
        </w:tc>
        <w:tc>
          <w:tcPr>
            <w:tcW w:w="486" w:type="dxa"/>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主</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动</w:t>
            </w:r>
          </w:p>
        </w:tc>
        <w:tc>
          <w:tcPr>
            <w:tcW w:w="538" w:type="dxa"/>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依</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申</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请</w:t>
            </w:r>
          </w:p>
        </w:tc>
        <w:tc>
          <w:tcPr>
            <w:tcW w:w="680" w:type="dxa"/>
            <w:gridSpan w:val="2"/>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县</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c>
          <w:tcPr>
            <w:tcW w:w="803" w:type="dxa"/>
            <w:tcBorders>
              <w:top w:val="nil"/>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乡、村</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r>
      <w:tr w:rsidR="006D6B68" w:rsidRPr="00DF769C" w:rsidTr="00C83545">
        <w:trPr>
          <w:trHeight w:val="1112"/>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w:t>
            </w:r>
          </w:p>
        </w:tc>
        <w:tc>
          <w:tcPr>
            <w:tcW w:w="900" w:type="dxa"/>
            <w:vMerge w:val="restart"/>
            <w:tcBorders>
              <w:left w:val="nil"/>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政策</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文件</w:t>
            </w: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法律法规</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与救灾有关的法律、法规</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《中华人民共和国政府信息公开条例》(国务院令第711号）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68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80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1695"/>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2</w:t>
            </w:r>
          </w:p>
        </w:tc>
        <w:tc>
          <w:tcPr>
            <w:tcW w:w="900" w:type="dxa"/>
            <w:vMerge/>
            <w:tcBorders>
              <w:left w:val="nil"/>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部门和地方规章</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与救灾有关的部门和地方规章、规范性文件</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《中华人民共和国政府信息公开条例》(国务院令第711号）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68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80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1734"/>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3</w:t>
            </w:r>
          </w:p>
        </w:tc>
        <w:tc>
          <w:tcPr>
            <w:tcW w:w="900" w:type="dxa"/>
            <w:vMerge/>
            <w:tcBorders>
              <w:left w:val="nil"/>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其他政策文件</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1B6C97" w:rsidRDefault="006D6B68" w:rsidP="00C83545">
            <w:pPr>
              <w:widowControl/>
              <w:textAlignment w:val="center"/>
              <w:rPr>
                <w:rFonts w:ascii="仿宋_GB2312" w:eastAsia="仿宋_GB2312" w:hAnsi="仿宋_GB2312" w:cs="仿宋_GB2312"/>
                <w:b/>
                <w:color w:val="000000" w:themeColor="text1"/>
                <w:sz w:val="18"/>
                <w:szCs w:val="18"/>
              </w:rPr>
            </w:pPr>
            <w:r w:rsidRPr="001B6C97">
              <w:rPr>
                <w:rFonts w:ascii="仿宋_GB2312" w:eastAsia="仿宋_GB2312" w:hAnsi="仿宋_GB2312" w:cs="仿宋_GB2312" w:hint="eastAsia"/>
                <w:b/>
                <w:color w:val="000000" w:themeColor="text1"/>
                <w:sz w:val="18"/>
                <w:szCs w:val="18"/>
              </w:rPr>
              <w:t>其他可以公开的与救灾有关的政策文件，包括改革方案、发展规划、专项规划、工作计划等</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《中华人民共和国政府信息公开条例》(国务院令第711号）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■政府网站</w:t>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68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80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2032"/>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4</w:t>
            </w:r>
          </w:p>
        </w:tc>
        <w:tc>
          <w:tcPr>
            <w:tcW w:w="900" w:type="dxa"/>
            <w:vMerge/>
            <w:tcBorders>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重大决策草案</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涉及管理相对人切身利益、需社会广泛知晓的重要改革方案等重大决策，决策前向社会公开决策草案、决策依据</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1.《中华人民共和国政府信息公开条例》(国务院令第711号）2.中央办公厅、国务院办公厅《关于全面推进政务公开工作的意见》</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按进展情况及时公开</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68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80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6D6B68">
        <w:trPr>
          <w:trHeight w:val="558"/>
          <w:jc w:val="center"/>
        </w:trPr>
        <w:tc>
          <w:tcPr>
            <w:tcW w:w="54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lastRenderedPageBreak/>
              <w:t>序号</w:t>
            </w:r>
          </w:p>
        </w:tc>
        <w:tc>
          <w:tcPr>
            <w:tcW w:w="198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公开事项</w:t>
            </w:r>
          </w:p>
        </w:tc>
        <w:tc>
          <w:tcPr>
            <w:tcW w:w="232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公开内容（要素）</w:t>
            </w:r>
          </w:p>
        </w:tc>
        <w:tc>
          <w:tcPr>
            <w:tcW w:w="266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公开依据</w:t>
            </w:r>
          </w:p>
        </w:tc>
        <w:tc>
          <w:tcPr>
            <w:tcW w:w="1276"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公开时限</w:t>
            </w:r>
          </w:p>
        </w:tc>
        <w:tc>
          <w:tcPr>
            <w:tcW w:w="1417"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公开主体</w:t>
            </w:r>
          </w:p>
        </w:tc>
        <w:tc>
          <w:tcPr>
            <w:tcW w:w="1134"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公开渠道和</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载体</w:t>
            </w:r>
          </w:p>
        </w:tc>
        <w:tc>
          <w:tcPr>
            <w:tcW w:w="1215"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公开对象</w:t>
            </w:r>
          </w:p>
        </w:tc>
        <w:tc>
          <w:tcPr>
            <w:tcW w:w="1024"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w:t>
            </w:r>
          </w:p>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方式</w:t>
            </w:r>
          </w:p>
        </w:tc>
        <w:tc>
          <w:tcPr>
            <w:tcW w:w="1483" w:type="dxa"/>
            <w:gridSpan w:val="3"/>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公开层级</w:t>
            </w:r>
          </w:p>
        </w:tc>
      </w:tr>
      <w:tr w:rsidR="006D6B68" w:rsidRPr="00DF769C" w:rsidTr="00C83545">
        <w:trPr>
          <w:trHeight w:val="741"/>
          <w:jc w:val="center"/>
        </w:trPr>
        <w:tc>
          <w:tcPr>
            <w:tcW w:w="54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宋体" w:hAnsi="宋体" w:cs="宋体"/>
                <w:b/>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一级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二级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232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宋体" w:hAnsi="宋体" w:cs="宋体"/>
                <w:b/>
                <w:color w:val="000000" w:themeColor="text1"/>
                <w:sz w:val="18"/>
                <w:szCs w:val="18"/>
              </w:rPr>
            </w:pPr>
          </w:p>
        </w:tc>
        <w:tc>
          <w:tcPr>
            <w:tcW w:w="266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宋体" w:hAnsi="宋体" w:cs="宋体"/>
                <w:b/>
                <w:color w:val="000000" w:themeColor="text1"/>
                <w:sz w:val="18"/>
                <w:szCs w:val="18"/>
              </w:rPr>
            </w:pPr>
          </w:p>
        </w:tc>
        <w:tc>
          <w:tcPr>
            <w:tcW w:w="1276"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宋体" w:hAnsi="宋体" w:cs="宋体"/>
                <w:b/>
                <w:color w:val="000000" w:themeColor="text1"/>
                <w:sz w:val="18"/>
                <w:szCs w:val="18"/>
              </w:rPr>
            </w:pPr>
          </w:p>
        </w:tc>
        <w:tc>
          <w:tcPr>
            <w:tcW w:w="1417"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宋体" w:hAnsi="宋体" w:cs="宋体"/>
                <w:b/>
                <w:color w:val="000000" w:themeColor="text1"/>
                <w:sz w:val="18"/>
                <w:szCs w:val="18"/>
              </w:rPr>
            </w:pPr>
          </w:p>
        </w:tc>
        <w:tc>
          <w:tcPr>
            <w:tcW w:w="1134"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宋体" w:hAnsi="宋体" w:cs="宋体"/>
                <w:b/>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全</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社</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会</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特定</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群众</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主</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动</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依</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申</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请</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县</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乡、村</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r>
      <w:tr w:rsidR="006D6B68" w:rsidRPr="00DF769C" w:rsidTr="00C83545">
        <w:trPr>
          <w:trHeight w:val="2938"/>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5</w:t>
            </w:r>
          </w:p>
        </w:tc>
        <w:tc>
          <w:tcPr>
            <w:tcW w:w="900" w:type="dxa"/>
            <w:vMerge w:val="restart"/>
            <w:tcBorders>
              <w:top w:val="single" w:sz="4" w:space="0" w:color="auto"/>
              <w:left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政策</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文件</w:t>
            </w: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重大政策解读及回应</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1.有关重大政策的解读及回应 </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2.相关热点问题的解读及回应</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1.《中华人民共和国政府信息公开条例》(国务院令第711号）2.中央办公厅、国务院办公厅《关于全面推进政务公开工作的意见》</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3.《国务院办公厅关于在政务公开工作中进一步做好政务舆情回应的通知》（国办发〔2016〕61号）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重大决策做出后及时公开</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2536"/>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6</w:t>
            </w:r>
          </w:p>
        </w:tc>
        <w:tc>
          <w:tcPr>
            <w:tcW w:w="900" w:type="dxa"/>
            <w:vMerge/>
            <w:tcBorders>
              <w:left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重要会议</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以会议讨论作出重要改革方案等重大决策时，经党组研究认为有必要公开讨论决策过程的会议</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1.《中华人民共和国政府信息公开条例》(国务院令第711号）2.中央办公厅、国务院办公厅《关于全面推进政务公开工作的意见》</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提前一周发通知邀请</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1702"/>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7</w:t>
            </w:r>
          </w:p>
        </w:tc>
        <w:tc>
          <w:tcPr>
            <w:tcW w:w="90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征集采纳社会公众意见情况</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重大决策草案公布后征集到的社会公众意见情况、采纳与否情况及理由等</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1.《中华人民共和国政府信息公开条例》(国务院令第711号）2.中央办公厅、国务院办公厅《关于全面推进政务公开工作的意见》</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征求意见时对外公布的时限内公开</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456"/>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lastRenderedPageBreak/>
              <w:t>序号</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公开事项</w:t>
            </w:r>
          </w:p>
        </w:tc>
        <w:tc>
          <w:tcPr>
            <w:tcW w:w="232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公开内容（要素）</w:t>
            </w:r>
          </w:p>
        </w:tc>
        <w:tc>
          <w:tcPr>
            <w:tcW w:w="266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公开依据</w:t>
            </w:r>
          </w:p>
        </w:tc>
        <w:tc>
          <w:tcPr>
            <w:tcW w:w="1276"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公开时限</w:t>
            </w:r>
          </w:p>
        </w:tc>
        <w:tc>
          <w:tcPr>
            <w:tcW w:w="1417"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公开主体</w:t>
            </w:r>
          </w:p>
        </w:tc>
        <w:tc>
          <w:tcPr>
            <w:tcW w:w="1134"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公开渠道和</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载体</w:t>
            </w:r>
          </w:p>
        </w:tc>
        <w:tc>
          <w:tcPr>
            <w:tcW w:w="1215"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公开对象</w:t>
            </w:r>
          </w:p>
        </w:tc>
        <w:tc>
          <w:tcPr>
            <w:tcW w:w="1024"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公开方式</w:t>
            </w:r>
          </w:p>
        </w:tc>
        <w:tc>
          <w:tcPr>
            <w:tcW w:w="1483" w:type="dxa"/>
            <w:gridSpan w:val="3"/>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公开层级</w:t>
            </w:r>
          </w:p>
        </w:tc>
      </w:tr>
      <w:tr w:rsidR="006D6B68" w:rsidRPr="00DF769C" w:rsidTr="00C83545">
        <w:trPr>
          <w:trHeight w:val="729"/>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一级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二级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232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266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1276"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1417"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1134"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全</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社</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会</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特定</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群众</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主</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动</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依</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申</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请</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县</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乡、村</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r>
      <w:tr w:rsidR="006D6B68" w:rsidRPr="00DF769C" w:rsidTr="00C83545">
        <w:trPr>
          <w:trHeight w:val="1794"/>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8</w:t>
            </w:r>
          </w:p>
        </w:tc>
        <w:tc>
          <w:tcPr>
            <w:tcW w:w="90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备灾</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管理</w:t>
            </w: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综合减灾示范社区</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综合减灾示范社区分布情况（其具体位置、创建时间、创建级别等）</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left"/>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w:t>
            </w:r>
          </w:p>
          <w:p w:rsidR="006D6B68" w:rsidRPr="00DF769C" w:rsidRDefault="006D6B68" w:rsidP="00C83545">
            <w:pPr>
              <w:widowControl/>
              <w:jc w:val="left"/>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2.《社会救助暂行办法》（2014）</w:t>
            </w:r>
          </w:p>
          <w:p w:rsidR="006D6B68" w:rsidRPr="00DF769C" w:rsidRDefault="006D6B68" w:rsidP="00C83545">
            <w:pPr>
              <w:widowControl/>
              <w:jc w:val="left"/>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3.《国家综合防灾减灾规划（2016-2020年）》</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6D6B68">
        <w:trPr>
          <w:trHeight w:val="1589"/>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9</w:t>
            </w:r>
          </w:p>
        </w:tc>
        <w:tc>
          <w:tcPr>
            <w:tcW w:w="90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灾后</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救助</w:t>
            </w:r>
          </w:p>
        </w:tc>
        <w:tc>
          <w:tcPr>
            <w:tcW w:w="108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救助审定信息</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自然灾害救助（6类）的救助对象、申报材料、办理程序及时限等</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1.《中华人民共和国政府信息公开条例》(国务院令第711号）2.《中华人民共和国自然灾害救助条例》（国务院令第577号）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1539"/>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10</w:t>
            </w:r>
          </w:p>
        </w:tc>
        <w:tc>
          <w:tcPr>
            <w:tcW w:w="900" w:type="dxa"/>
            <w:vMerge w:val="restart"/>
            <w:tcBorders>
              <w:top w:val="single" w:sz="4" w:space="0" w:color="auto"/>
              <w:left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灾害</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救助</w:t>
            </w:r>
          </w:p>
        </w:tc>
        <w:tc>
          <w:tcPr>
            <w:tcW w:w="108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应急管理部门审批</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救助款物通知及划拨情况</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1.《中华人民共和国政府信息公开条例》(国务院令第711号）2.《中华人民共和国自然灾害救助条例》（国务院令第577号）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2256"/>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11</w:t>
            </w:r>
          </w:p>
        </w:tc>
        <w:tc>
          <w:tcPr>
            <w:tcW w:w="90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因灾过渡期生活救助</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left"/>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1.因灾过渡期生活救助标准、过渡期生活救助对象评议结果公示（灾民姓名、受灾情况、拟救助金额、监督举报电话）                                         2.过渡期生活救助对象确定（灾民姓名、受灾情况、救助金额、监督举报电话)</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1.《中华人民共和国政府信息公开条例》(国务院令第711号）2.《中华人民共和国自然灾害救助条例》（国务院令第577号）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574"/>
          <w:jc w:val="center"/>
        </w:trPr>
        <w:tc>
          <w:tcPr>
            <w:tcW w:w="54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lastRenderedPageBreak/>
              <w:t>序号</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公开事项</w:t>
            </w:r>
          </w:p>
        </w:tc>
        <w:tc>
          <w:tcPr>
            <w:tcW w:w="232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公开内容（要素）</w:t>
            </w:r>
          </w:p>
        </w:tc>
        <w:tc>
          <w:tcPr>
            <w:tcW w:w="2660"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公开依据</w:t>
            </w:r>
          </w:p>
        </w:tc>
        <w:tc>
          <w:tcPr>
            <w:tcW w:w="1276"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公开时限</w:t>
            </w:r>
          </w:p>
        </w:tc>
        <w:tc>
          <w:tcPr>
            <w:tcW w:w="1417"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公开主体</w:t>
            </w:r>
          </w:p>
        </w:tc>
        <w:tc>
          <w:tcPr>
            <w:tcW w:w="1134" w:type="dxa"/>
            <w:vMerge w:val="restart"/>
            <w:tcBorders>
              <w:top w:val="single" w:sz="4" w:space="0" w:color="auto"/>
              <w:left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公开渠道和</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载体</w:t>
            </w:r>
          </w:p>
        </w:tc>
        <w:tc>
          <w:tcPr>
            <w:tcW w:w="1215"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公开对象</w:t>
            </w:r>
          </w:p>
        </w:tc>
        <w:tc>
          <w:tcPr>
            <w:tcW w:w="1024"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公开方式</w:t>
            </w:r>
          </w:p>
        </w:tc>
        <w:tc>
          <w:tcPr>
            <w:tcW w:w="1483" w:type="dxa"/>
            <w:gridSpan w:val="3"/>
            <w:tcBorders>
              <w:top w:val="single" w:sz="4" w:space="0" w:color="auto"/>
              <w:left w:val="nil"/>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r w:rsidRPr="00DF769C">
              <w:rPr>
                <w:rFonts w:ascii="黑体" w:eastAsia="黑体" w:hAnsi="黑体" w:cs="黑体" w:hint="eastAsia"/>
                <w:b/>
                <w:color w:val="000000" w:themeColor="text1"/>
                <w:sz w:val="18"/>
                <w:szCs w:val="18"/>
              </w:rPr>
              <w:t>公开层级</w:t>
            </w:r>
          </w:p>
        </w:tc>
      </w:tr>
      <w:tr w:rsidR="006D6B68" w:rsidRPr="00DF769C" w:rsidTr="00C83545">
        <w:trPr>
          <w:trHeight w:val="714"/>
          <w:jc w:val="center"/>
        </w:trPr>
        <w:tc>
          <w:tcPr>
            <w:tcW w:w="54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一级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108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二级</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事项</w:t>
            </w:r>
          </w:p>
        </w:tc>
        <w:tc>
          <w:tcPr>
            <w:tcW w:w="232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2660"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1276"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1417"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1134" w:type="dxa"/>
            <w:vMerge/>
            <w:tcBorders>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宋体" w:hAnsi="宋体" w:cs="宋体"/>
                <w:b/>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全</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社</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会</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特定</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群众</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主</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动</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依</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申</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请</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县</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乡、村</w:t>
            </w:r>
          </w:p>
          <w:p w:rsidR="006D6B68" w:rsidRPr="00DF769C" w:rsidRDefault="006D6B68" w:rsidP="00C83545">
            <w:pPr>
              <w:ind w:leftChars="-38" w:left="-80" w:rightChars="-59" w:right="-124"/>
              <w:jc w:val="center"/>
              <w:rPr>
                <w:rFonts w:ascii="黑体" w:eastAsia="黑体" w:hAnsi="黑体" w:cs="黑体"/>
                <w:b/>
                <w:color w:val="000000" w:themeColor="text1"/>
                <w:sz w:val="18"/>
                <w:szCs w:val="18"/>
              </w:rPr>
            </w:pPr>
            <w:r w:rsidRPr="00DF769C">
              <w:rPr>
                <w:rFonts w:ascii="黑体" w:eastAsia="黑体" w:hAnsi="黑体" w:cs="黑体" w:hint="eastAsia"/>
                <w:b/>
                <w:color w:val="000000" w:themeColor="text1"/>
                <w:sz w:val="18"/>
                <w:szCs w:val="18"/>
              </w:rPr>
              <w:t>级</w:t>
            </w:r>
          </w:p>
        </w:tc>
      </w:tr>
      <w:tr w:rsidR="006D6B68" w:rsidRPr="00DF769C" w:rsidTr="00C83545">
        <w:trPr>
          <w:trHeight w:val="1999"/>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12</w:t>
            </w:r>
          </w:p>
        </w:tc>
        <w:tc>
          <w:tcPr>
            <w:tcW w:w="90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灾后</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救助</w:t>
            </w:r>
          </w:p>
        </w:tc>
        <w:tc>
          <w:tcPr>
            <w:tcW w:w="108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居民住房恢复重建救助</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1.居民住房恢复重建救助标准（居民因灾倒房.损房恢复重建具体救助标准）                            </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2.居民住房恢复重建救助对象评议结果公示（公开灾民姓名、受灾情况、拟救助标准、监督举报电话）</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1.《中华人民共和国政府信息公开条例》(国务院令第711号）2.《中华人民共和国自然灾害救助条例》（国务院令第577号）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信息形成或变更之日起20个工作日内</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1386"/>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13</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款物</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管理</w:t>
            </w:r>
          </w:p>
        </w:tc>
        <w:tc>
          <w:tcPr>
            <w:tcW w:w="108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捐赠款物信息</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年度捐赠款物信息以及款物使用情况</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《中华人民共和国政府信息公开条例》（国务院令第711号）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按进展情况及时公开</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1386"/>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14</w:t>
            </w:r>
          </w:p>
        </w:tc>
        <w:tc>
          <w:tcPr>
            <w:tcW w:w="900" w:type="dxa"/>
            <w:vMerge/>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年度款物使用情况</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年度救灾资金和救灾物资等使用情况</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《中华人民共和国政府信息公开条例》（国务院令第711号）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按进展情况及时公开</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r w:rsidR="006D6B68" w:rsidRPr="00DF769C" w:rsidTr="00C83545">
        <w:trPr>
          <w:trHeight w:val="1358"/>
          <w:jc w:val="center"/>
        </w:trPr>
        <w:tc>
          <w:tcPr>
            <w:tcW w:w="54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15</w:t>
            </w:r>
          </w:p>
        </w:tc>
        <w:tc>
          <w:tcPr>
            <w:tcW w:w="90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工作</w:t>
            </w:r>
          </w:p>
          <w:p w:rsidR="006D6B68" w:rsidRPr="00DF769C" w:rsidRDefault="006D6B68" w:rsidP="00C83545">
            <w:pPr>
              <w:widowControl/>
              <w:jc w:val="center"/>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动态</w:t>
            </w:r>
          </w:p>
        </w:tc>
        <w:tc>
          <w:tcPr>
            <w:tcW w:w="1080"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工作信息</w:t>
            </w:r>
          </w:p>
        </w:tc>
        <w:tc>
          <w:tcPr>
            <w:tcW w:w="232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防灾减灾救灾其他相关动态信息</w:t>
            </w:r>
          </w:p>
        </w:tc>
        <w:tc>
          <w:tcPr>
            <w:tcW w:w="2660"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《中华人民共和国政府信息公开条例》（国务院令第711号）</w:t>
            </w:r>
          </w:p>
        </w:tc>
        <w:tc>
          <w:tcPr>
            <w:tcW w:w="1276"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按进展情况及时公开</w:t>
            </w:r>
          </w:p>
        </w:tc>
        <w:tc>
          <w:tcPr>
            <w:tcW w:w="1417"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县应急管理局</w:t>
            </w:r>
          </w:p>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乡镇人民政府</w:t>
            </w:r>
          </w:p>
        </w:tc>
        <w:tc>
          <w:tcPr>
            <w:tcW w:w="1134" w:type="dxa"/>
            <w:tcBorders>
              <w:top w:val="single" w:sz="4" w:space="0" w:color="auto"/>
              <w:left w:val="single" w:sz="4" w:space="0" w:color="auto"/>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■政府网站   </w:t>
            </w:r>
            <w:r w:rsidRPr="00DF769C">
              <w:rPr>
                <w:rFonts w:ascii="仿宋_GB2312" w:eastAsia="仿宋_GB2312" w:hAnsi="仿宋_GB2312" w:cs="仿宋_GB2312" w:hint="eastAsia"/>
                <w:b/>
                <w:color w:val="000000" w:themeColor="text1"/>
                <w:sz w:val="18"/>
                <w:szCs w:val="18"/>
              </w:rPr>
              <w:br/>
            </w:r>
          </w:p>
        </w:tc>
        <w:tc>
          <w:tcPr>
            <w:tcW w:w="709"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0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486"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538"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 xml:space="preserve">　</w:t>
            </w:r>
          </w:p>
        </w:tc>
        <w:tc>
          <w:tcPr>
            <w:tcW w:w="533" w:type="dxa"/>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c>
          <w:tcPr>
            <w:tcW w:w="950" w:type="dxa"/>
            <w:gridSpan w:val="2"/>
            <w:tcBorders>
              <w:top w:val="single" w:sz="4" w:space="0" w:color="auto"/>
              <w:left w:val="nil"/>
              <w:bottom w:val="single" w:sz="4" w:space="0" w:color="auto"/>
              <w:right w:val="single" w:sz="4" w:space="0" w:color="auto"/>
            </w:tcBorders>
            <w:vAlign w:val="center"/>
          </w:tcPr>
          <w:p w:rsidR="006D6B68" w:rsidRPr="00DF769C" w:rsidRDefault="006D6B68" w:rsidP="00C83545">
            <w:pPr>
              <w:widowControl/>
              <w:textAlignment w:val="center"/>
              <w:rPr>
                <w:rFonts w:ascii="仿宋_GB2312" w:eastAsia="仿宋_GB2312" w:hAnsi="仿宋_GB2312" w:cs="仿宋_GB2312"/>
                <w:b/>
                <w:color w:val="000000" w:themeColor="text1"/>
                <w:sz w:val="18"/>
                <w:szCs w:val="18"/>
              </w:rPr>
            </w:pPr>
            <w:r w:rsidRPr="00DF769C">
              <w:rPr>
                <w:rFonts w:ascii="仿宋_GB2312" w:eastAsia="仿宋_GB2312" w:hAnsi="仿宋_GB2312" w:cs="仿宋_GB2312" w:hint="eastAsia"/>
                <w:b/>
                <w:color w:val="000000" w:themeColor="text1"/>
                <w:sz w:val="18"/>
                <w:szCs w:val="18"/>
              </w:rPr>
              <w:t>√</w:t>
            </w:r>
          </w:p>
        </w:tc>
      </w:tr>
    </w:tbl>
    <w:p w:rsidR="0063799F" w:rsidRPr="00DF769C" w:rsidRDefault="0063799F" w:rsidP="006D6B68">
      <w:pPr>
        <w:rPr>
          <w:b/>
          <w:color w:val="000000" w:themeColor="text1"/>
        </w:rPr>
      </w:pPr>
    </w:p>
    <w:sectPr w:rsidR="0063799F" w:rsidRPr="00DF769C" w:rsidSect="006D6B68">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D86" w:rsidRDefault="00847D86" w:rsidP="006D6B68">
      <w:r>
        <w:separator/>
      </w:r>
    </w:p>
  </w:endnote>
  <w:endnote w:type="continuationSeparator" w:id="1">
    <w:p w:rsidR="00847D86" w:rsidRDefault="00847D86" w:rsidP="006D6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D86" w:rsidRDefault="00847D86" w:rsidP="006D6B68">
      <w:r>
        <w:separator/>
      </w:r>
    </w:p>
  </w:footnote>
  <w:footnote w:type="continuationSeparator" w:id="1">
    <w:p w:rsidR="00847D86" w:rsidRDefault="00847D86" w:rsidP="006D6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B68"/>
    <w:rsid w:val="001B6C97"/>
    <w:rsid w:val="0063799F"/>
    <w:rsid w:val="00673514"/>
    <w:rsid w:val="006D6B68"/>
    <w:rsid w:val="00847D86"/>
    <w:rsid w:val="00DF7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6B68"/>
    <w:pPr>
      <w:widowControl w:val="0"/>
      <w:jc w:val="both"/>
    </w:pPr>
    <w:rPr>
      <w:rFonts w:ascii="Times New Roman" w:eastAsia="宋体" w:hAnsi="Times New Roman" w:cs="Times New Roman"/>
    </w:rPr>
  </w:style>
  <w:style w:type="paragraph" w:styleId="1">
    <w:name w:val="heading 1"/>
    <w:basedOn w:val="a"/>
    <w:next w:val="a"/>
    <w:link w:val="1Char"/>
    <w:qFormat/>
    <w:rsid w:val="006D6B68"/>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D6B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D6B68"/>
    <w:rPr>
      <w:sz w:val="18"/>
      <w:szCs w:val="18"/>
    </w:rPr>
  </w:style>
  <w:style w:type="paragraph" w:styleId="a5">
    <w:name w:val="footer"/>
    <w:basedOn w:val="a"/>
    <w:link w:val="Char0"/>
    <w:uiPriority w:val="99"/>
    <w:semiHidden/>
    <w:unhideWhenUsed/>
    <w:rsid w:val="006D6B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6D6B68"/>
    <w:rPr>
      <w:sz w:val="18"/>
      <w:szCs w:val="18"/>
    </w:rPr>
  </w:style>
  <w:style w:type="character" w:customStyle="1" w:styleId="1Char">
    <w:name w:val="标题 1 Char"/>
    <w:basedOn w:val="a1"/>
    <w:link w:val="1"/>
    <w:rsid w:val="006D6B68"/>
    <w:rPr>
      <w:rFonts w:ascii="Times New Roman" w:eastAsia="宋体" w:hAnsi="Times New Roman" w:cs="Times New Roman"/>
      <w:b/>
      <w:bCs/>
      <w:kern w:val="44"/>
      <w:sz w:val="44"/>
      <w:szCs w:val="44"/>
    </w:rPr>
  </w:style>
  <w:style w:type="paragraph" w:styleId="a0">
    <w:name w:val="Normal Indent"/>
    <w:basedOn w:val="a"/>
    <w:uiPriority w:val="99"/>
    <w:unhideWhenUsed/>
    <w:qFormat/>
    <w:rsid w:val="006D6B6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421</Words>
  <Characters>2402</Characters>
  <Application>Microsoft Office Word</Application>
  <DocSecurity>0</DocSecurity>
  <Lines>20</Lines>
  <Paragraphs>5</Paragraphs>
  <ScaleCrop>false</ScaleCrop>
  <Company>China</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2020-12-13T06:10:00Z</dcterms:created>
  <dcterms:modified xsi:type="dcterms:W3CDTF">2020-12-13T06:12:00Z</dcterms:modified>
</cp:coreProperties>
</file>