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B7" w:rsidRPr="00CE44B7" w:rsidRDefault="00CE44B7" w:rsidP="00CE44B7">
      <w:pPr>
        <w:jc w:val="center"/>
        <w:rPr>
          <w:rFonts w:ascii="方正小标宋简体" w:eastAsia="方正小标宋简体" w:hAnsi="方正小标宋简体" w:cs="方正小标宋简体" w:hint="eastAsia"/>
          <w:b/>
          <w:sz w:val="44"/>
          <w:szCs w:val="44"/>
        </w:rPr>
      </w:pPr>
      <w:r w:rsidRPr="00CE44B7">
        <w:rPr>
          <w:rFonts w:ascii="方正小标宋简体" w:eastAsia="方正小标宋简体" w:hAnsi="方正小标宋简体" w:cs="方正小标宋简体" w:hint="eastAsia"/>
          <w:b/>
          <w:sz w:val="44"/>
          <w:szCs w:val="44"/>
        </w:rPr>
        <w:t>农村危房改造领域基层政务公开标准目录</w:t>
      </w:r>
      <w:r>
        <w:rPr>
          <w:rFonts w:ascii="方正小标宋简体" w:eastAsia="方正小标宋简体" w:hAnsi="方正小标宋简体" w:cs="方正小标宋简体" w:hint="eastAsia"/>
          <w:b/>
          <w:sz w:val="44"/>
          <w:szCs w:val="44"/>
        </w:rPr>
        <w:t>（乡镇）</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700"/>
        <w:gridCol w:w="851"/>
        <w:gridCol w:w="992"/>
        <w:gridCol w:w="1768"/>
        <w:gridCol w:w="2031"/>
        <w:gridCol w:w="1040"/>
        <w:gridCol w:w="992"/>
        <w:gridCol w:w="1468"/>
        <w:gridCol w:w="609"/>
        <w:gridCol w:w="578"/>
        <w:gridCol w:w="610"/>
        <w:gridCol w:w="547"/>
        <w:gridCol w:w="500"/>
        <w:gridCol w:w="437"/>
        <w:gridCol w:w="501"/>
      </w:tblGrid>
      <w:tr w:rsidR="00CE44B7" w:rsidRPr="00CE44B7" w:rsidTr="00C83545">
        <w:trPr>
          <w:trHeight w:val="510"/>
          <w:tblHeader/>
          <w:jc w:val="center"/>
        </w:trPr>
        <w:tc>
          <w:tcPr>
            <w:tcW w:w="55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序号</w:t>
            </w:r>
          </w:p>
        </w:tc>
        <w:tc>
          <w:tcPr>
            <w:tcW w:w="70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过程</w:t>
            </w:r>
          </w:p>
        </w:tc>
        <w:tc>
          <w:tcPr>
            <w:tcW w:w="1843"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公开事项</w:t>
            </w:r>
          </w:p>
        </w:tc>
        <w:tc>
          <w:tcPr>
            <w:tcW w:w="17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公开内容</w:t>
            </w:r>
          </w:p>
        </w:tc>
        <w:tc>
          <w:tcPr>
            <w:tcW w:w="2031"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公开依据</w:t>
            </w:r>
          </w:p>
        </w:tc>
        <w:tc>
          <w:tcPr>
            <w:tcW w:w="104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公开时限</w:t>
            </w:r>
          </w:p>
        </w:tc>
        <w:tc>
          <w:tcPr>
            <w:tcW w:w="992"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公开主体</w:t>
            </w:r>
          </w:p>
        </w:tc>
        <w:tc>
          <w:tcPr>
            <w:tcW w:w="14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公开渠道和</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载体</w:t>
            </w:r>
          </w:p>
        </w:tc>
        <w:tc>
          <w:tcPr>
            <w:tcW w:w="118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公开对象</w:t>
            </w:r>
          </w:p>
        </w:tc>
        <w:tc>
          <w:tcPr>
            <w:tcW w:w="115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公开方式</w:t>
            </w:r>
          </w:p>
        </w:tc>
        <w:tc>
          <w:tcPr>
            <w:tcW w:w="1438" w:type="dxa"/>
            <w:gridSpan w:val="3"/>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公开层次</w:t>
            </w:r>
          </w:p>
        </w:tc>
      </w:tr>
      <w:tr w:rsidR="00CE44B7" w:rsidRPr="00CE44B7" w:rsidTr="00C83545">
        <w:trPr>
          <w:trHeight w:val="582"/>
          <w:tblHeader/>
          <w:jc w:val="center"/>
        </w:trPr>
        <w:tc>
          <w:tcPr>
            <w:tcW w:w="550" w:type="dxa"/>
            <w:vMerge/>
            <w:vAlign w:val="center"/>
          </w:tcPr>
          <w:p w:rsidR="00CE44B7" w:rsidRPr="00CE44B7" w:rsidRDefault="00CE44B7" w:rsidP="00C83545">
            <w:pPr>
              <w:jc w:val="center"/>
              <w:rPr>
                <w:rFonts w:ascii="黑体" w:eastAsia="黑体" w:hAnsi="黑体" w:cs="黑体" w:hint="eastAsia"/>
                <w:b/>
                <w:sz w:val="18"/>
                <w:szCs w:val="18"/>
              </w:rPr>
            </w:pPr>
          </w:p>
        </w:tc>
        <w:tc>
          <w:tcPr>
            <w:tcW w:w="700" w:type="dxa"/>
            <w:vMerge/>
            <w:vAlign w:val="center"/>
          </w:tcPr>
          <w:p w:rsidR="00CE44B7" w:rsidRPr="00CE44B7" w:rsidRDefault="00CE44B7" w:rsidP="00C83545">
            <w:pPr>
              <w:jc w:val="center"/>
              <w:rPr>
                <w:rFonts w:ascii="黑体" w:eastAsia="黑体" w:hAnsi="黑体" w:cs="黑体" w:hint="eastAsia"/>
                <w:b/>
                <w:sz w:val="18"/>
                <w:szCs w:val="18"/>
              </w:rPr>
            </w:pPr>
          </w:p>
        </w:tc>
        <w:tc>
          <w:tcPr>
            <w:tcW w:w="85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一级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992"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二级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1768" w:type="dxa"/>
            <w:vMerge/>
            <w:vAlign w:val="center"/>
          </w:tcPr>
          <w:p w:rsidR="00CE44B7" w:rsidRPr="00CE44B7" w:rsidRDefault="00CE44B7" w:rsidP="00C83545">
            <w:pPr>
              <w:jc w:val="center"/>
              <w:rPr>
                <w:rFonts w:ascii="黑体" w:eastAsia="黑体" w:hAnsi="黑体" w:cs="黑体" w:hint="eastAsia"/>
                <w:b/>
                <w:sz w:val="18"/>
                <w:szCs w:val="18"/>
              </w:rPr>
            </w:pPr>
          </w:p>
        </w:tc>
        <w:tc>
          <w:tcPr>
            <w:tcW w:w="2031" w:type="dxa"/>
            <w:vMerge/>
            <w:vAlign w:val="center"/>
          </w:tcPr>
          <w:p w:rsidR="00CE44B7" w:rsidRPr="00CE44B7" w:rsidRDefault="00CE44B7" w:rsidP="00C83545">
            <w:pPr>
              <w:jc w:val="center"/>
              <w:rPr>
                <w:rFonts w:ascii="黑体" w:eastAsia="黑体" w:hAnsi="黑体" w:cs="黑体" w:hint="eastAsia"/>
                <w:b/>
                <w:sz w:val="18"/>
                <w:szCs w:val="18"/>
              </w:rPr>
            </w:pPr>
          </w:p>
        </w:tc>
        <w:tc>
          <w:tcPr>
            <w:tcW w:w="1040" w:type="dxa"/>
            <w:vMerge/>
            <w:vAlign w:val="center"/>
          </w:tcPr>
          <w:p w:rsidR="00CE44B7" w:rsidRPr="00CE44B7" w:rsidRDefault="00CE44B7" w:rsidP="00C83545">
            <w:pPr>
              <w:jc w:val="center"/>
              <w:rPr>
                <w:rFonts w:ascii="黑体" w:eastAsia="黑体" w:hAnsi="黑体" w:cs="黑体" w:hint="eastAsia"/>
                <w:b/>
                <w:sz w:val="18"/>
                <w:szCs w:val="18"/>
              </w:rPr>
            </w:pPr>
          </w:p>
        </w:tc>
        <w:tc>
          <w:tcPr>
            <w:tcW w:w="992" w:type="dxa"/>
            <w:vMerge/>
            <w:vAlign w:val="center"/>
          </w:tcPr>
          <w:p w:rsidR="00CE44B7" w:rsidRPr="00CE44B7" w:rsidRDefault="00CE44B7" w:rsidP="00C83545">
            <w:pPr>
              <w:jc w:val="center"/>
              <w:rPr>
                <w:rFonts w:ascii="黑体" w:eastAsia="黑体" w:hAnsi="黑体" w:cs="黑体" w:hint="eastAsia"/>
                <w:b/>
                <w:sz w:val="18"/>
                <w:szCs w:val="18"/>
              </w:rPr>
            </w:pPr>
          </w:p>
        </w:tc>
        <w:tc>
          <w:tcPr>
            <w:tcW w:w="1468" w:type="dxa"/>
            <w:vMerge/>
            <w:vAlign w:val="center"/>
          </w:tcPr>
          <w:p w:rsidR="00CE44B7" w:rsidRPr="00CE44B7" w:rsidRDefault="00CE44B7" w:rsidP="00C83545">
            <w:pPr>
              <w:jc w:val="center"/>
              <w:rPr>
                <w:rFonts w:ascii="黑体" w:eastAsia="黑体" w:hAnsi="黑体" w:cs="黑体" w:hint="eastAsia"/>
                <w:b/>
                <w:sz w:val="18"/>
                <w:szCs w:val="18"/>
              </w:rPr>
            </w:pPr>
          </w:p>
        </w:tc>
        <w:tc>
          <w:tcPr>
            <w:tcW w:w="609"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全</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社</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会</w:t>
            </w:r>
          </w:p>
        </w:tc>
        <w:tc>
          <w:tcPr>
            <w:tcW w:w="578"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特定群体</w:t>
            </w:r>
          </w:p>
        </w:tc>
        <w:tc>
          <w:tcPr>
            <w:tcW w:w="61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动</w:t>
            </w:r>
          </w:p>
        </w:tc>
        <w:tc>
          <w:tcPr>
            <w:tcW w:w="54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依</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申</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请</w:t>
            </w:r>
          </w:p>
        </w:tc>
        <w:tc>
          <w:tcPr>
            <w:tcW w:w="50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县级</w:t>
            </w:r>
          </w:p>
        </w:tc>
        <w:tc>
          <w:tcPr>
            <w:tcW w:w="43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乡级</w:t>
            </w:r>
          </w:p>
        </w:tc>
        <w:tc>
          <w:tcPr>
            <w:tcW w:w="50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村级</w:t>
            </w:r>
          </w:p>
        </w:tc>
      </w:tr>
      <w:tr w:rsidR="00CE44B7" w:rsidRPr="00CE44B7" w:rsidTr="00C83545">
        <w:trPr>
          <w:trHeight w:val="2016"/>
          <w:tblHeader/>
          <w:jc w:val="center"/>
        </w:trPr>
        <w:tc>
          <w:tcPr>
            <w:tcW w:w="550" w:type="dxa"/>
            <w:vAlign w:val="center"/>
          </w:tcPr>
          <w:p w:rsidR="00CE44B7" w:rsidRPr="00CE44B7" w:rsidRDefault="00CE44B7" w:rsidP="00C83545">
            <w:pPr>
              <w:widowControl/>
              <w:spacing w:before="240"/>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w:t>
            </w:r>
          </w:p>
        </w:tc>
        <w:tc>
          <w:tcPr>
            <w:tcW w:w="700" w:type="dxa"/>
            <w:vMerge w:val="restart"/>
            <w:vAlign w:val="center"/>
          </w:tcPr>
          <w:p w:rsidR="00CE44B7" w:rsidRPr="00CE44B7" w:rsidRDefault="00CE44B7" w:rsidP="00C83545">
            <w:pPr>
              <w:widowControl/>
              <w:spacing w:before="240"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决策</w:t>
            </w:r>
          </w:p>
        </w:tc>
        <w:tc>
          <w:tcPr>
            <w:tcW w:w="851" w:type="dxa"/>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部门</w:t>
            </w:r>
          </w:p>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文件</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农村危房改造相关文件</w:t>
            </w:r>
          </w:p>
        </w:tc>
        <w:tc>
          <w:tcPr>
            <w:tcW w:w="1768" w:type="dxa"/>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文件分类生成日期标题文号有效性关键词和具体内容等</w:t>
            </w:r>
          </w:p>
        </w:tc>
        <w:tc>
          <w:tcPr>
            <w:tcW w:w="2031" w:type="dxa"/>
            <w:vMerge w:val="restart"/>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1.《中华人民共和国政府信息公开条例》</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2.《中共中央办公厅国务院办公厅印发〈关于全面推进政务公开工作的意见〉的通知》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3.《中共中央办公厅 国务院办公厅关于建立健全信息发布和政策解读机制的意见》</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4.《国务院办公厅印发〈关于全面推进政务公开工作的意见〉实施细则的通知》</w:t>
            </w: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pacing w:val="-6"/>
                <w:sz w:val="18"/>
                <w:szCs w:val="18"/>
              </w:rPr>
            </w:pPr>
            <w:r w:rsidRPr="00CE44B7">
              <w:rPr>
                <w:rFonts w:ascii="仿宋_GB2312" w:eastAsia="仿宋_GB2312" w:hAnsi="仿宋_GB2312" w:cs="仿宋_GB2312" w:hint="eastAsia"/>
                <w:b/>
                <w:color w:val="000000"/>
                <w:spacing w:val="-6"/>
                <w:sz w:val="18"/>
                <w:szCs w:val="18"/>
              </w:rPr>
              <w:t>县住建局</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E44B7">
            <w:pPr>
              <w:widowControl/>
              <w:spacing w:before="240" w:line="300" w:lineRule="exact"/>
              <w:ind w:left="181" w:hangingChars="100" w:hanging="181"/>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r>
      <w:tr w:rsidR="00CE44B7" w:rsidRPr="00CE44B7" w:rsidTr="00C83545">
        <w:trPr>
          <w:trHeight w:val="2243"/>
          <w:tblHeader/>
          <w:jc w:val="center"/>
        </w:trPr>
        <w:tc>
          <w:tcPr>
            <w:tcW w:w="550" w:type="dxa"/>
            <w:vAlign w:val="center"/>
          </w:tcPr>
          <w:p w:rsidR="00CE44B7" w:rsidRPr="00CE44B7" w:rsidRDefault="00CE44B7" w:rsidP="00C83545">
            <w:pPr>
              <w:widowControl/>
              <w:spacing w:before="240"/>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w:t>
            </w:r>
          </w:p>
        </w:tc>
        <w:tc>
          <w:tcPr>
            <w:tcW w:w="700" w:type="dxa"/>
            <w:vMerge/>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p>
        </w:tc>
        <w:tc>
          <w:tcPr>
            <w:tcW w:w="851" w:type="dxa"/>
            <w:vMerge w:val="restart"/>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政策</w:t>
            </w:r>
          </w:p>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解读</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上级政策解读</w:t>
            </w:r>
          </w:p>
        </w:tc>
        <w:tc>
          <w:tcPr>
            <w:tcW w:w="1768" w:type="dxa"/>
            <w:vMerge w:val="restart"/>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着重解读政策措施的背景依据目标任务主要内容涉及范围执行标准，以及注意事项关键词诠释惠民利民举措新旧政策差异等</w:t>
            </w:r>
          </w:p>
        </w:tc>
        <w:tc>
          <w:tcPr>
            <w:tcW w:w="2031" w:type="dxa"/>
            <w:vMerge/>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pacing w:val="-6"/>
                <w:sz w:val="18"/>
                <w:szCs w:val="18"/>
              </w:rPr>
            </w:pPr>
            <w:r w:rsidRPr="00CE44B7">
              <w:rPr>
                <w:rFonts w:ascii="仿宋_GB2312" w:eastAsia="仿宋_GB2312" w:hAnsi="仿宋_GB2312" w:cs="仿宋_GB2312" w:hint="eastAsia"/>
                <w:b/>
                <w:color w:val="000000"/>
                <w:spacing w:val="-6"/>
                <w:sz w:val="18"/>
                <w:szCs w:val="18"/>
              </w:rPr>
              <w:t>县住建局</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E44B7">
            <w:pPr>
              <w:widowControl/>
              <w:spacing w:before="240" w:line="300" w:lineRule="exact"/>
              <w:ind w:left="181" w:hangingChars="100" w:hanging="181"/>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r>
      <w:tr w:rsidR="00CE44B7" w:rsidRPr="00CE44B7" w:rsidTr="00C83545">
        <w:trPr>
          <w:trHeight w:val="2330"/>
          <w:tblHeader/>
          <w:jc w:val="center"/>
        </w:trPr>
        <w:tc>
          <w:tcPr>
            <w:tcW w:w="550" w:type="dxa"/>
            <w:vAlign w:val="center"/>
          </w:tcPr>
          <w:p w:rsidR="00CE44B7" w:rsidRPr="00CE44B7" w:rsidRDefault="00CE44B7" w:rsidP="00C83545">
            <w:pPr>
              <w:widowControl/>
              <w:spacing w:before="240"/>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3</w:t>
            </w:r>
          </w:p>
        </w:tc>
        <w:tc>
          <w:tcPr>
            <w:tcW w:w="700" w:type="dxa"/>
            <w:vMerge/>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p>
        </w:tc>
        <w:tc>
          <w:tcPr>
            <w:tcW w:w="851"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本级政策解读</w:t>
            </w:r>
          </w:p>
        </w:tc>
        <w:tc>
          <w:tcPr>
            <w:tcW w:w="1768" w:type="dxa"/>
            <w:vMerge/>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p>
        </w:tc>
        <w:tc>
          <w:tcPr>
            <w:tcW w:w="2031" w:type="dxa"/>
            <w:vMerge/>
            <w:vAlign w:val="center"/>
          </w:tcPr>
          <w:p w:rsidR="00CE44B7" w:rsidRPr="00CE44B7" w:rsidRDefault="00CE44B7" w:rsidP="00C83545">
            <w:pPr>
              <w:widowControl/>
              <w:spacing w:before="240" w:line="30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pacing w:val="-6"/>
                <w:sz w:val="18"/>
                <w:szCs w:val="18"/>
              </w:rPr>
            </w:pPr>
            <w:r w:rsidRPr="00CE44B7">
              <w:rPr>
                <w:rFonts w:ascii="仿宋_GB2312" w:eastAsia="仿宋_GB2312" w:hAnsi="仿宋_GB2312" w:cs="仿宋_GB2312" w:hint="eastAsia"/>
                <w:b/>
                <w:color w:val="000000"/>
                <w:spacing w:val="-6"/>
                <w:sz w:val="18"/>
                <w:szCs w:val="18"/>
              </w:rPr>
              <w:t>县住建局</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各乡镇人</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民政府</w:t>
            </w:r>
          </w:p>
        </w:tc>
        <w:tc>
          <w:tcPr>
            <w:tcW w:w="1468" w:type="dxa"/>
            <w:vAlign w:val="center"/>
          </w:tcPr>
          <w:p w:rsidR="00CE44B7" w:rsidRPr="00CE44B7" w:rsidRDefault="00CE44B7" w:rsidP="00CE44B7">
            <w:pPr>
              <w:widowControl/>
              <w:spacing w:before="240" w:line="300" w:lineRule="exact"/>
              <w:ind w:left="181" w:hangingChars="100" w:hanging="181"/>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spacing w:before="240"/>
              <w:textAlignment w:val="center"/>
              <w:rPr>
                <w:rFonts w:ascii="仿宋_GB2312" w:eastAsia="仿宋_GB2312" w:hAnsi="仿宋_GB2312" w:cs="仿宋_GB2312" w:hint="eastAsia"/>
                <w:b/>
                <w:color w:val="000000"/>
                <w:sz w:val="18"/>
                <w:szCs w:val="18"/>
              </w:rPr>
            </w:pPr>
          </w:p>
        </w:tc>
      </w:tr>
      <w:tr w:rsidR="00CE44B7" w:rsidRPr="00CE44B7" w:rsidTr="00C83545">
        <w:trPr>
          <w:trHeight w:val="389"/>
          <w:tblHeader/>
          <w:jc w:val="center"/>
        </w:trPr>
        <w:tc>
          <w:tcPr>
            <w:tcW w:w="550" w:type="dxa"/>
            <w:vMerge w:val="restart"/>
            <w:vAlign w:val="center"/>
          </w:tcPr>
          <w:p w:rsidR="00CE44B7" w:rsidRPr="00CE44B7" w:rsidRDefault="00CE44B7" w:rsidP="00C83545">
            <w:pPr>
              <w:spacing w:before="240"/>
              <w:jc w:val="center"/>
              <w:rPr>
                <w:rFonts w:ascii="黑体" w:eastAsia="黑体" w:hAnsi="黑体" w:cs="黑体" w:hint="eastAsia"/>
                <w:b/>
                <w:sz w:val="18"/>
                <w:szCs w:val="18"/>
              </w:rPr>
            </w:pPr>
            <w:r w:rsidRPr="00CE44B7">
              <w:rPr>
                <w:rFonts w:ascii="黑体" w:eastAsia="黑体" w:hAnsi="黑体" w:cs="黑体" w:hint="eastAsia"/>
                <w:b/>
                <w:sz w:val="18"/>
                <w:szCs w:val="18"/>
              </w:rPr>
              <w:lastRenderedPageBreak/>
              <w:t>序号</w:t>
            </w:r>
          </w:p>
        </w:tc>
        <w:tc>
          <w:tcPr>
            <w:tcW w:w="70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过程</w:t>
            </w:r>
          </w:p>
        </w:tc>
        <w:tc>
          <w:tcPr>
            <w:tcW w:w="1843"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公开事项</w:t>
            </w:r>
          </w:p>
        </w:tc>
        <w:tc>
          <w:tcPr>
            <w:tcW w:w="17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公开内容</w:t>
            </w:r>
          </w:p>
        </w:tc>
        <w:tc>
          <w:tcPr>
            <w:tcW w:w="2031"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公开依据</w:t>
            </w:r>
          </w:p>
        </w:tc>
        <w:tc>
          <w:tcPr>
            <w:tcW w:w="104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公开时限</w:t>
            </w:r>
          </w:p>
        </w:tc>
        <w:tc>
          <w:tcPr>
            <w:tcW w:w="992"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公开主体</w:t>
            </w:r>
          </w:p>
        </w:tc>
        <w:tc>
          <w:tcPr>
            <w:tcW w:w="14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公开渠道和</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载体</w:t>
            </w:r>
          </w:p>
        </w:tc>
        <w:tc>
          <w:tcPr>
            <w:tcW w:w="118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公开对象</w:t>
            </w:r>
          </w:p>
        </w:tc>
        <w:tc>
          <w:tcPr>
            <w:tcW w:w="115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公开方式</w:t>
            </w:r>
          </w:p>
        </w:tc>
        <w:tc>
          <w:tcPr>
            <w:tcW w:w="1438" w:type="dxa"/>
            <w:gridSpan w:val="3"/>
            <w:vAlign w:val="center"/>
          </w:tcPr>
          <w:p w:rsidR="00CE44B7" w:rsidRPr="00CE44B7" w:rsidRDefault="00CE44B7" w:rsidP="00C83545">
            <w:pPr>
              <w:widowControl/>
              <w:textAlignment w:val="center"/>
              <w:rPr>
                <w:rFonts w:ascii="宋体" w:hAnsi="宋体" w:cs="宋体" w:hint="eastAsia"/>
                <w:b/>
                <w:color w:val="000000"/>
                <w:sz w:val="18"/>
                <w:szCs w:val="18"/>
              </w:rPr>
            </w:pPr>
            <w:r w:rsidRPr="00CE44B7">
              <w:rPr>
                <w:rFonts w:ascii="黑体" w:eastAsia="黑体" w:hAnsi="黑体" w:cs="黑体" w:hint="eastAsia"/>
                <w:b/>
                <w:sz w:val="18"/>
                <w:szCs w:val="18"/>
              </w:rPr>
              <w:t>公开层次</w:t>
            </w:r>
          </w:p>
        </w:tc>
      </w:tr>
      <w:tr w:rsidR="00CE44B7" w:rsidRPr="00CE44B7" w:rsidTr="00C83545">
        <w:trPr>
          <w:trHeight w:val="705"/>
          <w:tblHeader/>
          <w:jc w:val="center"/>
        </w:trPr>
        <w:tc>
          <w:tcPr>
            <w:tcW w:w="55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70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85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一级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992"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二级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17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2031"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04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992"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4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609"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全</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社</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会</w:t>
            </w:r>
          </w:p>
        </w:tc>
        <w:tc>
          <w:tcPr>
            <w:tcW w:w="578"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特定群体</w:t>
            </w:r>
          </w:p>
        </w:tc>
        <w:tc>
          <w:tcPr>
            <w:tcW w:w="61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动</w:t>
            </w:r>
          </w:p>
        </w:tc>
        <w:tc>
          <w:tcPr>
            <w:tcW w:w="54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依申请</w:t>
            </w:r>
          </w:p>
        </w:tc>
        <w:tc>
          <w:tcPr>
            <w:tcW w:w="50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县级</w:t>
            </w:r>
          </w:p>
        </w:tc>
        <w:tc>
          <w:tcPr>
            <w:tcW w:w="43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乡级</w:t>
            </w:r>
          </w:p>
        </w:tc>
        <w:tc>
          <w:tcPr>
            <w:tcW w:w="50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村级</w:t>
            </w:r>
          </w:p>
        </w:tc>
      </w:tr>
      <w:tr w:rsidR="00CE44B7" w:rsidRPr="00CE44B7" w:rsidTr="00C83545">
        <w:trPr>
          <w:trHeight w:val="3905"/>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4</w:t>
            </w:r>
          </w:p>
        </w:tc>
        <w:tc>
          <w:tcPr>
            <w:tcW w:w="700" w:type="dxa"/>
            <w:vMerge w:val="restart"/>
            <w:vAlign w:val="center"/>
          </w:tcPr>
          <w:p w:rsidR="00CE44B7" w:rsidRPr="00CE44B7" w:rsidRDefault="00CE44B7" w:rsidP="00C83545">
            <w:pPr>
              <w:widowControl/>
              <w:spacing w:line="36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执行</w:t>
            </w:r>
          </w:p>
        </w:tc>
        <w:tc>
          <w:tcPr>
            <w:tcW w:w="851" w:type="dxa"/>
            <w:vMerge w:val="restart"/>
            <w:vAlign w:val="center"/>
          </w:tcPr>
          <w:p w:rsidR="00CE44B7" w:rsidRPr="00CE44B7" w:rsidRDefault="00CE44B7" w:rsidP="00C83545">
            <w:pPr>
              <w:widowControl/>
              <w:spacing w:line="36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计划</w:t>
            </w:r>
          </w:p>
          <w:p w:rsidR="00CE44B7" w:rsidRPr="00CE44B7" w:rsidRDefault="00CE44B7" w:rsidP="00C83545">
            <w:pPr>
              <w:widowControl/>
              <w:spacing w:line="36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实施</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任务分配</w:t>
            </w:r>
          </w:p>
        </w:tc>
        <w:tc>
          <w:tcPr>
            <w:tcW w:w="17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及时公开农村危房改造补助农户名单</w:t>
            </w:r>
          </w:p>
        </w:tc>
        <w:tc>
          <w:tcPr>
            <w:tcW w:w="2031"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《住房城乡建设部 财政部 国务院扶贫办关于加强和完善建档立卡贫困户等重点对象农村危房改造若干问题的通知》等</w:t>
            </w:r>
          </w:p>
        </w:tc>
        <w:tc>
          <w:tcPr>
            <w:tcW w:w="1040"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pacing w:val="-6"/>
                <w:sz w:val="18"/>
                <w:szCs w:val="18"/>
              </w:rPr>
            </w:pPr>
            <w:r w:rsidRPr="00CE44B7">
              <w:rPr>
                <w:rFonts w:ascii="仿宋_GB2312" w:eastAsia="仿宋_GB2312" w:hAnsi="仿宋_GB2312" w:cs="仿宋_GB2312" w:hint="eastAsia"/>
                <w:b/>
                <w:color w:val="000000"/>
                <w:spacing w:val="-6"/>
                <w:sz w:val="18"/>
                <w:szCs w:val="18"/>
              </w:rPr>
              <w:t>县住建局</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E44B7">
            <w:pPr>
              <w:widowControl/>
              <w:spacing w:line="360" w:lineRule="exact"/>
              <w:ind w:left="361" w:hangingChars="200" w:hanging="361"/>
              <w:textAlignment w:val="center"/>
              <w:rPr>
                <w:rFonts w:ascii="仿宋_GB2312" w:eastAsia="仿宋_GB2312" w:hAnsi="仿宋_GB2312" w:cs="仿宋_GB2312"/>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3533"/>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5</w:t>
            </w:r>
          </w:p>
        </w:tc>
        <w:tc>
          <w:tcPr>
            <w:tcW w:w="700"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851"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组织培训</w:t>
            </w:r>
          </w:p>
        </w:tc>
        <w:tc>
          <w:tcPr>
            <w:tcW w:w="17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组织开展农村建筑工匠培训文件</w:t>
            </w:r>
          </w:p>
        </w:tc>
        <w:tc>
          <w:tcPr>
            <w:tcW w:w="2031"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《住房城乡建设部 财政部 国务院扶贫办关于决战决胜脱贫攻坚进一步做好农村危房改造的通知》</w:t>
            </w:r>
          </w:p>
        </w:tc>
        <w:tc>
          <w:tcPr>
            <w:tcW w:w="1040"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pacing w:val="-6"/>
                <w:sz w:val="18"/>
                <w:szCs w:val="18"/>
              </w:rPr>
            </w:pPr>
            <w:r w:rsidRPr="00CE44B7">
              <w:rPr>
                <w:rFonts w:ascii="仿宋_GB2312" w:eastAsia="仿宋_GB2312" w:hAnsi="仿宋_GB2312" w:cs="仿宋_GB2312" w:hint="eastAsia"/>
                <w:b/>
                <w:color w:val="000000"/>
                <w:spacing w:val="-6"/>
                <w:sz w:val="18"/>
                <w:szCs w:val="18"/>
              </w:rPr>
              <w:t>县住建局</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各乡镇人</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民政府</w:t>
            </w:r>
          </w:p>
        </w:tc>
        <w:tc>
          <w:tcPr>
            <w:tcW w:w="1468" w:type="dxa"/>
            <w:vAlign w:val="center"/>
          </w:tcPr>
          <w:p w:rsidR="00CE44B7" w:rsidRPr="00CE44B7" w:rsidRDefault="00CE44B7" w:rsidP="00CE44B7">
            <w:pPr>
              <w:widowControl/>
              <w:spacing w:line="360" w:lineRule="exact"/>
              <w:ind w:left="181" w:hangingChars="100" w:hanging="181"/>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409"/>
          <w:tblHeader/>
          <w:jc w:val="center"/>
        </w:trPr>
        <w:tc>
          <w:tcPr>
            <w:tcW w:w="55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lastRenderedPageBreak/>
              <w:t>序号</w:t>
            </w:r>
          </w:p>
        </w:tc>
        <w:tc>
          <w:tcPr>
            <w:tcW w:w="70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过程</w:t>
            </w:r>
          </w:p>
        </w:tc>
        <w:tc>
          <w:tcPr>
            <w:tcW w:w="1843"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公开事项</w:t>
            </w:r>
          </w:p>
        </w:tc>
        <w:tc>
          <w:tcPr>
            <w:tcW w:w="17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公开内容</w:t>
            </w:r>
          </w:p>
        </w:tc>
        <w:tc>
          <w:tcPr>
            <w:tcW w:w="2031"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公开依据</w:t>
            </w:r>
          </w:p>
        </w:tc>
        <w:tc>
          <w:tcPr>
            <w:tcW w:w="104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公开时限</w:t>
            </w:r>
          </w:p>
        </w:tc>
        <w:tc>
          <w:tcPr>
            <w:tcW w:w="992"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公开主体</w:t>
            </w:r>
          </w:p>
        </w:tc>
        <w:tc>
          <w:tcPr>
            <w:tcW w:w="14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公开渠道和</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载体</w:t>
            </w:r>
          </w:p>
        </w:tc>
        <w:tc>
          <w:tcPr>
            <w:tcW w:w="118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公开对象</w:t>
            </w:r>
          </w:p>
        </w:tc>
        <w:tc>
          <w:tcPr>
            <w:tcW w:w="115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公开方式</w:t>
            </w:r>
          </w:p>
        </w:tc>
        <w:tc>
          <w:tcPr>
            <w:tcW w:w="1438" w:type="dxa"/>
            <w:gridSpan w:val="3"/>
            <w:vAlign w:val="center"/>
          </w:tcPr>
          <w:p w:rsidR="00CE44B7" w:rsidRPr="00CE44B7" w:rsidRDefault="00CE44B7" w:rsidP="00C83545">
            <w:pPr>
              <w:widowControl/>
              <w:textAlignment w:val="center"/>
              <w:rPr>
                <w:rFonts w:ascii="宋体" w:hAnsi="宋体" w:cs="宋体" w:hint="eastAsia"/>
                <w:b/>
                <w:color w:val="000000"/>
                <w:sz w:val="18"/>
                <w:szCs w:val="18"/>
              </w:rPr>
            </w:pPr>
            <w:r w:rsidRPr="00CE44B7">
              <w:rPr>
                <w:rFonts w:ascii="黑体" w:eastAsia="黑体" w:hAnsi="黑体" w:cs="黑体" w:hint="eastAsia"/>
                <w:b/>
                <w:sz w:val="18"/>
                <w:szCs w:val="18"/>
              </w:rPr>
              <w:t>公开层次</w:t>
            </w:r>
          </w:p>
        </w:tc>
      </w:tr>
      <w:tr w:rsidR="00CE44B7" w:rsidRPr="00CE44B7" w:rsidTr="00C83545">
        <w:trPr>
          <w:trHeight w:val="747"/>
          <w:tblHeader/>
          <w:jc w:val="center"/>
        </w:trPr>
        <w:tc>
          <w:tcPr>
            <w:tcW w:w="55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70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85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一级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992"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二级事项</w:t>
            </w:r>
          </w:p>
        </w:tc>
        <w:tc>
          <w:tcPr>
            <w:tcW w:w="17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2031"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04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992"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4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609"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全</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社</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会</w:t>
            </w:r>
          </w:p>
        </w:tc>
        <w:tc>
          <w:tcPr>
            <w:tcW w:w="578"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特定群体</w:t>
            </w:r>
          </w:p>
        </w:tc>
        <w:tc>
          <w:tcPr>
            <w:tcW w:w="61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动</w:t>
            </w:r>
          </w:p>
        </w:tc>
        <w:tc>
          <w:tcPr>
            <w:tcW w:w="54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依申请</w:t>
            </w:r>
          </w:p>
        </w:tc>
        <w:tc>
          <w:tcPr>
            <w:tcW w:w="50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县级</w:t>
            </w:r>
          </w:p>
        </w:tc>
        <w:tc>
          <w:tcPr>
            <w:tcW w:w="43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乡级</w:t>
            </w:r>
          </w:p>
        </w:tc>
        <w:tc>
          <w:tcPr>
            <w:tcW w:w="50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村级</w:t>
            </w:r>
          </w:p>
        </w:tc>
      </w:tr>
      <w:tr w:rsidR="00CE44B7" w:rsidRPr="00CE44B7" w:rsidTr="00C83545">
        <w:trPr>
          <w:trHeight w:val="2700"/>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6</w:t>
            </w:r>
          </w:p>
        </w:tc>
        <w:tc>
          <w:tcPr>
            <w:tcW w:w="700" w:type="dxa"/>
            <w:vMerge w:val="restart"/>
            <w:vAlign w:val="center"/>
          </w:tcPr>
          <w:p w:rsidR="00CE44B7" w:rsidRPr="00CE44B7" w:rsidRDefault="00CE44B7" w:rsidP="00C83545">
            <w:pPr>
              <w:widowControl/>
              <w:spacing w:line="36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管理</w:t>
            </w:r>
          </w:p>
        </w:tc>
        <w:tc>
          <w:tcPr>
            <w:tcW w:w="851" w:type="dxa"/>
            <w:vMerge w:val="restart"/>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条件与</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标准</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农村危房等级评定标准</w:t>
            </w:r>
          </w:p>
        </w:tc>
        <w:tc>
          <w:tcPr>
            <w:tcW w:w="17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农村危房等级评定相关标准</w:t>
            </w:r>
          </w:p>
        </w:tc>
        <w:tc>
          <w:tcPr>
            <w:tcW w:w="2031" w:type="dxa"/>
            <w:vMerge w:val="restart"/>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1.《中华人民共和国预算法》</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2.《中华人民共和国政府信息公开条例》</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3.《住房城乡建设部 财政部关于印发农村危房改造脱贫攻坚三年行动方案的通知》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4.《住房城乡建设部 财政部 国务院扶贫办关于加强和完善建档立卡贫困户等重点对象农村危房改造若干问题的通知》等</w:t>
            </w:r>
          </w:p>
        </w:tc>
        <w:tc>
          <w:tcPr>
            <w:tcW w:w="1040"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民政府</w:t>
            </w:r>
          </w:p>
        </w:tc>
        <w:tc>
          <w:tcPr>
            <w:tcW w:w="1468" w:type="dxa"/>
            <w:vAlign w:val="center"/>
          </w:tcPr>
          <w:p w:rsidR="00CE44B7" w:rsidRPr="00CE44B7" w:rsidRDefault="00CE44B7" w:rsidP="00CE44B7">
            <w:pPr>
              <w:widowControl/>
              <w:spacing w:line="360" w:lineRule="exact"/>
              <w:ind w:left="361" w:hangingChars="200" w:hanging="361"/>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2082"/>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7</w:t>
            </w:r>
          </w:p>
        </w:tc>
        <w:tc>
          <w:tcPr>
            <w:tcW w:w="700"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851"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农村危房改造对象申请条件</w:t>
            </w:r>
          </w:p>
        </w:tc>
        <w:tc>
          <w:tcPr>
            <w:tcW w:w="17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农村危房改造农户申请条件</w:t>
            </w:r>
          </w:p>
        </w:tc>
        <w:tc>
          <w:tcPr>
            <w:tcW w:w="2031"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2466"/>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8</w:t>
            </w:r>
          </w:p>
        </w:tc>
        <w:tc>
          <w:tcPr>
            <w:tcW w:w="700"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851"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农村危房改造资金补助标准</w:t>
            </w:r>
          </w:p>
        </w:tc>
        <w:tc>
          <w:tcPr>
            <w:tcW w:w="17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农村危房改造资金补助标准</w:t>
            </w:r>
          </w:p>
        </w:tc>
        <w:tc>
          <w:tcPr>
            <w:tcW w:w="2031" w:type="dxa"/>
            <w:vMerge/>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6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420"/>
          <w:tblHeader/>
          <w:jc w:val="center"/>
        </w:trPr>
        <w:tc>
          <w:tcPr>
            <w:tcW w:w="55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lastRenderedPageBreak/>
              <w:t>序号</w:t>
            </w:r>
          </w:p>
        </w:tc>
        <w:tc>
          <w:tcPr>
            <w:tcW w:w="70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过程</w:t>
            </w:r>
          </w:p>
        </w:tc>
        <w:tc>
          <w:tcPr>
            <w:tcW w:w="1843"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公开事项</w:t>
            </w:r>
          </w:p>
        </w:tc>
        <w:tc>
          <w:tcPr>
            <w:tcW w:w="17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公开内容</w:t>
            </w:r>
          </w:p>
        </w:tc>
        <w:tc>
          <w:tcPr>
            <w:tcW w:w="2031"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公开依据</w:t>
            </w:r>
          </w:p>
        </w:tc>
        <w:tc>
          <w:tcPr>
            <w:tcW w:w="104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时限</w:t>
            </w:r>
          </w:p>
        </w:tc>
        <w:tc>
          <w:tcPr>
            <w:tcW w:w="992"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主体</w:t>
            </w:r>
          </w:p>
        </w:tc>
        <w:tc>
          <w:tcPr>
            <w:tcW w:w="14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公开渠道和</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载体</w:t>
            </w:r>
          </w:p>
        </w:tc>
        <w:tc>
          <w:tcPr>
            <w:tcW w:w="118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公开对象</w:t>
            </w:r>
          </w:p>
        </w:tc>
        <w:tc>
          <w:tcPr>
            <w:tcW w:w="115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公开方式</w:t>
            </w:r>
          </w:p>
        </w:tc>
        <w:tc>
          <w:tcPr>
            <w:tcW w:w="1438" w:type="dxa"/>
            <w:gridSpan w:val="3"/>
            <w:vAlign w:val="center"/>
          </w:tcPr>
          <w:p w:rsidR="00CE44B7" w:rsidRPr="00CE44B7" w:rsidRDefault="00CE44B7" w:rsidP="00C83545">
            <w:pPr>
              <w:widowControl/>
              <w:textAlignment w:val="center"/>
              <w:rPr>
                <w:rFonts w:ascii="宋体" w:hAnsi="宋体" w:cs="宋体" w:hint="eastAsia"/>
                <w:b/>
                <w:color w:val="000000"/>
                <w:sz w:val="18"/>
                <w:szCs w:val="18"/>
              </w:rPr>
            </w:pPr>
            <w:r w:rsidRPr="00CE44B7">
              <w:rPr>
                <w:rFonts w:ascii="黑体" w:eastAsia="黑体" w:hAnsi="黑体" w:cs="黑体" w:hint="eastAsia"/>
                <w:b/>
                <w:sz w:val="18"/>
                <w:szCs w:val="18"/>
              </w:rPr>
              <w:t>公开层次</w:t>
            </w:r>
          </w:p>
        </w:tc>
      </w:tr>
      <w:tr w:rsidR="00CE44B7" w:rsidRPr="00CE44B7" w:rsidTr="00C83545">
        <w:trPr>
          <w:trHeight w:val="603"/>
          <w:tblHeader/>
          <w:jc w:val="center"/>
        </w:trPr>
        <w:tc>
          <w:tcPr>
            <w:tcW w:w="55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70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85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一级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992"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二级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17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2031"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04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992"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4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609"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全</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社</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会</w:t>
            </w:r>
          </w:p>
        </w:tc>
        <w:tc>
          <w:tcPr>
            <w:tcW w:w="578"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特定群体</w:t>
            </w:r>
          </w:p>
        </w:tc>
        <w:tc>
          <w:tcPr>
            <w:tcW w:w="61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动</w:t>
            </w:r>
          </w:p>
        </w:tc>
        <w:tc>
          <w:tcPr>
            <w:tcW w:w="54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依申请</w:t>
            </w:r>
          </w:p>
        </w:tc>
        <w:tc>
          <w:tcPr>
            <w:tcW w:w="50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县级</w:t>
            </w:r>
          </w:p>
        </w:tc>
        <w:tc>
          <w:tcPr>
            <w:tcW w:w="43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乡级</w:t>
            </w:r>
          </w:p>
        </w:tc>
        <w:tc>
          <w:tcPr>
            <w:tcW w:w="50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村级</w:t>
            </w:r>
          </w:p>
        </w:tc>
      </w:tr>
      <w:tr w:rsidR="00CE44B7" w:rsidRPr="00CE44B7" w:rsidTr="00C83545">
        <w:trPr>
          <w:trHeight w:val="1444"/>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9</w:t>
            </w:r>
          </w:p>
        </w:tc>
        <w:tc>
          <w:tcPr>
            <w:tcW w:w="700" w:type="dxa"/>
            <w:vMerge w:val="restart"/>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管理</w:t>
            </w:r>
          </w:p>
        </w:tc>
        <w:tc>
          <w:tcPr>
            <w:tcW w:w="851" w:type="dxa"/>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条件与标准</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农村危房改造竣工合格标准</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农村危房改造竣工验收要求</w:t>
            </w:r>
          </w:p>
        </w:tc>
        <w:tc>
          <w:tcPr>
            <w:tcW w:w="2031" w:type="dxa"/>
            <w:vMerge w:val="restart"/>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1.《住房城乡建设部 财政部关于印发农村危房改造脱贫攻坚三年行动方案的通知》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2.《住房城乡建设部 财政部 国务院扶贫办关于加强和完善建档立卡贫困户等重点对象农村危房改造若干问题的通知》等</w:t>
            </w: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1663"/>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10</w:t>
            </w:r>
          </w:p>
        </w:tc>
        <w:tc>
          <w:tcPr>
            <w:tcW w:w="700"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851" w:type="dxa"/>
            <w:vMerge w:val="restart"/>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对象</w:t>
            </w:r>
          </w:p>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认定</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危改户认定程序</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农村危房改造申请程序</w:t>
            </w:r>
          </w:p>
        </w:tc>
        <w:tc>
          <w:tcPr>
            <w:tcW w:w="2031"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1521"/>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11</w:t>
            </w:r>
          </w:p>
        </w:tc>
        <w:tc>
          <w:tcPr>
            <w:tcW w:w="700"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851"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认定结果</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认定结果</w:t>
            </w:r>
          </w:p>
        </w:tc>
        <w:tc>
          <w:tcPr>
            <w:tcW w:w="2031"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县住建局各</w:t>
            </w:r>
            <w:r w:rsidRPr="00CE44B7">
              <w:rPr>
                <w:rFonts w:ascii="仿宋_GB2312" w:eastAsia="仿宋_GB2312" w:hAnsi="仿宋_GB2312" w:cs="仿宋_GB2312" w:hint="eastAsia"/>
                <w:b/>
                <w:color w:val="000000"/>
                <w:sz w:val="18"/>
                <w:szCs w:val="18"/>
              </w:rPr>
              <w:t>乡镇人民政府</w:t>
            </w: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2715"/>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12</w:t>
            </w:r>
          </w:p>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p>
        </w:tc>
        <w:tc>
          <w:tcPr>
            <w:tcW w:w="70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结果</w:t>
            </w:r>
          </w:p>
        </w:tc>
        <w:tc>
          <w:tcPr>
            <w:tcW w:w="851" w:type="dxa"/>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年度任务实施</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落实情况</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年度任务</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执行情况</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年度工作完成情况等</w:t>
            </w:r>
          </w:p>
        </w:tc>
        <w:tc>
          <w:tcPr>
            <w:tcW w:w="2031"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1.《中共中央办公厅国务院办公厅印发〈关于全面推进政务公开工作的意见〉的通知》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2.《国务院办公厅印发〈关于全面推进政务公开工作的意见〉实施细则的通知》</w:t>
            </w: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信息形成(变更)20个工作日内</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603"/>
          <w:tblHeader/>
          <w:jc w:val="center"/>
        </w:trPr>
        <w:tc>
          <w:tcPr>
            <w:tcW w:w="55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lastRenderedPageBreak/>
              <w:t>序号</w:t>
            </w:r>
          </w:p>
        </w:tc>
        <w:tc>
          <w:tcPr>
            <w:tcW w:w="70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过程</w:t>
            </w:r>
          </w:p>
        </w:tc>
        <w:tc>
          <w:tcPr>
            <w:tcW w:w="1843"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公开事项</w:t>
            </w:r>
          </w:p>
        </w:tc>
        <w:tc>
          <w:tcPr>
            <w:tcW w:w="17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公开内容</w:t>
            </w:r>
          </w:p>
        </w:tc>
        <w:tc>
          <w:tcPr>
            <w:tcW w:w="2031"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公开依据</w:t>
            </w:r>
          </w:p>
        </w:tc>
        <w:tc>
          <w:tcPr>
            <w:tcW w:w="1040"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时限</w:t>
            </w:r>
          </w:p>
        </w:tc>
        <w:tc>
          <w:tcPr>
            <w:tcW w:w="992"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主体</w:t>
            </w:r>
          </w:p>
        </w:tc>
        <w:tc>
          <w:tcPr>
            <w:tcW w:w="1468" w:type="dxa"/>
            <w:vMerge w:val="restart"/>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公开渠道和</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载体</w:t>
            </w:r>
          </w:p>
        </w:tc>
        <w:tc>
          <w:tcPr>
            <w:tcW w:w="118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公开对象</w:t>
            </w:r>
          </w:p>
        </w:tc>
        <w:tc>
          <w:tcPr>
            <w:tcW w:w="1157" w:type="dxa"/>
            <w:gridSpan w:val="2"/>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公开方式</w:t>
            </w:r>
          </w:p>
        </w:tc>
        <w:tc>
          <w:tcPr>
            <w:tcW w:w="1438" w:type="dxa"/>
            <w:gridSpan w:val="3"/>
            <w:vAlign w:val="center"/>
          </w:tcPr>
          <w:p w:rsidR="00CE44B7" w:rsidRPr="00CE44B7" w:rsidRDefault="00CE44B7" w:rsidP="00C83545">
            <w:pPr>
              <w:widowControl/>
              <w:textAlignment w:val="center"/>
              <w:rPr>
                <w:rFonts w:ascii="宋体" w:hAnsi="宋体" w:cs="宋体" w:hint="eastAsia"/>
                <w:b/>
                <w:color w:val="000000"/>
                <w:sz w:val="18"/>
                <w:szCs w:val="18"/>
              </w:rPr>
            </w:pPr>
            <w:r w:rsidRPr="00CE44B7">
              <w:rPr>
                <w:rFonts w:ascii="黑体" w:eastAsia="黑体" w:hAnsi="黑体" w:cs="黑体" w:hint="eastAsia"/>
                <w:b/>
                <w:sz w:val="18"/>
                <w:szCs w:val="18"/>
              </w:rPr>
              <w:t>公开层次</w:t>
            </w:r>
          </w:p>
        </w:tc>
      </w:tr>
      <w:tr w:rsidR="00CE44B7" w:rsidRPr="00CE44B7" w:rsidTr="00C83545">
        <w:trPr>
          <w:trHeight w:val="619"/>
          <w:tblHeader/>
          <w:jc w:val="center"/>
        </w:trPr>
        <w:tc>
          <w:tcPr>
            <w:tcW w:w="55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70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85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一级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992"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二级</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事项</w:t>
            </w:r>
          </w:p>
        </w:tc>
        <w:tc>
          <w:tcPr>
            <w:tcW w:w="17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2031"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040"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992"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1468" w:type="dxa"/>
            <w:vMerge/>
            <w:vAlign w:val="center"/>
          </w:tcPr>
          <w:p w:rsidR="00CE44B7" w:rsidRPr="00CE44B7" w:rsidRDefault="00CE44B7" w:rsidP="00C83545">
            <w:pPr>
              <w:widowControl/>
              <w:textAlignment w:val="center"/>
              <w:rPr>
                <w:rFonts w:ascii="宋体" w:hAnsi="宋体" w:cs="宋体" w:hint="eastAsia"/>
                <w:b/>
                <w:color w:val="000000"/>
                <w:sz w:val="18"/>
                <w:szCs w:val="18"/>
              </w:rPr>
            </w:pPr>
          </w:p>
        </w:tc>
        <w:tc>
          <w:tcPr>
            <w:tcW w:w="609"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全</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社</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会</w:t>
            </w:r>
          </w:p>
        </w:tc>
        <w:tc>
          <w:tcPr>
            <w:tcW w:w="578"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特定群体</w:t>
            </w:r>
          </w:p>
        </w:tc>
        <w:tc>
          <w:tcPr>
            <w:tcW w:w="61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主</w:t>
            </w:r>
          </w:p>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动</w:t>
            </w:r>
          </w:p>
        </w:tc>
        <w:tc>
          <w:tcPr>
            <w:tcW w:w="54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依申请</w:t>
            </w:r>
          </w:p>
        </w:tc>
        <w:tc>
          <w:tcPr>
            <w:tcW w:w="500"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县级</w:t>
            </w:r>
          </w:p>
        </w:tc>
        <w:tc>
          <w:tcPr>
            <w:tcW w:w="437"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乡级</w:t>
            </w:r>
          </w:p>
        </w:tc>
        <w:tc>
          <w:tcPr>
            <w:tcW w:w="501" w:type="dxa"/>
            <w:vAlign w:val="center"/>
          </w:tcPr>
          <w:p w:rsidR="00CE44B7" w:rsidRPr="00CE44B7" w:rsidRDefault="00CE44B7" w:rsidP="00C83545">
            <w:pPr>
              <w:jc w:val="center"/>
              <w:rPr>
                <w:rFonts w:ascii="黑体" w:eastAsia="黑体" w:hAnsi="黑体" w:cs="黑体" w:hint="eastAsia"/>
                <w:b/>
                <w:sz w:val="18"/>
                <w:szCs w:val="18"/>
              </w:rPr>
            </w:pPr>
            <w:r w:rsidRPr="00CE44B7">
              <w:rPr>
                <w:rFonts w:ascii="黑体" w:eastAsia="黑体" w:hAnsi="黑体" w:cs="黑体" w:hint="eastAsia"/>
                <w:b/>
                <w:sz w:val="18"/>
                <w:szCs w:val="18"/>
              </w:rPr>
              <w:t>村级</w:t>
            </w:r>
          </w:p>
        </w:tc>
      </w:tr>
      <w:tr w:rsidR="00CE44B7" w:rsidRPr="00CE44B7" w:rsidTr="00C83545">
        <w:trPr>
          <w:trHeight w:val="2279"/>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13</w:t>
            </w:r>
          </w:p>
        </w:tc>
        <w:tc>
          <w:tcPr>
            <w:tcW w:w="700" w:type="dxa"/>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回应关切</w:t>
            </w:r>
          </w:p>
        </w:tc>
        <w:tc>
          <w:tcPr>
            <w:tcW w:w="851"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舆情收集热点及关键问题回应</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舆情收集回应</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接受投诉咨询建议等联系电话通信地址等</w:t>
            </w:r>
          </w:p>
        </w:tc>
        <w:tc>
          <w:tcPr>
            <w:tcW w:w="2031" w:type="dxa"/>
            <w:vMerge w:val="restart"/>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1.《中华人民共和国政府信息公开条例》</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2.《中共中央办公厅国务院办公厅印发〈关于全面推进政务公开工作的意见〉的通知》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3.《国务院办公厅印发〈关于全面推进政务公开工作的意见〉实施细则的通知》</w:t>
            </w: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sz w:val="18"/>
                <w:szCs w:val="18"/>
              </w:rPr>
            </w:pPr>
            <w:r w:rsidRPr="00CE44B7">
              <w:rPr>
                <w:rFonts w:ascii="仿宋_GB2312" w:eastAsia="仿宋_GB2312" w:hAnsi="仿宋_GB2312" w:cs="仿宋_GB2312" w:hint="eastAsia"/>
                <w:b/>
                <w:sz w:val="18"/>
                <w:szCs w:val="18"/>
              </w:rPr>
              <w:t>信息形成(变更)20个工作日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sz w:val="18"/>
                <w:szCs w:val="18"/>
              </w:rPr>
              <w:t>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r w:rsidR="00CE44B7" w:rsidRPr="00CE44B7" w:rsidTr="00C83545">
        <w:trPr>
          <w:trHeight w:val="3577"/>
          <w:tblHeader/>
          <w:jc w:val="center"/>
        </w:trPr>
        <w:tc>
          <w:tcPr>
            <w:tcW w:w="550" w:type="dxa"/>
            <w:vAlign w:val="center"/>
          </w:tcPr>
          <w:p w:rsidR="00CE44B7" w:rsidRPr="00CE44B7" w:rsidRDefault="00CE44B7" w:rsidP="00C83545">
            <w:pPr>
              <w:widowControl/>
              <w:jc w:val="center"/>
              <w:textAlignment w:val="center"/>
              <w:rPr>
                <w:rFonts w:ascii="仿宋_GB2312" w:eastAsia="仿宋_GB2312" w:hAnsi="仿宋_GB2312" w:cs="仿宋_GB2312" w:hint="eastAsia"/>
                <w:b/>
                <w:sz w:val="18"/>
                <w:szCs w:val="18"/>
              </w:rPr>
            </w:pPr>
            <w:r w:rsidRPr="00CE44B7">
              <w:rPr>
                <w:rFonts w:ascii="仿宋_GB2312" w:eastAsia="仿宋_GB2312" w:hAnsi="仿宋_GB2312" w:cs="仿宋_GB2312" w:hint="eastAsia"/>
                <w:b/>
                <w:sz w:val="18"/>
                <w:szCs w:val="18"/>
              </w:rPr>
              <w:t>14</w:t>
            </w:r>
          </w:p>
          <w:p w:rsidR="00CE44B7" w:rsidRPr="00CE44B7" w:rsidRDefault="00CE44B7" w:rsidP="00CE44B7">
            <w:pPr>
              <w:pStyle w:val="a0"/>
              <w:ind w:firstLine="361"/>
              <w:jc w:val="center"/>
              <w:rPr>
                <w:rFonts w:ascii="仿宋_GB2312" w:eastAsia="仿宋_GB2312" w:hAnsi="仿宋_GB2312" w:cs="仿宋_GB2312" w:hint="eastAsia"/>
                <w:b/>
                <w:sz w:val="18"/>
                <w:szCs w:val="18"/>
              </w:rPr>
            </w:pPr>
          </w:p>
        </w:tc>
        <w:tc>
          <w:tcPr>
            <w:tcW w:w="700" w:type="dxa"/>
            <w:vAlign w:val="center"/>
          </w:tcPr>
          <w:p w:rsidR="00CE44B7" w:rsidRPr="00CE44B7" w:rsidRDefault="00CE44B7" w:rsidP="00C83545">
            <w:pPr>
              <w:widowControl/>
              <w:spacing w:line="300" w:lineRule="exact"/>
              <w:jc w:val="center"/>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回应关切</w:t>
            </w:r>
          </w:p>
        </w:tc>
        <w:tc>
          <w:tcPr>
            <w:tcW w:w="851"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舆情收集热点及关键问题回应</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互动回应</w:t>
            </w:r>
          </w:p>
        </w:tc>
        <w:tc>
          <w:tcPr>
            <w:tcW w:w="17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sz w:val="18"/>
                <w:szCs w:val="18"/>
              </w:rPr>
            </w:pPr>
            <w:r w:rsidRPr="00CE44B7">
              <w:rPr>
                <w:rFonts w:ascii="仿宋_GB2312" w:eastAsia="仿宋_GB2312" w:hAnsi="仿宋_GB2312" w:cs="仿宋_GB2312" w:hint="eastAsia"/>
                <w:b/>
                <w:sz w:val="18"/>
                <w:szCs w:val="18"/>
              </w:rPr>
              <w:t>涉及群众切身利益和舆论关注的焦点热点及关键问题等回应内容</w:t>
            </w:r>
          </w:p>
          <w:p w:rsidR="00CE44B7" w:rsidRPr="00CE44B7" w:rsidRDefault="00CE44B7" w:rsidP="00CE44B7">
            <w:pPr>
              <w:pStyle w:val="a0"/>
              <w:spacing w:line="300" w:lineRule="exact"/>
              <w:ind w:firstLine="361"/>
              <w:rPr>
                <w:rFonts w:ascii="仿宋_GB2312" w:eastAsia="仿宋_GB2312" w:hAnsi="仿宋_GB2312" w:cs="仿宋_GB2312" w:hint="eastAsia"/>
                <w:b/>
                <w:sz w:val="18"/>
                <w:szCs w:val="18"/>
              </w:rPr>
            </w:pPr>
          </w:p>
        </w:tc>
        <w:tc>
          <w:tcPr>
            <w:tcW w:w="2031" w:type="dxa"/>
            <w:vMerge/>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p>
        </w:tc>
        <w:tc>
          <w:tcPr>
            <w:tcW w:w="1040"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信息形成(变更)20个工作日</w:t>
            </w:r>
          </w:p>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内</w:t>
            </w:r>
          </w:p>
        </w:tc>
        <w:tc>
          <w:tcPr>
            <w:tcW w:w="992"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pacing w:val="-6"/>
                <w:sz w:val="18"/>
                <w:szCs w:val="18"/>
              </w:rPr>
              <w:t>县住建局</w:t>
            </w:r>
            <w:r w:rsidRPr="00CE44B7">
              <w:rPr>
                <w:rFonts w:ascii="仿宋_GB2312" w:eastAsia="仿宋_GB2312" w:hAnsi="仿宋_GB2312" w:cs="仿宋_GB2312" w:hint="eastAsia"/>
                <w:b/>
                <w:color w:val="000000"/>
                <w:sz w:val="18"/>
                <w:szCs w:val="18"/>
              </w:rPr>
              <w:t>各乡镇人民政府</w:t>
            </w:r>
          </w:p>
        </w:tc>
        <w:tc>
          <w:tcPr>
            <w:tcW w:w="1468" w:type="dxa"/>
            <w:vAlign w:val="center"/>
          </w:tcPr>
          <w:p w:rsidR="00CE44B7" w:rsidRPr="00CE44B7" w:rsidRDefault="00CE44B7" w:rsidP="00C83545">
            <w:pPr>
              <w:widowControl/>
              <w:spacing w:line="300" w:lineRule="exact"/>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■政府网站</w:t>
            </w:r>
          </w:p>
        </w:tc>
        <w:tc>
          <w:tcPr>
            <w:tcW w:w="609"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 xml:space="preserve">√ </w:t>
            </w:r>
          </w:p>
        </w:tc>
        <w:tc>
          <w:tcPr>
            <w:tcW w:w="578"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61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4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500"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c>
          <w:tcPr>
            <w:tcW w:w="437"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r w:rsidRPr="00CE44B7">
              <w:rPr>
                <w:rFonts w:ascii="仿宋_GB2312" w:eastAsia="仿宋_GB2312" w:hAnsi="仿宋_GB2312" w:cs="仿宋_GB2312" w:hint="eastAsia"/>
                <w:b/>
                <w:color w:val="000000"/>
                <w:sz w:val="18"/>
                <w:szCs w:val="18"/>
              </w:rPr>
              <w:t>√</w:t>
            </w:r>
          </w:p>
        </w:tc>
        <w:tc>
          <w:tcPr>
            <w:tcW w:w="501" w:type="dxa"/>
            <w:vAlign w:val="center"/>
          </w:tcPr>
          <w:p w:rsidR="00CE44B7" w:rsidRPr="00CE44B7" w:rsidRDefault="00CE44B7" w:rsidP="00C83545">
            <w:pPr>
              <w:widowControl/>
              <w:textAlignment w:val="center"/>
              <w:rPr>
                <w:rFonts w:ascii="仿宋_GB2312" w:eastAsia="仿宋_GB2312" w:hAnsi="仿宋_GB2312" w:cs="仿宋_GB2312" w:hint="eastAsia"/>
                <w:b/>
                <w:color w:val="000000"/>
                <w:sz w:val="18"/>
                <w:szCs w:val="18"/>
              </w:rPr>
            </w:pPr>
          </w:p>
        </w:tc>
      </w:tr>
    </w:tbl>
    <w:p w:rsidR="00CE44B7" w:rsidRPr="00CE44B7" w:rsidRDefault="00CE44B7" w:rsidP="00CE44B7">
      <w:pPr>
        <w:jc w:val="left"/>
        <w:rPr>
          <w:rFonts w:hint="eastAsia"/>
          <w:b/>
          <w:bCs/>
          <w:sz w:val="40"/>
          <w:szCs w:val="48"/>
        </w:rPr>
      </w:pPr>
    </w:p>
    <w:sectPr w:rsidR="00CE44B7" w:rsidRPr="00CE44B7" w:rsidSect="00CE44B7">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7E0" w:rsidRDefault="005627E0" w:rsidP="00CE44B7">
      <w:r>
        <w:separator/>
      </w:r>
    </w:p>
  </w:endnote>
  <w:endnote w:type="continuationSeparator" w:id="1">
    <w:p w:rsidR="005627E0" w:rsidRDefault="005627E0" w:rsidP="00CE4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7E0" w:rsidRDefault="005627E0" w:rsidP="00CE44B7">
      <w:r>
        <w:separator/>
      </w:r>
    </w:p>
  </w:footnote>
  <w:footnote w:type="continuationSeparator" w:id="1">
    <w:p w:rsidR="005627E0" w:rsidRDefault="005627E0" w:rsidP="00CE4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4B7"/>
    <w:rsid w:val="005627E0"/>
    <w:rsid w:val="00CE4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44B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E44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E44B7"/>
    <w:rPr>
      <w:sz w:val="18"/>
      <w:szCs w:val="18"/>
    </w:rPr>
  </w:style>
  <w:style w:type="paragraph" w:styleId="a5">
    <w:name w:val="footer"/>
    <w:basedOn w:val="a"/>
    <w:link w:val="Char0"/>
    <w:uiPriority w:val="99"/>
    <w:semiHidden/>
    <w:unhideWhenUsed/>
    <w:rsid w:val="00CE44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CE44B7"/>
    <w:rPr>
      <w:sz w:val="18"/>
      <w:szCs w:val="18"/>
    </w:rPr>
  </w:style>
  <w:style w:type="paragraph" w:styleId="a0">
    <w:name w:val="Normal Indent"/>
    <w:basedOn w:val="a"/>
    <w:uiPriority w:val="99"/>
    <w:unhideWhenUsed/>
    <w:qFormat/>
    <w:rsid w:val="00CE44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2025</Characters>
  <Application>Microsoft Office Word</Application>
  <DocSecurity>0</DocSecurity>
  <Lines>16</Lines>
  <Paragraphs>4</Paragraphs>
  <ScaleCrop>false</ScaleCrop>
  <Company>China</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2020-12-13T06:13:00Z</dcterms:created>
  <dcterms:modified xsi:type="dcterms:W3CDTF">2020-12-13T06:14:00Z</dcterms:modified>
</cp:coreProperties>
</file>