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40"/>
        <w:gridCol w:w="1410"/>
        <w:gridCol w:w="1380"/>
        <w:gridCol w:w="1380"/>
        <w:gridCol w:w="1530"/>
        <w:gridCol w:w="1680"/>
        <w:gridCol w:w="1185"/>
        <w:gridCol w:w="153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3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安阳县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发展和改革委员会(示范区经济发展局）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行政执法全过程记录清单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序号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执法类别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执法事项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记录事项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执法场所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储存期限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执法部门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记录人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记录过程</w:t>
            </w:r>
          </w:p>
        </w:tc>
        <w:tc>
          <w:tcPr>
            <w:tcW w:w="19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结束记录时间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行政许可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许可审批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审批全过程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行政服务中心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长期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安阳县发展和改革委员会（示范区经济发展局）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人员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记录办理全过程</w:t>
            </w:r>
          </w:p>
        </w:tc>
        <w:tc>
          <w:tcPr>
            <w:tcW w:w="19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审批结束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行政处罚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调查取证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违法行为发生地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适时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长期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安阳县发展和改革委员会（示范区经济发展局）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人员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记录执法人员到达违法行为发生现场，进行调查取证的全过程</w:t>
            </w:r>
          </w:p>
        </w:tc>
        <w:tc>
          <w:tcPr>
            <w:tcW w:w="19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调查取证完毕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行政检查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双随机检查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行政执法全过程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被检查企业内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长期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安阳县发展和改革委员会（示范区经济发展局）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执法人员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行政执法全过程</w:t>
            </w:r>
          </w:p>
        </w:tc>
        <w:tc>
          <w:tcPr>
            <w:tcW w:w="19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执法完毕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5EF6"/>
    <w:rsid w:val="16465745"/>
    <w:rsid w:val="5D5F6721"/>
    <w:rsid w:val="658328ED"/>
    <w:rsid w:val="6A71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int="eastAsia" w:ascii="Calibri" w:hAnsi="Calibri"/>
      <w:w w:val="88"/>
      <w:szCs w:val="22"/>
    </w:rPr>
  </w:style>
  <w:style w:type="paragraph" w:styleId="3">
    <w:name w:val="Body Text Indent"/>
    <w:basedOn w:val="1"/>
    <w:qFormat/>
    <w:uiPriority w:val="0"/>
    <w:pPr>
      <w:spacing w:line="560" w:lineRule="exact"/>
      <w:ind w:firstLine="64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2021-12-10T00:29:00Z</dcterms:created>
  <dc:creator>Administrator</dc:creator>
  <cp:lastModifiedBy>WPS_1628648031</cp:lastModifiedBy>
  <dcterms:modified xsi:type="dcterms:W3CDTF">2021-12-10T01:13:15Z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74C6035DB1CE40C09AF9AB896D7F9FBF</vt:lpwstr>
  </property>
</Properties>
</file>