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宋体" w:hAnsi="宋体" w:eastAsia="宋体" w:cs="宋体"/>
          <w:b/>
          <w:bCs/>
          <w:i w:val="0"/>
          <w:caps w:val="0"/>
          <w:color w:val="504F4F"/>
          <w:spacing w:val="0"/>
          <w:kern w:val="0"/>
          <w:sz w:val="44"/>
          <w:szCs w:val="44"/>
          <w:shd w:val="clear" w:fill="FFFFFF"/>
          <w:lang w:val="en-US" w:eastAsia="zh-CN" w:bidi="ar"/>
        </w:rPr>
      </w:pPr>
      <w:r>
        <w:rPr>
          <w:rFonts w:hint="eastAsia" w:ascii="宋体" w:hAnsi="宋体" w:eastAsia="宋体" w:cs="宋体"/>
          <w:b/>
          <w:bCs/>
          <w:i w:val="0"/>
          <w:caps w:val="0"/>
          <w:color w:val="504F4F"/>
          <w:spacing w:val="0"/>
          <w:kern w:val="0"/>
          <w:sz w:val="44"/>
          <w:szCs w:val="44"/>
          <w:shd w:val="clear" w:fill="FFFFFF"/>
          <w:lang w:val="en-US" w:eastAsia="zh-CN" w:bidi="ar"/>
        </w:rPr>
        <w:t>安阳县文化广电体育旅游局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宋体" w:hAnsi="宋体" w:eastAsia="宋体" w:cs="宋体"/>
          <w:b/>
          <w:bCs/>
          <w:i w:val="0"/>
          <w:caps w:val="0"/>
          <w:color w:val="504F4F"/>
          <w:spacing w:val="0"/>
          <w:kern w:val="0"/>
          <w:sz w:val="44"/>
          <w:szCs w:val="44"/>
          <w:shd w:val="clear" w:fill="FFFFFF"/>
          <w:lang w:val="en-US" w:eastAsia="zh-CN" w:bidi="ar"/>
        </w:rPr>
      </w:pPr>
      <w:r>
        <w:rPr>
          <w:rFonts w:hint="eastAsia" w:ascii="宋体" w:hAnsi="宋体" w:eastAsia="宋体" w:cs="宋体"/>
          <w:b/>
          <w:bCs/>
          <w:i w:val="0"/>
          <w:caps w:val="0"/>
          <w:color w:val="504F4F"/>
          <w:spacing w:val="0"/>
          <w:kern w:val="0"/>
          <w:sz w:val="44"/>
          <w:szCs w:val="44"/>
          <w:shd w:val="clear" w:fill="FFFFFF"/>
          <w:lang w:val="en-US" w:eastAsia="zh-CN" w:bidi="ar"/>
        </w:rPr>
        <w:t>关于公布县级公共文化服务目录的通知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i w:val="0"/>
          <w:caps w:val="0"/>
          <w:color w:val="504F4F"/>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504F4F"/>
          <w:spacing w:val="0"/>
          <w:sz w:val="32"/>
          <w:szCs w:val="32"/>
        </w:rPr>
      </w:pPr>
      <w:r>
        <w:rPr>
          <w:rFonts w:hint="eastAsia" w:ascii="仿宋_GB2312" w:hAnsi="仿宋_GB2312" w:eastAsia="仿宋_GB2312" w:cs="仿宋_GB2312"/>
          <w:i w:val="0"/>
          <w:caps w:val="0"/>
          <w:color w:val="504F4F"/>
          <w:spacing w:val="0"/>
          <w:kern w:val="0"/>
          <w:sz w:val="32"/>
          <w:szCs w:val="32"/>
          <w:shd w:val="clear" w:fill="FFFFFF"/>
          <w:lang w:val="en-US" w:eastAsia="zh-CN" w:bidi="ar"/>
        </w:rPr>
        <w:t>为贯彻落实好《中华人民共和国公共文化服务保障法》，保障好、实现好群众基本文化权益，满足群众基本文化需求，规范基本公共文化服务行为，结合我县公共文化单位服务范围和业务特点，现将《安阳县基本公共文化服务目录》予以公布，并就有关事项通知如下：</w:t>
      </w:r>
      <w:r>
        <w:rPr>
          <w:rFonts w:hint="eastAsia" w:ascii="仿宋_GB2312" w:hAnsi="仿宋_GB2312" w:eastAsia="仿宋_GB2312" w:cs="仿宋_GB2312"/>
          <w:i w:val="0"/>
          <w:caps w:val="0"/>
          <w:color w:val="504F4F"/>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504F4F"/>
          <w:spacing w:val="0"/>
          <w:kern w:val="0"/>
          <w:sz w:val="32"/>
          <w:szCs w:val="32"/>
          <w:shd w:val="clear" w:fill="FFFFFF"/>
          <w:lang w:val="en-US" w:eastAsia="zh-CN" w:bidi="ar"/>
        </w:rPr>
        <w:t xml:space="preserve">    一、公共文化服务目录是政府向社会作出的公开承诺，各职能单位要强化责任、主动作为，把执行好公共文化服务目录作为全面履行政府职能的一项重要内容抓紧抓实，坚持“政府端菜”和“群众点菜”双向发力，全力为群众提供项目齐全、标准统一、便捷高效的公共文化服务，不断提升公共文化服务水平和群众满意度。</w:t>
      </w:r>
      <w:r>
        <w:rPr>
          <w:rFonts w:hint="eastAsia" w:ascii="仿宋_GB2312" w:hAnsi="仿宋_GB2312" w:eastAsia="仿宋_GB2312" w:cs="仿宋_GB2312"/>
          <w:i w:val="0"/>
          <w:caps w:val="0"/>
          <w:color w:val="504F4F"/>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504F4F"/>
          <w:spacing w:val="0"/>
          <w:kern w:val="0"/>
          <w:sz w:val="32"/>
          <w:szCs w:val="32"/>
          <w:shd w:val="clear" w:fill="FFFFFF"/>
          <w:lang w:val="en-US" w:eastAsia="zh-CN" w:bidi="ar"/>
        </w:rPr>
        <w:t xml:space="preserve">    二、公共文化服务目录实行动态管理，根据法律、法规、规章的颁布、修订、废止和部门职能变化以及经济社会发展需求，及时调整完善。公共文化服务目录的调整，由公共文化服务的实施单位提出，经县公共文化服务体系建设领导小组审定。</w:t>
      </w:r>
      <w:r>
        <w:rPr>
          <w:rFonts w:hint="eastAsia" w:ascii="仿宋_GB2312" w:hAnsi="仿宋_GB2312" w:eastAsia="仿宋_GB2312" w:cs="仿宋_GB2312"/>
          <w:i w:val="0"/>
          <w:caps w:val="0"/>
          <w:color w:val="504F4F"/>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504F4F"/>
          <w:spacing w:val="0"/>
          <w:kern w:val="0"/>
          <w:sz w:val="32"/>
          <w:szCs w:val="32"/>
          <w:shd w:val="clear" w:fill="FFFFFF"/>
          <w:lang w:val="en-US" w:eastAsia="zh-CN" w:bidi="ar"/>
        </w:rPr>
        <w:t>  三、各承担部门要根据公共文化服务目录，结合实际，为社会公众提供优质高效、公平可及的公共文化服务。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仿宋_GB2312" w:hAnsi="仿宋_GB2312" w:eastAsia="仿宋_GB2312" w:cs="仿宋_GB2312"/>
          <w:i w:val="0"/>
          <w:caps w:val="0"/>
          <w:color w:val="504F4F"/>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pPr>
      <w:bookmarkStart w:id="0" w:name="_GoBack"/>
      <w:bookmarkEnd w:id="0"/>
      <w:r>
        <w:rPr>
          <w:rFonts w:hint="eastAsia" w:ascii="仿宋_GB2312" w:hAnsi="仿宋_GB2312" w:eastAsia="仿宋_GB2312" w:cs="仿宋_GB2312"/>
          <w:i w:val="0"/>
          <w:caps w:val="0"/>
          <w:color w:val="504F4F"/>
          <w:spacing w:val="0"/>
          <w:kern w:val="0"/>
          <w:sz w:val="32"/>
          <w:szCs w:val="32"/>
          <w:shd w:val="clear" w:fill="FFFFFF"/>
          <w:lang w:val="en-US" w:eastAsia="zh-CN" w:bidi="ar"/>
        </w:rPr>
        <w:t>附：</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instrText xml:space="preserve"> HYPERLINK "https://www.suiping.gov.cn/uploadpage/kindeditor/attached/file/20191031/20191031112120_19529.doc" \t "https://www.suiping.gov.cn/web/front/news/_blank" </w:instrTex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fldChar w:fldCharType="separate"/>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安阳</w:t>
      </w:r>
      <w:r>
        <w:rPr>
          <w:rStyle w:val="4"/>
          <w:rFonts w:hint="eastAsia" w:ascii="仿宋_GB2312" w:hAnsi="仿宋_GB2312" w:eastAsia="仿宋_GB2312" w:cs="仿宋_GB2312"/>
          <w:i w:val="0"/>
          <w:caps w:val="0"/>
          <w:color w:val="333333"/>
          <w:spacing w:val="0"/>
          <w:sz w:val="32"/>
          <w:szCs w:val="32"/>
          <w:u w:val="none"/>
          <w:shd w:val="clear" w:fill="FFFFFF"/>
        </w:rPr>
        <w:t>县基本公共文化服务目录</w:t>
      </w: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504F4F"/>
          <w:spacing w:val="0"/>
          <w:kern w:val="0"/>
          <w:sz w:val="44"/>
          <w:szCs w:val="44"/>
          <w:shd w:val="clear" w:fill="FFFFFF"/>
          <w:lang w:val="en-US" w:eastAsia="zh-CN" w:bidi="ar"/>
        </w:rPr>
      </w:pPr>
      <w:r>
        <w:rPr>
          <w:rFonts w:hint="eastAsia" w:ascii="宋体" w:hAnsi="宋体" w:eastAsia="宋体" w:cs="宋体"/>
          <w:b/>
          <w:bCs/>
          <w:i w:val="0"/>
          <w:caps w:val="0"/>
          <w:color w:val="504F4F"/>
          <w:spacing w:val="0"/>
          <w:kern w:val="0"/>
          <w:sz w:val="44"/>
          <w:szCs w:val="44"/>
          <w:shd w:val="clear" w:fill="FFFFFF"/>
          <w:lang w:val="en-US" w:eastAsia="zh-CN" w:bidi="ar"/>
        </w:rPr>
        <w:t>安阳县基本公共文化服务目录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504F4F"/>
          <w:spacing w:val="0"/>
          <w:kern w:val="0"/>
          <w:sz w:val="32"/>
          <w:szCs w:val="32"/>
          <w:shd w:val="clear" w:fill="FFFFFF"/>
          <w:lang w:val="en-US" w:eastAsia="zh-CN" w:bidi="ar"/>
        </w:rPr>
      </w:pPr>
    </w:p>
    <w:tbl>
      <w:tblPr>
        <w:tblStyle w:val="2"/>
        <w:tblW w:w="8691" w:type="dxa"/>
        <w:tblInd w:w="0" w:type="dxa"/>
        <w:shd w:val="clear" w:color="auto" w:fill="FFFFFF"/>
        <w:tblLayout w:type="autofit"/>
        <w:tblCellMar>
          <w:top w:w="15" w:type="dxa"/>
          <w:left w:w="15" w:type="dxa"/>
          <w:bottom w:w="15" w:type="dxa"/>
          <w:right w:w="15" w:type="dxa"/>
        </w:tblCellMar>
      </w:tblPr>
      <w:tblGrid>
        <w:gridCol w:w="1206"/>
        <w:gridCol w:w="3075"/>
        <w:gridCol w:w="1395"/>
        <w:gridCol w:w="1305"/>
        <w:gridCol w:w="1710"/>
      </w:tblGrid>
      <w:tr>
        <w:tblPrEx>
          <w:shd w:val="clear" w:color="auto" w:fill="FFFFFF"/>
          <w:tblCellMar>
            <w:top w:w="15" w:type="dxa"/>
            <w:left w:w="15" w:type="dxa"/>
            <w:bottom w:w="15" w:type="dxa"/>
            <w:right w:w="15" w:type="dxa"/>
          </w:tblCellMar>
        </w:tblPrEx>
        <w:tc>
          <w:tcPr>
            <w:tcW w:w="12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504F4F"/>
                <w:spacing w:val="0"/>
                <w:kern w:val="0"/>
                <w:sz w:val="32"/>
                <w:szCs w:val="32"/>
                <w:lang w:val="en-US" w:eastAsia="zh-CN" w:bidi="ar"/>
              </w:rPr>
              <w:t>项目</w:t>
            </w:r>
          </w:p>
        </w:tc>
        <w:tc>
          <w:tcPr>
            <w:tcW w:w="30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504F4F"/>
                <w:spacing w:val="0"/>
                <w:kern w:val="0"/>
                <w:sz w:val="32"/>
                <w:szCs w:val="32"/>
                <w:lang w:val="en-US" w:eastAsia="zh-CN" w:bidi="ar"/>
              </w:rPr>
              <w:t>实施标准</w:t>
            </w:r>
          </w:p>
        </w:tc>
        <w:tc>
          <w:tcPr>
            <w:tcW w:w="139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504F4F"/>
                <w:spacing w:val="0"/>
                <w:kern w:val="0"/>
                <w:sz w:val="32"/>
                <w:szCs w:val="32"/>
                <w:lang w:val="en-US" w:eastAsia="zh-CN" w:bidi="ar"/>
              </w:rPr>
              <w:t>服务时间</w:t>
            </w:r>
          </w:p>
        </w:tc>
        <w:tc>
          <w:tcPr>
            <w:tcW w:w="130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504F4F"/>
                <w:spacing w:val="0"/>
                <w:kern w:val="0"/>
                <w:sz w:val="32"/>
                <w:szCs w:val="32"/>
                <w:lang w:val="en-US" w:eastAsia="zh-CN" w:bidi="ar"/>
              </w:rPr>
              <w:t>服务地点</w:t>
            </w:r>
          </w:p>
        </w:tc>
        <w:tc>
          <w:tcPr>
            <w:tcW w:w="17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504F4F"/>
                <w:spacing w:val="0"/>
                <w:kern w:val="0"/>
                <w:sz w:val="32"/>
                <w:szCs w:val="32"/>
                <w:lang w:val="en-US" w:eastAsia="zh-CN" w:bidi="ar"/>
              </w:rPr>
              <w:t>承担单位</w:t>
            </w:r>
          </w:p>
        </w:tc>
      </w:tr>
      <w:tr>
        <w:tblPrEx>
          <w:shd w:val="clear" w:color="auto" w:fill="FFFFFF"/>
          <w:tblCellMar>
            <w:top w:w="15" w:type="dxa"/>
            <w:left w:w="15" w:type="dxa"/>
            <w:bottom w:w="15" w:type="dxa"/>
            <w:right w:w="15" w:type="dxa"/>
          </w:tblCellMar>
        </w:tblPrEx>
        <w:tc>
          <w:tcPr>
            <w:tcW w:w="12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公共文化场馆免费开放</w:t>
            </w:r>
          </w:p>
        </w:tc>
        <w:tc>
          <w:tcPr>
            <w:tcW w:w="30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公共图书馆、文化馆、博物馆、体育馆、综合文化站等各类公共文化场所设施，实行免费开放，并有服务公示。公共图书馆每周免费开放不少于56小时，文化馆、博物馆、综合文化站每周免费开放不少于42小时；大型公共体育场馆和区域内公共体育场地，每周免费或低收费开放时间一般不少于35小时。</w:t>
            </w:r>
          </w:p>
        </w:tc>
        <w:tc>
          <w:tcPr>
            <w:tcW w:w="139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全年</w:t>
            </w:r>
          </w:p>
        </w:tc>
        <w:tc>
          <w:tcPr>
            <w:tcW w:w="130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各公共文体场所</w:t>
            </w:r>
          </w:p>
        </w:tc>
        <w:tc>
          <w:tcPr>
            <w:tcW w:w="17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县文广体旅局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县图书馆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县文化馆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各乡镇</w:t>
            </w:r>
          </w:p>
        </w:tc>
      </w:tr>
      <w:tr>
        <w:tblPrEx>
          <w:shd w:val="clear" w:color="auto" w:fill="FFFFFF"/>
          <w:tblCellMar>
            <w:top w:w="15" w:type="dxa"/>
            <w:left w:w="15" w:type="dxa"/>
            <w:bottom w:w="15" w:type="dxa"/>
            <w:right w:w="15" w:type="dxa"/>
          </w:tblCellMar>
        </w:tblPrEx>
        <w:trPr>
          <w:trHeight w:val="3674" w:hRule="atLeast"/>
        </w:trPr>
        <w:tc>
          <w:tcPr>
            <w:tcW w:w="12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收听广播观看电视</w:t>
            </w:r>
          </w:p>
        </w:tc>
        <w:tc>
          <w:tcPr>
            <w:tcW w:w="30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通过地面无线方式提供不少于15套广播和电视节目；在直播卫星公共服务覆盖地区，通过直播卫星提供不少于 17 套广播节目、25套电视节目。</w:t>
            </w:r>
          </w:p>
        </w:tc>
        <w:tc>
          <w:tcPr>
            <w:tcW w:w="139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全年</w:t>
            </w:r>
          </w:p>
        </w:tc>
        <w:tc>
          <w:tcPr>
            <w:tcW w:w="130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全县</w:t>
            </w:r>
          </w:p>
        </w:tc>
        <w:tc>
          <w:tcPr>
            <w:tcW w:w="17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县文广体旅局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caps w:val="0"/>
                <w:color w:val="504F4F"/>
                <w:spacing w:val="0"/>
                <w:kern w:val="0"/>
                <w:sz w:val="28"/>
                <w:szCs w:val="28"/>
                <w:lang w:val="en-US" w:eastAsia="zh-CN" w:bidi="ar"/>
              </w:rPr>
              <w:t>各乡镇</w:t>
            </w:r>
          </w:p>
        </w:tc>
      </w:tr>
      <w:tr>
        <w:tblPrEx>
          <w:shd w:val="clear" w:color="auto" w:fill="FFFFFF"/>
          <w:tblCellMar>
            <w:top w:w="15" w:type="dxa"/>
            <w:left w:w="15" w:type="dxa"/>
            <w:bottom w:w="15" w:type="dxa"/>
            <w:right w:w="15" w:type="dxa"/>
          </w:tblCellMar>
        </w:tblPrEx>
        <w:tc>
          <w:tcPr>
            <w:tcW w:w="12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观看电影</w:t>
            </w:r>
          </w:p>
        </w:tc>
        <w:tc>
          <w:tcPr>
            <w:tcW w:w="30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为农村群众提供数字电影放映服务，其中每年国产新片（院线上映不超过2年）比例不少于1/3，中小学每学期免费观看2部爱国主义教育影片。</w:t>
            </w:r>
          </w:p>
        </w:tc>
        <w:tc>
          <w:tcPr>
            <w:tcW w:w="139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全年</w:t>
            </w:r>
          </w:p>
        </w:tc>
        <w:tc>
          <w:tcPr>
            <w:tcW w:w="130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全县</w:t>
            </w:r>
          </w:p>
        </w:tc>
        <w:tc>
          <w:tcPr>
            <w:tcW w:w="17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县文广体旅局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caps w:val="0"/>
                <w:color w:val="504F4F"/>
                <w:spacing w:val="0"/>
                <w:kern w:val="0"/>
                <w:sz w:val="28"/>
                <w:szCs w:val="28"/>
                <w:lang w:val="en-US" w:eastAsia="zh-CN" w:bidi="ar"/>
              </w:rPr>
              <w:t>各乡镇</w:t>
            </w:r>
          </w:p>
        </w:tc>
      </w:tr>
      <w:tr>
        <w:tblPrEx>
          <w:shd w:val="clear" w:color="auto" w:fill="FFFFFF"/>
          <w:tblCellMar>
            <w:top w:w="15" w:type="dxa"/>
            <w:left w:w="15" w:type="dxa"/>
            <w:bottom w:w="15" w:type="dxa"/>
            <w:right w:w="15" w:type="dxa"/>
          </w:tblCellMar>
        </w:tblPrEx>
        <w:tc>
          <w:tcPr>
            <w:tcW w:w="12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送戏下乡</w:t>
            </w:r>
          </w:p>
        </w:tc>
        <w:tc>
          <w:tcPr>
            <w:tcW w:w="30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采取政府买单、群众看戏等方式为每个乡镇免费送戏。</w:t>
            </w:r>
          </w:p>
        </w:tc>
        <w:tc>
          <w:tcPr>
            <w:tcW w:w="139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全年</w:t>
            </w:r>
          </w:p>
        </w:tc>
        <w:tc>
          <w:tcPr>
            <w:tcW w:w="130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全县</w:t>
            </w:r>
          </w:p>
        </w:tc>
        <w:tc>
          <w:tcPr>
            <w:tcW w:w="17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县文广体旅局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各乡镇</w:t>
            </w:r>
          </w:p>
        </w:tc>
      </w:tr>
      <w:tr>
        <w:tblPrEx>
          <w:shd w:val="clear" w:color="auto" w:fill="FFFFFF"/>
          <w:tblCellMar>
            <w:top w:w="15" w:type="dxa"/>
            <w:left w:w="15" w:type="dxa"/>
            <w:bottom w:w="15" w:type="dxa"/>
            <w:right w:w="15" w:type="dxa"/>
          </w:tblCellMar>
        </w:tblPrEx>
        <w:trPr>
          <w:trHeight w:val="4951" w:hRule="atLeast"/>
        </w:trPr>
        <w:tc>
          <w:tcPr>
            <w:tcW w:w="1206" w:type="dxa"/>
            <w:tcBorders>
              <w:top w:val="single" w:color="auto" w:sz="8" w:space="0"/>
              <w:left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群众文体活动</w:t>
            </w:r>
          </w:p>
        </w:tc>
        <w:tc>
          <w:tcPr>
            <w:tcW w:w="3075" w:type="dxa"/>
            <w:tcBorders>
              <w:top w:val="single" w:color="auto" w:sz="8" w:space="0"/>
              <w:left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县每年组织开展大型群众文体活动6次，乡镇、村每年组织5次以上群众文体活动；县图书馆每年举办全县性全民阅读活动不少5次、讲座培训次数不少于20次；县级文化馆提供音乐、舞蹈、戏剧（曲艺）、美术（书法、摄影）、文学5类服务，每年举办培训次数不少于10次；县在体育场馆开展的运动技能、科学健身等公益性体育培训服务不少于1000人次／年，在体育场馆举办的公益性群众体育赛事活动不少于4次／年，每四年举办一届综合性体育运动会，定期举办本行政区域的群众体育比赛活动。</w:t>
            </w:r>
          </w:p>
        </w:tc>
        <w:tc>
          <w:tcPr>
            <w:tcW w:w="1395" w:type="dxa"/>
            <w:tcBorders>
              <w:top w:val="single" w:color="auto" w:sz="8" w:space="0"/>
              <w:left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全年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tc>
        <w:tc>
          <w:tcPr>
            <w:tcW w:w="1305" w:type="dxa"/>
            <w:tcBorders>
              <w:top w:val="single" w:color="auto" w:sz="8" w:space="0"/>
              <w:left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全县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p>
        </w:tc>
        <w:tc>
          <w:tcPr>
            <w:tcW w:w="17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县文广体旅局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县文化馆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县图书馆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各乡镇</w:t>
            </w:r>
          </w:p>
        </w:tc>
      </w:tr>
      <w:tr>
        <w:tblPrEx>
          <w:shd w:val="clear" w:color="auto" w:fill="FFFFFF"/>
          <w:tblCellMar>
            <w:top w:w="15" w:type="dxa"/>
            <w:left w:w="15" w:type="dxa"/>
            <w:bottom w:w="15" w:type="dxa"/>
            <w:right w:w="15" w:type="dxa"/>
          </w:tblCellMar>
        </w:tblPrEx>
        <w:tc>
          <w:tcPr>
            <w:tcW w:w="12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公共数字文化服务</w:t>
            </w:r>
          </w:p>
        </w:tc>
        <w:tc>
          <w:tcPr>
            <w:tcW w:w="30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公共文化机构设施内免费提供wifi；图书馆建有公共电子阅览室，免费提供上网服务。图书馆数字资源量3TB以上。</w:t>
            </w:r>
          </w:p>
        </w:tc>
        <w:tc>
          <w:tcPr>
            <w:tcW w:w="139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全年</w:t>
            </w:r>
          </w:p>
        </w:tc>
        <w:tc>
          <w:tcPr>
            <w:tcW w:w="130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馆内</w:t>
            </w:r>
          </w:p>
        </w:tc>
        <w:tc>
          <w:tcPr>
            <w:tcW w:w="17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县文广体旅局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县文化馆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县图书馆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各乡镇</w:t>
            </w:r>
          </w:p>
        </w:tc>
      </w:tr>
      <w:tr>
        <w:tblPrEx>
          <w:shd w:val="clear" w:color="auto" w:fill="FFFFFF"/>
          <w:tblCellMar>
            <w:top w:w="15" w:type="dxa"/>
            <w:left w:w="15" w:type="dxa"/>
            <w:bottom w:w="15" w:type="dxa"/>
            <w:right w:w="15" w:type="dxa"/>
          </w:tblCellMar>
        </w:tblPrEx>
        <w:tc>
          <w:tcPr>
            <w:tcW w:w="12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特殊群体公共文化服务</w:t>
            </w:r>
          </w:p>
        </w:tc>
        <w:tc>
          <w:tcPr>
            <w:tcW w:w="30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图书馆为残障人士配备无障碍设施，有条件的配备安全检查设备，配备儿童和盲文书籍，提供阅读服务。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文化馆定期组织开展针对残障人士、未成年人、老年人和农民工等特殊群体的文化活动。</w:t>
            </w:r>
          </w:p>
        </w:tc>
        <w:tc>
          <w:tcPr>
            <w:tcW w:w="139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全年</w:t>
            </w:r>
          </w:p>
        </w:tc>
        <w:tc>
          <w:tcPr>
            <w:tcW w:w="130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两馆</w:t>
            </w:r>
          </w:p>
        </w:tc>
        <w:tc>
          <w:tcPr>
            <w:tcW w:w="17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县文广体旅局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县残联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县图书馆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县文化馆</w:t>
            </w:r>
          </w:p>
        </w:tc>
      </w:tr>
      <w:tr>
        <w:tblPrEx>
          <w:tblCellMar>
            <w:top w:w="15" w:type="dxa"/>
            <w:left w:w="15" w:type="dxa"/>
            <w:bottom w:w="15" w:type="dxa"/>
            <w:right w:w="15" w:type="dxa"/>
          </w:tblCellMar>
        </w:tblPrEx>
        <w:tc>
          <w:tcPr>
            <w:tcW w:w="1206"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全民阅读服务</w:t>
            </w:r>
          </w:p>
        </w:tc>
        <w:tc>
          <w:tcPr>
            <w:tcW w:w="307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提供文献外借、阅览服务、一般咨询服务、流动服务，其中流动服务不少于20次。</w:t>
            </w:r>
          </w:p>
        </w:tc>
        <w:tc>
          <w:tcPr>
            <w:tcW w:w="139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全年</w:t>
            </w:r>
          </w:p>
        </w:tc>
        <w:tc>
          <w:tcPr>
            <w:tcW w:w="130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馆内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504F4F"/>
                <w:spacing w:val="0"/>
                <w:kern w:val="0"/>
                <w:sz w:val="28"/>
                <w:szCs w:val="28"/>
                <w:lang w:val="en-US" w:eastAsia="zh-CN" w:bidi="ar"/>
              </w:rPr>
              <w:t>馆外</w:t>
            </w:r>
          </w:p>
        </w:tc>
        <w:tc>
          <w:tcPr>
            <w:tcW w:w="171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县文广体旅局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i w:val="0"/>
                <w:caps w:val="0"/>
                <w:color w:val="504F4F"/>
                <w:spacing w:val="0"/>
                <w:kern w:val="0"/>
                <w:sz w:val="28"/>
                <w:szCs w:val="28"/>
                <w:lang w:val="en-US" w:eastAsia="zh-CN" w:bidi="ar"/>
              </w:rPr>
            </w:pPr>
            <w:r>
              <w:rPr>
                <w:rFonts w:hint="eastAsia" w:ascii="仿宋_GB2312" w:hAnsi="仿宋_GB2312" w:eastAsia="仿宋_GB2312" w:cs="仿宋_GB2312"/>
                <w:i w:val="0"/>
                <w:caps w:val="0"/>
                <w:color w:val="504F4F"/>
                <w:spacing w:val="0"/>
                <w:kern w:val="0"/>
                <w:sz w:val="28"/>
                <w:szCs w:val="28"/>
                <w:lang w:val="en-US" w:eastAsia="zh-CN" w:bidi="ar"/>
              </w:rPr>
              <w:t>县图书馆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87414"/>
    <w:rsid w:val="17057269"/>
    <w:rsid w:val="37A87414"/>
    <w:rsid w:val="445E4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2022-03-16T01:22:00Z</dcterms:created>
  <dc:creator>Administrator</dc:creator>
  <cp:lastModifiedBy>Administrator</cp:lastModifiedBy>
  <dcterms:modified xsi:type="dcterms:W3CDTF">2022-03-21T03:33:51Z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8553877FE37B44B980B2C43A6E3BEEB3</vt:lpwstr>
  </property>
</Properties>
</file>