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16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关于安阳市示范区20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年预算安排情况的说      明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财政预算编制概况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一、编制原则和依据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二、支出预算安排标准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示范区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119"/>
          <w:sz w:val="32"/>
          <w:szCs w:val="32"/>
        </w:rPr>
        <w:t xml:space="preserve">       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 w:cs="黑体"/>
          <w:sz w:val="32"/>
          <w:szCs w:val="32"/>
        </w:rPr>
        <w:t>年度财政预算情况说明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2039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Times New Roman" w:eastAsia="黑体" w:cs="黑体"/>
          <w:w w:val="99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一、一般公共预算收支安排</w:t>
      </w:r>
    </w:p>
    <w:p>
      <w:pPr>
        <w:kinsoku w:val="0"/>
        <w:overflowPunct w:val="0"/>
        <w:adjustRightInd w:val="0"/>
        <w:snapToGrid w:val="0"/>
        <w:spacing w:line="360" w:lineRule="auto"/>
        <w:ind w:right="1424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二、政府性基金预算收支安排情况</w:t>
      </w:r>
    </w:p>
    <w:p>
      <w:pPr>
        <w:kinsoku w:val="0"/>
        <w:overflowPunct w:val="0"/>
        <w:adjustRightInd w:val="0"/>
        <w:snapToGrid w:val="0"/>
        <w:spacing w:line="360" w:lineRule="auto"/>
        <w:ind w:right="1424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国有资本经营预算收支情况说明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724" w:rightChars="821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社会保险基金预算收支情况说明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260" w:rightChars="6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050" w:rightChars="5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转移支付情况说明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七、举借债务情况说明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960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八、重大政策和重点项目绩效目标情况</w:t>
      </w:r>
    </w:p>
    <w:p>
      <w:pPr>
        <w:kinsoku w:val="0"/>
        <w:overflowPunct w:val="0"/>
        <w:adjustRightInd w:val="0"/>
        <w:snapToGrid w:val="0"/>
        <w:spacing w:line="360" w:lineRule="auto"/>
        <w:ind w:right="1050" w:right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九、扶贫资金情况说明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  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示范区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年示范区收支预算情况表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年示范区一般公共预算收入表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年示范区一般公共预算财力测算表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年示范区一般公共预算支出明细表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年示范区本级一般公共预算支出明细表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年示范区本级基本支出预算支出明细表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年示范区一般公共预算支出经济分类明细表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年示范区税收返还和转移支付表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年示范区税收返还分地区预算表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年示范区一般转移支付分地区预算表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年示范区专项转移支付分地区预算表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年示范区专项转移支付分项目预算表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年示范区三公经费预算表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十四、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十五、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十六、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年示范区政府性基金预算支出表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十七、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年示范区政府性基金转移支付分地区表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十八、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年示范区政府性基金预算本级支出表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十九、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年示范区政府性基金预算转移支付表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年示范区社保基金预算收入表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年示范区社保基金预算支出表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二十二、示范区一般债务限额表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二十三、示范区一般债务余额表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二十四、示范区专项债务限额表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二十五、示范区专项债务余额表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二十六、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年示范区国有资本经营收支总表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二十七、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年示范区国有资本经营收入表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二十八、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年示范区国有资本经营支出表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二十九、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年示范区本级国有资本经营支出表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三十、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年示范区国有资本经营转移支付表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16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widowControl/>
        <w:spacing w:line="600" w:lineRule="exact"/>
        <w:ind w:right="42" w:rightChars="20" w:firstLine="2880" w:firstLineChars="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财政预算编制</w:t>
      </w:r>
      <w:r>
        <w:rPr>
          <w:rFonts w:hint="eastAsia" w:ascii="黑体" w:hAnsi="黑体" w:eastAsia="黑体"/>
          <w:bCs/>
          <w:sz w:val="32"/>
          <w:szCs w:val="32"/>
        </w:rPr>
        <w:t>概</w:t>
      </w:r>
      <w:r>
        <w:rPr>
          <w:rFonts w:hint="eastAsia" w:ascii="黑体" w:hAnsi="黑体" w:eastAsia="黑体"/>
          <w:sz w:val="32"/>
          <w:szCs w:val="32"/>
        </w:rPr>
        <w:t>况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0"/>
        </w:rPr>
      </w:pP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0"/>
        </w:rPr>
      </w:pPr>
      <w:r>
        <w:rPr>
          <w:rFonts w:hint="eastAsia" w:ascii="仿宋_GB2312" w:hAnsi="仿宋_GB2312" w:eastAsia="仿宋_GB2312"/>
          <w:color w:val="000000"/>
          <w:sz w:val="32"/>
          <w:szCs w:val="30"/>
        </w:rPr>
        <w:t>根据对</w:t>
      </w:r>
      <w:r>
        <w:rPr>
          <w:rFonts w:hint="eastAsia" w:ascii="仿宋_GB2312" w:hAnsi="仿宋_GB2312" w:eastAsia="仿宋_GB2312"/>
          <w:color w:val="000000"/>
          <w:sz w:val="32"/>
          <w:szCs w:val="30"/>
          <w:lang w:eastAsia="zh-CN"/>
        </w:rPr>
        <w:t>2022</w:t>
      </w:r>
      <w:r>
        <w:rPr>
          <w:rFonts w:hint="eastAsia" w:ascii="仿宋_GB2312" w:hAnsi="仿宋_GB2312" w:eastAsia="仿宋_GB2312"/>
          <w:color w:val="000000"/>
          <w:sz w:val="32"/>
          <w:szCs w:val="30"/>
        </w:rPr>
        <w:t>年示范区经济运行及财政收入预测分析，考虑县区套合因素，结合上年预算执行情况及各方面资金需求基础上，编制本级财政预算。现将示范区</w:t>
      </w:r>
      <w:r>
        <w:rPr>
          <w:rFonts w:hint="eastAsia" w:ascii="仿宋_GB2312" w:hAnsi="仿宋_GB2312" w:eastAsia="仿宋_GB2312"/>
          <w:color w:val="000000"/>
          <w:sz w:val="32"/>
          <w:szCs w:val="30"/>
          <w:lang w:eastAsia="zh-CN"/>
        </w:rPr>
        <w:t>2022</w:t>
      </w:r>
      <w:r>
        <w:rPr>
          <w:rFonts w:hint="eastAsia" w:ascii="仿宋_GB2312" w:hAnsi="仿宋_GB2312" w:eastAsia="仿宋_GB2312"/>
          <w:color w:val="000000"/>
          <w:sz w:val="32"/>
          <w:szCs w:val="30"/>
        </w:rPr>
        <w:t>年财政预算编制情况汇报如下：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一、预算编制原则和依据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sz w:val="32"/>
          <w:szCs w:val="30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0"/>
        </w:rPr>
        <w:t>（一）预算编制原则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依法理财、统筹配置、突出重点、衔接融合、公开透明、勤俭节约。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sz w:val="32"/>
          <w:szCs w:val="30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0"/>
        </w:rPr>
        <w:t>（二）预算编制依据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0"/>
        </w:rPr>
      </w:pPr>
      <w:r>
        <w:rPr>
          <w:rFonts w:hint="eastAsia" w:ascii="仿宋_GB2312" w:hAnsi="仿宋_GB2312" w:eastAsia="仿宋_GB2312"/>
          <w:color w:val="000000"/>
          <w:sz w:val="32"/>
          <w:szCs w:val="30"/>
        </w:rPr>
        <w:t>1、《中华人民共和国预算法》、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《河南省预算监督条例》、</w:t>
      </w:r>
      <w:r>
        <w:rPr>
          <w:rFonts w:hint="eastAsia" w:ascii="仿宋_GB2312" w:hAnsi="仿宋_GB2312" w:eastAsia="仿宋_GB2312"/>
          <w:color w:val="000000"/>
          <w:sz w:val="32"/>
        </w:rPr>
        <w:t>《</w:t>
      </w:r>
      <w:r>
        <w:rPr>
          <w:rFonts w:hint="eastAsia" w:ascii="仿宋_GB2312" w:hAnsi="仿宋_GB2312" w:eastAsia="仿宋_GB2312" w:cs="宋体"/>
          <w:color w:val="000000"/>
          <w:sz w:val="32"/>
        </w:rPr>
        <w:t>国务院关于深化预算管理制度改革的决定》等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hint="eastAsia" w:ascii="仿宋_GB2312" w:hAnsi="仿宋_GB2312" w:eastAsia="仿宋_GB2312"/>
          <w:color w:val="000000"/>
          <w:sz w:val="32"/>
          <w:szCs w:val="30"/>
        </w:rPr>
        <w:t>国务院、省、市</w:t>
      </w:r>
      <w:r>
        <w:rPr>
          <w:rFonts w:hint="eastAsia" w:ascii="仿宋_GB2312" w:hAnsi="仿宋_GB2312" w:eastAsia="仿宋_GB2312"/>
          <w:color w:val="000000"/>
          <w:sz w:val="32"/>
          <w:szCs w:val="30"/>
          <w:lang w:eastAsia="zh-CN"/>
        </w:rPr>
        <w:t>2022</w:t>
      </w:r>
      <w:r>
        <w:rPr>
          <w:rFonts w:hint="eastAsia" w:ascii="仿宋_GB2312" w:hAnsi="仿宋_GB2312" w:eastAsia="仿宋_GB2312"/>
          <w:color w:val="000000"/>
          <w:sz w:val="32"/>
          <w:szCs w:val="30"/>
        </w:rPr>
        <w:t>年预算编制精神。</w:t>
      </w:r>
    </w:p>
    <w:p>
      <w:pPr>
        <w:ind w:firstLine="64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/>
          <w:color w:val="000000"/>
          <w:sz w:val="32"/>
          <w:szCs w:val="30"/>
        </w:rPr>
        <w:t>2、中央“八项规定”、国务院《党政机关厉行节约反对浪费条例》和中办、国办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0"/>
        </w:rPr>
        <w:t>《党政机关国内公务接待管理规定》。</w:t>
      </w:r>
    </w:p>
    <w:p>
      <w:pPr>
        <w:ind w:firstLine="64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0"/>
        </w:rPr>
        <w:t>3、预算单位上年预算执行、结余结转情况及有关文件依据等。</w:t>
      </w:r>
    </w:p>
    <w:p>
      <w:pPr>
        <w:ind w:firstLine="64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0"/>
        </w:rPr>
        <w:t>4、县区套合后各预算单位职能变动情况等。</w:t>
      </w: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0"/>
        </w:rPr>
        <w:t>二、支出预算安排标准</w:t>
      </w:r>
    </w:p>
    <w:p>
      <w:pPr>
        <w:ind w:firstLine="64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0"/>
        </w:rPr>
        <w:t>基本支出预算主要是保障单位机构正常运转、完成日常工作任务而编制的年度支出计划。包括人员经费和日常公用经费两部分。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人员经费预算的编制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1、工资按部门最新实发工资人数和工资标准安排。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2、事业单位绩效工资，70%据实列入预算，随个人工资发放。奖励性绩效工资按各单位当年12月份的绩效工资总量的30%核定，每半年考核一次，考核合格后予以发放。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3、住房公积金缴存比例为12%、养老保险缴存比例为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%，工伤保险0.2%、医疗保险基金13.5%（含基本医疗保险、生育保险、公务员医疗补助）。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4、各部门文明奖按级次列入预算：国家级800元/人/月，省级600元/人/月，市级300元/人/月。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5、根据安人社[2016]36号文件精神，机关及全供事业单位退休人员养老金由养老保险基金发放。部门预算仅编制机关及全供事业单位退休人员的住房补贴、保留奖金、健康休养费等经有关部门批准的、不纳入基金支付的项目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（二）公用经费预算的编制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公用经费包括按定额分配的单位运行支出以及经常性业务费。单位运行支出按编制人数和相应分类定额进行编制。综合定额是分配定额，总体原则是不高于上年，并适度压缩。预算单位根据财政核定的总量结合单位业务费的使用，自行确定公用经费具体支出项目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1、单位维持性的基本运行支出采取以综合定额方式分配。包括办公费、印刷费、手续费、水电费、邮电费、取暖费、物业管理费、差旅费、维护费、租赁费、劳务费、福利费等。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、根据安阳市公务用车改革制度相关规定，行政机关和参公单位车改补贴，按有关部门批准的12月份参加车改实有人数、分职级补贴标准，据实列入预算，预算执行中不再调整。车改补贴列入公用经费预算项目，记入经济分类科目“其他交通费用”（30239款）。核定保留的应急、机要及委托各单位管理的公务车辆按照每车每年1.8万元标准计算运行费，未参加改革的单位交通费仍按原标准执行。</w:t>
      </w:r>
    </w:p>
    <w:p>
      <w:pPr>
        <w:tabs>
          <w:tab w:val="left" w:pos="3150"/>
        </w:tabs>
        <w:autoSpaceDE w:val="0"/>
        <w:autoSpaceDN w:val="0"/>
        <w:adjustRightInd w:val="0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3、工会经费。根据河南省总工会、河南省财政厅《关于财政拨款的行政事业单位计拨工会经费有关问题的通知》（豫工文[2003]125号）精神，区直工会经费由示范区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财政统一预留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，乡镇、学校单独编制，比例为工资总额的2%。</w:t>
      </w:r>
    </w:p>
    <w:p>
      <w:pPr>
        <w:pStyle w:val="6"/>
        <w:widowControl w:val="0"/>
        <w:ind w:firstLine="640" w:firstLineChars="200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（三）项目支出预算的编制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0"/>
        </w:rPr>
      </w:pPr>
      <w:r>
        <w:rPr>
          <w:rFonts w:hint="eastAsia" w:ascii="仿宋_GB2312" w:hAnsi="仿宋_GB2312" w:eastAsia="仿宋_GB2312"/>
          <w:color w:val="000000"/>
          <w:sz w:val="32"/>
          <w:szCs w:val="30"/>
        </w:rPr>
        <w:t>根据财力情况和工作实际需要，按照“保工资、保运转、保重点”的支出原则， 20</w:t>
      </w:r>
      <w:r>
        <w:rPr>
          <w:rFonts w:hint="eastAsia" w:ascii="仿宋_GB2312" w:hAnsi="仿宋_GB2312" w:eastAsia="仿宋_GB2312"/>
          <w:color w:val="000000"/>
          <w:sz w:val="32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  <w:szCs w:val="30"/>
        </w:rPr>
        <w:t>年预算安排时，充分考虑县区套合因素，教育、社保等民生支出统一由安阳县财政安排预算，示范区重点安排招商、建设类相关项目。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jc w:val="center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示范区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119"/>
          <w:sz w:val="32"/>
          <w:szCs w:val="32"/>
        </w:rPr>
        <w:t xml:space="preserve">       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 w:cs="黑体"/>
          <w:sz w:val="32"/>
          <w:szCs w:val="32"/>
        </w:rPr>
        <w:t>年度总预算情况说明</w:t>
      </w: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0"/>
        </w:rPr>
      </w:pP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0"/>
        </w:rPr>
        <w:t>一、一般公共预算收支安排</w:t>
      </w:r>
    </w:p>
    <w:p>
      <w:pPr>
        <w:ind w:firstLine="640" w:firstLineChars="200"/>
        <w:rPr>
          <w:rFonts w:ascii="仿宋_GB2312" w:hAnsi="仿宋_GB2312" w:eastAsia="仿宋_GB2312" w:cs="Arial"/>
          <w:b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bCs/>
          <w:color w:val="000000"/>
          <w:kern w:val="0"/>
          <w:sz w:val="32"/>
          <w:szCs w:val="30"/>
        </w:rPr>
        <w:t>按照新预算法规定，全口径预算包括一般公共预算、政府性基金预算、国有资本经营预算、社会保险基金预算。示范区国有资本经营预算并入一般公共预算管理，政府性基金预算为单独编制，具体预算编制情况如下：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0"/>
        </w:rPr>
        <w:t>（一）一般公共预算收入安排</w:t>
      </w:r>
    </w:p>
    <w:p>
      <w:pPr>
        <w:ind w:firstLine="640" w:firstLineChars="200"/>
        <w:rPr>
          <w:rFonts w:ascii="仿宋_GB2312" w:hAnsi="仿宋_GB2312" w:eastAsia="仿宋_GB2312" w:cs="Arial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bCs/>
          <w:color w:val="000000"/>
          <w:kern w:val="0"/>
          <w:sz w:val="32"/>
          <w:szCs w:val="30"/>
        </w:rPr>
        <w:t>1、一般公共预算收入预算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202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highlight w:val="none"/>
        </w:rPr>
        <w:t>年安阳市城乡一体化示范区本级一般公共预算收入计划安排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74000万</w:t>
      </w:r>
      <w:r>
        <w:rPr>
          <w:rStyle w:val="8"/>
          <w:rFonts w:hint="eastAsia" w:ascii="仿宋_GB2312" w:hAnsi="宋体" w:eastAsia="仿宋_GB2312"/>
          <w:highlight w:val="none"/>
        </w:rPr>
        <w:t>元，比202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</w:t>
      </w:r>
      <w:r>
        <w:rPr>
          <w:rStyle w:val="8"/>
          <w:rFonts w:hint="eastAsia" w:ascii="仿宋_GB2312" w:hAnsi="宋体" w:eastAsia="仿宋_GB2312"/>
          <w:highlight w:val="none"/>
        </w:rPr>
        <w:t>年完成数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增加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4702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6.8</w:t>
      </w:r>
      <w:r>
        <w:rPr>
          <w:rStyle w:val="8"/>
          <w:rFonts w:hint="eastAsia" w:ascii="仿宋_GB2312" w:hAnsi="宋体" w:eastAsia="仿宋_GB2312"/>
          <w:highlight w:val="none"/>
        </w:rPr>
        <w:t>%。其中：税收收入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68000万</w:t>
      </w:r>
      <w:r>
        <w:rPr>
          <w:rStyle w:val="8"/>
          <w:rFonts w:hint="eastAsia" w:ascii="仿宋_GB2312" w:hAnsi="宋体" w:eastAsia="仿宋_GB2312"/>
          <w:highlight w:val="none"/>
        </w:rPr>
        <w:t>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17.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8</w:t>
      </w:r>
      <w:r>
        <w:rPr>
          <w:rStyle w:val="8"/>
          <w:rFonts w:hint="eastAsia" w:ascii="仿宋_GB2312" w:hAnsi="宋体" w:eastAsia="仿宋_GB2312"/>
          <w:highlight w:val="none"/>
        </w:rPr>
        <w:t>%；非税收入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6000万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48.2</w:t>
      </w:r>
      <w:r>
        <w:rPr>
          <w:rStyle w:val="8"/>
          <w:rFonts w:hint="eastAsia" w:ascii="仿宋_GB2312" w:hAnsi="宋体" w:eastAsia="仿宋_GB2312"/>
          <w:highlight w:val="none"/>
        </w:rPr>
        <w:t>%。主要收入项目情况是：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1、增值税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16000万</w:t>
      </w:r>
      <w:r>
        <w:rPr>
          <w:rStyle w:val="8"/>
          <w:rFonts w:hint="eastAsia" w:ascii="仿宋_GB2312" w:hAnsi="宋体" w:eastAsia="仿宋_GB2312"/>
          <w:highlight w:val="none"/>
        </w:rPr>
        <w:t>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13.8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2</w:t>
      </w:r>
      <w:r>
        <w:rPr>
          <w:rStyle w:val="8"/>
          <w:rFonts w:hint="eastAsia" w:ascii="仿宋_GB2312" w:hAnsi="宋体" w:eastAsia="仿宋_GB2312"/>
          <w:highlight w:val="none"/>
        </w:rPr>
        <w:t>、企业所得税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5000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28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3</w:t>
      </w:r>
      <w:r>
        <w:rPr>
          <w:rStyle w:val="8"/>
          <w:rFonts w:hint="eastAsia" w:ascii="仿宋_GB2312" w:hAnsi="宋体" w:eastAsia="仿宋_GB2312"/>
          <w:highlight w:val="none"/>
        </w:rPr>
        <w:t>、个人所得税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23.1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  <w:lang w:val="en-US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4</w:t>
      </w:r>
      <w:r>
        <w:rPr>
          <w:rStyle w:val="8"/>
          <w:rFonts w:hint="eastAsia" w:ascii="仿宋_GB2312" w:hAnsi="宋体" w:eastAsia="仿宋_GB2312"/>
          <w:highlight w:val="none"/>
        </w:rPr>
        <w:t>、资源税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180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23.3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5</w:t>
      </w:r>
      <w:r>
        <w:rPr>
          <w:rStyle w:val="8"/>
          <w:rFonts w:hint="eastAsia" w:ascii="仿宋_GB2312" w:hAnsi="宋体" w:eastAsia="仿宋_GB2312"/>
          <w:highlight w:val="none"/>
        </w:rPr>
        <w:t>、城市维护建设税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3000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highlight w:val="none"/>
        </w:rPr>
        <w:t>8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.5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6</w:t>
      </w:r>
      <w:r>
        <w:rPr>
          <w:rStyle w:val="8"/>
          <w:rFonts w:hint="eastAsia" w:ascii="仿宋_GB2312" w:hAnsi="宋体" w:eastAsia="仿宋_GB2312"/>
          <w:highlight w:val="none"/>
        </w:rPr>
        <w:t>、房产税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31.7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7</w:t>
      </w:r>
      <w:r>
        <w:rPr>
          <w:rStyle w:val="8"/>
          <w:rFonts w:hint="eastAsia" w:ascii="仿宋_GB2312" w:hAnsi="宋体" w:eastAsia="仿宋_GB2312"/>
          <w:highlight w:val="none"/>
        </w:rPr>
        <w:t>、印花税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1200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29.3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8</w:t>
      </w:r>
      <w:r>
        <w:rPr>
          <w:rStyle w:val="8"/>
          <w:rFonts w:hint="eastAsia" w:ascii="仿宋_GB2312" w:hAnsi="宋体" w:eastAsia="仿宋_GB2312"/>
          <w:highlight w:val="none"/>
        </w:rPr>
        <w:t>、城镇土地使用税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4000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39.9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9</w:t>
      </w:r>
      <w:r>
        <w:rPr>
          <w:rStyle w:val="8"/>
          <w:rFonts w:hint="eastAsia" w:ascii="仿宋_GB2312" w:hAnsi="宋体" w:eastAsia="仿宋_GB2312"/>
          <w:highlight w:val="none"/>
        </w:rPr>
        <w:t>、土地增值税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3800万</w:t>
      </w:r>
      <w:r>
        <w:rPr>
          <w:rStyle w:val="8"/>
          <w:rFonts w:hint="eastAsia" w:ascii="仿宋_GB2312" w:hAnsi="宋体" w:eastAsia="仿宋_GB2312"/>
          <w:highlight w:val="none"/>
        </w:rPr>
        <w:t>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24.1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10</w:t>
      </w:r>
      <w:r>
        <w:rPr>
          <w:rStyle w:val="8"/>
          <w:rFonts w:hint="eastAsia" w:ascii="仿宋_GB2312" w:hAnsi="宋体" w:eastAsia="仿宋_GB2312"/>
          <w:highlight w:val="none"/>
        </w:rPr>
        <w:t>、车船税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25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1</w:t>
      </w:r>
      <w:r>
        <w:rPr>
          <w:rStyle w:val="8"/>
          <w:rFonts w:hint="eastAsia" w:ascii="仿宋_GB2312" w:hAnsi="宋体" w:eastAsia="仿宋_GB2312"/>
          <w:highlight w:val="none"/>
        </w:rPr>
        <w:t>、耕地占用税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6600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9.9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  <w:lang w:val="en-US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12、环境保护税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10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25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3</w:t>
      </w:r>
      <w:r>
        <w:rPr>
          <w:rStyle w:val="8"/>
          <w:rFonts w:hint="eastAsia" w:ascii="仿宋_GB2312" w:hAnsi="宋体" w:eastAsia="仿宋_GB2312"/>
          <w:highlight w:val="none"/>
        </w:rPr>
        <w:t>、契税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15000</w:t>
      </w:r>
      <w:r>
        <w:rPr>
          <w:rStyle w:val="8"/>
          <w:rFonts w:hint="eastAsia" w:ascii="仿宋_GB2312" w:hAnsi="宋体" w:eastAsia="仿宋_GB2312"/>
          <w:highlight w:val="none"/>
        </w:rPr>
        <w:t>万元，增长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8.5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4</w:t>
      </w:r>
      <w:r>
        <w:rPr>
          <w:rStyle w:val="8"/>
          <w:rFonts w:hint="eastAsia" w:ascii="仿宋_GB2312" w:hAnsi="宋体" w:eastAsia="仿宋_GB2312"/>
          <w:highlight w:val="none"/>
        </w:rPr>
        <w:t>、专项收入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00万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</w:t>
      </w:r>
      <w:r>
        <w:rPr>
          <w:rStyle w:val="8"/>
          <w:rFonts w:hint="eastAsia" w:ascii="仿宋_GB2312" w:hAnsi="宋体" w:eastAsia="仿宋_GB2312"/>
          <w:highlight w:val="none"/>
        </w:rPr>
        <w:t>.7%。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5</w:t>
      </w:r>
      <w:r>
        <w:rPr>
          <w:rStyle w:val="8"/>
          <w:rFonts w:hint="eastAsia" w:ascii="仿宋_GB2312" w:hAnsi="宋体" w:eastAsia="仿宋_GB2312"/>
          <w:highlight w:val="none"/>
        </w:rPr>
        <w:t>、国有资源（资产）有偿使用收入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18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00</w:t>
      </w:r>
      <w:r>
        <w:rPr>
          <w:rStyle w:val="8"/>
          <w:rFonts w:hint="eastAsia" w:ascii="仿宋_GB2312" w:hAnsi="宋体" w:eastAsia="仿宋_GB2312"/>
          <w:highlight w:val="none"/>
        </w:rPr>
        <w:t>万元，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222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pStyle w:val="7"/>
        <w:suppressAutoHyphens/>
        <w:spacing w:line="560" w:lineRule="exact"/>
        <w:ind w:firstLine="624"/>
        <w:rPr>
          <w:rStyle w:val="8"/>
          <w:rFonts w:hint="default" w:ascii="仿宋_GB2312" w:hAnsi="宋体" w:eastAsia="仿宋_GB2312"/>
          <w:highlight w:val="none"/>
          <w:lang w:val="en-US" w:eastAsia="zh-CN"/>
        </w:rPr>
      </w:pP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16、政府住房基金收入3000万元，减少68.4%。</w:t>
      </w:r>
    </w:p>
    <w:p>
      <w:pPr>
        <w:ind w:firstLine="64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0"/>
        </w:rPr>
        <w:t>2、全区财力测算</w:t>
      </w:r>
    </w:p>
    <w:p>
      <w:pPr>
        <w:ind w:firstLine="600" w:firstLineChars="200"/>
        <w:rPr>
          <w:rFonts w:ascii="仿宋_GB2312" w:hAnsi="仿宋_GB2312" w:eastAsia="仿宋_GB2312" w:cs="Arial"/>
          <w:color w:val="000000"/>
          <w:kern w:val="0"/>
          <w:sz w:val="32"/>
          <w:szCs w:val="30"/>
        </w:rPr>
      </w:pPr>
      <w:r>
        <w:rPr>
          <w:rStyle w:val="8"/>
          <w:rFonts w:hint="eastAsia" w:ascii="仿宋_GB2312" w:hAnsi="宋体" w:eastAsia="仿宋_GB2312"/>
          <w:highlight w:val="none"/>
        </w:rPr>
        <w:t>202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highlight w:val="none"/>
        </w:rPr>
        <w:t>年，安阳市城乡一体化示范区本级一般公共预算预计收入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74000万</w:t>
      </w:r>
      <w:r>
        <w:rPr>
          <w:rStyle w:val="8"/>
          <w:rFonts w:hint="eastAsia" w:ascii="仿宋_GB2312" w:hAnsi="宋体" w:eastAsia="仿宋_GB2312"/>
          <w:highlight w:val="none"/>
        </w:rPr>
        <w:t>元，加上转移性收入中上级补助收入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12393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元、调入资金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6000</w:t>
      </w:r>
      <w:r>
        <w:rPr>
          <w:rStyle w:val="8"/>
          <w:rFonts w:hint="eastAsia" w:ascii="仿宋_GB2312" w:hAnsi="宋体" w:eastAsia="仿宋_GB2312"/>
          <w:highlight w:val="none"/>
        </w:rPr>
        <w:t>万元，动用预算稳定调节基金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9209万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上年结转收入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3万元，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减去上解上级支出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45401万元，债务还本支出100万元，</w:t>
      </w:r>
      <w:r>
        <w:rPr>
          <w:rStyle w:val="8"/>
          <w:rFonts w:hint="eastAsia" w:ascii="仿宋_GB2312" w:hAnsi="宋体" w:eastAsia="仿宋_GB2312"/>
          <w:highlight w:val="none"/>
        </w:rPr>
        <w:t>202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highlight w:val="none"/>
        </w:rPr>
        <w:t>年安阳市城乡一体化示范区总财力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56104万</w:t>
      </w:r>
      <w:r>
        <w:rPr>
          <w:rStyle w:val="8"/>
          <w:rFonts w:hint="eastAsia" w:ascii="仿宋_GB2312" w:hAnsi="宋体" w:eastAsia="仿宋_GB2312"/>
          <w:highlight w:val="none"/>
        </w:rPr>
        <w:t>元，较202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</w:t>
      </w:r>
      <w:r>
        <w:rPr>
          <w:rStyle w:val="8"/>
          <w:rFonts w:hint="eastAsia" w:ascii="仿宋_GB2312" w:hAnsi="宋体" w:eastAsia="仿宋_GB2312"/>
          <w:highlight w:val="none"/>
        </w:rPr>
        <w:t>年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60556万</w:t>
      </w:r>
      <w:r>
        <w:rPr>
          <w:rStyle w:val="8"/>
          <w:rFonts w:hint="eastAsia" w:ascii="仿宋_GB2312" w:hAnsi="宋体" w:eastAsia="仿宋_GB2312"/>
          <w:highlight w:val="none"/>
        </w:rPr>
        <w:t>元，减少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4452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7.4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0"/>
        </w:rPr>
        <w:t>（二）一般公共预算支出安排</w:t>
      </w:r>
    </w:p>
    <w:p>
      <w:pPr>
        <w:ind w:firstLine="640" w:firstLineChars="200"/>
        <w:rPr>
          <w:rFonts w:ascii="仿宋_GB2312" w:hAnsi="仿宋_GB2312" w:eastAsia="仿宋_GB2312" w:cs="Arial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bCs/>
          <w:color w:val="000000"/>
          <w:kern w:val="0"/>
          <w:sz w:val="32"/>
          <w:szCs w:val="30"/>
        </w:rPr>
        <w:t>1、本级支出情况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color w:val="auto"/>
        </w:rPr>
      </w:pPr>
      <w:r>
        <w:rPr>
          <w:rStyle w:val="8"/>
          <w:rFonts w:hint="eastAsia" w:ascii="仿宋_GB2312" w:hAnsi="宋体" w:eastAsia="仿宋_GB2312"/>
          <w:color w:val="auto"/>
          <w:lang w:eastAsia="zh-CN"/>
        </w:rPr>
        <w:t>2022</w:t>
      </w:r>
      <w:r>
        <w:rPr>
          <w:rStyle w:val="8"/>
          <w:rFonts w:hint="eastAsia" w:ascii="仿宋_GB2312" w:hAnsi="宋体" w:eastAsia="仿宋_GB2312"/>
          <w:color w:val="auto"/>
        </w:rPr>
        <w:t>年财力安排支出</w:t>
      </w:r>
      <w:r>
        <w:rPr>
          <w:rStyle w:val="8"/>
          <w:rFonts w:hint="eastAsia" w:ascii="仿宋_GB2312" w:hAnsi="宋体" w:eastAsia="仿宋_GB2312"/>
          <w:color w:val="auto"/>
          <w:lang w:val="en-US"/>
        </w:rPr>
        <w:t>6.1</w:t>
      </w:r>
      <w:r>
        <w:rPr>
          <w:rStyle w:val="8"/>
          <w:rFonts w:hint="eastAsia" w:ascii="仿宋_GB2312" w:hAnsi="宋体" w:eastAsia="仿宋_GB2312"/>
          <w:color w:val="auto"/>
        </w:rPr>
        <w:t>亿元，其安排的主要支出项目是：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20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2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年财力安排支出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56104万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元，其安排的主要支出项目是：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（1）工资福利支出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6048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元，较上年减少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534万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元；（2）商品和服务支出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6450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元，较上年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eastAsia="zh-CN"/>
        </w:rPr>
        <w:t>增加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931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万元；（3）对个人和家庭补助支出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45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元，较上年减少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377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万元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；（4）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项目支出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42058万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元，较上年减少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4257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元；（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5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）根据《预算法》要求，预备费按预算支出的1%至3%设置，安排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1500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万元。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b/>
          <w:highlight w:val="none"/>
        </w:rPr>
      </w:pPr>
      <w:r>
        <w:rPr>
          <w:rStyle w:val="10"/>
          <w:rFonts w:hint="eastAsia" w:ascii="仿宋_GB2312" w:hAnsi="宋体" w:eastAsia="仿宋_GB2312"/>
          <w:b/>
          <w:highlight w:val="none"/>
        </w:rPr>
        <w:t>二、本级一般公共预算支出安排的主要支出科目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</w:rPr>
        <w:t>按照上述资金来源安排后的主要支出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56104万元</w:t>
      </w:r>
      <w:r>
        <w:rPr>
          <w:rStyle w:val="8"/>
          <w:rFonts w:hint="eastAsia" w:ascii="仿宋_GB2312" w:hAnsi="宋体" w:eastAsia="仿宋_GB2312"/>
          <w:highlight w:val="none"/>
        </w:rPr>
        <w:t>拟安排情况如下：</w:t>
      </w:r>
    </w:p>
    <w:p>
      <w:pPr>
        <w:pStyle w:val="9"/>
        <w:numPr>
          <w:ilvl w:val="0"/>
          <w:numId w:val="1"/>
        </w:numPr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  <w:lang w:val="en-US" w:eastAsia="zh-CN"/>
        </w:rPr>
      </w:pPr>
      <w:r>
        <w:rPr>
          <w:rStyle w:val="8"/>
          <w:rFonts w:hint="eastAsia" w:ascii="仿宋_GB2312" w:hAnsi="宋体" w:eastAsia="仿宋_GB2312"/>
          <w:highlight w:val="none"/>
        </w:rPr>
        <w:t>一般公共服务支出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50</w:t>
      </w:r>
      <w:r>
        <w:rPr>
          <w:rStyle w:val="8"/>
          <w:rFonts w:hint="eastAsia" w:ascii="仿宋_GB2312" w:hAnsi="宋体" w:eastAsia="仿宋_GB2312"/>
          <w:highlight w:val="none"/>
        </w:rPr>
        <w:t>万元，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15.3</w:t>
      </w:r>
      <w:r>
        <w:rPr>
          <w:rStyle w:val="8"/>
          <w:rFonts w:hint="eastAsia" w:ascii="仿宋_GB2312" w:hAnsi="宋体" w:eastAsia="仿宋_GB2312"/>
          <w:highlight w:val="none"/>
        </w:rPr>
        <w:t>%,主要为招商经费。</w:t>
      </w:r>
    </w:p>
    <w:p>
      <w:pPr>
        <w:pStyle w:val="9"/>
        <w:numPr>
          <w:ilvl w:val="0"/>
          <w:numId w:val="1"/>
        </w:numPr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eastAsia="zh-CN"/>
        </w:rPr>
        <w:t>科学技术支出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100万元，较2021年预算减少3.8%，为企业研发财政补助专项资金。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3、</w:t>
      </w:r>
      <w:r>
        <w:rPr>
          <w:rStyle w:val="8"/>
          <w:rFonts w:hint="eastAsia" w:ascii="仿宋_GB2312" w:hAnsi="宋体" w:eastAsia="仿宋_GB2312"/>
          <w:highlight w:val="none"/>
        </w:rPr>
        <w:t>社会保障和就业支出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2076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64.5</w:t>
      </w:r>
      <w:r>
        <w:rPr>
          <w:rStyle w:val="8"/>
          <w:rFonts w:hint="eastAsia" w:ascii="仿宋_GB2312" w:hAnsi="宋体" w:eastAsia="仿宋_GB2312"/>
          <w:highlight w:val="none"/>
        </w:rPr>
        <w:t>%，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主要为机关事业单位基本养老保险支出、对机关事业单位养老保险基金补助支出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eastAsia="zh-CN"/>
        </w:rPr>
        <w:t>、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及机关事业单位职业年金缴费支出。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</w:t>
      </w:r>
      <w:r>
        <w:rPr>
          <w:rStyle w:val="8"/>
          <w:rFonts w:hint="eastAsia" w:ascii="仿宋_GB2312" w:hAnsi="宋体" w:eastAsia="仿宋_GB2312"/>
          <w:highlight w:val="none"/>
        </w:rPr>
        <w:t>、卫生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健康</w:t>
      </w:r>
      <w:r>
        <w:rPr>
          <w:rStyle w:val="8"/>
          <w:rFonts w:hint="eastAsia" w:ascii="仿宋_GB2312" w:hAnsi="宋体" w:eastAsia="仿宋_GB2312"/>
          <w:highlight w:val="none"/>
        </w:rPr>
        <w:t>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458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31.2</w:t>
      </w:r>
      <w:r>
        <w:rPr>
          <w:rStyle w:val="8"/>
          <w:rFonts w:hint="eastAsia" w:ascii="仿宋_GB2312" w:hAnsi="宋体" w:eastAsia="仿宋_GB2312"/>
          <w:highlight w:val="none"/>
        </w:rPr>
        <w:t>%，全部为行政事业单位医疗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保障</w:t>
      </w:r>
      <w:r>
        <w:rPr>
          <w:rStyle w:val="8"/>
          <w:rFonts w:hint="eastAsia" w:ascii="仿宋_GB2312" w:hAnsi="宋体" w:eastAsia="仿宋_GB2312"/>
          <w:highlight w:val="none"/>
        </w:rPr>
        <w:t>经费。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5、</w:t>
      </w:r>
      <w:r>
        <w:rPr>
          <w:rStyle w:val="8"/>
          <w:rFonts w:hint="eastAsia" w:ascii="仿宋_GB2312" w:hAnsi="宋体" w:eastAsia="仿宋_GB2312"/>
          <w:highlight w:val="none"/>
        </w:rPr>
        <w:t>城乡社区支出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16757万</w:t>
      </w:r>
      <w:r>
        <w:rPr>
          <w:rStyle w:val="8"/>
          <w:rFonts w:hint="eastAsia" w:ascii="仿宋_GB2312" w:hAnsi="宋体" w:eastAsia="仿宋_GB2312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24.4</w:t>
      </w:r>
      <w:r>
        <w:rPr>
          <w:rStyle w:val="8"/>
          <w:rFonts w:hint="eastAsia" w:ascii="仿宋_GB2312" w:hAnsi="宋体" w:eastAsia="仿宋_GB2312"/>
          <w:highlight w:val="none"/>
        </w:rPr>
        <w:t>%，主要为区直及乡镇工资、正常运转及城乡基础设施建设经费。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</w:pPr>
      <w:r>
        <w:rPr>
          <w:rStyle w:val="8"/>
          <w:rFonts w:hint="eastAsia" w:ascii="仿宋_GB2312" w:hAnsi="宋体" w:eastAsia="仿宋_GB2312"/>
          <w:highlight w:val="none"/>
        </w:rPr>
        <w:t>6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、资源勘探信息等支出3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0000万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14.3</w:t>
      </w:r>
      <w:r>
        <w:rPr>
          <w:rStyle w:val="8"/>
          <w:rFonts w:hint="eastAsia" w:ascii="仿宋_GB2312" w:hAnsi="宋体" w:eastAsia="仿宋_GB2312"/>
          <w:highlight w:val="none"/>
        </w:rPr>
        <w:t>%，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主要为国有企业注资资金和产业发展基金。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/>
        </w:rPr>
        <w:t>7</w:t>
      </w:r>
      <w:r>
        <w:rPr>
          <w:rStyle w:val="8"/>
          <w:rFonts w:hint="eastAsia" w:ascii="仿宋_GB2312" w:hAnsi="宋体" w:eastAsia="仿宋_GB2312"/>
          <w:highlight w:val="none"/>
        </w:rPr>
        <w:t>、住房保障支出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2783</w:t>
      </w:r>
      <w:r>
        <w:rPr>
          <w:rStyle w:val="8"/>
          <w:rFonts w:hint="eastAsia" w:ascii="仿宋_GB2312" w:hAnsi="宋体" w:eastAsia="仿宋_GB2312"/>
          <w:highlight w:val="none"/>
        </w:rPr>
        <w:t>万元，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18.2</w:t>
      </w:r>
      <w:r>
        <w:rPr>
          <w:rStyle w:val="8"/>
          <w:rFonts w:hint="eastAsia" w:ascii="仿宋_GB2312" w:hAnsi="宋体" w:eastAsia="仿宋_GB2312"/>
          <w:highlight w:val="none"/>
        </w:rPr>
        <w:t>%，主要为区直及乡镇职工住房公积金支出和公共租赁住房支出。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8</w:t>
      </w:r>
      <w:r>
        <w:rPr>
          <w:rStyle w:val="8"/>
          <w:rFonts w:hint="eastAsia" w:ascii="仿宋_GB2312" w:hAnsi="宋体" w:eastAsia="仿宋_GB2312"/>
          <w:highlight w:val="none"/>
        </w:rPr>
        <w:t>、预备费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1500</w:t>
      </w:r>
      <w:r>
        <w:rPr>
          <w:rStyle w:val="8"/>
          <w:rFonts w:hint="eastAsia" w:ascii="仿宋_GB2312" w:hAnsi="宋体" w:eastAsia="仿宋_GB2312"/>
          <w:highlight w:val="none"/>
        </w:rPr>
        <w:t>万元，按预算法安排。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highlight w:val="none"/>
        </w:rPr>
      </w:pP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9</w:t>
      </w:r>
      <w:r>
        <w:rPr>
          <w:rStyle w:val="8"/>
          <w:rFonts w:hint="eastAsia" w:ascii="仿宋_GB2312" w:hAnsi="宋体" w:eastAsia="仿宋_GB2312"/>
          <w:highlight w:val="none"/>
        </w:rPr>
        <w:t>、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其他支出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2000</w:t>
      </w:r>
      <w:r>
        <w:rPr>
          <w:rStyle w:val="8"/>
          <w:rFonts w:hint="eastAsia" w:ascii="仿宋_GB2312" w:hAnsi="宋体" w:eastAsia="仿宋_GB2312"/>
          <w:highlight w:val="none"/>
        </w:rPr>
        <w:t>万元，为职工正常工资晋级晋档及增资因素等预留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及乡镇政府经费</w:t>
      </w:r>
      <w:r>
        <w:rPr>
          <w:rStyle w:val="8"/>
          <w:rFonts w:hint="eastAsia" w:ascii="仿宋_GB2312" w:hAnsi="宋体" w:eastAsia="仿宋_GB2312"/>
          <w:highlight w:val="none"/>
        </w:rPr>
        <w:t>年初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预留</w:t>
      </w:r>
      <w:r>
        <w:rPr>
          <w:rStyle w:val="8"/>
          <w:rFonts w:hint="eastAsia" w:ascii="仿宋_GB2312" w:hAnsi="宋体" w:eastAsia="仿宋_GB2312"/>
          <w:highlight w:val="none"/>
        </w:rPr>
        <w:t>。</w:t>
      </w:r>
    </w:p>
    <w:p>
      <w:pPr>
        <w:ind w:firstLine="600" w:firstLineChars="200"/>
        <w:rPr>
          <w:rStyle w:val="8"/>
          <w:rFonts w:hint="eastAsia" w:ascii="仿宋_GB2312" w:hAnsi="宋体" w:eastAsia="仿宋_GB2312"/>
        </w:rPr>
      </w:pPr>
      <w:r>
        <w:rPr>
          <w:rStyle w:val="8"/>
          <w:rFonts w:hint="eastAsia" w:ascii="仿宋_GB2312" w:hAnsi="宋体" w:eastAsia="仿宋_GB2312"/>
          <w:highlight w:val="none"/>
        </w:rPr>
        <w:t>1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0</w:t>
      </w:r>
      <w:r>
        <w:rPr>
          <w:rStyle w:val="8"/>
          <w:rFonts w:hint="eastAsia" w:ascii="仿宋_GB2312" w:hAnsi="宋体" w:eastAsia="仿宋_GB2312"/>
          <w:highlight w:val="none"/>
        </w:rPr>
        <w:t>、债务付息支出1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8</w:t>
      </w:r>
      <w:r>
        <w:rPr>
          <w:rStyle w:val="8"/>
          <w:rFonts w:hint="eastAsia" w:ascii="仿宋_GB2312" w:hAnsi="宋体" w:eastAsia="仿宋_GB2312"/>
          <w:highlight w:val="none"/>
        </w:rPr>
        <w:t>0万元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，较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2021年预算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增长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5.9</w:t>
      </w:r>
      <w:r>
        <w:rPr>
          <w:rStyle w:val="8"/>
          <w:rFonts w:hint="eastAsia" w:ascii="仿宋_GB2312" w:hAnsi="宋体" w:eastAsia="仿宋_GB2312"/>
          <w:highlight w:val="none"/>
        </w:rPr>
        <w:t>%。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二、政府性基金预算收支安排情况</w:t>
      </w:r>
    </w:p>
    <w:p>
      <w:pPr>
        <w:ind w:firstLine="640" w:firstLineChars="200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（一）政府性基金预算收入安排情况</w:t>
      </w:r>
    </w:p>
    <w:p>
      <w:pPr>
        <w:pStyle w:val="7"/>
        <w:suppressAutoHyphens/>
        <w:spacing w:line="560" w:lineRule="exact"/>
        <w:ind w:firstLine="624"/>
        <w:rPr>
          <w:rStyle w:val="8"/>
          <w:rFonts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根据政府性基金征收单位预计，20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2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年安阳市城乡一体化示范区政府性基金预算收入安排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150000万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</w:t>
      </w:r>
      <w:r>
        <w:rPr>
          <w:rStyle w:val="8"/>
          <w:rFonts w:hint="eastAsia" w:ascii="仿宋_GB2312" w:hAnsi="宋体" w:eastAsia="仿宋_GB2312"/>
          <w:highlight w:val="none"/>
        </w:rPr>
        <w:t>加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：上级补助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12万元，新增债券收入20000万元及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上</w:t>
      </w:r>
      <w:r>
        <w:rPr>
          <w:rStyle w:val="8"/>
          <w:rFonts w:hint="eastAsia" w:ascii="仿宋_GB2312" w:hAnsi="宋体" w:eastAsia="仿宋_GB2312"/>
          <w:highlight w:val="none"/>
        </w:rPr>
        <w:t>年结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转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16797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highlight w:val="none"/>
        </w:rPr>
        <w:t>元</w:t>
      </w:r>
      <w:r>
        <w:rPr>
          <w:rStyle w:val="8"/>
          <w:rFonts w:hint="eastAsia" w:ascii="仿宋_GB2312" w:hAnsi="宋体" w:eastAsia="仿宋_GB2312"/>
          <w:highlight w:val="none"/>
          <w:lang w:eastAsia="zh-CN"/>
        </w:rPr>
        <w:t>后</w:t>
      </w:r>
      <w:r>
        <w:rPr>
          <w:rStyle w:val="8"/>
          <w:rFonts w:hint="eastAsia" w:ascii="仿宋_GB2312" w:hAnsi="宋体" w:eastAsia="仿宋_GB2312"/>
          <w:highlight w:val="none"/>
        </w:rPr>
        <w:t>，政府性基金预算可供安排的收入共计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186809万</w:t>
      </w:r>
      <w:r>
        <w:rPr>
          <w:rStyle w:val="8"/>
          <w:rFonts w:hint="eastAsia" w:ascii="仿宋_GB2312" w:hAnsi="宋体" w:eastAsia="仿宋_GB2312"/>
          <w:highlight w:val="none"/>
        </w:rPr>
        <w:t>元，较20</w:t>
      </w:r>
      <w:r>
        <w:rPr>
          <w:rStyle w:val="8"/>
          <w:rFonts w:hint="eastAsia" w:ascii="仿宋_GB2312" w:hAnsi="宋体" w:eastAsia="仿宋_GB2312"/>
          <w:highlight w:val="none"/>
          <w:lang w:val="en-US"/>
        </w:rPr>
        <w:t>2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1</w:t>
      </w:r>
      <w:r>
        <w:rPr>
          <w:rStyle w:val="8"/>
          <w:rFonts w:hint="eastAsia" w:ascii="仿宋_GB2312" w:hAnsi="宋体" w:eastAsia="仿宋_GB2312"/>
          <w:highlight w:val="none"/>
        </w:rPr>
        <w:t>年政府性基金预算减少</w:t>
      </w:r>
      <w:r>
        <w:rPr>
          <w:rStyle w:val="8"/>
          <w:rFonts w:hint="eastAsia" w:ascii="仿宋_GB2312" w:hAnsi="宋体" w:eastAsia="仿宋_GB2312"/>
          <w:highlight w:val="none"/>
          <w:lang w:val="en-US" w:eastAsia="zh-CN"/>
        </w:rPr>
        <w:t>26007万</w:t>
      </w:r>
      <w:r>
        <w:rPr>
          <w:rStyle w:val="8"/>
          <w:rFonts w:hint="eastAsia" w:ascii="仿宋_GB2312" w:hAnsi="宋体" w:eastAsia="仿宋_GB2312"/>
          <w:highlight w:val="none"/>
        </w:rPr>
        <w:t>元。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当年收入主要项目情况安排如下：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1、国有土地有偿使用收入当年预计收入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138000万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元，加上上年结转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16375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万元，收入总计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154375万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元，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比上年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44900万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元；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2、国有土地收益基金收入当年预计收入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1200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元，比上年减少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800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万元；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3、农业土地开发资金收入当年预计收入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800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元，比上年减少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200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元；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4、城市基础设施配套费收入当年预计收入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1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0000万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元，加上上年结转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422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万元，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收入总计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10422万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元，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比上年减少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11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9万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元。</w:t>
      </w:r>
    </w:p>
    <w:p>
      <w:pPr>
        <w:pStyle w:val="9"/>
        <w:spacing w:line="560" w:lineRule="exact"/>
        <w:ind w:firstLine="624"/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5、民航发展基金支出12万元，为上级转移支付资金。</w:t>
      </w:r>
    </w:p>
    <w:p>
      <w:pPr>
        <w:pStyle w:val="9"/>
        <w:spacing w:line="560" w:lineRule="exact"/>
        <w:ind w:firstLine="624"/>
        <w:rPr>
          <w:rStyle w:val="8"/>
          <w:rFonts w:hint="default" w:ascii="仿宋_GB2312" w:hAnsi="宋体" w:eastAsia="仿宋_GB2312"/>
          <w:color w:val="auto"/>
          <w:highlight w:val="none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6、债务转贷收入20000万元，为棚改专项债券收入。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b/>
          <w:color w:val="auto"/>
        </w:rPr>
      </w:pPr>
      <w:r>
        <w:rPr>
          <w:rStyle w:val="10"/>
          <w:rFonts w:hint="eastAsia" w:ascii="仿宋_GB2312" w:hAnsi="宋体" w:eastAsia="仿宋_GB2312"/>
          <w:b/>
          <w:color w:val="auto"/>
        </w:rPr>
        <w:t>（二）政府性基金预算支出预算安排情况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仿宋_GB2312" w:hAnsi="宋体" w:eastAsia="仿宋_GB2312"/>
          <w:color w:val="auto"/>
          <w:highlight w:val="none"/>
        </w:rPr>
        <w:t>202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2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年政府性基金预算当年支出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186809万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元，当年支出主要安排情况如下：</w:t>
      </w:r>
    </w:p>
    <w:p>
      <w:pPr>
        <w:pStyle w:val="9"/>
        <w:numPr>
          <w:ilvl w:val="0"/>
          <w:numId w:val="0"/>
        </w:numPr>
        <w:spacing w:line="560" w:lineRule="exact"/>
        <w:ind w:firstLine="600" w:firstLineChars="200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1、</w:t>
      </w:r>
      <w:r>
        <w:rPr>
          <w:rStyle w:val="8"/>
          <w:rFonts w:hint="eastAsia" w:ascii="楷体" w:hAnsi="楷体" w:eastAsia="楷体" w:cs="楷体"/>
          <w:color w:val="auto"/>
          <w:highlight w:val="none"/>
        </w:rPr>
        <w:t>本级政府性基金预算支出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149542万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/>
        </w:rPr>
        <w:t>元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。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其中：1、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国有土地使用权出让收入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eastAsia="zh-CN"/>
        </w:rPr>
        <w:t>当年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安排的支出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130108万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eastAsia="zh-CN"/>
        </w:rPr>
        <w:t>，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2、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城市基础设施配套费收入安排的支出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10422万</w:t>
      </w:r>
      <w:r>
        <w:rPr>
          <w:rStyle w:val="8"/>
          <w:rFonts w:hint="eastAsia" w:ascii="仿宋_GB2312" w:hAnsi="宋体" w:eastAsia="仿宋_GB2312"/>
          <w:color w:val="auto"/>
          <w:highlight w:val="none"/>
        </w:rPr>
        <w:t>元，主要为绿化、市政工程款、征地拆迁补偿等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eastAsia="zh-CN"/>
        </w:rPr>
        <w:t>，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3、民航发展基金支出12万元。</w:t>
      </w:r>
    </w:p>
    <w:p>
      <w:pPr>
        <w:pStyle w:val="9"/>
        <w:numPr>
          <w:ilvl w:val="0"/>
          <w:numId w:val="0"/>
        </w:numPr>
        <w:spacing w:line="560" w:lineRule="exact"/>
        <w:ind w:firstLine="600" w:firstLineChars="200"/>
        <w:rPr>
          <w:rStyle w:val="8"/>
          <w:rFonts w:hint="eastAsia" w:ascii="仿宋_GB2312" w:hAnsi="宋体" w:eastAsia="仿宋_GB2312"/>
          <w:color w:val="auto"/>
          <w:highlight w:val="none"/>
        </w:rPr>
      </w:pP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2、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/>
        </w:rPr>
        <w:t>上解上级支出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12854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/>
        </w:rPr>
        <w:t>万元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。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为棚改政府购买服务上解资金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 w:eastAsia="zh-CN"/>
        </w:rPr>
        <w:t>及土地出让5%市级分成部分</w:t>
      </w:r>
      <w:r>
        <w:rPr>
          <w:rStyle w:val="8"/>
          <w:rFonts w:hint="eastAsia" w:ascii="仿宋_GB2312" w:hAnsi="宋体" w:eastAsia="仿宋_GB2312"/>
          <w:color w:val="auto"/>
          <w:highlight w:val="none"/>
          <w:lang w:val="en-US"/>
        </w:rPr>
        <w:t>。</w:t>
      </w:r>
    </w:p>
    <w:p>
      <w:pPr>
        <w:pStyle w:val="9"/>
        <w:numPr>
          <w:ilvl w:val="0"/>
          <w:numId w:val="0"/>
        </w:numPr>
        <w:spacing w:line="560" w:lineRule="exact"/>
        <w:ind w:firstLine="600" w:firstLineChars="200"/>
        <w:rPr>
          <w:rStyle w:val="8"/>
          <w:rFonts w:hint="eastAsia" w:ascii="楷体" w:hAnsi="楷体" w:eastAsia="楷体" w:cs="楷体"/>
          <w:color w:val="auto"/>
          <w:highlight w:val="none"/>
        </w:rPr>
      </w:pP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3、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/>
        </w:rPr>
        <w:t>调出资金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6000</w:t>
      </w:r>
      <w:r>
        <w:rPr>
          <w:rStyle w:val="8"/>
          <w:rFonts w:hint="eastAsia" w:ascii="楷体" w:hAnsi="楷体" w:eastAsia="楷体" w:cs="楷体"/>
          <w:color w:val="auto"/>
          <w:highlight w:val="none"/>
          <w:lang w:val="en-US"/>
        </w:rPr>
        <w:t>万元。</w:t>
      </w:r>
    </w:p>
    <w:p>
      <w:pPr>
        <w:pStyle w:val="9"/>
        <w:spacing w:line="560" w:lineRule="exact"/>
        <w:ind w:firstLine="600" w:firstLineChars="200"/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4、债务还本支出2400万元。</w:t>
      </w:r>
    </w:p>
    <w:p>
      <w:pPr>
        <w:ind w:firstLine="600" w:firstLineChars="2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楷体" w:hAnsi="楷体" w:eastAsia="楷体" w:cs="楷体"/>
          <w:color w:val="auto"/>
          <w:highlight w:val="none"/>
          <w:lang w:val="en-US" w:eastAsia="zh-CN"/>
        </w:rPr>
        <w:t>5、上年结转安排支出16013万元。</w:t>
      </w: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三、国有资本经营预算收支情况说明</w:t>
      </w:r>
    </w:p>
    <w:p>
      <w:pPr>
        <w:ind w:firstLine="640" w:firstLineChars="200"/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/>
        </w:rPr>
        <w:t>三、国有资本经营预算情况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示范区无国有资本经营预算收入预算、无国有资本经营预算支出。</w:t>
      </w:r>
    </w:p>
    <w:p>
      <w:p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四、社会保险基金预算收支情况说明</w:t>
      </w:r>
    </w:p>
    <w:p>
      <w:pPr>
        <w:ind w:firstLine="6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因示范区与安阳县套合，根据县、区工作部署要求，社会事务类支出由安阳县统筹安排，示范区无社会保险基金收入预算、无社会保险基金支出预算。</w:t>
      </w:r>
    </w:p>
    <w:p>
      <w:pPr>
        <w:ind w:firstLine="643" w:firstLineChars="200"/>
        <w:rPr>
          <w:rFonts w:ascii="仿宋_GB2312" w:hAns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kern w:val="0"/>
          <w:sz w:val="32"/>
          <w:szCs w:val="32"/>
        </w:rPr>
        <w:t>五、三公经费增减说明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经汇总全区部门预算，2022 年示范区一般公共预算安排“三 公”经费支出为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156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万元，同比增长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183.6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%，增长原因一是因为本年高庄镇申请购置公务车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5辆，共计65万元；二是因为上年9月示范区新成立5个以招商业务为主的局，上年无招待费本年需增加招待费。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其中：因公出 国（境）费预算 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0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万元，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 w:eastAsia="zh-CN"/>
        </w:rPr>
        <w:t>与去年持平；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公务接待费预算 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62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万元，较上年增长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87.9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%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，增长原因是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2020年9月，示范区新成立三产局、智能制造局、汽车局等五个局，以招商引资为主，上年预算时暂无以上单位，因此接待费用增加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；公务用车运行费预算 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29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 万元，较上年同期增长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31.8%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；公务用车购置费预算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65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 万元，比上年同期增长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65万元，为高庄镇5辆公务车辆购置费，已经相关部门审批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 xml:space="preserve">。 </w:t>
      </w:r>
    </w:p>
    <w:p>
      <w:pPr>
        <w:ind w:left="420" w:leftChars="200" w:firstLine="301" w:firstLineChars="1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六、转移支付情况说明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示范区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20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22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年共收到上级转移支付收入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12393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万元，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较上年预算增加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145.8%，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其中返还性收入619万元、一般性转移支付收入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11774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万元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，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主要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为2022年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留抵退税转移支付资金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。无对下级转移支付。</w:t>
      </w:r>
    </w:p>
    <w:p>
      <w:pPr>
        <w:ind w:firstLine="600" w:firstLineChars="200"/>
        <w:rPr>
          <w:rStyle w:val="8"/>
          <w:rFonts w:hint="default" w:ascii="仿宋_GB2312" w:hAnsi="宋体" w:eastAsia="仿宋_GB2312"/>
          <w:color w:val="auto"/>
          <w:kern w:val="0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上解上级支出</w:t>
      </w: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45501万元，其中：出口退税专项上解3万元，专项上解支出45498万元。上解支出较上年预算增加32.6%，增加原因一是由于市级上解环比增长10%造成；二是安阳县社会事务支出较上年增加1亿元。</w:t>
      </w:r>
    </w:p>
    <w:p>
      <w:pPr>
        <w:numPr>
          <w:ilvl w:val="0"/>
          <w:numId w:val="2"/>
        </w:num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  <w:highlight w:val="yellow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highlight w:val="yellow"/>
          <w:lang w:val="zh-CN"/>
        </w:rPr>
        <w:t>举借债务情况说明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FF0000"/>
          <w:kern w:val="0"/>
        </w:rPr>
        <w:t>截至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2021年12月底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，示范区政府债务系统内债务</w:t>
      </w: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余额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合计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133713.9</w:t>
      </w: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万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元</w:t>
      </w: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。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其中一般债</w:t>
      </w: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券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4470.83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万元，专项债</w:t>
      </w: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券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129243.07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。2021年，示范区新增加债券54636.17</w:t>
      </w:r>
      <w:bookmarkStart w:id="0" w:name="_GoBack"/>
      <w:bookmarkEnd w:id="0"/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万元。主要用于示范区示范区棚改建设、城区市政道路建设等项目。</w:t>
      </w:r>
    </w:p>
    <w:p>
      <w:pPr>
        <w:ind w:firstLine="600" w:firstLineChars="200"/>
        <w:rPr>
          <w:rStyle w:val="8"/>
          <w:rFonts w:hint="default" w:ascii="仿宋_GB2312" w:hAnsi="宋体" w:eastAsia="仿宋_GB2312"/>
          <w:color w:val="FF0000"/>
          <w:kern w:val="0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2021年示范区收到新增专项债券32900万元，用于示范区棚户区改造安置房项目（二期）项目</w:t>
      </w:r>
      <w:r>
        <w:rPr>
          <w:rStyle w:val="8"/>
          <w:rFonts w:hint="eastAsia" w:ascii="仿宋_GB2312" w:hAnsi="宋体" w:eastAsia="仿宋_GB2312"/>
          <w:color w:val="FF0000"/>
          <w:kern w:val="0"/>
          <w:highlight w:val="none"/>
          <w:lang w:val="en-US" w:eastAsia="zh-CN"/>
        </w:rPr>
        <w:t>。</w:t>
      </w:r>
      <w:r>
        <w:rPr>
          <w:rStyle w:val="8"/>
          <w:rFonts w:hint="eastAsia" w:ascii="仿宋_GB2312" w:hAnsi="宋体" w:eastAsia="仿宋_GB2312"/>
          <w:color w:val="FF0000"/>
          <w:kern w:val="0"/>
          <w:highlight w:val="none"/>
          <w:lang w:val="en-US" w:eastAsia="zh-CN"/>
        </w:rPr>
        <w:br w:type="textWrapping"/>
      </w:r>
      <w:r>
        <w:rPr>
          <w:rStyle w:val="8"/>
          <w:rFonts w:hint="eastAsia" w:ascii="仿宋_GB2312" w:hAnsi="宋体" w:eastAsia="仿宋_GB2312"/>
          <w:color w:val="FF0000"/>
          <w:kern w:val="0"/>
          <w:highlight w:val="none"/>
          <w:lang w:val="en-US" w:eastAsia="zh-CN"/>
        </w:rPr>
        <w:t xml:space="preserve">    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2021年还本付息共计26972.02万元，本金23366.17万元，其中一般本金1799万元，专项本金21567.17万元。利息合计3646.21万元，其中一般利息184.46万元，专项利息3461.75万元。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FF0000"/>
          <w:kern w:val="0"/>
        </w:rPr>
      </w:pP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2022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年示范区当年预计还本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23273.4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万元，其中一般债券本金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1186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万元，专项债券本金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22087.4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万元，预计支付利息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3860.7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万元，其中一般债券利息170万元，专项债券利息</w:t>
      </w:r>
      <w:r>
        <w:rPr>
          <w:rStyle w:val="8"/>
          <w:rFonts w:hint="eastAsia" w:ascii="仿宋_GB2312" w:hAnsi="宋体" w:eastAsia="仿宋_GB2312"/>
          <w:color w:val="FF0000"/>
          <w:kern w:val="0"/>
          <w:lang w:val="en-US" w:eastAsia="zh-CN"/>
        </w:rPr>
        <w:t>3690.7</w:t>
      </w:r>
      <w:r>
        <w:rPr>
          <w:rStyle w:val="8"/>
          <w:rFonts w:hint="eastAsia" w:ascii="仿宋_GB2312" w:hAnsi="宋体" w:eastAsia="仿宋_GB2312"/>
          <w:color w:val="FF0000"/>
          <w:kern w:val="0"/>
        </w:rPr>
        <w:t>万元。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</w:pPr>
      <w:r>
        <w:rPr>
          <w:rStyle w:val="8"/>
          <w:rFonts w:hint="eastAsia" w:ascii="仿宋_GB2312" w:hAnsi="宋体" w:eastAsia="仿宋_GB2312"/>
          <w:color w:val="FF0000"/>
          <w:kern w:val="0"/>
          <w:lang w:eastAsia="zh-CN"/>
        </w:rPr>
        <w:t>由于示范区财政属一级财政，债务数据与市本级统一核算，示范区并不单独核算债务率，尚未有风险提示出现，但是整体来说示范区专项债务金额偏高。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八、重大政策和重点项目绩效目标情况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2022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年，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示范区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将进一步规范和加强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预算绩效管理体系建设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  <w:r>
        <w:rPr>
          <w:rStyle w:val="8"/>
          <w:rFonts w:hint="eastAsia" w:ascii="仿宋_GB2312" w:hAnsi="宋体" w:eastAsia="仿宋_GB2312"/>
          <w:color w:val="auto"/>
          <w:kern w:val="0"/>
          <w:lang w:eastAsia="zh-CN"/>
        </w:rPr>
        <w:t>加强新增重大政策和项目预算审核与事前绩效评估，将绩效评估结果与预算安排和政策相挂钩，稳步推进重大政策和重点喜爱那个木的绩效评价，并对重大政策和项目实行跟踪问效。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九、财政扶贫资金情况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示范区与安阳县套合后，社会事务类支出统一由安阳县安排支出，示范区未安排扶贫资金支出，无相关资金分配情况、无相关政策办法。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ATC-*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*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2EBE8"/>
    <w:multiLevelType w:val="singleLevel"/>
    <w:tmpl w:val="8D32EB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353A21"/>
    <w:multiLevelType w:val="singleLevel"/>
    <w:tmpl w:val="DD353A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Y2ODdhOGQyMTIyZTZhMmRlNmM0N2YzMTE3YjkifQ=="/>
  </w:docVars>
  <w:rsids>
    <w:rsidRoot w:val="00F9154E"/>
    <w:rsid w:val="00077FD1"/>
    <w:rsid w:val="001126F3"/>
    <w:rsid w:val="00163999"/>
    <w:rsid w:val="00196CE5"/>
    <w:rsid w:val="004F7571"/>
    <w:rsid w:val="00687455"/>
    <w:rsid w:val="007445EA"/>
    <w:rsid w:val="008941F5"/>
    <w:rsid w:val="00913475"/>
    <w:rsid w:val="00996E8B"/>
    <w:rsid w:val="00A47455"/>
    <w:rsid w:val="00A84780"/>
    <w:rsid w:val="00B313C1"/>
    <w:rsid w:val="00B9724C"/>
    <w:rsid w:val="00C077D8"/>
    <w:rsid w:val="00C92D51"/>
    <w:rsid w:val="00CD2C1F"/>
    <w:rsid w:val="00D16EC3"/>
    <w:rsid w:val="00D5550E"/>
    <w:rsid w:val="00E6684B"/>
    <w:rsid w:val="00EA2671"/>
    <w:rsid w:val="00F034A6"/>
    <w:rsid w:val="00F462A5"/>
    <w:rsid w:val="00F9154E"/>
    <w:rsid w:val="013856D2"/>
    <w:rsid w:val="01665FD5"/>
    <w:rsid w:val="01BD3BE7"/>
    <w:rsid w:val="022E65C7"/>
    <w:rsid w:val="02617394"/>
    <w:rsid w:val="02651829"/>
    <w:rsid w:val="029100AC"/>
    <w:rsid w:val="03065DF7"/>
    <w:rsid w:val="03865AD1"/>
    <w:rsid w:val="03A64B72"/>
    <w:rsid w:val="03A8456A"/>
    <w:rsid w:val="04963FE2"/>
    <w:rsid w:val="04A103B5"/>
    <w:rsid w:val="051F6DF8"/>
    <w:rsid w:val="05604418"/>
    <w:rsid w:val="060D5369"/>
    <w:rsid w:val="063126CC"/>
    <w:rsid w:val="066F4D62"/>
    <w:rsid w:val="06721E72"/>
    <w:rsid w:val="067676F0"/>
    <w:rsid w:val="06853F8B"/>
    <w:rsid w:val="06AA2BDC"/>
    <w:rsid w:val="07044739"/>
    <w:rsid w:val="073F235A"/>
    <w:rsid w:val="08BF45F9"/>
    <w:rsid w:val="094351CE"/>
    <w:rsid w:val="0965007A"/>
    <w:rsid w:val="0A6C54F2"/>
    <w:rsid w:val="0A7B1D46"/>
    <w:rsid w:val="0ACC7298"/>
    <w:rsid w:val="0AE2761A"/>
    <w:rsid w:val="0B241DFF"/>
    <w:rsid w:val="0B4D26AD"/>
    <w:rsid w:val="0BA07B7D"/>
    <w:rsid w:val="0C062D6E"/>
    <w:rsid w:val="0C2E5F99"/>
    <w:rsid w:val="0C7951A5"/>
    <w:rsid w:val="0D413904"/>
    <w:rsid w:val="0E113F5B"/>
    <w:rsid w:val="0E2F7FAB"/>
    <w:rsid w:val="0E3B169C"/>
    <w:rsid w:val="0E9575AE"/>
    <w:rsid w:val="0F4720B5"/>
    <w:rsid w:val="10261299"/>
    <w:rsid w:val="105C77DA"/>
    <w:rsid w:val="10945745"/>
    <w:rsid w:val="10CA6B33"/>
    <w:rsid w:val="10D40628"/>
    <w:rsid w:val="10ED792B"/>
    <w:rsid w:val="113972FC"/>
    <w:rsid w:val="11EB12AF"/>
    <w:rsid w:val="12422712"/>
    <w:rsid w:val="130D3E26"/>
    <w:rsid w:val="13154EE1"/>
    <w:rsid w:val="13BB136C"/>
    <w:rsid w:val="13DD1F49"/>
    <w:rsid w:val="13F051C8"/>
    <w:rsid w:val="13F404D0"/>
    <w:rsid w:val="14005E71"/>
    <w:rsid w:val="14867E1A"/>
    <w:rsid w:val="148A2F98"/>
    <w:rsid w:val="159C103A"/>
    <w:rsid w:val="15B069A5"/>
    <w:rsid w:val="15BE0705"/>
    <w:rsid w:val="15C05DF0"/>
    <w:rsid w:val="160858B5"/>
    <w:rsid w:val="16E14FFF"/>
    <w:rsid w:val="180E57C4"/>
    <w:rsid w:val="188C2907"/>
    <w:rsid w:val="18A25B9E"/>
    <w:rsid w:val="18D319ED"/>
    <w:rsid w:val="19390B1E"/>
    <w:rsid w:val="19707764"/>
    <w:rsid w:val="1976414D"/>
    <w:rsid w:val="198E7CF5"/>
    <w:rsid w:val="19AF10B6"/>
    <w:rsid w:val="19CD4630"/>
    <w:rsid w:val="1ACC6D5F"/>
    <w:rsid w:val="1B4204F9"/>
    <w:rsid w:val="1B816AE6"/>
    <w:rsid w:val="1BA76CB7"/>
    <w:rsid w:val="1BB9047E"/>
    <w:rsid w:val="1C046345"/>
    <w:rsid w:val="1C3A0E35"/>
    <w:rsid w:val="1C7A4A90"/>
    <w:rsid w:val="1C8C3D9A"/>
    <w:rsid w:val="1C91337E"/>
    <w:rsid w:val="1CC82D09"/>
    <w:rsid w:val="1DCD5A0E"/>
    <w:rsid w:val="1DE966D6"/>
    <w:rsid w:val="1E1F39CF"/>
    <w:rsid w:val="1E851D54"/>
    <w:rsid w:val="1EEC541C"/>
    <w:rsid w:val="1F8D1325"/>
    <w:rsid w:val="1FE435DB"/>
    <w:rsid w:val="203D2F3D"/>
    <w:rsid w:val="2295013E"/>
    <w:rsid w:val="23252A4D"/>
    <w:rsid w:val="2392703B"/>
    <w:rsid w:val="239B47BD"/>
    <w:rsid w:val="239E1140"/>
    <w:rsid w:val="23D132EB"/>
    <w:rsid w:val="23F45EBB"/>
    <w:rsid w:val="24705F7A"/>
    <w:rsid w:val="24711CB3"/>
    <w:rsid w:val="24893869"/>
    <w:rsid w:val="24EB6070"/>
    <w:rsid w:val="24F826D0"/>
    <w:rsid w:val="250519CE"/>
    <w:rsid w:val="25271819"/>
    <w:rsid w:val="25F12247"/>
    <w:rsid w:val="27F53DA2"/>
    <w:rsid w:val="288E5EFC"/>
    <w:rsid w:val="28EC50EF"/>
    <w:rsid w:val="29026B9E"/>
    <w:rsid w:val="29B52E06"/>
    <w:rsid w:val="2A0F21D3"/>
    <w:rsid w:val="2A317086"/>
    <w:rsid w:val="2DA50DF7"/>
    <w:rsid w:val="2DC03FCC"/>
    <w:rsid w:val="2E4414A8"/>
    <w:rsid w:val="2EAD63A4"/>
    <w:rsid w:val="2F0B6DEF"/>
    <w:rsid w:val="30026A27"/>
    <w:rsid w:val="307D65D3"/>
    <w:rsid w:val="3098430B"/>
    <w:rsid w:val="30C950CD"/>
    <w:rsid w:val="30E86983"/>
    <w:rsid w:val="313F08AE"/>
    <w:rsid w:val="31D72B98"/>
    <w:rsid w:val="320E67F7"/>
    <w:rsid w:val="32247B75"/>
    <w:rsid w:val="32484795"/>
    <w:rsid w:val="32511A28"/>
    <w:rsid w:val="326874BB"/>
    <w:rsid w:val="32875DCF"/>
    <w:rsid w:val="32A118D7"/>
    <w:rsid w:val="32E619F9"/>
    <w:rsid w:val="334012FB"/>
    <w:rsid w:val="33793016"/>
    <w:rsid w:val="33886625"/>
    <w:rsid w:val="33B37B59"/>
    <w:rsid w:val="33FB10CA"/>
    <w:rsid w:val="35031363"/>
    <w:rsid w:val="36AC356B"/>
    <w:rsid w:val="37EB7D22"/>
    <w:rsid w:val="390E3BAC"/>
    <w:rsid w:val="39264686"/>
    <w:rsid w:val="39E40FF0"/>
    <w:rsid w:val="39E50F81"/>
    <w:rsid w:val="3A102647"/>
    <w:rsid w:val="3A6F78BC"/>
    <w:rsid w:val="3A8F51E6"/>
    <w:rsid w:val="3B280D7E"/>
    <w:rsid w:val="3B311DCD"/>
    <w:rsid w:val="3BC906F4"/>
    <w:rsid w:val="3CBD4E1D"/>
    <w:rsid w:val="3CC5751D"/>
    <w:rsid w:val="3CFD33DE"/>
    <w:rsid w:val="3E02537A"/>
    <w:rsid w:val="3E4C1FA7"/>
    <w:rsid w:val="3EB2553E"/>
    <w:rsid w:val="3FD4795D"/>
    <w:rsid w:val="3FEA4E39"/>
    <w:rsid w:val="400E5FA4"/>
    <w:rsid w:val="406118BE"/>
    <w:rsid w:val="41691D7C"/>
    <w:rsid w:val="41DD320F"/>
    <w:rsid w:val="420D79B8"/>
    <w:rsid w:val="4271122B"/>
    <w:rsid w:val="429A18C7"/>
    <w:rsid w:val="42C43EE2"/>
    <w:rsid w:val="44550E45"/>
    <w:rsid w:val="44F54699"/>
    <w:rsid w:val="450904E9"/>
    <w:rsid w:val="45202E65"/>
    <w:rsid w:val="458453A9"/>
    <w:rsid w:val="45BE41B8"/>
    <w:rsid w:val="45E14906"/>
    <w:rsid w:val="45FF3ED8"/>
    <w:rsid w:val="4605176A"/>
    <w:rsid w:val="465F0B90"/>
    <w:rsid w:val="46B46370"/>
    <w:rsid w:val="46FB7F75"/>
    <w:rsid w:val="47262CAE"/>
    <w:rsid w:val="47707BB5"/>
    <w:rsid w:val="477E663B"/>
    <w:rsid w:val="47CC02A6"/>
    <w:rsid w:val="4807785C"/>
    <w:rsid w:val="48132FD9"/>
    <w:rsid w:val="481F02B2"/>
    <w:rsid w:val="488F069E"/>
    <w:rsid w:val="48A548DD"/>
    <w:rsid w:val="48E77972"/>
    <w:rsid w:val="49383E20"/>
    <w:rsid w:val="496037D1"/>
    <w:rsid w:val="4A2D016F"/>
    <w:rsid w:val="4AD42682"/>
    <w:rsid w:val="4B121DD5"/>
    <w:rsid w:val="4B1770FA"/>
    <w:rsid w:val="4C19296A"/>
    <w:rsid w:val="4C203539"/>
    <w:rsid w:val="4CAA3EB8"/>
    <w:rsid w:val="4CD4029A"/>
    <w:rsid w:val="4CF82C59"/>
    <w:rsid w:val="4CFD14B8"/>
    <w:rsid w:val="4D76288F"/>
    <w:rsid w:val="4D7714E7"/>
    <w:rsid w:val="4E0B025E"/>
    <w:rsid w:val="4E4C644D"/>
    <w:rsid w:val="4ED10602"/>
    <w:rsid w:val="4F936CC6"/>
    <w:rsid w:val="4F965DEA"/>
    <w:rsid w:val="50242184"/>
    <w:rsid w:val="50C322D7"/>
    <w:rsid w:val="5160732D"/>
    <w:rsid w:val="51645BAA"/>
    <w:rsid w:val="51CB7B37"/>
    <w:rsid w:val="5217707A"/>
    <w:rsid w:val="52464E16"/>
    <w:rsid w:val="525A33C9"/>
    <w:rsid w:val="52736927"/>
    <w:rsid w:val="531E113C"/>
    <w:rsid w:val="53325956"/>
    <w:rsid w:val="538E53BB"/>
    <w:rsid w:val="53C07870"/>
    <w:rsid w:val="54B83344"/>
    <w:rsid w:val="54E254DB"/>
    <w:rsid w:val="550B7F83"/>
    <w:rsid w:val="55230659"/>
    <w:rsid w:val="55A430C8"/>
    <w:rsid w:val="55B02A40"/>
    <w:rsid w:val="55E9477A"/>
    <w:rsid w:val="56344CFC"/>
    <w:rsid w:val="568B212F"/>
    <w:rsid w:val="56940095"/>
    <w:rsid w:val="57897E17"/>
    <w:rsid w:val="57A47409"/>
    <w:rsid w:val="57E4760E"/>
    <w:rsid w:val="57E74A77"/>
    <w:rsid w:val="588C1000"/>
    <w:rsid w:val="58D5491B"/>
    <w:rsid w:val="58F13AFA"/>
    <w:rsid w:val="597E1BA9"/>
    <w:rsid w:val="59AE5D12"/>
    <w:rsid w:val="5A99701F"/>
    <w:rsid w:val="5AC86C23"/>
    <w:rsid w:val="5B5E6C62"/>
    <w:rsid w:val="5B9D20F4"/>
    <w:rsid w:val="5C00114B"/>
    <w:rsid w:val="5C1C4906"/>
    <w:rsid w:val="5C755140"/>
    <w:rsid w:val="5CA45278"/>
    <w:rsid w:val="5CCF2ECE"/>
    <w:rsid w:val="5CE81C2C"/>
    <w:rsid w:val="5D3B376D"/>
    <w:rsid w:val="5D790CCD"/>
    <w:rsid w:val="5DAB7F7C"/>
    <w:rsid w:val="5E1C2D89"/>
    <w:rsid w:val="5E585FDE"/>
    <w:rsid w:val="5EE77470"/>
    <w:rsid w:val="5F8975F9"/>
    <w:rsid w:val="608018AB"/>
    <w:rsid w:val="614D1CA0"/>
    <w:rsid w:val="6183773E"/>
    <w:rsid w:val="61B11274"/>
    <w:rsid w:val="6227336C"/>
    <w:rsid w:val="62511018"/>
    <w:rsid w:val="62832195"/>
    <w:rsid w:val="63067A86"/>
    <w:rsid w:val="63946027"/>
    <w:rsid w:val="63952BE6"/>
    <w:rsid w:val="63C079AF"/>
    <w:rsid w:val="63F156AD"/>
    <w:rsid w:val="63F63E26"/>
    <w:rsid w:val="63F8739A"/>
    <w:rsid w:val="64137708"/>
    <w:rsid w:val="647934D4"/>
    <w:rsid w:val="648E35C7"/>
    <w:rsid w:val="649C0E92"/>
    <w:rsid w:val="64A269C6"/>
    <w:rsid w:val="64CB5034"/>
    <w:rsid w:val="662E2090"/>
    <w:rsid w:val="66707A3D"/>
    <w:rsid w:val="66720B9A"/>
    <w:rsid w:val="66DB121C"/>
    <w:rsid w:val="66F177F3"/>
    <w:rsid w:val="67510BAD"/>
    <w:rsid w:val="6754005E"/>
    <w:rsid w:val="677A1713"/>
    <w:rsid w:val="67933E88"/>
    <w:rsid w:val="679425C0"/>
    <w:rsid w:val="67A55472"/>
    <w:rsid w:val="684D51F5"/>
    <w:rsid w:val="68825FE4"/>
    <w:rsid w:val="69DD2B8A"/>
    <w:rsid w:val="6B5E39C4"/>
    <w:rsid w:val="6B7E10B5"/>
    <w:rsid w:val="6B9E19D5"/>
    <w:rsid w:val="6BAA3D81"/>
    <w:rsid w:val="6CBA76F2"/>
    <w:rsid w:val="6D535347"/>
    <w:rsid w:val="6E0140D0"/>
    <w:rsid w:val="6E090E20"/>
    <w:rsid w:val="6E0E5BF8"/>
    <w:rsid w:val="6E550993"/>
    <w:rsid w:val="6F491BDD"/>
    <w:rsid w:val="6F8820FA"/>
    <w:rsid w:val="6FBE29BF"/>
    <w:rsid w:val="6FE76C42"/>
    <w:rsid w:val="70862D37"/>
    <w:rsid w:val="70A12CA0"/>
    <w:rsid w:val="70F52EE5"/>
    <w:rsid w:val="71B97133"/>
    <w:rsid w:val="723335C2"/>
    <w:rsid w:val="727712CD"/>
    <w:rsid w:val="72831E89"/>
    <w:rsid w:val="739A536B"/>
    <w:rsid w:val="73BC0B5D"/>
    <w:rsid w:val="74483763"/>
    <w:rsid w:val="74F220B6"/>
    <w:rsid w:val="7536102B"/>
    <w:rsid w:val="7559541E"/>
    <w:rsid w:val="763B6396"/>
    <w:rsid w:val="763F4B66"/>
    <w:rsid w:val="76A07E35"/>
    <w:rsid w:val="76EC5A58"/>
    <w:rsid w:val="79517B29"/>
    <w:rsid w:val="796A0AAE"/>
    <w:rsid w:val="7980347A"/>
    <w:rsid w:val="79B461E8"/>
    <w:rsid w:val="7ABB25EB"/>
    <w:rsid w:val="7B0F2496"/>
    <w:rsid w:val="7B704C76"/>
    <w:rsid w:val="7B71585E"/>
    <w:rsid w:val="7BA66178"/>
    <w:rsid w:val="7C20581B"/>
    <w:rsid w:val="7C620209"/>
    <w:rsid w:val="7C7D40BA"/>
    <w:rsid w:val="7CB13501"/>
    <w:rsid w:val="7CC37D1B"/>
    <w:rsid w:val="7E211C90"/>
    <w:rsid w:val="7E321CEC"/>
    <w:rsid w:val="7F3A3DD9"/>
    <w:rsid w:val="7F576C5C"/>
    <w:rsid w:val="7F8157AF"/>
    <w:rsid w:val="7FD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  <w:style w:type="character" w:customStyle="1" w:styleId="8">
    <w:name w:val="样式"/>
    <w:qFormat/>
    <w:uiPriority w:val="0"/>
    <w:rPr>
      <w:rFonts w:ascii="ATC-*11" w:eastAsia="ATC-*11" w:cs="ATC-*11"/>
      <w:color w:val="000000"/>
      <w:spacing w:val="0"/>
      <w:w w:val="100"/>
      <w:sz w:val="30"/>
      <w:szCs w:val="30"/>
      <w:vertAlign w:val="baseline"/>
    </w:rPr>
  </w:style>
  <w:style w:type="paragraph" w:customStyle="1" w:styleId="9">
    <w:name w:val="[基本段落]"/>
    <w:basedOn w:val="7"/>
    <w:qFormat/>
    <w:uiPriority w:val="0"/>
  </w:style>
  <w:style w:type="character" w:customStyle="1" w:styleId="10">
    <w:name w:val="黑体"/>
    <w:qFormat/>
    <w:uiPriority w:val="0"/>
    <w:rPr>
      <w:rFonts w:ascii="ATC-*33" w:eastAsia="ATC-*33" w:cs="ATC-*33"/>
      <w:color w:val="000000"/>
      <w:spacing w:val="0"/>
      <w:w w:val="100"/>
      <w:sz w:val="30"/>
      <w:szCs w:val="3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39194-4E9E-482A-BA5B-E517B6090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13</Pages>
  <Words>5174</Words>
  <Characters>5918</Characters>
  <Lines>39</Lines>
  <Paragraphs>11</Paragraphs>
  <TotalTime>2</TotalTime>
  <ScaleCrop>false</ScaleCrop>
  <LinksUpToDate>false</LinksUpToDate>
  <CharactersWithSpaces>6000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Vieky</cp:lastModifiedBy>
  <cp:lastPrinted>2019-01-28T07:37:00Z</cp:lastPrinted>
  <dcterms:modified xsi:type="dcterms:W3CDTF">2022-05-13T08:50:38Z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5C283462935E4B528C1B27D2D1E3D04D</vt:lpwstr>
  </property>
</Properties>
</file>