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84" w:lineRule="exact"/>
        <w:jc w:val="center"/>
        <w:rPr>
          <w:rFonts w:ascii="方正小标宋简体" w:eastAsia="方正小标宋简体"/>
          <w:kern w:val="0"/>
          <w:sz w:val="44"/>
          <w:szCs w:val="44"/>
        </w:rPr>
      </w:pPr>
    </w:p>
    <w:p>
      <w:pPr>
        <w:pStyle w:val="6"/>
        <w:ind w:left="0" w:leftChars="0" w:firstLine="0" w:firstLineChars="0"/>
      </w:pPr>
    </w:p>
    <w:p>
      <w:pPr>
        <w:pStyle w:val="6"/>
      </w:pPr>
    </w:p>
    <w:p>
      <w:pPr>
        <w:spacing w:line="560" w:lineRule="atLeast"/>
        <w:jc w:val="center"/>
        <w:rPr>
          <w:rFonts w:cs="宋体"/>
          <w:b/>
          <w:bCs/>
          <w:sz w:val="52"/>
          <w:szCs w:val="52"/>
        </w:rPr>
      </w:pPr>
      <w:r>
        <w:rPr>
          <w:rFonts w:hint="eastAsia" w:cs="宋体"/>
          <w:b/>
          <w:bCs/>
          <w:sz w:val="52"/>
          <w:szCs w:val="52"/>
          <w:lang w:val="en-US" w:eastAsia="zh-CN"/>
        </w:rPr>
        <w:t>安阳县</w:t>
      </w:r>
      <w:r>
        <w:rPr>
          <w:rFonts w:hint="eastAsia" w:cs="宋体"/>
          <w:b/>
          <w:bCs/>
          <w:sz w:val="52"/>
          <w:szCs w:val="52"/>
        </w:rPr>
        <w:t>财政支出</w:t>
      </w:r>
      <w:r>
        <w:rPr>
          <w:rFonts w:hint="eastAsia" w:cs="宋体"/>
          <w:b/>
          <w:bCs/>
          <w:sz w:val="52"/>
          <w:szCs w:val="52"/>
          <w:lang w:val="en-US" w:eastAsia="zh-CN"/>
        </w:rPr>
        <w:t>重点</w:t>
      </w:r>
      <w:r>
        <w:rPr>
          <w:rFonts w:hint="eastAsia" w:cs="宋体"/>
          <w:b/>
          <w:bCs/>
          <w:sz w:val="52"/>
          <w:szCs w:val="52"/>
        </w:rPr>
        <w:t>项目</w:t>
      </w:r>
    </w:p>
    <w:p>
      <w:pPr>
        <w:spacing w:line="560" w:lineRule="atLeast"/>
        <w:jc w:val="center"/>
        <w:rPr>
          <w:rFonts w:cs="宋体"/>
          <w:b/>
          <w:bCs/>
          <w:sz w:val="52"/>
          <w:szCs w:val="52"/>
        </w:rPr>
      </w:pPr>
      <w:r>
        <w:rPr>
          <w:rFonts w:hint="eastAsia" w:cs="宋体"/>
          <w:b/>
          <w:bCs/>
          <w:sz w:val="52"/>
          <w:szCs w:val="52"/>
        </w:rPr>
        <w:t>绩效评价报告</w:t>
      </w:r>
    </w:p>
    <w:p>
      <w:pPr>
        <w:spacing w:line="560" w:lineRule="atLeast"/>
        <w:jc w:val="center"/>
        <w:rPr>
          <w:rFonts w:hint="eastAsia" w:cs="宋体"/>
          <w:b/>
          <w:bCs/>
          <w:sz w:val="32"/>
          <w:szCs w:val="32"/>
          <w:lang w:val="en-US" w:eastAsia="zh-CN"/>
        </w:rPr>
      </w:pPr>
      <w:r>
        <w:rPr>
          <w:rFonts w:hint="eastAsia" w:cs="宋体"/>
          <w:b/>
          <w:bCs/>
          <w:sz w:val="32"/>
          <w:szCs w:val="32"/>
          <w:lang w:val="en-US" w:eastAsia="zh-CN"/>
        </w:rPr>
        <w:t>高审咨字【2022】第1002号</w:t>
      </w:r>
    </w:p>
    <w:p>
      <w:pPr>
        <w:pStyle w:val="2"/>
        <w:jc w:val="center"/>
        <w:rPr>
          <w:lang w:val="zh-CN"/>
        </w:rPr>
      </w:pPr>
    </w:p>
    <w:p>
      <w:pPr>
        <w:pStyle w:val="2"/>
        <w:jc w:val="center"/>
        <w:rPr>
          <w:lang w:val="zh-CN"/>
        </w:rPr>
      </w:pPr>
      <w:r>
        <w:rPr>
          <w:lang w:val="zh-CN"/>
        </w:rPr>
        <w:pict>
          <v:shape id="_x0000_i1025" o:spt="75" alt="1d235712e161e6b99850ac02808ec95" type="#_x0000_t75" style="height:157.45pt;width:155pt;" filled="f" o:preferrelative="t" stroked="f" coordsize="21600,21600">
            <v:path/>
            <v:fill on="f" focussize="0,0"/>
            <v:stroke on="f"/>
            <v:imagedata r:id="rId16" o:title="1d235712e161e6b99850ac02808ec95"/>
            <o:lock v:ext="edit" aspectratio="t"/>
            <w10:wrap type="none"/>
            <w10:anchorlock/>
          </v:shape>
        </w:pict>
      </w:r>
    </w:p>
    <w:p>
      <w:pPr>
        <w:pStyle w:val="2"/>
        <w:ind w:left="0" w:leftChars="0" w:firstLine="0" w:firstLineChars="0"/>
        <w:rPr>
          <w:rFonts w:eastAsia="楷体_GB2312"/>
          <w:b/>
          <w:bCs/>
          <w:kern w:val="0"/>
          <w:sz w:val="32"/>
          <w:szCs w:val="32"/>
          <w:lang w:val="zh-CN"/>
        </w:rPr>
      </w:pPr>
    </w:p>
    <w:p>
      <w:pPr>
        <w:autoSpaceDE w:val="0"/>
        <w:autoSpaceDN w:val="0"/>
        <w:adjustRightInd w:val="0"/>
        <w:spacing w:line="584" w:lineRule="exact"/>
        <w:jc w:val="center"/>
        <w:rPr>
          <w:rFonts w:eastAsia="楷体_GB2312"/>
          <w:b/>
          <w:bCs/>
          <w:kern w:val="0"/>
          <w:sz w:val="32"/>
          <w:szCs w:val="32"/>
          <w:lang w:val="zh-CN"/>
        </w:rPr>
      </w:pPr>
    </w:p>
    <w:p>
      <w:pPr>
        <w:autoSpaceDE w:val="0"/>
        <w:autoSpaceDN w:val="0"/>
        <w:adjustRightInd w:val="0"/>
        <w:spacing w:line="584" w:lineRule="exact"/>
        <w:jc w:val="center"/>
        <w:rPr>
          <w:rFonts w:eastAsia="楷体_GB2312"/>
          <w:b/>
          <w:bCs/>
          <w:kern w:val="0"/>
          <w:sz w:val="32"/>
          <w:szCs w:val="32"/>
          <w:lang w:val="zh-CN"/>
        </w:rPr>
      </w:pPr>
    </w:p>
    <w:p>
      <w:pPr>
        <w:autoSpaceDE w:val="0"/>
        <w:autoSpaceDN w:val="0"/>
        <w:adjustRightInd w:val="0"/>
        <w:spacing w:line="584" w:lineRule="exact"/>
        <w:jc w:val="center"/>
        <w:rPr>
          <w:rFonts w:eastAsia="楷体_GB2312"/>
          <w:b/>
          <w:bCs/>
          <w:kern w:val="0"/>
          <w:sz w:val="32"/>
          <w:szCs w:val="32"/>
          <w:lang w:val="zh-CN"/>
        </w:rPr>
      </w:pPr>
    </w:p>
    <w:p>
      <w:pPr>
        <w:spacing w:line="560" w:lineRule="atLeast"/>
        <w:ind w:firstLine="843" w:firstLineChars="300"/>
        <w:jc w:val="left"/>
        <w:rPr>
          <w:rFonts w:hint="default" w:ascii="黑体" w:hAnsi="黑体" w:eastAsia="黑体" w:cs="黑体"/>
          <w:b/>
          <w:bCs/>
          <w:sz w:val="28"/>
          <w:szCs w:val="28"/>
          <w:u w:val="single"/>
          <w:lang w:val="en-US" w:eastAsia="zh-CN"/>
        </w:rPr>
      </w:pPr>
      <w:r>
        <w:rPr>
          <w:rFonts w:hint="eastAsia" w:ascii="黑体" w:hAnsi="黑体" w:eastAsia="黑体" w:cs="黑体"/>
          <w:b/>
          <w:bCs/>
          <w:sz w:val="28"/>
          <w:szCs w:val="28"/>
        </w:rPr>
        <w:t>项目名称：</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 xml:space="preserve">  2021年绿化管养服务费项目</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 xml:space="preserve">   </w:t>
      </w:r>
    </w:p>
    <w:p>
      <w:pPr>
        <w:spacing w:line="560" w:lineRule="atLeast"/>
        <w:ind w:firstLine="843" w:firstLineChars="300"/>
        <w:jc w:val="left"/>
        <w:rPr>
          <w:rFonts w:hint="default" w:ascii="黑体" w:hAnsi="黑体" w:eastAsia="黑体" w:cs="黑体"/>
          <w:b/>
          <w:bCs/>
          <w:sz w:val="28"/>
          <w:szCs w:val="28"/>
          <w:u w:val="single"/>
          <w:lang w:val="en-US" w:eastAsia="zh-CN"/>
        </w:rPr>
      </w:pPr>
      <w:r>
        <w:rPr>
          <w:rFonts w:hint="eastAsia" w:ascii="黑体" w:hAnsi="黑体" w:eastAsia="黑体" w:cs="黑体"/>
          <w:b/>
          <w:bCs/>
          <w:sz w:val="28"/>
          <w:szCs w:val="28"/>
        </w:rPr>
        <w:t>项目单位：</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 xml:space="preserve"> </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 xml:space="preserve">安阳县城市管理局   </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 xml:space="preserve">    </w:t>
      </w:r>
    </w:p>
    <w:p>
      <w:pPr>
        <w:spacing w:line="560" w:lineRule="atLeast"/>
        <w:ind w:firstLine="843" w:firstLineChars="300"/>
        <w:jc w:val="left"/>
        <w:rPr>
          <w:rFonts w:hint="default" w:ascii="黑体" w:hAnsi="黑体" w:eastAsia="黑体" w:cs="黑体"/>
          <w:b/>
          <w:bCs/>
          <w:sz w:val="28"/>
          <w:szCs w:val="28"/>
          <w:u w:val="single"/>
          <w:lang w:val="en-US" w:eastAsia="zh-CN"/>
        </w:rPr>
      </w:pPr>
      <w:r>
        <w:rPr>
          <w:rFonts w:hint="eastAsia" w:ascii="黑体" w:hAnsi="黑体" w:eastAsia="黑体" w:cs="黑体"/>
          <w:b/>
          <w:bCs/>
          <w:sz w:val="28"/>
          <w:szCs w:val="28"/>
          <w:lang w:val="en-US" w:eastAsia="zh-CN"/>
        </w:rPr>
        <w:t>委托单位</w:t>
      </w:r>
      <w:r>
        <w:rPr>
          <w:rFonts w:hint="eastAsia" w:ascii="黑体" w:hAnsi="黑体" w:eastAsia="黑体" w:cs="黑体"/>
          <w:b/>
          <w:bCs/>
          <w:sz w:val="28"/>
          <w:szCs w:val="28"/>
        </w:rPr>
        <w:t>：</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 xml:space="preserve">  安阳县财政局</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 xml:space="preserve">  </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u w:val="single"/>
          <w:lang w:val="en-US" w:eastAsia="zh-CN"/>
        </w:rPr>
        <w:t xml:space="preserve">    </w:t>
      </w:r>
    </w:p>
    <w:p>
      <w:pPr>
        <w:spacing w:line="560" w:lineRule="atLeast"/>
        <w:ind w:firstLine="843" w:firstLineChars="300"/>
        <w:jc w:val="left"/>
        <w:rPr>
          <w:rFonts w:hint="eastAsia" w:ascii="黑体" w:hAnsi="黑体" w:eastAsia="黑体" w:cs="黑体"/>
          <w:b/>
          <w:bCs/>
          <w:sz w:val="28"/>
          <w:szCs w:val="28"/>
          <w:u w:val="single"/>
          <w:lang w:val="en-US" w:eastAsia="zh-CN"/>
        </w:rPr>
      </w:pPr>
      <w:r>
        <w:rPr>
          <w:rFonts w:hint="eastAsia" w:ascii="黑体" w:hAnsi="黑体" w:eastAsia="黑体" w:cs="黑体"/>
          <w:b/>
          <w:bCs/>
          <w:sz w:val="28"/>
          <w:szCs w:val="28"/>
          <w:lang w:val="en-US" w:eastAsia="zh-CN"/>
        </w:rPr>
        <w:t>评价机构</w:t>
      </w:r>
      <w:r>
        <w:rPr>
          <w:rFonts w:hint="eastAsia" w:ascii="黑体" w:hAnsi="黑体" w:eastAsia="黑体" w:cs="黑体"/>
          <w:b/>
          <w:bCs/>
          <w:sz w:val="28"/>
          <w:szCs w:val="28"/>
        </w:rPr>
        <w:t>：</w:t>
      </w:r>
      <w:r>
        <w:rPr>
          <w:rFonts w:hint="eastAsia" w:ascii="黑体" w:hAnsi="黑体" w:eastAsia="黑体" w:cs="黑体"/>
          <w:b/>
          <w:bCs/>
          <w:sz w:val="28"/>
          <w:szCs w:val="28"/>
          <w:u w:val="single"/>
          <w:lang w:val="en-US" w:eastAsia="zh-CN"/>
        </w:rPr>
        <w:t>河南高审会计师事务所（普通合伙）</w:t>
      </w:r>
    </w:p>
    <w:p>
      <w:pPr>
        <w:autoSpaceDE w:val="0"/>
        <w:autoSpaceDN w:val="0"/>
        <w:adjustRightInd w:val="0"/>
        <w:spacing w:line="584" w:lineRule="exact"/>
        <w:ind w:firstLine="1500" w:firstLineChars="500"/>
        <w:rPr>
          <w:rFonts w:eastAsia="仿宋_GB2312"/>
          <w:kern w:val="0"/>
          <w:sz w:val="30"/>
          <w:szCs w:val="30"/>
        </w:rPr>
      </w:pPr>
    </w:p>
    <w:p>
      <w:pPr>
        <w:tabs>
          <w:tab w:val="left" w:pos="7200"/>
        </w:tabs>
        <w:spacing w:line="560" w:lineRule="atLeast"/>
        <w:ind w:firstLine="250"/>
        <w:jc w:val="center"/>
        <w:rPr>
          <w:rFonts w:ascii="黑体" w:eastAsia="黑体" w:cs="黑体"/>
          <w:sz w:val="36"/>
          <w:szCs w:val="36"/>
        </w:rPr>
      </w:pPr>
    </w:p>
    <w:p>
      <w:pPr>
        <w:tabs>
          <w:tab w:val="left" w:pos="7200"/>
        </w:tabs>
        <w:spacing w:line="560" w:lineRule="atLeast"/>
        <w:ind w:firstLine="250"/>
        <w:jc w:val="center"/>
        <w:rPr>
          <w:rFonts w:ascii="黑体" w:eastAsia="黑体" w:cs="黑体"/>
          <w:sz w:val="36"/>
          <w:szCs w:val="36"/>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cols w:space="425" w:num="1"/>
          <w:titlePg/>
          <w:docGrid w:type="lines" w:linePitch="312" w:charSpace="0"/>
        </w:sectPr>
      </w:pPr>
    </w:p>
    <w:p>
      <w:pPr>
        <w:pStyle w:val="2"/>
      </w:pPr>
    </w:p>
    <w:p>
      <w:pPr>
        <w:tabs>
          <w:tab w:val="left" w:pos="7200"/>
        </w:tabs>
        <w:spacing w:line="560" w:lineRule="atLeast"/>
        <w:ind w:firstLine="250"/>
        <w:jc w:val="center"/>
        <w:rPr>
          <w:rFonts w:ascii="黑体" w:eastAsia="黑体" w:cs="黑体"/>
          <w:sz w:val="36"/>
          <w:szCs w:val="36"/>
        </w:rPr>
      </w:pPr>
    </w:p>
    <w:p>
      <w:pPr>
        <w:tabs>
          <w:tab w:val="left" w:pos="7200"/>
        </w:tabs>
        <w:spacing w:line="560" w:lineRule="atLeast"/>
        <w:ind w:firstLine="250"/>
        <w:jc w:val="center"/>
        <w:rPr>
          <w:rFonts w:ascii="黑体" w:eastAsia="黑体"/>
          <w:sz w:val="36"/>
          <w:szCs w:val="36"/>
        </w:rPr>
      </w:pPr>
      <w:r>
        <w:rPr>
          <w:rFonts w:hint="eastAsia" w:ascii="黑体" w:eastAsia="黑体" w:cs="黑体"/>
          <w:sz w:val="36"/>
          <w:szCs w:val="36"/>
          <w:lang w:val="en-US" w:eastAsia="zh-CN"/>
        </w:rPr>
        <w:t>安阳县</w:t>
      </w:r>
      <w:r>
        <w:rPr>
          <w:rFonts w:hint="eastAsia" w:ascii="黑体" w:eastAsia="黑体" w:cs="黑体"/>
          <w:sz w:val="36"/>
          <w:szCs w:val="36"/>
        </w:rPr>
        <w:t>财政局</w:t>
      </w:r>
    </w:p>
    <w:p>
      <w:pPr>
        <w:tabs>
          <w:tab w:val="left" w:pos="7200"/>
        </w:tabs>
        <w:spacing w:line="560" w:lineRule="atLeast"/>
        <w:ind w:firstLine="250"/>
        <w:jc w:val="center"/>
        <w:rPr>
          <w:rFonts w:ascii="宋体"/>
          <w:sz w:val="36"/>
          <w:szCs w:val="36"/>
          <w:u w:val="single"/>
        </w:rPr>
      </w:pPr>
      <w:r>
        <w:rPr>
          <w:rFonts w:hint="eastAsia" w:ascii="黑体" w:eastAsia="黑体" w:cs="黑体"/>
          <w:sz w:val="36"/>
          <w:szCs w:val="36"/>
        </w:rPr>
        <w:t>二○二</w:t>
      </w:r>
      <w:r>
        <w:rPr>
          <w:rFonts w:hint="eastAsia" w:ascii="黑体" w:eastAsia="黑体" w:cs="黑体"/>
          <w:sz w:val="36"/>
          <w:szCs w:val="36"/>
          <w:lang w:val="en-US" w:eastAsia="zh-CN"/>
        </w:rPr>
        <w:t>二</w:t>
      </w:r>
      <w:r>
        <w:rPr>
          <w:rFonts w:hint="eastAsia" w:ascii="黑体" w:eastAsia="黑体" w:cs="黑体"/>
          <w:sz w:val="36"/>
          <w:szCs w:val="36"/>
        </w:rPr>
        <w:t>年</w:t>
      </w:r>
      <w:r>
        <w:rPr>
          <w:rFonts w:hint="eastAsia" w:ascii="黑体" w:eastAsia="黑体" w:cs="黑体"/>
          <w:sz w:val="36"/>
          <w:szCs w:val="36"/>
          <w:lang w:val="en-US" w:eastAsia="zh-CN"/>
        </w:rPr>
        <w:t>十</w:t>
      </w:r>
      <w:r>
        <w:rPr>
          <w:rFonts w:hint="eastAsia" w:ascii="黑体" w:eastAsia="黑体" w:cs="黑体"/>
          <w:sz w:val="36"/>
          <w:szCs w:val="36"/>
        </w:rPr>
        <w:t>月</w:t>
      </w:r>
    </w:p>
    <w:p>
      <w:pPr>
        <w:jc w:val="center"/>
        <w:rPr>
          <w:rFonts w:ascii="仿宋_GB2312" w:hAnsi="仿宋" w:eastAsia="仿宋_GB2312" w:cs="Calibri"/>
          <w:b/>
          <w:bCs/>
          <w:color w:val="000000"/>
          <w:kern w:val="32"/>
          <w:sz w:val="48"/>
          <w:szCs w:val="48"/>
        </w:rPr>
      </w:pPr>
      <w:bookmarkStart w:id="0" w:name="_Toc6266"/>
      <w:r>
        <w:rPr>
          <w:rFonts w:hint="eastAsia" w:ascii="宋体" w:hAnsi="宋体" w:cs="宋体"/>
          <w:b/>
          <w:kern w:val="0"/>
          <w:sz w:val="44"/>
          <w:szCs w:val="44"/>
        </w:rPr>
        <w:t>摘</w:t>
      </w:r>
      <w:r>
        <w:rPr>
          <w:rFonts w:ascii="宋体" w:hAnsi="宋体" w:cs="宋体"/>
          <w:b/>
          <w:kern w:val="0"/>
          <w:sz w:val="44"/>
          <w:szCs w:val="44"/>
        </w:rPr>
        <w:t xml:space="preserve">  </w:t>
      </w:r>
      <w:r>
        <w:rPr>
          <w:rFonts w:hint="eastAsia" w:ascii="宋体" w:hAnsi="宋体" w:cs="宋体"/>
          <w:b/>
          <w:kern w:val="0"/>
          <w:sz w:val="44"/>
          <w:szCs w:val="44"/>
        </w:rPr>
        <w:t>要</w:t>
      </w:r>
      <w:bookmarkEnd w:id="0"/>
    </w:p>
    <w:p>
      <w:pPr>
        <w:pStyle w:val="6"/>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lang w:val="en-US" w:eastAsia="zh-CN"/>
        </w:rPr>
        <w:t>根据安阳县人民政府常务会议纪要第（92）次第五条：研究建成区内绿化管养工作方案，将建成区内绿化管养工作由示范区城市发展服务局移交给县城管局，从2021年起，每年的绿化管养费用列入县城管局财政预算。</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项目预算资金</w:t>
      </w:r>
      <w:r>
        <w:rPr>
          <w:rFonts w:hint="eastAsia" w:ascii="仿宋" w:hAnsi="仿宋" w:eastAsia="仿宋" w:cs="仿宋"/>
          <w:color w:val="000000"/>
          <w:kern w:val="32"/>
          <w:sz w:val="28"/>
          <w:szCs w:val="28"/>
          <w:lang w:val="en-US" w:eastAsia="zh-CN"/>
        </w:rPr>
        <w:t>6</w:t>
      </w:r>
      <w:r>
        <w:rPr>
          <w:rFonts w:hint="eastAsia" w:ascii="仿宋" w:hAnsi="仿宋" w:eastAsia="仿宋" w:cs="仿宋"/>
          <w:color w:val="000000"/>
          <w:kern w:val="32"/>
          <w:sz w:val="28"/>
          <w:szCs w:val="28"/>
        </w:rPr>
        <w:t>00万元，实际执行</w:t>
      </w:r>
      <w:r>
        <w:rPr>
          <w:rFonts w:hint="eastAsia" w:ascii="仿宋" w:hAnsi="仿宋" w:eastAsia="仿宋" w:cs="仿宋"/>
          <w:color w:val="000000"/>
          <w:kern w:val="32"/>
          <w:sz w:val="28"/>
          <w:szCs w:val="28"/>
          <w:lang w:val="en-US" w:eastAsia="zh-CN"/>
        </w:rPr>
        <w:t>393.58</w:t>
      </w:r>
      <w:r>
        <w:rPr>
          <w:rFonts w:hint="eastAsia" w:ascii="仿宋" w:hAnsi="仿宋" w:eastAsia="仿宋" w:cs="仿宋"/>
          <w:color w:val="000000"/>
          <w:kern w:val="32"/>
          <w:sz w:val="28"/>
          <w:szCs w:val="28"/>
        </w:rPr>
        <w:t>万元，结余</w:t>
      </w:r>
      <w:r>
        <w:rPr>
          <w:rFonts w:hint="eastAsia" w:ascii="仿宋" w:hAnsi="仿宋" w:eastAsia="仿宋" w:cs="仿宋"/>
          <w:color w:val="000000"/>
          <w:kern w:val="32"/>
          <w:sz w:val="28"/>
          <w:szCs w:val="28"/>
          <w:lang w:val="en-US" w:eastAsia="zh-CN"/>
        </w:rPr>
        <w:t>206.42</w:t>
      </w:r>
      <w:r>
        <w:rPr>
          <w:rFonts w:hint="eastAsia" w:ascii="仿宋" w:hAnsi="仿宋" w:eastAsia="仿宋" w:cs="仿宋"/>
          <w:color w:val="000000"/>
          <w:kern w:val="32"/>
          <w:sz w:val="28"/>
          <w:szCs w:val="28"/>
        </w:rPr>
        <w:t>万元。</w:t>
      </w:r>
    </w:p>
    <w:p>
      <w:pPr>
        <w:widowControl/>
        <w:ind w:firstLine="560" w:firstLineChars="200"/>
        <w:jc w:val="left"/>
        <w:textAlignment w:val="center"/>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rPr>
        <w:t>经评价，</w:t>
      </w:r>
      <w:r>
        <w:rPr>
          <w:rFonts w:hint="eastAsia" w:ascii="仿宋" w:hAnsi="仿宋" w:eastAsia="仿宋" w:cs="仿宋"/>
          <w:color w:val="000000"/>
          <w:kern w:val="32"/>
          <w:sz w:val="28"/>
          <w:szCs w:val="28"/>
          <w:highlight w:val="none"/>
        </w:rPr>
        <w:t>该项目评价综合得分</w:t>
      </w:r>
      <w:r>
        <w:rPr>
          <w:rFonts w:hint="eastAsia" w:ascii="仿宋" w:hAnsi="仿宋" w:eastAsia="仿宋" w:cs="仿宋"/>
          <w:color w:val="000000"/>
          <w:kern w:val="32"/>
          <w:sz w:val="28"/>
          <w:szCs w:val="28"/>
          <w:highlight w:val="none"/>
          <w:lang w:val="en-US" w:eastAsia="zh-CN"/>
        </w:rPr>
        <w:t>85.95</w:t>
      </w:r>
      <w:r>
        <w:rPr>
          <w:rFonts w:hint="eastAsia" w:ascii="仿宋" w:hAnsi="仿宋" w:eastAsia="仿宋" w:cs="仿宋"/>
          <w:color w:val="000000"/>
          <w:kern w:val="32"/>
          <w:sz w:val="28"/>
          <w:szCs w:val="28"/>
          <w:highlight w:val="none"/>
        </w:rPr>
        <w:t>分，其中：项目决策评价得分1</w:t>
      </w:r>
      <w:r>
        <w:rPr>
          <w:rFonts w:hint="eastAsia" w:ascii="仿宋" w:hAnsi="仿宋" w:eastAsia="仿宋" w:cs="仿宋"/>
          <w:color w:val="000000"/>
          <w:kern w:val="32"/>
          <w:sz w:val="28"/>
          <w:szCs w:val="28"/>
          <w:highlight w:val="none"/>
          <w:lang w:val="en-US" w:eastAsia="zh-CN"/>
        </w:rPr>
        <w:t>3.00</w:t>
      </w:r>
      <w:r>
        <w:rPr>
          <w:rFonts w:hint="eastAsia" w:ascii="仿宋" w:hAnsi="仿宋" w:eastAsia="仿宋" w:cs="仿宋"/>
          <w:color w:val="000000"/>
          <w:kern w:val="32"/>
          <w:sz w:val="28"/>
          <w:szCs w:val="28"/>
          <w:highlight w:val="none"/>
        </w:rPr>
        <w:t>分，项目过程评价得分</w:t>
      </w:r>
      <w:r>
        <w:rPr>
          <w:rFonts w:hint="eastAsia" w:ascii="仿宋" w:hAnsi="仿宋" w:eastAsia="仿宋" w:cs="仿宋"/>
          <w:color w:val="000000"/>
          <w:kern w:val="32"/>
          <w:sz w:val="28"/>
          <w:szCs w:val="28"/>
          <w:highlight w:val="none"/>
          <w:lang w:val="en-US" w:eastAsia="zh-CN"/>
        </w:rPr>
        <w:t>19.25</w:t>
      </w:r>
      <w:r>
        <w:rPr>
          <w:rFonts w:hint="eastAsia" w:ascii="仿宋" w:hAnsi="仿宋" w:eastAsia="仿宋" w:cs="仿宋"/>
          <w:color w:val="000000"/>
          <w:kern w:val="32"/>
          <w:sz w:val="28"/>
          <w:szCs w:val="28"/>
          <w:highlight w:val="none"/>
        </w:rPr>
        <w:t>分，项目</w:t>
      </w:r>
      <w:r>
        <w:rPr>
          <w:rFonts w:hint="eastAsia" w:ascii="仿宋" w:hAnsi="仿宋" w:eastAsia="仿宋" w:cs="仿宋"/>
          <w:color w:val="000000"/>
          <w:kern w:val="32"/>
          <w:sz w:val="28"/>
          <w:szCs w:val="28"/>
          <w:highlight w:val="none"/>
          <w:lang w:val="en-US" w:eastAsia="zh-CN"/>
        </w:rPr>
        <w:t>绩效</w:t>
      </w:r>
      <w:r>
        <w:rPr>
          <w:rFonts w:hint="eastAsia" w:ascii="仿宋" w:hAnsi="仿宋" w:eastAsia="仿宋" w:cs="仿宋"/>
          <w:color w:val="000000"/>
          <w:kern w:val="32"/>
          <w:sz w:val="28"/>
          <w:szCs w:val="28"/>
          <w:highlight w:val="none"/>
        </w:rPr>
        <w:t>评价得分</w:t>
      </w:r>
      <w:r>
        <w:rPr>
          <w:rFonts w:hint="eastAsia" w:ascii="仿宋" w:hAnsi="仿宋" w:eastAsia="仿宋" w:cs="仿宋"/>
          <w:color w:val="000000"/>
          <w:kern w:val="32"/>
          <w:sz w:val="28"/>
          <w:szCs w:val="28"/>
          <w:highlight w:val="none"/>
          <w:lang w:val="en-US" w:eastAsia="zh-CN"/>
        </w:rPr>
        <w:t>53.70</w:t>
      </w:r>
      <w:r>
        <w:rPr>
          <w:rFonts w:hint="eastAsia" w:ascii="仿宋" w:hAnsi="仿宋" w:eastAsia="仿宋" w:cs="仿宋"/>
          <w:color w:val="000000"/>
          <w:kern w:val="32"/>
          <w:sz w:val="28"/>
          <w:szCs w:val="28"/>
          <w:highlight w:val="none"/>
        </w:rPr>
        <w:t>分，绩效级别评定为“</w:t>
      </w:r>
      <w:r>
        <w:rPr>
          <w:rFonts w:hint="eastAsia" w:ascii="仿宋" w:hAnsi="仿宋" w:eastAsia="仿宋" w:cs="仿宋"/>
          <w:color w:val="000000"/>
          <w:kern w:val="32"/>
          <w:sz w:val="28"/>
          <w:szCs w:val="28"/>
          <w:highlight w:val="none"/>
          <w:lang w:val="en-US" w:eastAsia="zh-CN"/>
        </w:rPr>
        <w:t>良</w:t>
      </w:r>
      <w:r>
        <w:rPr>
          <w:rFonts w:hint="eastAsia" w:ascii="仿宋" w:hAnsi="仿宋" w:eastAsia="仿宋" w:cs="仿宋"/>
          <w:color w:val="000000"/>
          <w:kern w:val="32"/>
          <w:sz w:val="28"/>
          <w:szCs w:val="28"/>
          <w:highlight w:val="none"/>
        </w:rPr>
        <w:t>”。</w:t>
      </w:r>
    </w:p>
    <w:p>
      <w:pPr>
        <w:pStyle w:val="6"/>
        <w:rPr>
          <w:rFonts w:ascii="仿宋_GB2312" w:eastAsia="仿宋_GB2312"/>
          <w:sz w:val="32"/>
          <w:szCs w:val="32"/>
        </w:rPr>
      </w:pPr>
      <w:r>
        <w:rPr>
          <w:rFonts w:ascii="仿宋_GB2312" w:eastAsia="仿宋_GB2312"/>
          <w:sz w:val="32"/>
          <w:szCs w:val="32"/>
        </w:rPr>
        <w:t xml:space="preserve"> </w:t>
      </w: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center"/>
        <w:textAlignment w:val="center"/>
        <w:rPr>
          <w:rFonts w:ascii="方正小标宋简体" w:eastAsia="方正小标宋简体"/>
          <w:bCs/>
          <w:kern w:val="0"/>
          <w:sz w:val="44"/>
          <w:szCs w:val="44"/>
        </w:rPr>
      </w:pPr>
    </w:p>
    <w:p>
      <w:pPr>
        <w:widowControl/>
        <w:jc w:val="center"/>
        <w:textAlignment w:val="center"/>
        <w:rPr>
          <w:rFonts w:ascii="宋体"/>
          <w:kern w:val="0"/>
          <w:sz w:val="30"/>
          <w:szCs w:val="30"/>
        </w:rPr>
        <w:sectPr>
          <w:footerReference r:id="rId9" w:type="first"/>
          <w:footerReference r:id="rId8" w:type="default"/>
          <w:pgSz w:w="11906" w:h="16838"/>
          <w:pgMar w:top="1440" w:right="1800" w:bottom="1440" w:left="1800" w:header="851" w:footer="992" w:gutter="0"/>
          <w:pgNumType w:fmt="decimal"/>
          <w:cols w:space="425" w:num="1"/>
          <w:titlePg/>
          <w:docGrid w:type="lines" w:linePitch="312" w:charSpace="0"/>
        </w:sectPr>
      </w:pPr>
    </w:p>
    <w:p>
      <w:pPr>
        <w:pStyle w:val="2"/>
      </w:pPr>
    </w:p>
    <w:p>
      <w:pPr>
        <w:pStyle w:val="35"/>
        <w:jc w:val="center"/>
        <w:rPr>
          <w:rFonts w:hint="eastAsia" w:ascii="仿宋" w:hAnsi="仿宋" w:eastAsia="仿宋" w:cs="仿宋"/>
          <w:b/>
          <w:bCs/>
          <w:sz w:val="32"/>
          <w:szCs w:val="32"/>
        </w:rPr>
      </w:pPr>
      <w:r>
        <w:rPr>
          <w:rFonts w:hint="eastAsia" w:ascii="仿宋" w:hAnsi="仿宋" w:eastAsia="仿宋" w:cs="仿宋"/>
          <w:b/>
          <w:bCs/>
          <w:color w:val="auto"/>
          <w:sz w:val="32"/>
          <w:szCs w:val="32"/>
          <w:lang w:val="zh-CN"/>
        </w:rPr>
        <w:t>目 录</w:t>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TOC \o "1-3" \h \z \u </w:instrText>
      </w:r>
      <w:r>
        <w:rPr>
          <w:rFonts w:hint="eastAsia" w:ascii="仿宋" w:hAnsi="仿宋" w:eastAsia="仿宋" w:cs="仿宋"/>
          <w:sz w:val="28"/>
          <w:szCs w:val="28"/>
        </w:rPr>
        <w:fldChar w:fldCharType="separate"/>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"_Toc47736003"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一、项目基本情况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_Toc47736003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"_Toc47736004"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（一）概况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_Toc47736004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"_Toc47736005"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（二）绩效目标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_Toc47736005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"_Toc47736006"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二、绩效评价工作情况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_Toc47736006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"_Toc47736007"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（一）绩效评价目的</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_Toc47736007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"_Toc47736008"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（二）绩效评价工作方案制定过程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_Toc47736008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"_Toc47736009"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（三）绩效评价原则、评价方法等</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_Toc47736009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"_Toc47736011"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（四）数据采集方法及过程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_Toc47736011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"_Toc47736012"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（五）绩效评价实施过程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_Toc47736012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"_Toc47736013"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（六）绩效评价的局限性</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_Toc47736013 \h </w:instrText>
      </w:r>
      <w:r>
        <w:rPr>
          <w:rFonts w:hint="eastAsia" w:ascii="仿宋" w:hAnsi="仿宋" w:eastAsia="仿宋" w:cs="仿宋"/>
          <w:sz w:val="28"/>
          <w:szCs w:val="28"/>
        </w:rPr>
        <w:fldChar w:fldCharType="separate"/>
      </w:r>
      <w:r>
        <w:rPr>
          <w:rFonts w:hint="eastAsia" w:ascii="仿宋" w:hAnsi="仿宋" w:eastAsia="仿宋" w:cs="仿宋"/>
          <w:sz w:val="28"/>
          <w:szCs w:val="28"/>
        </w:rPr>
        <w:t>7</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"_Toc47736014"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三、评价结论和绩效分析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_Toc47736014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"_Toc47736015"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（一）评价结论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_Toc47736015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5"/>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"_Toc47736018"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（二）具体绩效分析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_Toc47736018 \h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"_Toc47736020"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四、主要经验及做法、存在的问题和建议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_Toc47736020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"_Toc47736024"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五、其他需说明的问题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_Toc47736024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3"/>
        <w:tabs>
          <w:tab w:val="right" w:leader="dot" w:pos="8296"/>
        </w:tabs>
        <w:rPr>
          <w:rFonts w:ascii="仿宋_GB2312" w:eastAsia="仿宋_GB2312"/>
          <w:sz w:val="32"/>
          <w:szCs w:val="32"/>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"_Toc47736025" </w:instrText>
      </w:r>
      <w:r>
        <w:rPr>
          <w:rFonts w:hint="eastAsia" w:ascii="仿宋" w:hAnsi="仿宋" w:eastAsia="仿宋" w:cs="仿宋"/>
          <w:sz w:val="28"/>
          <w:szCs w:val="28"/>
        </w:rPr>
        <w:fldChar w:fldCharType="separate"/>
      </w:r>
      <w:r>
        <w:rPr>
          <w:rStyle w:val="21"/>
          <w:rFonts w:hint="eastAsia" w:ascii="仿宋" w:hAnsi="仿宋" w:eastAsia="仿宋" w:cs="仿宋"/>
          <w:sz w:val="28"/>
          <w:szCs w:val="28"/>
        </w:rPr>
        <w:t>六、附件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_Toc47736025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
      <w:pPr>
        <w:autoSpaceDE w:val="0"/>
        <w:autoSpaceDN w:val="0"/>
        <w:adjustRightInd w:val="0"/>
        <w:snapToGrid w:val="0"/>
        <w:spacing w:line="584" w:lineRule="exact"/>
        <w:jc w:val="center"/>
        <w:outlineLvl w:val="0"/>
        <w:rPr>
          <w:rFonts w:ascii="黑体" w:eastAsia="黑体"/>
          <w:bCs/>
          <w:kern w:val="0"/>
          <w:sz w:val="32"/>
          <w:szCs w:val="32"/>
        </w:rPr>
        <w:sectPr>
          <w:footerReference r:id="rId11" w:type="first"/>
          <w:footerReference r:id="rId10" w:type="default"/>
          <w:pgSz w:w="11906" w:h="16838"/>
          <w:pgMar w:top="1440" w:right="1800" w:bottom="1440" w:left="1800" w:header="851" w:footer="992" w:gutter="0"/>
          <w:pgNumType w:fmt="decimal"/>
          <w:cols w:space="425" w:num="1"/>
          <w:docGrid w:type="lines" w:linePitch="312" w:charSpace="0"/>
        </w:sectPr>
      </w:pPr>
    </w:p>
    <w:p>
      <w:pPr>
        <w:pStyle w:val="17"/>
        <w:spacing w:before="0" w:after="0"/>
        <w:ind w:firstLine="0" w:firstLineChars="0"/>
        <w:outlineLvl w:val="9"/>
        <w:rPr>
          <w:rFonts w:hint="eastAsia"/>
          <w:sz w:val="36"/>
          <w:szCs w:val="36"/>
          <w:lang w:val="en-US" w:eastAsia="zh-CN"/>
        </w:rPr>
      </w:pPr>
    </w:p>
    <w:p>
      <w:pPr>
        <w:pStyle w:val="17"/>
        <w:spacing w:before="0" w:after="0"/>
        <w:ind w:firstLine="0" w:firstLineChars="0"/>
        <w:outlineLvl w:val="9"/>
        <w:rPr>
          <w:rFonts w:hint="default" w:eastAsia="宋体"/>
          <w:sz w:val="36"/>
          <w:szCs w:val="36"/>
          <w:lang w:val="en-US" w:eastAsia="zh-CN"/>
        </w:rPr>
      </w:pPr>
      <w:r>
        <w:rPr>
          <w:rFonts w:hint="eastAsia"/>
          <w:sz w:val="36"/>
          <w:szCs w:val="36"/>
          <w:lang w:val="en-US" w:eastAsia="zh-CN"/>
        </w:rPr>
        <w:t>安阳县城市管理局2021年度</w:t>
      </w:r>
    </w:p>
    <w:p>
      <w:pPr>
        <w:pStyle w:val="17"/>
        <w:spacing w:before="0" w:after="0"/>
        <w:ind w:firstLine="0" w:firstLineChars="0"/>
        <w:outlineLvl w:val="9"/>
        <w:rPr>
          <w:sz w:val="36"/>
          <w:szCs w:val="36"/>
        </w:rPr>
      </w:pPr>
      <w:bookmarkStart w:id="1" w:name="_Toc19105"/>
      <w:r>
        <w:rPr>
          <w:rFonts w:hint="eastAsia"/>
          <w:sz w:val="36"/>
          <w:szCs w:val="36"/>
        </w:rPr>
        <w:t>“</w:t>
      </w:r>
      <w:r>
        <w:rPr>
          <w:rFonts w:hint="eastAsia"/>
          <w:sz w:val="36"/>
          <w:szCs w:val="36"/>
          <w:lang w:val="en-US" w:eastAsia="zh-CN"/>
        </w:rPr>
        <w:t>绿化管养服务费</w:t>
      </w:r>
      <w:r>
        <w:rPr>
          <w:rFonts w:hint="eastAsia"/>
          <w:sz w:val="36"/>
          <w:szCs w:val="36"/>
        </w:rPr>
        <w:t>”</w:t>
      </w:r>
      <w:bookmarkEnd w:id="1"/>
      <w:r>
        <w:rPr>
          <w:rFonts w:hint="eastAsia"/>
          <w:sz w:val="36"/>
          <w:szCs w:val="36"/>
        </w:rPr>
        <w:t>项目</w:t>
      </w:r>
      <w:bookmarkStart w:id="2" w:name="_Toc15449"/>
      <w:r>
        <w:rPr>
          <w:rFonts w:hint="eastAsia"/>
          <w:sz w:val="36"/>
          <w:szCs w:val="36"/>
        </w:rPr>
        <w:t>绩效评价报告</w:t>
      </w:r>
      <w:bookmarkEnd w:id="2"/>
    </w:p>
    <w:p>
      <w:pPr>
        <w:spacing w:line="360" w:lineRule="auto"/>
        <w:ind w:firstLine="560"/>
        <w:jc w:val="right"/>
        <w:rPr>
          <w:rFonts w:hint="eastAsia"/>
          <w:sz w:val="24"/>
          <w:szCs w:val="24"/>
          <w:lang w:val="en-US" w:eastAsia="zh-CN"/>
        </w:rPr>
      </w:pPr>
      <w:r>
        <w:rPr>
          <w:rFonts w:hint="eastAsia"/>
          <w:sz w:val="24"/>
          <w:szCs w:val="24"/>
          <w:lang w:val="en-US" w:eastAsia="zh-CN"/>
        </w:rPr>
        <w:t>高审咨字【2022】第1002号</w:t>
      </w:r>
    </w:p>
    <w:p>
      <w:pPr>
        <w:spacing w:line="360" w:lineRule="auto"/>
        <w:jc w:val="right"/>
        <w:rPr>
          <w:rFonts w:hint="eastAsia" w:ascii="仿宋_GB2312" w:hAnsi="仿宋" w:eastAsia="仿宋_GB2312" w:cs="Calibri"/>
          <w:color w:val="000000"/>
          <w:kern w:val="32"/>
          <w:sz w:val="32"/>
          <w:szCs w:val="32"/>
          <w:lang w:val="en-US" w:eastAsia="zh-CN" w:bidi="ar-SA"/>
        </w:rPr>
      </w:pPr>
    </w:p>
    <w:p>
      <w:pPr>
        <w:spacing w:line="360" w:lineRule="auto"/>
        <w:rPr>
          <w:rFonts w:hint="eastAsia" w:ascii="仿宋" w:hAnsi="仿宋" w:eastAsia="仿宋" w:cs="仿宋"/>
          <w:b/>
          <w:bCs/>
          <w:color w:val="000000"/>
          <w:kern w:val="32"/>
          <w:sz w:val="28"/>
          <w:szCs w:val="28"/>
          <w:lang w:val="en-US" w:eastAsia="zh-CN" w:bidi="ar-SA"/>
        </w:rPr>
      </w:pPr>
      <w:r>
        <w:rPr>
          <w:rFonts w:hint="eastAsia" w:ascii="仿宋" w:hAnsi="仿宋" w:eastAsia="仿宋" w:cs="仿宋"/>
          <w:b/>
          <w:bCs/>
          <w:color w:val="000000"/>
          <w:kern w:val="32"/>
          <w:sz w:val="28"/>
          <w:szCs w:val="28"/>
          <w:lang w:val="en-US" w:eastAsia="zh-CN" w:bidi="ar-SA"/>
        </w:rPr>
        <w:t>安阳县财政局：</w:t>
      </w:r>
    </w:p>
    <w:p>
      <w:pPr>
        <w:spacing w:line="360" w:lineRule="auto"/>
        <w:ind w:firstLine="56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我们接受贵单位委托</w:t>
      </w:r>
      <w:r>
        <w:rPr>
          <w:rFonts w:hint="eastAsia" w:ascii="仿宋" w:hAnsi="仿宋" w:eastAsia="仿宋" w:cs="仿宋"/>
          <w:color w:val="000000"/>
          <w:kern w:val="32"/>
          <w:sz w:val="28"/>
          <w:szCs w:val="28"/>
          <w:lang w:eastAsia="zh-CN"/>
        </w:rPr>
        <w:t>，</w:t>
      </w:r>
      <w:bookmarkStart w:id="3" w:name="_Toc424220248"/>
      <w:bookmarkStart w:id="4" w:name="_Toc424220293"/>
      <w:r>
        <w:rPr>
          <w:rFonts w:hint="eastAsia" w:ascii="仿宋" w:hAnsi="仿宋" w:eastAsia="仿宋" w:cs="仿宋"/>
          <w:color w:val="000000"/>
          <w:kern w:val="32"/>
          <w:sz w:val="28"/>
          <w:szCs w:val="28"/>
        </w:rPr>
        <w:t>为进一步加强预算绩效管理，提高绩效意识，强化支出责任，提高财政资金使用效益和财政支出管理水平</w:t>
      </w:r>
      <w:r>
        <w:rPr>
          <w:rFonts w:hint="eastAsia" w:ascii="仿宋" w:hAnsi="仿宋" w:eastAsia="仿宋" w:cs="仿宋"/>
          <w:color w:val="000000"/>
          <w:kern w:val="32"/>
          <w:sz w:val="28"/>
          <w:szCs w:val="28"/>
          <w:lang w:val="en-US" w:eastAsia="zh-CN"/>
        </w:rPr>
        <w:t>，根据《中华人民共和国预算法》、《财政支出绩效评价管理办法》(财预〔2020〕10号）、《中共河南省委  河南省人民政府关于全面实施预算绩效管理的实施意见》（豫发〔2019〕10号）以及《关于做好2021年财政支出重点项目及部门绩效评价工作的通知》（安县财效【2022】4号）</w:t>
      </w:r>
      <w:r>
        <w:rPr>
          <w:rFonts w:hint="eastAsia" w:ascii="仿宋" w:hAnsi="仿宋" w:eastAsia="仿宋" w:cs="仿宋"/>
          <w:spacing w:val="-6"/>
          <w:sz w:val="28"/>
          <w:szCs w:val="28"/>
        </w:rPr>
        <w:t>等</w:t>
      </w:r>
      <w:r>
        <w:rPr>
          <w:rFonts w:hint="eastAsia" w:ascii="仿宋" w:hAnsi="仿宋" w:eastAsia="仿宋" w:cs="仿宋"/>
          <w:color w:val="000000"/>
          <w:sz w:val="28"/>
          <w:szCs w:val="28"/>
        </w:rPr>
        <w:t>文件要求，</w:t>
      </w:r>
      <w:r>
        <w:rPr>
          <w:rFonts w:hint="eastAsia" w:ascii="仿宋" w:hAnsi="仿宋" w:eastAsia="仿宋" w:cs="仿宋"/>
          <w:color w:val="000000"/>
          <w:kern w:val="32"/>
          <w:sz w:val="28"/>
          <w:szCs w:val="28"/>
        </w:rPr>
        <w:t>对</w:t>
      </w:r>
      <w:r>
        <w:rPr>
          <w:rFonts w:hint="eastAsia" w:ascii="仿宋" w:hAnsi="仿宋" w:eastAsia="仿宋" w:cs="仿宋"/>
          <w:color w:val="000000"/>
          <w:kern w:val="32"/>
          <w:sz w:val="28"/>
          <w:szCs w:val="28"/>
          <w:lang w:val="en-US" w:eastAsia="zh-CN"/>
        </w:rPr>
        <w:t>安阳县城市管理局2021</w:t>
      </w:r>
      <w:r>
        <w:rPr>
          <w:rFonts w:hint="eastAsia" w:ascii="仿宋" w:hAnsi="仿宋" w:eastAsia="仿宋" w:cs="仿宋"/>
          <w:color w:val="000000"/>
          <w:kern w:val="32"/>
          <w:sz w:val="28"/>
          <w:szCs w:val="28"/>
        </w:rPr>
        <w:t>年度“</w:t>
      </w:r>
      <w:r>
        <w:rPr>
          <w:rFonts w:hint="eastAsia" w:ascii="仿宋" w:hAnsi="仿宋" w:eastAsia="仿宋" w:cs="仿宋"/>
          <w:color w:val="000000"/>
          <w:kern w:val="32"/>
          <w:sz w:val="28"/>
          <w:szCs w:val="28"/>
          <w:lang w:val="en-US" w:eastAsia="zh-CN"/>
        </w:rPr>
        <w:t>绿化管养服务费</w:t>
      </w:r>
      <w:r>
        <w:rPr>
          <w:rFonts w:hint="eastAsia" w:ascii="仿宋" w:hAnsi="仿宋" w:eastAsia="仿宋" w:cs="仿宋"/>
          <w:color w:val="000000"/>
          <w:kern w:val="32"/>
          <w:sz w:val="28"/>
          <w:szCs w:val="28"/>
        </w:rPr>
        <w:t>”项目的绩效完成情况实施绩效评价，形成本绩效评价报告。</w:t>
      </w:r>
      <w:bookmarkEnd w:id="3"/>
      <w:bookmarkEnd w:id="4"/>
    </w:p>
    <w:p>
      <w:pPr>
        <w:pStyle w:val="4"/>
        <w:spacing w:before="0" w:after="0" w:line="360" w:lineRule="auto"/>
        <w:ind w:firstLine="562" w:firstLineChars="200"/>
        <w:rPr>
          <w:rFonts w:hint="eastAsia" w:ascii="仿宋" w:hAnsi="仿宋" w:eastAsia="仿宋" w:cs="仿宋"/>
          <w:b/>
          <w:bCs w:val="0"/>
          <w:sz w:val="28"/>
          <w:szCs w:val="28"/>
        </w:rPr>
      </w:pPr>
      <w:bookmarkStart w:id="5" w:name="_Toc47736003"/>
      <w:bookmarkStart w:id="6" w:name="_Toc31111"/>
      <w:r>
        <w:rPr>
          <w:rFonts w:hint="eastAsia" w:ascii="仿宋" w:hAnsi="仿宋" w:eastAsia="仿宋" w:cs="仿宋"/>
          <w:b/>
          <w:bCs w:val="0"/>
          <w:sz w:val="28"/>
          <w:szCs w:val="28"/>
        </w:rPr>
        <w:t>一、项目基本情况</w:t>
      </w:r>
      <w:bookmarkEnd w:id="5"/>
      <w:bookmarkEnd w:id="6"/>
    </w:p>
    <w:p>
      <w:pPr>
        <w:pStyle w:val="5"/>
        <w:spacing w:before="0" w:after="0" w:line="360" w:lineRule="auto"/>
        <w:ind w:firstLine="562" w:firstLineChars="200"/>
        <w:rPr>
          <w:rFonts w:hint="eastAsia" w:ascii="仿宋" w:hAnsi="仿宋" w:eastAsia="仿宋" w:cs="仿宋"/>
          <w:b/>
          <w:bCs w:val="0"/>
          <w:sz w:val="28"/>
          <w:szCs w:val="28"/>
        </w:rPr>
      </w:pPr>
      <w:bookmarkStart w:id="7" w:name="_Toc47736004"/>
      <w:bookmarkStart w:id="8" w:name="_Toc17320"/>
      <w:r>
        <w:rPr>
          <w:rFonts w:hint="eastAsia" w:ascii="仿宋" w:hAnsi="仿宋" w:eastAsia="仿宋" w:cs="仿宋"/>
          <w:b/>
          <w:bCs w:val="0"/>
          <w:sz w:val="28"/>
          <w:szCs w:val="28"/>
        </w:rPr>
        <w:t>（一）概况</w:t>
      </w:r>
      <w:bookmarkEnd w:id="7"/>
      <w:bookmarkEnd w:id="8"/>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kern w:val="0"/>
          <w:sz w:val="28"/>
          <w:szCs w:val="28"/>
        </w:rPr>
        <w:t>1.</w:t>
      </w:r>
      <w:r>
        <w:rPr>
          <w:rFonts w:hint="eastAsia" w:ascii="仿宋" w:hAnsi="仿宋" w:eastAsia="仿宋" w:cs="仿宋"/>
          <w:color w:val="000000"/>
          <w:kern w:val="32"/>
          <w:sz w:val="28"/>
          <w:szCs w:val="28"/>
        </w:rPr>
        <w:t>立项背景及目的</w:t>
      </w:r>
    </w:p>
    <w:p>
      <w:pPr>
        <w:ind w:firstLine="640"/>
        <w:rPr>
          <w:rFonts w:hint="eastAsia" w:ascii="仿宋" w:hAnsi="仿宋" w:eastAsia="仿宋" w:cs="仿宋"/>
          <w:sz w:val="28"/>
          <w:szCs w:val="28"/>
        </w:rPr>
      </w:pPr>
      <w:r>
        <w:rPr>
          <w:rFonts w:hint="eastAsia" w:ascii="仿宋" w:hAnsi="仿宋" w:eastAsia="仿宋" w:cs="仿宋"/>
          <w:color w:val="000000"/>
          <w:kern w:val="32"/>
          <w:sz w:val="28"/>
          <w:szCs w:val="28"/>
          <w:lang w:val="en-US" w:eastAsia="zh-CN"/>
        </w:rPr>
        <w:t>根据安阳县人民政府常务会议纪要第（92）次第五条：研究建成区内绿化管养工作方案，将建成区内绿化管养工作由示范区城市发展服务局移交给县城管局，从2021年起，每年的绿化管养费用列入县城管局财政预算。</w:t>
      </w:r>
    </w:p>
    <w:p>
      <w:pPr>
        <w:pStyle w:val="6"/>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2.预算资金来源及使用情况</w:t>
      </w:r>
    </w:p>
    <w:p>
      <w:pPr>
        <w:pStyle w:val="6"/>
        <w:ind w:firstLine="560" w:firstLineChars="200"/>
        <w:rPr>
          <w:rFonts w:hint="eastAsia" w:ascii="仿宋" w:hAnsi="仿宋" w:eastAsia="仿宋" w:cs="仿宋"/>
          <w:color w:val="000000"/>
          <w:kern w:val="32"/>
          <w:sz w:val="28"/>
          <w:szCs w:val="28"/>
          <w:highlight w:val="yellow"/>
          <w:lang w:val="en-US" w:eastAsia="zh-CN"/>
        </w:rPr>
      </w:pPr>
      <w:r>
        <w:rPr>
          <w:rFonts w:hint="eastAsia" w:ascii="仿宋" w:hAnsi="仿宋" w:eastAsia="仿宋" w:cs="仿宋"/>
          <w:color w:val="000000"/>
          <w:kern w:val="32"/>
          <w:sz w:val="28"/>
          <w:szCs w:val="28"/>
        </w:rPr>
        <w:t>该项目预算资金</w:t>
      </w:r>
      <w:r>
        <w:rPr>
          <w:rFonts w:hint="eastAsia" w:ascii="仿宋" w:hAnsi="仿宋" w:eastAsia="仿宋" w:cs="仿宋"/>
          <w:color w:val="000000"/>
          <w:kern w:val="32"/>
          <w:sz w:val="28"/>
          <w:szCs w:val="28"/>
          <w:lang w:val="en-US" w:eastAsia="zh-CN"/>
        </w:rPr>
        <w:t>600</w:t>
      </w:r>
      <w:r>
        <w:rPr>
          <w:rFonts w:hint="eastAsia" w:ascii="仿宋" w:hAnsi="仿宋" w:eastAsia="仿宋" w:cs="仿宋"/>
          <w:color w:val="000000"/>
          <w:kern w:val="32"/>
          <w:sz w:val="28"/>
          <w:szCs w:val="28"/>
        </w:rPr>
        <w:t>万元，</w:t>
      </w:r>
      <w:r>
        <w:rPr>
          <w:rFonts w:hint="eastAsia" w:ascii="仿宋" w:hAnsi="仿宋" w:eastAsia="仿宋" w:cs="仿宋"/>
          <w:color w:val="000000"/>
          <w:kern w:val="32"/>
          <w:sz w:val="28"/>
          <w:szCs w:val="28"/>
          <w:lang w:val="en-US" w:eastAsia="zh-CN"/>
        </w:rPr>
        <w:t>主要用于对住建局已建成的绿化用地进行管养，确保园林绿地更加整洁、优美、有序，有效巩固和提高安阳县绿化品位，为市民提供绿色生态、改善城市生态环境，优化绿地结构，完善城市绿地系统。</w:t>
      </w:r>
    </w:p>
    <w:p>
      <w:pPr>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lang w:val="en-US" w:eastAsia="zh-CN"/>
        </w:rPr>
        <w:t>2021年1月1日</w:t>
      </w:r>
      <w:r>
        <w:rPr>
          <w:rFonts w:hint="eastAsia" w:ascii="仿宋" w:hAnsi="仿宋" w:eastAsia="仿宋" w:cs="仿宋"/>
          <w:color w:val="000000"/>
          <w:kern w:val="32"/>
          <w:sz w:val="28"/>
          <w:szCs w:val="28"/>
        </w:rPr>
        <w:t>至20</w:t>
      </w:r>
      <w:r>
        <w:rPr>
          <w:rFonts w:hint="eastAsia" w:ascii="仿宋" w:hAnsi="仿宋" w:eastAsia="仿宋" w:cs="仿宋"/>
          <w:color w:val="000000"/>
          <w:kern w:val="32"/>
          <w:sz w:val="28"/>
          <w:szCs w:val="28"/>
          <w:lang w:val="en-US" w:eastAsia="zh-CN"/>
        </w:rPr>
        <w:t>21</w:t>
      </w:r>
      <w:r>
        <w:rPr>
          <w:rFonts w:hint="eastAsia" w:ascii="仿宋" w:hAnsi="仿宋" w:eastAsia="仿宋" w:cs="仿宋"/>
          <w:color w:val="000000"/>
          <w:kern w:val="32"/>
          <w:sz w:val="28"/>
          <w:szCs w:val="28"/>
        </w:rPr>
        <w:t>年12月31日，该项目共支出</w:t>
      </w:r>
      <w:r>
        <w:rPr>
          <w:rFonts w:hint="eastAsia" w:ascii="仿宋" w:hAnsi="仿宋" w:eastAsia="仿宋" w:cs="仿宋"/>
          <w:color w:val="000000"/>
          <w:kern w:val="32"/>
          <w:sz w:val="28"/>
          <w:szCs w:val="28"/>
          <w:lang w:val="en-US" w:eastAsia="zh-CN"/>
        </w:rPr>
        <w:t>393.58</w:t>
      </w:r>
      <w:r>
        <w:rPr>
          <w:rFonts w:hint="eastAsia" w:ascii="仿宋" w:hAnsi="仿宋" w:eastAsia="仿宋" w:cs="仿宋"/>
          <w:color w:val="000000"/>
          <w:kern w:val="32"/>
          <w:sz w:val="28"/>
          <w:szCs w:val="28"/>
        </w:rPr>
        <w:t>万元，预算执行率为</w:t>
      </w:r>
      <w:r>
        <w:rPr>
          <w:rFonts w:hint="eastAsia" w:ascii="仿宋" w:hAnsi="仿宋" w:eastAsia="仿宋" w:cs="仿宋"/>
          <w:color w:val="000000"/>
          <w:kern w:val="32"/>
          <w:sz w:val="28"/>
          <w:szCs w:val="28"/>
          <w:lang w:val="en-US" w:eastAsia="zh-CN"/>
        </w:rPr>
        <w:t>65.60</w:t>
      </w:r>
      <w:r>
        <w:rPr>
          <w:rFonts w:hint="eastAsia" w:ascii="仿宋" w:hAnsi="仿宋" w:eastAsia="仿宋" w:cs="仿宋"/>
          <w:color w:val="000000"/>
          <w:kern w:val="32"/>
          <w:sz w:val="28"/>
          <w:szCs w:val="28"/>
        </w:rPr>
        <w:t>%。其中：</w:t>
      </w:r>
      <w:r>
        <w:rPr>
          <w:rFonts w:hint="eastAsia" w:ascii="仿宋" w:hAnsi="仿宋" w:eastAsia="仿宋" w:cs="仿宋"/>
          <w:color w:val="000000"/>
          <w:kern w:val="32"/>
          <w:sz w:val="28"/>
          <w:szCs w:val="28"/>
          <w:lang w:val="en-US" w:eastAsia="zh-CN"/>
        </w:rPr>
        <w:t>委托业务费393.58</w:t>
      </w:r>
      <w:r>
        <w:rPr>
          <w:rFonts w:hint="eastAsia" w:ascii="仿宋" w:hAnsi="仿宋" w:eastAsia="仿宋" w:cs="仿宋"/>
          <w:color w:val="000000"/>
          <w:kern w:val="32"/>
          <w:sz w:val="28"/>
          <w:szCs w:val="28"/>
        </w:rPr>
        <w:t>万元。该项目共结余</w:t>
      </w:r>
      <w:r>
        <w:rPr>
          <w:rFonts w:hint="eastAsia" w:ascii="仿宋" w:hAnsi="仿宋" w:eastAsia="仿宋" w:cs="仿宋"/>
          <w:color w:val="000000"/>
          <w:kern w:val="32"/>
          <w:sz w:val="28"/>
          <w:szCs w:val="28"/>
          <w:lang w:val="en-US" w:eastAsia="zh-CN"/>
        </w:rPr>
        <w:t>206.42</w:t>
      </w:r>
      <w:r>
        <w:rPr>
          <w:rFonts w:hint="eastAsia" w:ascii="仿宋" w:hAnsi="仿宋" w:eastAsia="仿宋" w:cs="仿宋"/>
          <w:color w:val="000000"/>
          <w:kern w:val="32"/>
          <w:sz w:val="28"/>
          <w:szCs w:val="28"/>
        </w:rPr>
        <w:t>万元。</w:t>
      </w:r>
      <w:r>
        <w:rPr>
          <w:rFonts w:hint="eastAsia" w:ascii="仿宋" w:hAnsi="仿宋" w:eastAsia="仿宋" w:cs="仿宋"/>
          <w:color w:val="000000"/>
          <w:kern w:val="32"/>
          <w:sz w:val="28"/>
          <w:szCs w:val="28"/>
          <w:highlight w:val="none"/>
        </w:rPr>
        <w:t>结余资金原因为</w:t>
      </w:r>
      <w:r>
        <w:rPr>
          <w:rFonts w:hint="eastAsia" w:ascii="仿宋" w:hAnsi="仿宋" w:eastAsia="仿宋" w:cs="仿宋"/>
          <w:color w:val="000000"/>
          <w:kern w:val="32"/>
          <w:sz w:val="28"/>
          <w:szCs w:val="28"/>
          <w:highlight w:val="none"/>
          <w:lang w:eastAsia="zh-CN"/>
        </w:rPr>
        <w:t>：</w:t>
      </w:r>
      <w:r>
        <w:rPr>
          <w:rFonts w:hint="eastAsia" w:ascii="仿宋" w:hAnsi="仿宋" w:eastAsia="仿宋" w:cs="仿宋"/>
          <w:color w:val="000000"/>
          <w:kern w:val="32"/>
          <w:sz w:val="28"/>
          <w:szCs w:val="28"/>
          <w:highlight w:val="none"/>
          <w:lang w:val="en-US" w:eastAsia="zh-CN"/>
        </w:rPr>
        <w:t>由于2021年第四季度考核于2022年1月进行，故未支付2021年第四季度费用</w:t>
      </w:r>
      <w:r>
        <w:rPr>
          <w:rFonts w:hint="eastAsia" w:ascii="仿宋" w:hAnsi="仿宋" w:eastAsia="仿宋" w:cs="仿宋"/>
          <w:color w:val="000000"/>
          <w:kern w:val="32"/>
          <w:sz w:val="28"/>
          <w:szCs w:val="28"/>
          <w:highlight w:val="none"/>
          <w:lang w:eastAsia="zh-CN"/>
        </w:rPr>
        <w:t>。</w:t>
      </w:r>
      <w:r>
        <w:rPr>
          <w:rFonts w:hint="eastAsia" w:ascii="仿宋" w:hAnsi="仿宋" w:eastAsia="仿宋" w:cs="仿宋"/>
          <w:color w:val="000000"/>
          <w:kern w:val="32"/>
          <w:sz w:val="28"/>
          <w:szCs w:val="28"/>
        </w:rPr>
        <w:t>资金构成及支付明细详见下表2：</w:t>
      </w:r>
    </w:p>
    <w:p>
      <w:pPr>
        <w:rPr>
          <w:rFonts w:hint="eastAsia" w:ascii="仿宋_GB2312" w:hAnsi="仿宋" w:eastAsia="仿宋_GB2312" w:cs="Calibri"/>
          <w:color w:val="000000"/>
          <w:kern w:val="32"/>
          <w:sz w:val="32"/>
          <w:szCs w:val="32"/>
          <w:highlight w:val="none"/>
          <w:lang w:eastAsia="zh-CN"/>
        </w:rPr>
      </w:pPr>
      <w:r>
        <w:rPr>
          <w:rFonts w:hint="eastAsia" w:ascii="等线" w:hAnsi="等线" w:eastAsia="等线" w:cs="宋体"/>
          <w:color w:val="000000"/>
          <w:kern w:val="0"/>
          <w:szCs w:val="21"/>
        </w:rPr>
        <w:t>表2：</w:t>
      </w:r>
      <w:r>
        <w:rPr>
          <w:rFonts w:ascii="等线" w:hAnsi="等线" w:eastAsia="等线" w:cs="宋体"/>
          <w:color w:val="000000"/>
          <w:kern w:val="0"/>
          <w:szCs w:val="21"/>
        </w:rPr>
        <w:t xml:space="preserve"> </w:t>
      </w:r>
      <w:r>
        <w:rPr>
          <w:rFonts w:ascii="等线" w:hAnsi="等线" w:eastAsia="等线" w:cs="宋体"/>
          <w:color w:val="000000"/>
          <w:kern w:val="0"/>
          <w:sz w:val="28"/>
          <w:szCs w:val="28"/>
        </w:rPr>
        <w:t xml:space="preserve">       </w:t>
      </w:r>
      <w:r>
        <w:rPr>
          <w:rFonts w:ascii="仿宋" w:hAnsi="仿宋" w:eastAsia="仿宋" w:cs="宋体"/>
          <w:color w:val="000000"/>
          <w:kern w:val="0"/>
          <w:sz w:val="28"/>
          <w:szCs w:val="28"/>
        </w:rPr>
        <w:t xml:space="preserve">   </w:t>
      </w:r>
      <w:r>
        <w:rPr>
          <w:rFonts w:hint="eastAsia" w:ascii="仿宋" w:hAnsi="仿宋" w:eastAsia="仿宋" w:cs="宋体"/>
          <w:color w:val="000000"/>
          <w:kern w:val="0"/>
          <w:sz w:val="28"/>
          <w:szCs w:val="28"/>
        </w:rPr>
        <w:t xml:space="preserve">2021年资金构成及支付明细表 </w:t>
      </w:r>
      <w:r>
        <w:rPr>
          <w:rFonts w:ascii="仿宋" w:hAnsi="仿宋" w:eastAsia="仿宋" w:cs="宋体"/>
          <w:color w:val="000000"/>
          <w:kern w:val="0"/>
          <w:sz w:val="28"/>
          <w:szCs w:val="28"/>
        </w:rPr>
        <w:t xml:space="preserve"> </w:t>
      </w:r>
      <w:r>
        <w:rPr>
          <w:rFonts w:ascii="等线" w:hAnsi="等线" w:eastAsia="等线" w:cs="宋体"/>
          <w:color w:val="000000"/>
          <w:kern w:val="0"/>
          <w:sz w:val="28"/>
          <w:szCs w:val="28"/>
        </w:rPr>
        <w:t xml:space="preserve">       </w:t>
      </w:r>
      <w:r>
        <w:rPr>
          <w:rFonts w:hint="eastAsia" w:ascii="等线" w:hAnsi="等线" w:eastAsia="等线" w:cs="宋体"/>
          <w:color w:val="000000"/>
          <w:kern w:val="0"/>
          <w:sz w:val="18"/>
          <w:szCs w:val="18"/>
        </w:rPr>
        <w:t>单位：元</w:t>
      </w:r>
    </w:p>
    <w:tbl>
      <w:tblPr>
        <w:tblStyle w:val="19"/>
        <w:tblW w:w="8313" w:type="dxa"/>
        <w:tblInd w:w="108" w:type="dxa"/>
        <w:tblLayout w:type="fixed"/>
        <w:tblCellMar>
          <w:top w:w="0" w:type="dxa"/>
          <w:left w:w="108" w:type="dxa"/>
          <w:bottom w:w="0" w:type="dxa"/>
          <w:right w:w="108" w:type="dxa"/>
        </w:tblCellMar>
      </w:tblPr>
      <w:tblGrid>
        <w:gridCol w:w="1033"/>
        <w:gridCol w:w="1470"/>
        <w:gridCol w:w="1470"/>
        <w:gridCol w:w="1560"/>
        <w:gridCol w:w="1450"/>
        <w:gridCol w:w="1330"/>
      </w:tblGrid>
      <w:tr>
        <w:tblPrEx>
          <w:tblCellMar>
            <w:top w:w="0" w:type="dxa"/>
            <w:left w:w="108" w:type="dxa"/>
            <w:bottom w:w="0" w:type="dxa"/>
            <w:right w:w="108" w:type="dxa"/>
          </w:tblCellMar>
        </w:tblPrEx>
        <w:trPr>
          <w:trHeight w:val="9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级别</w:t>
            </w:r>
          </w:p>
        </w:tc>
        <w:tc>
          <w:tcPr>
            <w:tcW w:w="1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2021年预算金额</w:t>
            </w:r>
          </w:p>
        </w:tc>
        <w:tc>
          <w:tcPr>
            <w:tcW w:w="1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2021年追加预算</w:t>
            </w:r>
          </w:p>
        </w:tc>
        <w:tc>
          <w:tcPr>
            <w:tcW w:w="1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2021年支付合计</w:t>
            </w:r>
          </w:p>
        </w:tc>
        <w:tc>
          <w:tcPr>
            <w:tcW w:w="14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2021年年末结余</w:t>
            </w:r>
          </w:p>
        </w:tc>
        <w:tc>
          <w:tcPr>
            <w:tcW w:w="13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预算执行率</w:t>
            </w:r>
          </w:p>
        </w:tc>
      </w:tr>
      <w:tr>
        <w:tblPrEx>
          <w:tblCellMar>
            <w:top w:w="0" w:type="dxa"/>
            <w:left w:w="108" w:type="dxa"/>
            <w:bottom w:w="0" w:type="dxa"/>
            <w:right w:w="108" w:type="dxa"/>
          </w:tblCellMar>
        </w:tblPrEx>
        <w:trPr>
          <w:trHeight w:val="664" w:hRule="atLeast"/>
        </w:trPr>
        <w:tc>
          <w:tcPr>
            <w:tcW w:w="103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lang w:val="en-US" w:eastAsia="zh-CN"/>
              </w:rPr>
              <w:t>县</w:t>
            </w:r>
            <w:r>
              <w:rPr>
                <w:rFonts w:hint="eastAsia" w:ascii="仿宋" w:hAnsi="仿宋" w:eastAsia="仿宋" w:cs="宋体"/>
                <w:color w:val="000000"/>
                <w:kern w:val="0"/>
                <w:sz w:val="20"/>
                <w:szCs w:val="20"/>
              </w:rPr>
              <w:t>级</w:t>
            </w:r>
          </w:p>
        </w:tc>
        <w:tc>
          <w:tcPr>
            <w:tcW w:w="1470" w:type="dxa"/>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6,000,000.00</w:t>
            </w:r>
          </w:p>
        </w:tc>
        <w:tc>
          <w:tcPr>
            <w:tcW w:w="1470" w:type="dxa"/>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0.00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3,935,800.00</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2,064,200.00</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65.60%</w:t>
            </w:r>
          </w:p>
        </w:tc>
      </w:tr>
      <w:tr>
        <w:tblPrEx>
          <w:tblCellMar>
            <w:top w:w="0" w:type="dxa"/>
            <w:left w:w="108" w:type="dxa"/>
            <w:bottom w:w="0" w:type="dxa"/>
            <w:right w:w="108" w:type="dxa"/>
          </w:tblCellMar>
        </w:tblPrEx>
        <w:trPr>
          <w:trHeight w:val="674" w:hRule="atLeast"/>
        </w:trPr>
        <w:tc>
          <w:tcPr>
            <w:tcW w:w="103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合计</w:t>
            </w:r>
          </w:p>
        </w:tc>
        <w:tc>
          <w:tcPr>
            <w:tcW w:w="147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6,000,000.00</w:t>
            </w:r>
          </w:p>
        </w:tc>
        <w:tc>
          <w:tcPr>
            <w:tcW w:w="147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0.00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3,935,800.00</w:t>
            </w:r>
          </w:p>
        </w:tc>
        <w:tc>
          <w:tcPr>
            <w:tcW w:w="145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2,064,200.00</w:t>
            </w:r>
          </w:p>
        </w:tc>
        <w:tc>
          <w:tcPr>
            <w:tcW w:w="133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rPr>
              <w:t>65.60%</w:t>
            </w:r>
          </w:p>
        </w:tc>
      </w:tr>
    </w:tbl>
    <w:p>
      <w:pPr>
        <w:pStyle w:val="6"/>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3.项目实施情况</w:t>
      </w:r>
    </w:p>
    <w:p>
      <w:pPr>
        <w:autoSpaceDE w:val="0"/>
        <w:autoSpaceDN w:val="0"/>
        <w:adjustRightInd w:val="0"/>
        <w:snapToGrid w:val="0"/>
        <w:spacing w:line="584" w:lineRule="exact"/>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该项目20</w:t>
      </w:r>
      <w:r>
        <w:rPr>
          <w:rFonts w:hint="eastAsia" w:ascii="仿宋" w:hAnsi="仿宋" w:eastAsia="仿宋" w:cs="仿宋"/>
          <w:color w:val="000000"/>
          <w:kern w:val="32"/>
          <w:sz w:val="28"/>
          <w:szCs w:val="28"/>
          <w:lang w:val="en-US" w:eastAsia="zh-CN"/>
        </w:rPr>
        <w:t>21年</w:t>
      </w:r>
      <w:r>
        <w:rPr>
          <w:rFonts w:hint="eastAsia" w:ascii="仿宋" w:hAnsi="仿宋" w:eastAsia="仿宋" w:cs="仿宋"/>
          <w:color w:val="000000"/>
          <w:kern w:val="32"/>
          <w:sz w:val="28"/>
          <w:szCs w:val="28"/>
        </w:rPr>
        <w:t>主要完成</w:t>
      </w:r>
      <w:r>
        <w:rPr>
          <w:rFonts w:hint="eastAsia" w:ascii="仿宋" w:hAnsi="仿宋" w:eastAsia="仿宋" w:cs="仿宋"/>
          <w:color w:val="000000"/>
          <w:kern w:val="32"/>
          <w:sz w:val="28"/>
          <w:szCs w:val="28"/>
          <w:lang w:val="en-US" w:eastAsia="zh-CN"/>
        </w:rPr>
        <w:t>管养绿化面积178万平方米左右，主要涵盖了文明，文峰，铜雀，金凤等主要路段，对建成区绿地浇灌返青水共154万余平方米，在建成区主要街道分车带、街头游园、广场公园的春季修建工作中，绿篱及模纹带修建面积达45万平方米，草坪修建面积达83万余平方米</w:t>
      </w: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积极开展病虫害防治工作，对文峰大道、文明大道、铜雀路、金凤路等26条道路、各街头游园、礼湖公园的白粉病、蚜虫等病虫害进行防治，施药面积达90余万平方米，补植绿地2.40余万平方米。</w:t>
      </w:r>
    </w:p>
    <w:p>
      <w:pPr>
        <w:autoSpaceDE w:val="0"/>
        <w:autoSpaceDN w:val="0"/>
        <w:adjustRightInd w:val="0"/>
        <w:snapToGrid w:val="0"/>
        <w:spacing w:line="584"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4.组织及管理</w:t>
      </w:r>
    </w:p>
    <w:p>
      <w:pPr>
        <w:pStyle w:val="6"/>
        <w:ind w:firstLine="560" w:firstLineChars="200"/>
        <w:rPr>
          <w:rFonts w:hint="eastAsia" w:ascii="仿宋" w:hAnsi="仿宋" w:eastAsia="仿宋" w:cs="仿宋"/>
          <w:sz w:val="28"/>
          <w:szCs w:val="28"/>
        </w:rPr>
      </w:pPr>
      <w:r>
        <w:rPr>
          <w:rFonts w:hint="eastAsia" w:ascii="仿宋" w:hAnsi="仿宋" w:eastAsia="仿宋" w:cs="仿宋"/>
          <w:sz w:val="28"/>
          <w:szCs w:val="28"/>
        </w:rPr>
        <w:t>（1）项目组织情况</w:t>
      </w:r>
    </w:p>
    <w:p>
      <w:pPr>
        <w:pStyle w:val="6"/>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该项目由</w:t>
      </w:r>
      <w:r>
        <w:rPr>
          <w:rFonts w:hint="eastAsia" w:ascii="仿宋" w:hAnsi="仿宋" w:eastAsia="仿宋" w:cs="仿宋"/>
          <w:color w:val="000000"/>
          <w:sz w:val="28"/>
          <w:szCs w:val="28"/>
          <w:lang w:val="en-US" w:eastAsia="zh-CN"/>
        </w:rPr>
        <w:t>安阳县城市管理局</w:t>
      </w:r>
      <w:r>
        <w:rPr>
          <w:rFonts w:hint="eastAsia" w:ascii="仿宋" w:hAnsi="仿宋" w:eastAsia="仿宋" w:cs="仿宋"/>
          <w:color w:val="000000"/>
          <w:sz w:val="28"/>
          <w:szCs w:val="28"/>
        </w:rPr>
        <w:t>组织实施，承担</w:t>
      </w:r>
      <w:r>
        <w:rPr>
          <w:rFonts w:hint="eastAsia" w:ascii="仿宋" w:hAnsi="仿宋" w:eastAsia="仿宋" w:cs="仿宋"/>
          <w:color w:val="000000"/>
          <w:sz w:val="28"/>
          <w:szCs w:val="28"/>
          <w:lang w:val="en-US" w:eastAsia="zh-CN"/>
        </w:rPr>
        <w:t>自2020年11月后接收住建局移交的</w:t>
      </w:r>
      <w:r>
        <w:rPr>
          <w:rFonts w:hint="eastAsia" w:ascii="仿宋" w:hAnsi="仿宋" w:eastAsia="仿宋" w:cs="仿宋"/>
          <w:color w:val="000000"/>
          <w:kern w:val="32"/>
          <w:sz w:val="28"/>
          <w:szCs w:val="28"/>
          <w:lang w:val="en-US" w:eastAsia="zh-CN"/>
        </w:rPr>
        <w:t>区内绿化管养</w:t>
      </w:r>
      <w:r>
        <w:rPr>
          <w:rFonts w:hint="eastAsia" w:ascii="仿宋" w:hAnsi="仿宋" w:eastAsia="仿宋" w:cs="仿宋"/>
          <w:color w:val="000000"/>
          <w:sz w:val="28"/>
          <w:szCs w:val="28"/>
        </w:rPr>
        <w:t>工作。</w:t>
      </w:r>
    </w:p>
    <w:p>
      <w:pPr>
        <w:pStyle w:val="6"/>
        <w:ind w:firstLine="560" w:firstLineChars="200"/>
        <w:rPr>
          <w:rFonts w:hint="eastAsia" w:ascii="仿宋" w:hAnsi="仿宋" w:eastAsia="仿宋" w:cs="仿宋"/>
          <w:color w:val="000000"/>
          <w:sz w:val="28"/>
          <w:szCs w:val="28"/>
          <w:lang w:val="en-US"/>
        </w:rPr>
      </w:pPr>
      <w:r>
        <w:rPr>
          <w:rFonts w:hint="eastAsia" w:ascii="仿宋" w:hAnsi="仿宋" w:eastAsia="仿宋" w:cs="仿宋"/>
          <w:color w:val="000000"/>
          <w:sz w:val="28"/>
          <w:szCs w:val="28"/>
          <w:lang w:val="en-US" w:eastAsia="zh-CN"/>
        </w:rPr>
        <w:t>安阳县城市管理局通过招标确定了四家养护公司，依据《安阳县城管局绿化养护考核管理办法》对四家公司进行监督管理，按照《安阳市城市园林绿化监督考评计分标准》的要求对日常养护成效进行监督考核，根据考核结果支付绿化管养费用。</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sz w:val="28"/>
          <w:szCs w:val="28"/>
        </w:rPr>
        <w:t>为提高</w:t>
      </w:r>
      <w:r>
        <w:rPr>
          <w:rFonts w:hint="eastAsia" w:ascii="仿宋" w:hAnsi="仿宋" w:eastAsia="仿宋" w:cs="仿宋"/>
          <w:color w:val="000000"/>
          <w:sz w:val="28"/>
          <w:szCs w:val="28"/>
          <w:lang w:val="en-US" w:eastAsia="zh-CN"/>
        </w:rPr>
        <w:t>单位人员的专业</w:t>
      </w:r>
      <w:r>
        <w:rPr>
          <w:rFonts w:hint="eastAsia" w:ascii="仿宋" w:hAnsi="仿宋" w:eastAsia="仿宋" w:cs="仿宋"/>
          <w:color w:val="000000"/>
          <w:sz w:val="28"/>
          <w:szCs w:val="28"/>
        </w:rPr>
        <w:t>技能水平，</w:t>
      </w:r>
      <w:r>
        <w:rPr>
          <w:rFonts w:hint="eastAsia" w:ascii="仿宋" w:hAnsi="仿宋" w:eastAsia="仿宋" w:cs="仿宋"/>
          <w:color w:val="000000"/>
          <w:sz w:val="28"/>
          <w:szCs w:val="28"/>
          <w:lang w:val="en-US" w:eastAsia="zh-CN"/>
        </w:rPr>
        <w:t>安阳县城市管理局每月邀请市园林研究所专家组来辖区进行现场指导，对日常工作中遇到的困难疑问积极请教。组织集体学习活动</w:t>
      </w:r>
      <w:r>
        <w:rPr>
          <w:rFonts w:hint="eastAsia" w:ascii="仿宋" w:hAnsi="仿宋" w:eastAsia="仿宋" w:cs="仿宋"/>
          <w:color w:val="000000"/>
          <w:sz w:val="28"/>
          <w:szCs w:val="28"/>
        </w:rPr>
        <w:t>。</w:t>
      </w:r>
    </w:p>
    <w:p>
      <w:pPr>
        <w:pStyle w:val="6"/>
        <w:ind w:firstLine="560" w:firstLineChars="200"/>
        <w:rPr>
          <w:rFonts w:hint="eastAsia" w:ascii="仿宋" w:hAnsi="仿宋" w:eastAsia="仿宋" w:cs="仿宋"/>
          <w:sz w:val="28"/>
          <w:szCs w:val="28"/>
        </w:rPr>
      </w:pPr>
      <w:r>
        <w:rPr>
          <w:rFonts w:hint="eastAsia" w:ascii="仿宋" w:hAnsi="仿宋" w:eastAsia="仿宋" w:cs="仿宋"/>
          <w:sz w:val="28"/>
          <w:szCs w:val="28"/>
        </w:rPr>
        <w:t>（2）项目管理情况</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①项目资金管理情况</w:t>
      </w:r>
    </w:p>
    <w:p>
      <w:pPr>
        <w:ind w:firstLine="64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为加强对财政资金的管理，</w:t>
      </w:r>
      <w:r>
        <w:rPr>
          <w:rFonts w:hint="eastAsia" w:ascii="仿宋" w:hAnsi="仿宋" w:eastAsia="仿宋" w:cs="仿宋"/>
          <w:color w:val="000000"/>
          <w:kern w:val="32"/>
          <w:sz w:val="28"/>
          <w:szCs w:val="28"/>
          <w:lang w:eastAsia="zh-CN"/>
        </w:rPr>
        <w:t>安阳县城市管理局</w:t>
      </w:r>
      <w:r>
        <w:rPr>
          <w:rFonts w:hint="eastAsia" w:ascii="仿宋" w:hAnsi="仿宋" w:eastAsia="仿宋" w:cs="仿宋"/>
          <w:color w:val="000000"/>
          <w:kern w:val="32"/>
          <w:sz w:val="28"/>
          <w:szCs w:val="28"/>
        </w:rPr>
        <w:t>制定了《</w:t>
      </w:r>
      <w:r>
        <w:rPr>
          <w:rFonts w:hint="eastAsia" w:ascii="仿宋" w:hAnsi="仿宋" w:eastAsia="仿宋" w:cs="仿宋"/>
          <w:color w:val="000000"/>
          <w:kern w:val="32"/>
          <w:sz w:val="28"/>
          <w:szCs w:val="28"/>
          <w:lang w:eastAsia="zh-CN"/>
        </w:rPr>
        <w:t>安阳县城市管理局</w:t>
      </w:r>
      <w:r>
        <w:rPr>
          <w:rFonts w:hint="eastAsia" w:ascii="仿宋" w:hAnsi="仿宋" w:eastAsia="仿宋" w:cs="仿宋"/>
          <w:color w:val="000000"/>
          <w:kern w:val="32"/>
          <w:sz w:val="28"/>
          <w:szCs w:val="28"/>
        </w:rPr>
        <w:t>财务管理办法》</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专项资金管理制度</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绩效考核评价制度</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rPr>
        <w:t>等管理制度和办法，用于规范项目资金的使用和管理，对于大额资金的使用，均需局长办公会审核、批准。</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②项目管理制度及执行情况</w:t>
      </w:r>
    </w:p>
    <w:p>
      <w:pPr>
        <w:spacing w:line="620" w:lineRule="exact"/>
        <w:ind w:firstLine="64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为加强</w:t>
      </w:r>
      <w:r>
        <w:rPr>
          <w:rFonts w:hint="eastAsia" w:ascii="仿宋" w:hAnsi="仿宋" w:eastAsia="仿宋" w:cs="仿宋"/>
          <w:color w:val="000000"/>
          <w:kern w:val="32"/>
          <w:sz w:val="28"/>
          <w:szCs w:val="28"/>
          <w:lang w:val="en-US" w:eastAsia="zh-CN"/>
        </w:rPr>
        <w:t>项目</w:t>
      </w:r>
      <w:r>
        <w:rPr>
          <w:rFonts w:hint="eastAsia" w:ascii="仿宋" w:hAnsi="仿宋" w:eastAsia="仿宋" w:cs="仿宋"/>
          <w:color w:val="000000"/>
          <w:kern w:val="32"/>
          <w:sz w:val="28"/>
          <w:szCs w:val="28"/>
        </w:rPr>
        <w:t>的管理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安</w:t>
      </w:r>
      <w:r>
        <w:rPr>
          <w:rFonts w:hint="eastAsia" w:ascii="仿宋" w:hAnsi="仿宋" w:eastAsia="仿宋" w:cs="仿宋"/>
          <w:color w:val="000000"/>
          <w:kern w:val="32"/>
          <w:sz w:val="28"/>
          <w:szCs w:val="28"/>
          <w:lang w:eastAsia="zh-CN"/>
        </w:rPr>
        <w:t>阳县城市管理局</w:t>
      </w:r>
      <w:r>
        <w:rPr>
          <w:rFonts w:hint="eastAsia" w:ascii="仿宋" w:hAnsi="仿宋" w:eastAsia="仿宋" w:cs="仿宋"/>
          <w:color w:val="000000"/>
          <w:kern w:val="32"/>
          <w:sz w:val="28"/>
          <w:szCs w:val="28"/>
          <w:lang w:val="en-US" w:eastAsia="zh-CN"/>
        </w:rPr>
        <w:t>制定了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项目管理办法</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明确了项目任务下达与实施、成果审查与提交、奖罚等具体要求。</w:t>
      </w:r>
    </w:p>
    <w:p>
      <w:pPr>
        <w:pStyle w:val="5"/>
        <w:spacing w:before="0" w:after="0" w:line="360" w:lineRule="auto"/>
        <w:ind w:firstLine="562" w:firstLineChars="200"/>
        <w:rPr>
          <w:rFonts w:hint="eastAsia" w:ascii="仿宋" w:hAnsi="仿宋" w:eastAsia="仿宋" w:cs="仿宋"/>
          <w:b/>
          <w:bCs w:val="0"/>
          <w:sz w:val="28"/>
          <w:szCs w:val="28"/>
        </w:rPr>
      </w:pPr>
      <w:bookmarkStart w:id="9" w:name="_Toc47736005"/>
      <w:bookmarkStart w:id="10" w:name="_Toc24413"/>
      <w:r>
        <w:rPr>
          <w:rFonts w:hint="eastAsia" w:ascii="仿宋" w:hAnsi="仿宋" w:eastAsia="仿宋" w:cs="仿宋"/>
          <w:b/>
          <w:bCs w:val="0"/>
          <w:sz w:val="28"/>
          <w:szCs w:val="28"/>
        </w:rPr>
        <w:t>（二）绩效目标</w:t>
      </w:r>
      <w:bookmarkEnd w:id="9"/>
      <w:bookmarkEnd w:id="10"/>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1.总体目标</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lang w:val="en-US" w:eastAsia="zh-CN"/>
        </w:rPr>
        <w:t>完成辖区内的绿化养护工作</w:t>
      </w:r>
      <w:r>
        <w:rPr>
          <w:rFonts w:hint="eastAsia" w:ascii="仿宋" w:hAnsi="仿宋" w:eastAsia="仿宋" w:cs="仿宋"/>
          <w:color w:val="000000"/>
          <w:kern w:val="32"/>
          <w:sz w:val="28"/>
          <w:szCs w:val="28"/>
        </w:rPr>
        <w:t>。</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2.阶段性目标</w:t>
      </w:r>
    </w:p>
    <w:p>
      <w:pPr>
        <w:pStyle w:val="4"/>
        <w:spacing w:before="0" w:after="0" w:line="360" w:lineRule="auto"/>
        <w:ind w:firstLine="560" w:firstLineChars="200"/>
        <w:rPr>
          <w:rFonts w:hint="eastAsia" w:ascii="仿宋" w:hAnsi="仿宋" w:eastAsia="仿宋" w:cs="仿宋"/>
          <w:b w:val="0"/>
          <w:bCs w:val="0"/>
          <w:color w:val="000000"/>
          <w:kern w:val="32"/>
          <w:sz w:val="28"/>
          <w:szCs w:val="28"/>
          <w:lang w:val="en-US" w:eastAsia="zh-CN" w:bidi="ar-SA"/>
        </w:rPr>
      </w:pPr>
      <w:bookmarkStart w:id="11" w:name="_Toc6179"/>
      <w:bookmarkStart w:id="12" w:name="_Toc47736006"/>
      <w:r>
        <w:rPr>
          <w:rFonts w:hint="eastAsia" w:ascii="仿宋" w:hAnsi="仿宋" w:eastAsia="仿宋" w:cs="仿宋"/>
          <w:b w:val="0"/>
          <w:bCs w:val="0"/>
          <w:color w:val="000000"/>
          <w:kern w:val="32"/>
          <w:sz w:val="28"/>
          <w:szCs w:val="28"/>
          <w:lang w:val="en-US" w:eastAsia="zh-CN" w:bidi="ar-SA"/>
        </w:rPr>
        <w:t>完成辖区内2020年11月至2021年12月的绿化养护工作。</w:t>
      </w:r>
    </w:p>
    <w:p>
      <w:pPr>
        <w:pStyle w:val="4"/>
        <w:spacing w:before="0" w:after="0" w:line="360" w:lineRule="auto"/>
        <w:ind w:firstLine="562" w:firstLineChars="200"/>
        <w:rPr>
          <w:rFonts w:hint="eastAsia" w:ascii="仿宋" w:hAnsi="仿宋" w:eastAsia="仿宋" w:cs="仿宋"/>
          <w:bCs w:val="0"/>
          <w:kern w:val="0"/>
          <w:sz w:val="28"/>
          <w:szCs w:val="28"/>
        </w:rPr>
      </w:pPr>
      <w:r>
        <w:rPr>
          <w:rFonts w:hint="eastAsia" w:ascii="仿宋" w:hAnsi="仿宋" w:eastAsia="仿宋" w:cs="仿宋"/>
          <w:kern w:val="0"/>
          <w:sz w:val="28"/>
          <w:szCs w:val="28"/>
        </w:rPr>
        <w:t>二、绩效评价工作情况</w:t>
      </w:r>
      <w:bookmarkEnd w:id="11"/>
      <w:bookmarkEnd w:id="12"/>
    </w:p>
    <w:p>
      <w:pPr>
        <w:pStyle w:val="5"/>
        <w:spacing w:before="0" w:after="0" w:line="360" w:lineRule="auto"/>
        <w:ind w:firstLine="562" w:firstLineChars="200"/>
        <w:rPr>
          <w:rFonts w:hint="eastAsia" w:ascii="仿宋" w:hAnsi="仿宋" w:eastAsia="仿宋" w:cs="仿宋"/>
          <w:b/>
          <w:bCs w:val="0"/>
          <w:color w:val="000000"/>
          <w:kern w:val="32"/>
          <w:sz w:val="28"/>
          <w:szCs w:val="28"/>
        </w:rPr>
      </w:pPr>
      <w:bookmarkStart w:id="13" w:name="_Toc7056"/>
      <w:bookmarkStart w:id="14" w:name="_Toc47736007"/>
      <w:r>
        <w:rPr>
          <w:rFonts w:hint="eastAsia" w:ascii="仿宋" w:hAnsi="仿宋" w:eastAsia="仿宋" w:cs="仿宋"/>
          <w:b/>
          <w:bCs w:val="0"/>
          <w:color w:val="000000"/>
          <w:kern w:val="32"/>
          <w:sz w:val="28"/>
          <w:szCs w:val="28"/>
        </w:rPr>
        <w:t>（一）绩效评价目的</w:t>
      </w:r>
      <w:bookmarkEnd w:id="13"/>
      <w:bookmarkEnd w:id="14"/>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通过绩效评价，促进相关部门（单位）树立绩效理念；加强对财政资金的监督和管理，保证财政资金使用的规范性、安全性、有效性；为指导预算编制、申报绩效目标、优化财政支出结构、提高公共服务水平提供决策依据，更好地发挥财政资金的引导和放大作用。</w:t>
      </w:r>
    </w:p>
    <w:p>
      <w:pPr>
        <w:pStyle w:val="5"/>
        <w:spacing w:before="0" w:after="0" w:line="360" w:lineRule="auto"/>
        <w:ind w:firstLine="562" w:firstLineChars="200"/>
        <w:rPr>
          <w:rFonts w:hint="eastAsia" w:ascii="仿宋" w:hAnsi="仿宋" w:eastAsia="仿宋" w:cs="仿宋"/>
          <w:b/>
          <w:bCs w:val="0"/>
          <w:kern w:val="0"/>
          <w:sz w:val="28"/>
          <w:szCs w:val="28"/>
        </w:rPr>
      </w:pPr>
      <w:bookmarkStart w:id="15" w:name="_Toc21436"/>
      <w:bookmarkStart w:id="16" w:name="_Toc47736008"/>
      <w:r>
        <w:rPr>
          <w:rFonts w:hint="eastAsia" w:ascii="仿宋" w:hAnsi="仿宋" w:eastAsia="仿宋" w:cs="仿宋"/>
          <w:b/>
          <w:bCs w:val="0"/>
          <w:kern w:val="0"/>
          <w:sz w:val="28"/>
          <w:szCs w:val="28"/>
        </w:rPr>
        <w:t>（二）绩效评价工作方案制定过程</w:t>
      </w:r>
      <w:bookmarkEnd w:id="15"/>
      <w:bookmarkEnd w:id="16"/>
    </w:p>
    <w:p>
      <w:pPr>
        <w:tabs>
          <w:tab w:val="left" w:pos="709"/>
        </w:tabs>
        <w:spacing w:line="360" w:lineRule="auto"/>
        <w:ind w:firstLine="560" w:firstLineChars="200"/>
        <w:rPr>
          <w:rFonts w:hint="eastAsia" w:ascii="仿宋" w:hAnsi="仿宋" w:eastAsia="仿宋" w:cs="仿宋"/>
          <w:sz w:val="28"/>
          <w:szCs w:val="28"/>
        </w:rPr>
      </w:pPr>
      <w:r>
        <w:rPr>
          <w:rFonts w:hint="eastAsia" w:ascii="仿宋" w:hAnsi="仿宋" w:eastAsia="仿宋" w:cs="仿宋"/>
          <w:color w:val="000000"/>
          <w:kern w:val="32"/>
          <w:sz w:val="28"/>
          <w:szCs w:val="28"/>
        </w:rPr>
        <w:t>评价工作组在接受</w:t>
      </w:r>
      <w:r>
        <w:rPr>
          <w:rFonts w:hint="eastAsia" w:ascii="仿宋" w:hAnsi="仿宋" w:eastAsia="仿宋" w:cs="仿宋"/>
          <w:color w:val="000000"/>
          <w:kern w:val="32"/>
          <w:sz w:val="28"/>
          <w:szCs w:val="28"/>
          <w:lang w:val="en-US" w:eastAsia="zh-CN"/>
        </w:rPr>
        <w:t>安阳县</w:t>
      </w:r>
      <w:r>
        <w:rPr>
          <w:rFonts w:hint="eastAsia" w:ascii="仿宋" w:hAnsi="仿宋" w:eastAsia="仿宋" w:cs="仿宋"/>
          <w:color w:val="000000"/>
          <w:kern w:val="32"/>
          <w:sz w:val="28"/>
          <w:szCs w:val="28"/>
        </w:rPr>
        <w:t>财政局委托后，</w:t>
      </w:r>
      <w:r>
        <w:rPr>
          <w:rFonts w:hint="eastAsia" w:ascii="仿宋" w:hAnsi="仿宋" w:eastAsia="仿宋" w:cs="仿宋"/>
          <w:color w:val="000000"/>
          <w:kern w:val="32"/>
          <w:sz w:val="28"/>
          <w:szCs w:val="28"/>
          <w:lang w:val="en-US" w:eastAsia="zh-CN"/>
        </w:rPr>
        <w:t>按照</w:t>
      </w:r>
      <w:r>
        <w:rPr>
          <w:rFonts w:hint="eastAsia" w:ascii="仿宋" w:hAnsi="仿宋" w:eastAsia="仿宋" w:cs="仿宋"/>
          <w:color w:val="000000"/>
          <w:kern w:val="32"/>
          <w:sz w:val="28"/>
          <w:szCs w:val="28"/>
        </w:rPr>
        <w:t>财政部《财政支出绩效评价管理暂行办法》（财预【20</w:t>
      </w:r>
      <w:r>
        <w:rPr>
          <w:rFonts w:hint="eastAsia" w:ascii="仿宋" w:hAnsi="仿宋" w:eastAsia="仿宋" w:cs="仿宋"/>
          <w:color w:val="000000"/>
          <w:kern w:val="32"/>
          <w:sz w:val="28"/>
          <w:szCs w:val="28"/>
          <w:lang w:val="en-US" w:eastAsia="zh-CN"/>
        </w:rPr>
        <w:t>20</w:t>
      </w: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10</w:t>
      </w:r>
      <w:r>
        <w:rPr>
          <w:rFonts w:hint="eastAsia" w:ascii="仿宋" w:hAnsi="仿宋" w:eastAsia="仿宋" w:cs="仿宋"/>
          <w:color w:val="000000"/>
          <w:kern w:val="32"/>
          <w:sz w:val="28"/>
          <w:szCs w:val="28"/>
        </w:rPr>
        <w:t>号）</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《中共河南省委  河南省人民政府关于全面实施预算绩效管理的实施意见》（豫发〔2019〕10号）</w:t>
      </w:r>
      <w:r>
        <w:rPr>
          <w:rFonts w:hint="eastAsia" w:ascii="仿宋" w:hAnsi="仿宋" w:eastAsia="仿宋" w:cs="仿宋"/>
          <w:color w:val="000000"/>
          <w:kern w:val="32"/>
          <w:sz w:val="28"/>
          <w:szCs w:val="28"/>
        </w:rPr>
        <w:t>以及</w:t>
      </w:r>
      <w:r>
        <w:rPr>
          <w:rFonts w:hint="eastAsia" w:ascii="仿宋" w:hAnsi="仿宋" w:eastAsia="仿宋" w:cs="仿宋"/>
          <w:color w:val="000000"/>
          <w:kern w:val="32"/>
          <w:sz w:val="28"/>
          <w:szCs w:val="28"/>
          <w:lang w:val="en-US" w:eastAsia="zh-CN"/>
        </w:rPr>
        <w:t>《关于做好2021年财政支出重点项目及部门绩效评价工作的通知》（安县财效【2022】4号）要求</w:t>
      </w: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制定</w:t>
      </w:r>
      <w:r>
        <w:rPr>
          <w:rFonts w:hint="eastAsia" w:ascii="仿宋" w:hAnsi="仿宋" w:eastAsia="仿宋" w:cs="仿宋"/>
          <w:color w:val="000000"/>
          <w:kern w:val="32"/>
          <w:sz w:val="28"/>
          <w:szCs w:val="28"/>
        </w:rPr>
        <w:t>了该项目绩效评价工作方案。</w:t>
      </w:r>
    </w:p>
    <w:p>
      <w:pPr>
        <w:pStyle w:val="5"/>
        <w:spacing w:before="0" w:after="0" w:line="360" w:lineRule="auto"/>
        <w:ind w:firstLine="562" w:firstLineChars="200"/>
        <w:rPr>
          <w:rFonts w:hint="eastAsia" w:ascii="仿宋" w:hAnsi="仿宋" w:eastAsia="仿宋" w:cs="仿宋"/>
          <w:b/>
          <w:bCs w:val="0"/>
          <w:color w:val="000000"/>
          <w:kern w:val="32"/>
          <w:sz w:val="28"/>
          <w:szCs w:val="28"/>
        </w:rPr>
      </w:pPr>
      <w:bookmarkStart w:id="17" w:name="_Toc47736009"/>
      <w:bookmarkStart w:id="18" w:name="_Toc16591"/>
      <w:r>
        <w:rPr>
          <w:rFonts w:hint="eastAsia" w:ascii="仿宋" w:hAnsi="仿宋" w:eastAsia="仿宋" w:cs="仿宋"/>
          <w:b/>
          <w:bCs w:val="0"/>
          <w:color w:val="000000"/>
          <w:kern w:val="32"/>
          <w:sz w:val="28"/>
          <w:szCs w:val="28"/>
        </w:rPr>
        <w:t>（三）</w:t>
      </w:r>
      <w:r>
        <w:rPr>
          <w:rFonts w:hint="eastAsia" w:ascii="仿宋" w:hAnsi="仿宋" w:eastAsia="仿宋" w:cs="仿宋"/>
          <w:b/>
          <w:bCs w:val="0"/>
          <w:kern w:val="0"/>
          <w:sz w:val="28"/>
          <w:szCs w:val="28"/>
        </w:rPr>
        <w:t>绩效评价原则、评价方法等</w:t>
      </w:r>
      <w:bookmarkEnd w:id="17"/>
      <w:bookmarkEnd w:id="18"/>
    </w:p>
    <w:p>
      <w:pPr>
        <w:tabs>
          <w:tab w:val="left" w:pos="8222"/>
          <w:tab w:val="left" w:pos="8505"/>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1.</w:t>
      </w:r>
      <w:r>
        <w:rPr>
          <w:rFonts w:hint="eastAsia" w:ascii="仿宋" w:hAnsi="仿宋" w:eastAsia="仿宋" w:cs="仿宋"/>
          <w:bCs/>
          <w:kern w:val="0"/>
          <w:sz w:val="28"/>
          <w:szCs w:val="28"/>
        </w:rPr>
        <w:t>绩效评价原则</w:t>
      </w:r>
    </w:p>
    <w:p>
      <w:pPr>
        <w:tabs>
          <w:tab w:val="left" w:pos="8222"/>
          <w:tab w:val="left" w:pos="8505"/>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遵循“客观、公正、科学、规范”的原则，通过对该项目经济性、效率性、效益性的比较和分析，评价该项目财政资金的支出效率和效果。</w:t>
      </w:r>
    </w:p>
    <w:p>
      <w:pPr>
        <w:pStyle w:val="6"/>
        <w:ind w:firstLine="560" w:firstLineChars="200"/>
        <w:outlineLvl w:val="1"/>
        <w:rPr>
          <w:rFonts w:hint="eastAsia" w:ascii="仿宋" w:hAnsi="仿宋" w:eastAsia="仿宋" w:cs="仿宋"/>
          <w:color w:val="000000"/>
          <w:kern w:val="32"/>
          <w:sz w:val="28"/>
          <w:szCs w:val="28"/>
        </w:rPr>
      </w:pPr>
      <w:bookmarkStart w:id="19" w:name="_Toc47736010"/>
      <w:bookmarkStart w:id="20" w:name="_Toc25085"/>
      <w:r>
        <w:rPr>
          <w:rFonts w:hint="eastAsia" w:ascii="仿宋" w:hAnsi="仿宋" w:eastAsia="仿宋" w:cs="仿宋"/>
          <w:color w:val="000000"/>
          <w:kern w:val="32"/>
          <w:sz w:val="28"/>
          <w:szCs w:val="28"/>
        </w:rPr>
        <w:t>2.绩效评价方法</w:t>
      </w:r>
      <w:bookmarkEnd w:id="19"/>
      <w:bookmarkEnd w:id="20"/>
    </w:p>
    <w:p>
      <w:pPr>
        <w:ind w:firstLine="641"/>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w:t>
      </w:r>
      <w:r>
        <w:rPr>
          <w:rFonts w:hint="eastAsia" w:ascii="仿宋" w:hAnsi="仿宋" w:eastAsia="仿宋" w:cs="仿宋"/>
          <w:color w:val="000000"/>
          <w:kern w:val="32"/>
          <w:sz w:val="28"/>
          <w:szCs w:val="28"/>
          <w:lang w:val="en-US" w:eastAsia="zh-CN"/>
        </w:rPr>
        <w:t>工作</w:t>
      </w:r>
      <w:r>
        <w:rPr>
          <w:rFonts w:hint="eastAsia" w:ascii="仿宋" w:hAnsi="仿宋" w:eastAsia="仿宋" w:cs="仿宋"/>
          <w:color w:val="000000"/>
          <w:kern w:val="32"/>
          <w:sz w:val="28"/>
          <w:szCs w:val="28"/>
        </w:rPr>
        <w:t>组采用政策文献研究、社会调查、综合比较等评价方式方法，对该项目进行评价。具体评价时，先进行定性分析，再对评价内容实施量化指标确定，进行量化分析评价，从而评价该项目整体绩效实施情况。</w:t>
      </w:r>
    </w:p>
    <w:p>
      <w:pPr>
        <w:pStyle w:val="2"/>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3.评价标准</w:t>
      </w:r>
    </w:p>
    <w:p>
      <w:pPr>
        <w:pStyle w:val="2"/>
        <w:ind w:firstLine="560" w:firstLineChars="200"/>
        <w:rPr>
          <w:rFonts w:hint="eastAsia" w:ascii="仿宋" w:hAnsi="仿宋" w:eastAsia="仿宋" w:cs="仿宋"/>
          <w:sz w:val="28"/>
          <w:szCs w:val="28"/>
        </w:rPr>
      </w:pPr>
      <w:r>
        <w:rPr>
          <w:rFonts w:hint="eastAsia" w:ascii="仿宋" w:hAnsi="仿宋" w:eastAsia="仿宋" w:cs="仿宋"/>
          <w:color w:val="000000"/>
          <w:kern w:val="32"/>
          <w:sz w:val="28"/>
          <w:szCs w:val="28"/>
          <w:lang w:val="en-US" w:eastAsia="zh-CN" w:bidi="ar-SA"/>
        </w:rPr>
        <w:t>在对评价项目的绩效情况进行全面分析的基础上，本着客观、公正、准确的原则，进行综合评分。评价结果包括综合评分和评级，分类如下：优（90 分（含）-100 分）、良 （80 分（含）-90 分）、中（60 分（含）-80 分）、差（0-60 分以下）。</w:t>
      </w:r>
    </w:p>
    <w:p>
      <w:pPr>
        <w:pStyle w:val="5"/>
        <w:spacing w:before="0" w:after="0" w:line="360" w:lineRule="auto"/>
        <w:ind w:firstLine="562" w:firstLineChars="200"/>
        <w:rPr>
          <w:rFonts w:hint="eastAsia" w:ascii="仿宋" w:hAnsi="仿宋" w:eastAsia="仿宋" w:cs="仿宋"/>
          <w:b/>
          <w:bCs w:val="0"/>
          <w:color w:val="000000"/>
          <w:kern w:val="32"/>
          <w:sz w:val="28"/>
          <w:szCs w:val="28"/>
          <w:highlight w:val="yellow"/>
        </w:rPr>
      </w:pPr>
      <w:bookmarkStart w:id="21" w:name="_Toc47736011"/>
      <w:bookmarkStart w:id="22" w:name="_Toc2480"/>
      <w:r>
        <w:rPr>
          <w:rFonts w:hint="eastAsia" w:ascii="仿宋" w:hAnsi="仿宋" w:eastAsia="仿宋" w:cs="仿宋"/>
          <w:b/>
          <w:bCs w:val="0"/>
          <w:color w:val="000000"/>
          <w:kern w:val="32"/>
          <w:sz w:val="28"/>
          <w:szCs w:val="28"/>
        </w:rPr>
        <w:t>（四）数据采集方法及过程</w:t>
      </w:r>
      <w:bookmarkEnd w:id="21"/>
      <w:bookmarkEnd w:id="22"/>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本次绩效评价相关数据的采集主要通过以下方法：一是通过项目单位提供资料采集；二是评价工作组通过各种途径采集；三是通过评价工作组进行满意度调查的方式采集。数据具体的采集过程如下：</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1.项目单位提供资料的数据采集过程</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向项目单位发放《绩效评价准备资料清单》，列明本次绩效评价应由项目单位提供的资料明细，要求项目单位在规定时间内提交给评价工作组，评价工作组相关工作人员通过整理资料，核实信息，分析确定并采集出相关评价数据，作为绩效评价的基础性依据资料，供本次绩效评价使用。</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2.评价工作组</w:t>
      </w:r>
      <w:r>
        <w:rPr>
          <w:rFonts w:hint="eastAsia" w:ascii="仿宋" w:hAnsi="仿宋" w:eastAsia="仿宋" w:cs="仿宋"/>
          <w:color w:val="000000"/>
          <w:kern w:val="32"/>
          <w:sz w:val="28"/>
          <w:szCs w:val="28"/>
          <w:lang w:val="en-US" w:eastAsia="zh-CN"/>
        </w:rPr>
        <w:t>自行的</w:t>
      </w:r>
      <w:r>
        <w:rPr>
          <w:rFonts w:hint="eastAsia" w:ascii="仿宋" w:hAnsi="仿宋" w:eastAsia="仿宋" w:cs="仿宋"/>
          <w:color w:val="000000"/>
          <w:kern w:val="32"/>
          <w:sz w:val="28"/>
          <w:szCs w:val="28"/>
        </w:rPr>
        <w:t>数据采集过程</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评价工作组接到本次绩效评价任务后，通过网络查询、电话咨询专家等方式，了解与该项目绩效评价相关信息，并从中采集出绩效评价相关数据，供本次绩效评价使用。</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3.评价工作组</w:t>
      </w:r>
      <w:r>
        <w:rPr>
          <w:rFonts w:hint="eastAsia" w:ascii="仿宋" w:hAnsi="仿宋" w:eastAsia="仿宋" w:cs="仿宋"/>
          <w:color w:val="000000"/>
          <w:kern w:val="32"/>
          <w:sz w:val="28"/>
          <w:szCs w:val="28"/>
          <w:lang w:val="en-US" w:eastAsia="zh-CN"/>
        </w:rPr>
        <w:t>通过</w:t>
      </w:r>
      <w:r>
        <w:rPr>
          <w:rFonts w:hint="eastAsia" w:ascii="仿宋" w:hAnsi="仿宋" w:eastAsia="仿宋" w:cs="仿宋"/>
          <w:color w:val="000000"/>
          <w:kern w:val="32"/>
          <w:sz w:val="28"/>
          <w:szCs w:val="28"/>
        </w:rPr>
        <w:t>满意度调查方式的数据采集过程</w:t>
      </w:r>
    </w:p>
    <w:p>
      <w:pPr>
        <w:pStyle w:val="6"/>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评价工作组启动本次绩效评价工作后，通过首次入户了解到项目基本情况后，编制本次绩效评价调查问卷，并确定满意度调查针对</w:t>
      </w:r>
      <w:r>
        <w:rPr>
          <w:rFonts w:hint="eastAsia" w:ascii="仿宋" w:hAnsi="仿宋" w:eastAsia="仿宋" w:cs="仿宋"/>
          <w:color w:val="000000"/>
          <w:kern w:val="32"/>
          <w:sz w:val="28"/>
          <w:szCs w:val="28"/>
          <w:lang w:val="en-US" w:eastAsia="zh-CN"/>
        </w:rPr>
        <w:t>辖区内商铺</w:t>
      </w:r>
      <w:r>
        <w:rPr>
          <w:rFonts w:hint="eastAsia" w:ascii="仿宋" w:hAnsi="仿宋" w:eastAsia="仿宋" w:cs="仿宋"/>
          <w:color w:val="000000"/>
          <w:kern w:val="32"/>
          <w:sz w:val="28"/>
          <w:szCs w:val="28"/>
        </w:rPr>
        <w:t>和普通</w:t>
      </w:r>
      <w:r>
        <w:rPr>
          <w:rFonts w:hint="eastAsia" w:ascii="仿宋" w:hAnsi="仿宋" w:eastAsia="仿宋" w:cs="仿宋"/>
          <w:color w:val="000000"/>
          <w:kern w:val="32"/>
          <w:sz w:val="28"/>
          <w:szCs w:val="28"/>
          <w:lang w:val="en-US" w:eastAsia="zh-CN"/>
        </w:rPr>
        <w:t>居民</w:t>
      </w:r>
      <w:r>
        <w:rPr>
          <w:rFonts w:hint="eastAsia" w:ascii="仿宋" w:hAnsi="仿宋" w:eastAsia="仿宋" w:cs="仿宋"/>
          <w:color w:val="000000"/>
          <w:kern w:val="32"/>
          <w:sz w:val="28"/>
          <w:szCs w:val="28"/>
        </w:rPr>
        <w:t>二个层面开展。</w:t>
      </w:r>
    </w:p>
    <w:p>
      <w:pPr>
        <w:pStyle w:val="5"/>
        <w:spacing w:before="0" w:after="0" w:line="360" w:lineRule="auto"/>
        <w:ind w:firstLine="562" w:firstLineChars="200"/>
        <w:rPr>
          <w:rFonts w:hint="eastAsia" w:ascii="仿宋" w:hAnsi="仿宋" w:eastAsia="仿宋" w:cs="仿宋"/>
          <w:b/>
          <w:bCs w:val="0"/>
          <w:kern w:val="0"/>
          <w:sz w:val="28"/>
          <w:szCs w:val="28"/>
        </w:rPr>
      </w:pPr>
      <w:bookmarkStart w:id="23" w:name="_Toc47736012"/>
      <w:bookmarkStart w:id="24" w:name="_Toc25488"/>
      <w:r>
        <w:rPr>
          <w:rFonts w:hint="eastAsia" w:ascii="仿宋" w:hAnsi="仿宋" w:eastAsia="仿宋" w:cs="仿宋"/>
          <w:b/>
          <w:bCs w:val="0"/>
          <w:kern w:val="0"/>
          <w:sz w:val="28"/>
          <w:szCs w:val="28"/>
        </w:rPr>
        <w:t>（五）绩效评价实施过程</w:t>
      </w:r>
      <w:bookmarkEnd w:id="23"/>
      <w:bookmarkEnd w:id="24"/>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lang w:eastAsia="zh-CN"/>
        </w:rPr>
        <w:t>安阳县城市管理局</w:t>
      </w:r>
      <w:r>
        <w:rPr>
          <w:rFonts w:hint="eastAsia" w:ascii="仿宋" w:hAnsi="仿宋" w:eastAsia="仿宋" w:cs="仿宋"/>
          <w:color w:val="000000"/>
          <w:kern w:val="32"/>
          <w:sz w:val="28"/>
          <w:szCs w:val="28"/>
        </w:rPr>
        <w:t>2021年绿化管养服务费项目绩效评价主要从决策、管理（业务管理和预算管理）、绩效三个方面进行评价，重在评价预算执行效果。</w:t>
      </w:r>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本次绩效评价时间</w:t>
      </w:r>
      <w:r>
        <w:rPr>
          <w:rFonts w:hint="eastAsia" w:ascii="仿宋" w:hAnsi="仿宋" w:eastAsia="仿宋" w:cs="仿宋"/>
          <w:color w:val="000000"/>
          <w:kern w:val="32"/>
          <w:sz w:val="28"/>
          <w:szCs w:val="28"/>
          <w:highlight w:val="none"/>
        </w:rPr>
        <w:t>为2022年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16</w:t>
      </w:r>
      <w:r>
        <w:rPr>
          <w:rFonts w:hint="eastAsia" w:ascii="仿宋" w:hAnsi="仿宋" w:eastAsia="仿宋" w:cs="仿宋"/>
          <w:color w:val="000000"/>
          <w:kern w:val="32"/>
          <w:sz w:val="28"/>
          <w:szCs w:val="28"/>
          <w:highlight w:val="none"/>
        </w:rPr>
        <w:t>日到</w:t>
      </w:r>
      <w:r>
        <w:rPr>
          <w:rFonts w:hint="eastAsia" w:ascii="仿宋" w:hAnsi="仿宋" w:eastAsia="仿宋" w:cs="仿宋"/>
          <w:color w:val="000000"/>
          <w:kern w:val="32"/>
          <w:sz w:val="28"/>
          <w:szCs w:val="28"/>
          <w:highlight w:val="none"/>
          <w:lang w:val="en-US" w:eastAsia="zh-CN"/>
        </w:rPr>
        <w:t>10</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日</w:t>
      </w:r>
      <w:r>
        <w:rPr>
          <w:rFonts w:hint="eastAsia" w:ascii="仿宋" w:hAnsi="仿宋" w:eastAsia="仿宋" w:cs="仿宋"/>
          <w:color w:val="000000"/>
          <w:kern w:val="32"/>
          <w:sz w:val="28"/>
          <w:szCs w:val="28"/>
        </w:rPr>
        <w:t>，包括前期准备阶段、现场核查阶段、数据分析与报告撰写阶段、征求意见出具正式报告阶段四个阶段。</w:t>
      </w:r>
    </w:p>
    <w:p>
      <w:pPr>
        <w:tabs>
          <w:tab w:val="left" w:pos="709"/>
        </w:tabs>
        <w:spacing w:line="360" w:lineRule="auto"/>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1.前期准备阶段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16</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23</w:t>
      </w:r>
      <w:r>
        <w:rPr>
          <w:rFonts w:hint="eastAsia" w:ascii="仿宋" w:hAnsi="仿宋" w:eastAsia="仿宋" w:cs="仿宋"/>
          <w:color w:val="000000"/>
          <w:kern w:val="32"/>
          <w:sz w:val="28"/>
          <w:szCs w:val="28"/>
          <w:highlight w:val="none"/>
        </w:rPr>
        <w:t>日，开展前期准备工作。收集项目资料，与相关部门沟通项目情况，设计评价指标体系和评价方案；开展预调研，结合部门意见，调整确定评价指标体系和评价方案。</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2.现场核查阶段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8</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24</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10</w:t>
      </w:r>
      <w:r>
        <w:rPr>
          <w:rFonts w:hint="eastAsia" w:ascii="仿宋" w:hAnsi="仿宋" w:eastAsia="仿宋" w:cs="仿宋"/>
          <w:color w:val="000000"/>
          <w:kern w:val="32"/>
          <w:sz w:val="28"/>
          <w:szCs w:val="28"/>
          <w:highlight w:val="none"/>
        </w:rPr>
        <w:t>日开展现场核查工作。</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我们要求</w:t>
      </w:r>
      <w:r>
        <w:rPr>
          <w:rFonts w:hint="eastAsia" w:ascii="仿宋" w:hAnsi="仿宋" w:eastAsia="仿宋" w:cs="仿宋"/>
          <w:color w:val="000000"/>
          <w:kern w:val="32"/>
          <w:sz w:val="28"/>
          <w:szCs w:val="28"/>
          <w:highlight w:val="none"/>
          <w:lang w:eastAsia="zh-CN"/>
        </w:rPr>
        <w:t>安阳县城市管理局</w:t>
      </w:r>
      <w:r>
        <w:rPr>
          <w:rFonts w:hint="eastAsia" w:ascii="仿宋" w:hAnsi="仿宋" w:eastAsia="仿宋" w:cs="仿宋"/>
          <w:color w:val="000000"/>
          <w:kern w:val="32"/>
          <w:sz w:val="28"/>
          <w:szCs w:val="28"/>
          <w:highlight w:val="none"/>
        </w:rPr>
        <w:t>提前填报基础数据表，按照文件内容准备相关材料；现场进行实地调研和勘查，通过听取主管部门介绍、现场核查、问询、复核等方式详细了解情况，对相关部门和单位提供的基础资料数据进行核实，并对主管部门及受益群体进行问卷调查。</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3.数据分析与报告撰写阶段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11</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22</w:t>
      </w:r>
      <w:r>
        <w:rPr>
          <w:rFonts w:hint="eastAsia" w:ascii="仿宋" w:hAnsi="仿宋" w:eastAsia="仿宋" w:cs="仿宋"/>
          <w:color w:val="000000"/>
          <w:kern w:val="32"/>
          <w:sz w:val="28"/>
          <w:szCs w:val="28"/>
          <w:highlight w:val="none"/>
        </w:rPr>
        <w:t>日，根据现场勘查和资料收集情况，进行数据整理汇总分析，根据绩效评价指标体系进行打分，整理形成初步评价报告。</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4.征求意见出具正式报告阶段</w:t>
      </w:r>
    </w:p>
    <w:p>
      <w:pPr>
        <w:tabs>
          <w:tab w:val="left" w:pos="709"/>
        </w:tabs>
        <w:spacing w:line="360" w:lineRule="auto"/>
        <w:ind w:firstLine="560" w:firstLineChars="200"/>
        <w:rPr>
          <w:rFonts w:hint="eastAsia" w:ascii="仿宋" w:hAnsi="仿宋" w:eastAsia="仿宋" w:cs="仿宋"/>
          <w:color w:val="000000"/>
          <w:kern w:val="32"/>
          <w:sz w:val="28"/>
          <w:szCs w:val="28"/>
          <w:highlight w:val="none"/>
        </w:rPr>
      </w:pPr>
      <w:r>
        <w:rPr>
          <w:rFonts w:hint="eastAsia" w:ascii="仿宋" w:hAnsi="仿宋" w:eastAsia="仿宋" w:cs="仿宋"/>
          <w:color w:val="000000"/>
          <w:kern w:val="32"/>
          <w:sz w:val="28"/>
          <w:szCs w:val="28"/>
          <w:highlight w:val="none"/>
        </w:rPr>
        <w:t>2022年</w:t>
      </w:r>
      <w:r>
        <w:rPr>
          <w:rFonts w:hint="eastAsia" w:ascii="仿宋" w:hAnsi="仿宋" w:eastAsia="仿宋" w:cs="仿宋"/>
          <w:color w:val="000000"/>
          <w:kern w:val="32"/>
          <w:sz w:val="28"/>
          <w:szCs w:val="28"/>
          <w:highlight w:val="none"/>
          <w:lang w:val="en-US" w:eastAsia="zh-CN"/>
        </w:rPr>
        <w:t>9</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23</w:t>
      </w:r>
      <w:r>
        <w:rPr>
          <w:rFonts w:hint="eastAsia" w:ascii="仿宋" w:hAnsi="仿宋" w:eastAsia="仿宋" w:cs="仿宋"/>
          <w:color w:val="000000"/>
          <w:kern w:val="32"/>
          <w:sz w:val="28"/>
          <w:szCs w:val="28"/>
          <w:highlight w:val="none"/>
        </w:rPr>
        <w:t>日至</w:t>
      </w:r>
      <w:r>
        <w:rPr>
          <w:rFonts w:hint="eastAsia" w:ascii="仿宋" w:hAnsi="仿宋" w:eastAsia="仿宋" w:cs="仿宋"/>
          <w:color w:val="000000"/>
          <w:kern w:val="32"/>
          <w:sz w:val="28"/>
          <w:szCs w:val="28"/>
          <w:highlight w:val="none"/>
          <w:lang w:val="en-US" w:eastAsia="zh-CN"/>
        </w:rPr>
        <w:t>10</w:t>
      </w:r>
      <w:r>
        <w:rPr>
          <w:rFonts w:hint="eastAsia" w:ascii="仿宋" w:hAnsi="仿宋" w:eastAsia="仿宋" w:cs="仿宋"/>
          <w:color w:val="000000"/>
          <w:kern w:val="32"/>
          <w:sz w:val="28"/>
          <w:szCs w:val="28"/>
          <w:highlight w:val="none"/>
        </w:rPr>
        <w:t>月</w:t>
      </w:r>
      <w:r>
        <w:rPr>
          <w:rFonts w:hint="eastAsia" w:ascii="仿宋" w:hAnsi="仿宋" w:eastAsia="仿宋" w:cs="仿宋"/>
          <w:color w:val="000000"/>
          <w:kern w:val="32"/>
          <w:sz w:val="28"/>
          <w:szCs w:val="28"/>
          <w:highlight w:val="none"/>
          <w:lang w:val="en-US" w:eastAsia="zh-CN"/>
        </w:rPr>
        <w:t>7</w:t>
      </w:r>
      <w:r>
        <w:rPr>
          <w:rFonts w:hint="eastAsia" w:ascii="仿宋" w:hAnsi="仿宋" w:eastAsia="仿宋" w:cs="仿宋"/>
          <w:color w:val="000000"/>
          <w:kern w:val="32"/>
          <w:sz w:val="28"/>
          <w:szCs w:val="28"/>
          <w:highlight w:val="none"/>
        </w:rPr>
        <w:t>日，与相关部门及科室沟通，综合形成绩效评价报告，提交委托方。</w:t>
      </w:r>
    </w:p>
    <w:p>
      <w:pPr>
        <w:pStyle w:val="5"/>
        <w:spacing w:before="0" w:after="0" w:line="360" w:lineRule="auto"/>
        <w:ind w:firstLine="562" w:firstLineChars="200"/>
        <w:rPr>
          <w:rFonts w:hint="eastAsia" w:ascii="仿宋" w:hAnsi="仿宋" w:eastAsia="仿宋" w:cs="仿宋"/>
          <w:b/>
          <w:bCs w:val="0"/>
          <w:kern w:val="0"/>
          <w:sz w:val="28"/>
          <w:szCs w:val="28"/>
          <w:highlight w:val="none"/>
        </w:rPr>
      </w:pPr>
      <w:bookmarkStart w:id="25" w:name="_Toc47736013"/>
      <w:bookmarkStart w:id="26" w:name="_Toc19189"/>
      <w:r>
        <w:rPr>
          <w:rFonts w:hint="eastAsia" w:ascii="仿宋" w:hAnsi="仿宋" w:eastAsia="仿宋" w:cs="仿宋"/>
          <w:b/>
          <w:bCs w:val="0"/>
          <w:kern w:val="0"/>
          <w:sz w:val="28"/>
          <w:szCs w:val="28"/>
          <w:highlight w:val="none"/>
        </w:rPr>
        <w:t>（六）绩效评价的局限性</w:t>
      </w:r>
      <w:bookmarkEnd w:id="25"/>
      <w:bookmarkEnd w:id="26"/>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.绩效目标编制不够完善，影响绩效评价效果</w:t>
      </w:r>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rPr>
        <w:t>项目支出绩效目标申报表是绩效评价的基础性资料之一，也是判断项目绩效实现情况的重要依据，但该项目原填报的绩效目标申报表过于简单，缺乏与该项目相关的量化指标，难以作为绩效评价的基础依据，故本次绩效评价之初，项目单位对原绩效目标申报表进行了调整，补充了部分与该项目相关的量化指标，但这也会在一定程度上影响绩效评价的效果。</w:t>
      </w:r>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.评价资料的完整准确性，影响绩效评价效果</w:t>
      </w:r>
    </w:p>
    <w:p>
      <w:pPr>
        <w:pStyle w:val="6"/>
        <w:ind w:firstLine="645"/>
        <w:rPr>
          <w:rFonts w:hint="eastAsia" w:ascii="仿宋" w:hAnsi="仿宋" w:eastAsia="仿宋" w:cs="仿宋"/>
          <w:sz w:val="28"/>
          <w:szCs w:val="28"/>
          <w:highlight w:val="none"/>
        </w:rPr>
      </w:pPr>
      <w:r>
        <w:rPr>
          <w:rFonts w:hint="eastAsia" w:ascii="仿宋" w:hAnsi="仿宋" w:eastAsia="仿宋" w:cs="仿宋"/>
          <w:sz w:val="28"/>
          <w:szCs w:val="28"/>
          <w:highlight w:val="none"/>
        </w:rPr>
        <w:t>绩效评价采取定量和定性相结合的方式开展，具体评价有赖于资料收集的完整度和相关信息的准确度。虽然评价工作组在绩效评价开始时即向项目单位发放了需提供的资料清单，但鉴于项目单位首次参加绩效评价，对相关工作的理解和认识高度所限，加之绩效评价时间要求紧，故提供资料在完整性和准确性上必然存在一定的局限性，也会影响绩效评价效果。</w:t>
      </w:r>
    </w:p>
    <w:p>
      <w:pPr>
        <w:pStyle w:val="4"/>
        <w:spacing w:before="0" w:after="0" w:line="360" w:lineRule="auto"/>
        <w:ind w:firstLine="562" w:firstLineChars="200"/>
        <w:rPr>
          <w:rFonts w:hint="eastAsia" w:ascii="仿宋" w:hAnsi="仿宋" w:eastAsia="仿宋" w:cs="仿宋"/>
          <w:b/>
          <w:bCs w:val="0"/>
          <w:kern w:val="0"/>
          <w:sz w:val="28"/>
          <w:szCs w:val="28"/>
        </w:rPr>
      </w:pPr>
      <w:bookmarkStart w:id="27" w:name="_Toc47736014"/>
      <w:bookmarkStart w:id="28" w:name="_Toc15851"/>
      <w:r>
        <w:rPr>
          <w:rFonts w:hint="eastAsia" w:ascii="仿宋" w:hAnsi="仿宋" w:eastAsia="仿宋" w:cs="仿宋"/>
          <w:b/>
          <w:bCs w:val="0"/>
          <w:kern w:val="0"/>
          <w:sz w:val="28"/>
          <w:szCs w:val="28"/>
        </w:rPr>
        <w:t>三、评价结论和绩效分析</w:t>
      </w:r>
      <w:bookmarkEnd w:id="27"/>
      <w:bookmarkEnd w:id="28"/>
    </w:p>
    <w:p>
      <w:pPr>
        <w:pStyle w:val="5"/>
        <w:spacing w:before="0" w:after="0" w:line="360" w:lineRule="auto"/>
        <w:ind w:firstLine="562" w:firstLineChars="200"/>
        <w:rPr>
          <w:rFonts w:hint="eastAsia" w:ascii="仿宋" w:hAnsi="仿宋" w:eastAsia="仿宋" w:cs="仿宋"/>
          <w:b/>
          <w:bCs w:val="0"/>
          <w:kern w:val="0"/>
          <w:sz w:val="28"/>
          <w:szCs w:val="28"/>
        </w:rPr>
      </w:pPr>
      <w:bookmarkStart w:id="29" w:name="_Toc47736015"/>
      <w:bookmarkStart w:id="30" w:name="_Toc4367"/>
      <w:r>
        <w:rPr>
          <w:rFonts w:hint="eastAsia" w:ascii="仿宋" w:hAnsi="仿宋" w:eastAsia="仿宋" w:cs="仿宋"/>
          <w:b/>
          <w:bCs w:val="0"/>
          <w:kern w:val="0"/>
          <w:sz w:val="28"/>
          <w:szCs w:val="28"/>
        </w:rPr>
        <w:t>（一）评价结论</w:t>
      </w:r>
      <w:bookmarkEnd w:id="29"/>
      <w:bookmarkEnd w:id="30"/>
    </w:p>
    <w:p>
      <w:pPr>
        <w:pStyle w:val="6"/>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1.评价结果</w:t>
      </w:r>
    </w:p>
    <w:p>
      <w:pPr>
        <w:tabs>
          <w:tab w:val="left" w:pos="709"/>
        </w:tabs>
        <w:spacing w:line="360" w:lineRule="auto"/>
        <w:ind w:firstLine="560" w:firstLineChars="200"/>
        <w:rPr>
          <w:rFonts w:hint="eastAsia" w:ascii="仿宋" w:hAnsi="仿宋" w:eastAsia="仿宋" w:cs="仿宋"/>
          <w:color w:val="000000"/>
          <w:kern w:val="32"/>
          <w:sz w:val="28"/>
          <w:szCs w:val="28"/>
          <w:highlight w:val="yellow"/>
        </w:rPr>
      </w:pPr>
      <w:r>
        <w:rPr>
          <w:rFonts w:hint="eastAsia" w:ascii="仿宋" w:hAnsi="仿宋" w:eastAsia="仿宋" w:cs="仿宋"/>
          <w:color w:val="000000"/>
          <w:kern w:val="32"/>
          <w:sz w:val="28"/>
          <w:szCs w:val="28"/>
          <w:highlight w:val="none"/>
        </w:rPr>
        <w:t>运用指标体系及评分标准，通过数据采集、访谈、问卷等形式对履职效能、管理效率、运行成本、可持续性、服务满意度进行全面综合评价。根据评价指标体系和评分标准对每个指标分别评分汇总后得出最终分数为</w:t>
      </w:r>
      <w:r>
        <w:rPr>
          <w:rFonts w:hint="eastAsia" w:ascii="仿宋" w:hAnsi="仿宋" w:eastAsia="仿宋" w:cs="仿宋"/>
          <w:color w:val="000000"/>
          <w:kern w:val="32"/>
          <w:sz w:val="28"/>
          <w:szCs w:val="28"/>
          <w:highlight w:val="none"/>
          <w:lang w:val="en-US" w:eastAsia="zh-CN"/>
        </w:rPr>
        <w:t>85.95</w:t>
      </w:r>
      <w:r>
        <w:rPr>
          <w:rFonts w:hint="eastAsia" w:ascii="仿宋" w:hAnsi="仿宋" w:eastAsia="仿宋" w:cs="仿宋"/>
          <w:color w:val="000000"/>
          <w:kern w:val="32"/>
          <w:sz w:val="28"/>
          <w:szCs w:val="28"/>
          <w:highlight w:val="none"/>
        </w:rPr>
        <w:t>分，参照《河南省省级预算绩效评价管理办法》中对于绩效评价等级标准的规定，该项目绩效评价等级为“</w:t>
      </w:r>
      <w:r>
        <w:rPr>
          <w:rFonts w:hint="eastAsia" w:ascii="仿宋" w:hAnsi="仿宋" w:eastAsia="仿宋" w:cs="仿宋"/>
          <w:color w:val="000000"/>
          <w:kern w:val="32"/>
          <w:sz w:val="28"/>
          <w:szCs w:val="28"/>
          <w:highlight w:val="none"/>
          <w:lang w:val="en-US" w:eastAsia="zh-CN"/>
        </w:rPr>
        <w:t>良</w:t>
      </w:r>
      <w:r>
        <w:rPr>
          <w:rFonts w:hint="eastAsia" w:ascii="仿宋" w:hAnsi="仿宋" w:eastAsia="仿宋" w:cs="仿宋"/>
          <w:color w:val="000000"/>
          <w:kern w:val="32"/>
          <w:sz w:val="28"/>
          <w:szCs w:val="28"/>
          <w:highlight w:val="none"/>
        </w:rPr>
        <w:t>”，得分情况如下：</w:t>
      </w:r>
    </w:p>
    <w:p>
      <w:pPr>
        <w:pStyle w:val="9"/>
        <w:spacing w:after="0" w:line="360" w:lineRule="auto"/>
        <w:ind w:left="0" w:leftChars="0" w:firstLine="0" w:firstLineChars="0"/>
        <w:jc w:val="center"/>
        <w:rPr>
          <w:rFonts w:hint="eastAsia" w:ascii="仿宋_GB2312" w:hAnsi="仿宋_GB2312" w:cs="仿宋_GB2312"/>
          <w:b/>
          <w:szCs w:val="28"/>
          <w:highlight w:val="none"/>
        </w:rPr>
      </w:pPr>
      <w:bookmarkStart w:id="31" w:name="_Toc47736018"/>
      <w:bookmarkStart w:id="32" w:name="_Toc23870"/>
      <w:bookmarkStart w:id="33" w:name="_Toc424220305"/>
      <w:bookmarkStart w:id="34" w:name="_Toc424220260"/>
      <w:bookmarkStart w:id="35" w:name="_Toc13820"/>
      <w:r>
        <w:rPr>
          <w:rFonts w:hint="eastAsia" w:ascii="仿宋_GB2312" w:hAnsi="仿宋_GB2312" w:cs="仿宋_GB2312"/>
          <w:b/>
          <w:szCs w:val="28"/>
          <w:highlight w:val="none"/>
        </w:rPr>
        <w:t>绩效评价结论一览表</w:t>
      </w:r>
    </w:p>
    <w:tbl>
      <w:tblPr>
        <w:tblStyle w:val="19"/>
        <w:tblW w:w="8437"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8"/>
        <w:gridCol w:w="2736"/>
        <w:gridCol w:w="1729"/>
        <w:gridCol w:w="1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2318" w:type="dxa"/>
          </w:tcPr>
          <w:p>
            <w:pPr>
              <w:pStyle w:val="36"/>
              <w:spacing w:before="30"/>
              <w:ind w:left="213" w:firstLine="720" w:firstLineChars="300"/>
              <w:rPr>
                <w:rFonts w:ascii="仿宋" w:hAnsi="仿宋" w:eastAsia="仿宋" w:cs="仿宋"/>
                <w:sz w:val="24"/>
                <w:szCs w:val="24"/>
              </w:rPr>
            </w:pPr>
            <w:r>
              <w:rPr>
                <w:rFonts w:hint="eastAsia" w:ascii="仿宋" w:hAnsi="仿宋" w:eastAsia="仿宋" w:cs="仿宋"/>
                <w:sz w:val="24"/>
                <w:szCs w:val="24"/>
              </w:rPr>
              <w:t>一级指标</w:t>
            </w:r>
          </w:p>
        </w:tc>
        <w:tc>
          <w:tcPr>
            <w:tcW w:w="2736" w:type="dxa"/>
          </w:tcPr>
          <w:p>
            <w:pPr>
              <w:pStyle w:val="36"/>
              <w:spacing w:before="30"/>
              <w:ind w:firstLine="960" w:firstLineChars="400"/>
              <w:rPr>
                <w:rFonts w:ascii="仿宋" w:hAnsi="仿宋" w:eastAsia="仿宋" w:cs="仿宋"/>
                <w:sz w:val="24"/>
                <w:szCs w:val="24"/>
              </w:rPr>
            </w:pPr>
            <w:r>
              <w:rPr>
                <w:rFonts w:hint="eastAsia" w:ascii="仿宋" w:hAnsi="仿宋" w:eastAsia="仿宋" w:cs="仿宋"/>
                <w:sz w:val="24"/>
                <w:szCs w:val="24"/>
              </w:rPr>
              <w:t>二级指标</w:t>
            </w:r>
          </w:p>
        </w:tc>
        <w:tc>
          <w:tcPr>
            <w:tcW w:w="1729" w:type="dxa"/>
          </w:tcPr>
          <w:p>
            <w:pPr>
              <w:pStyle w:val="36"/>
              <w:spacing w:before="30"/>
              <w:ind w:left="263" w:right="257"/>
              <w:jc w:val="center"/>
              <w:rPr>
                <w:rFonts w:ascii="仿宋" w:hAnsi="仿宋" w:eastAsia="仿宋" w:cs="仿宋"/>
                <w:sz w:val="24"/>
                <w:szCs w:val="24"/>
              </w:rPr>
            </w:pPr>
            <w:r>
              <w:rPr>
                <w:rFonts w:hint="eastAsia" w:ascii="仿宋" w:hAnsi="仿宋" w:eastAsia="仿宋" w:cs="仿宋"/>
                <w:sz w:val="24"/>
                <w:szCs w:val="24"/>
              </w:rPr>
              <w:t>权重分值</w:t>
            </w:r>
          </w:p>
        </w:tc>
        <w:tc>
          <w:tcPr>
            <w:tcW w:w="1654" w:type="dxa"/>
          </w:tcPr>
          <w:p>
            <w:pPr>
              <w:pStyle w:val="36"/>
              <w:spacing w:before="30"/>
              <w:ind w:left="191" w:right="187"/>
              <w:jc w:val="center"/>
              <w:rPr>
                <w:rFonts w:ascii="仿宋" w:hAnsi="仿宋" w:eastAsia="仿宋" w:cs="仿宋"/>
                <w:sz w:val="24"/>
                <w:szCs w:val="24"/>
              </w:rPr>
            </w:pPr>
            <w:r>
              <w:rPr>
                <w:rFonts w:hint="eastAsia" w:ascii="仿宋" w:hAnsi="仿宋" w:eastAsia="仿宋" w:cs="仿宋"/>
                <w:sz w:val="24"/>
                <w:szCs w:val="24"/>
              </w:rPr>
              <w:t>实际得分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5054" w:type="dxa"/>
            <w:gridSpan w:val="2"/>
          </w:tcPr>
          <w:p>
            <w:pPr>
              <w:pStyle w:val="36"/>
              <w:spacing w:before="58"/>
              <w:ind w:firstLine="240" w:firstLineChars="100"/>
              <w:rPr>
                <w:rFonts w:ascii="仿宋" w:hAnsi="仿宋" w:eastAsia="仿宋" w:cs="仿宋"/>
                <w:sz w:val="24"/>
                <w:szCs w:val="24"/>
              </w:rPr>
            </w:pPr>
            <w:r>
              <w:rPr>
                <w:rFonts w:hint="eastAsia" w:ascii="仿宋" w:hAnsi="仿宋" w:eastAsia="仿宋" w:cs="仿宋"/>
                <w:sz w:val="24"/>
                <w:szCs w:val="24"/>
              </w:rPr>
              <w:t>项目决策</w:t>
            </w:r>
          </w:p>
        </w:tc>
        <w:tc>
          <w:tcPr>
            <w:tcW w:w="1729" w:type="dxa"/>
          </w:tcPr>
          <w:p>
            <w:pPr>
              <w:pStyle w:val="36"/>
              <w:spacing w:before="58"/>
              <w:ind w:left="263" w:right="25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15</w:t>
            </w:r>
          </w:p>
        </w:tc>
        <w:tc>
          <w:tcPr>
            <w:tcW w:w="1654" w:type="dxa"/>
          </w:tcPr>
          <w:p>
            <w:pPr>
              <w:pStyle w:val="36"/>
              <w:spacing w:before="58"/>
              <w:ind w:left="192" w:right="18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项目立项</w:t>
            </w:r>
          </w:p>
        </w:tc>
        <w:tc>
          <w:tcPr>
            <w:tcW w:w="1729" w:type="dxa"/>
          </w:tcPr>
          <w:p>
            <w:pPr>
              <w:pStyle w:val="36"/>
              <w:spacing w:before="58"/>
              <w:ind w:left="6"/>
              <w:jc w:val="center"/>
              <w:rPr>
                <w:rFonts w:ascii="仿宋" w:hAnsi="仿宋" w:eastAsia="仿宋" w:cs="仿宋"/>
                <w:sz w:val="24"/>
                <w:szCs w:val="24"/>
              </w:rPr>
            </w:pPr>
            <w:r>
              <w:rPr>
                <w:rFonts w:hint="eastAsia" w:ascii="仿宋" w:hAnsi="仿宋" w:eastAsia="仿宋" w:cs="仿宋"/>
                <w:w w:val="99"/>
                <w:sz w:val="24"/>
                <w:szCs w:val="24"/>
              </w:rPr>
              <w:t>4</w:t>
            </w:r>
          </w:p>
        </w:tc>
        <w:tc>
          <w:tcPr>
            <w:tcW w:w="1654" w:type="dxa"/>
          </w:tcPr>
          <w:p>
            <w:pPr>
              <w:pStyle w:val="36"/>
              <w:spacing w:before="58"/>
              <w:ind w:left="5"/>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绩效目标</w:t>
            </w:r>
          </w:p>
        </w:tc>
        <w:tc>
          <w:tcPr>
            <w:tcW w:w="1729" w:type="dxa"/>
          </w:tcPr>
          <w:p>
            <w:pPr>
              <w:pStyle w:val="36"/>
              <w:spacing w:before="58"/>
              <w:ind w:left="6"/>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6</w:t>
            </w:r>
          </w:p>
        </w:tc>
        <w:tc>
          <w:tcPr>
            <w:tcW w:w="1654" w:type="dxa"/>
          </w:tcPr>
          <w:p>
            <w:pPr>
              <w:pStyle w:val="36"/>
              <w:spacing w:before="58"/>
              <w:ind w:left="5"/>
              <w:jc w:val="center"/>
              <w:rPr>
                <w:rFonts w:ascii="仿宋" w:hAnsi="仿宋" w:eastAsia="仿宋" w:cs="仿宋"/>
                <w:sz w:val="24"/>
                <w:szCs w:val="24"/>
              </w:rPr>
            </w:pPr>
            <w:r>
              <w:rPr>
                <w:rFonts w:hint="eastAsia" w:ascii="仿宋" w:hAnsi="仿宋" w:eastAsia="仿宋" w:cs="仿宋"/>
                <w:w w:val="99"/>
                <w:sz w:val="24"/>
                <w:szCs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资金投入</w:t>
            </w:r>
          </w:p>
        </w:tc>
        <w:tc>
          <w:tcPr>
            <w:tcW w:w="1729" w:type="dxa"/>
          </w:tcPr>
          <w:p>
            <w:pPr>
              <w:pStyle w:val="36"/>
              <w:spacing w:before="58"/>
              <w:ind w:left="6"/>
              <w:jc w:val="center"/>
              <w:rPr>
                <w:rFonts w:ascii="仿宋" w:hAnsi="仿宋" w:eastAsia="仿宋" w:cs="仿宋"/>
                <w:w w:val="99"/>
                <w:sz w:val="24"/>
                <w:szCs w:val="24"/>
              </w:rPr>
            </w:pPr>
            <w:r>
              <w:rPr>
                <w:rFonts w:hint="eastAsia" w:ascii="仿宋" w:hAnsi="仿宋" w:eastAsia="仿宋" w:cs="仿宋"/>
                <w:w w:val="99"/>
                <w:sz w:val="24"/>
                <w:szCs w:val="24"/>
              </w:rPr>
              <w:t>5</w:t>
            </w:r>
          </w:p>
        </w:tc>
        <w:tc>
          <w:tcPr>
            <w:tcW w:w="1654" w:type="dxa"/>
          </w:tcPr>
          <w:p>
            <w:pPr>
              <w:pStyle w:val="36"/>
              <w:spacing w:before="58"/>
              <w:ind w:left="5"/>
              <w:jc w:val="center"/>
              <w:rPr>
                <w:rFonts w:hint="eastAsia" w:ascii="仿宋" w:hAnsi="仿宋" w:eastAsia="仿宋" w:cs="仿宋"/>
                <w:w w:val="99"/>
                <w:sz w:val="24"/>
                <w:szCs w:val="24"/>
                <w:lang w:eastAsia="zh-CN"/>
              </w:rPr>
            </w:pPr>
            <w:r>
              <w:rPr>
                <w:rFonts w:hint="eastAsia" w:ascii="仿宋" w:hAnsi="仿宋" w:eastAsia="仿宋" w:cs="仿宋"/>
                <w:w w:val="99"/>
                <w:sz w:val="24"/>
                <w:szCs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5054" w:type="dxa"/>
            <w:gridSpan w:val="2"/>
          </w:tcPr>
          <w:p>
            <w:pPr>
              <w:pStyle w:val="36"/>
              <w:spacing w:before="58"/>
              <w:ind w:firstLine="240" w:firstLineChars="1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项目管理</w:t>
            </w:r>
          </w:p>
        </w:tc>
        <w:tc>
          <w:tcPr>
            <w:tcW w:w="1729" w:type="dxa"/>
          </w:tcPr>
          <w:p>
            <w:pPr>
              <w:pStyle w:val="36"/>
              <w:spacing w:before="58"/>
              <w:ind w:left="263" w:right="257"/>
              <w:jc w:val="center"/>
              <w:rPr>
                <w:rFonts w:hint="eastAsia" w:ascii="仿宋" w:hAnsi="仿宋" w:eastAsia="仿宋" w:cs="仿宋"/>
                <w:b/>
                <w:bCs/>
                <w:sz w:val="24"/>
                <w:szCs w:val="24"/>
                <w:lang w:eastAsia="zh-CN"/>
              </w:rPr>
            </w:pPr>
            <w:r>
              <w:rPr>
                <w:rFonts w:hint="eastAsia" w:ascii="仿宋" w:hAnsi="仿宋" w:eastAsia="仿宋" w:cs="仿宋"/>
                <w:b/>
                <w:bCs/>
                <w:sz w:val="24"/>
                <w:szCs w:val="24"/>
              </w:rPr>
              <w:t>2</w:t>
            </w:r>
            <w:r>
              <w:rPr>
                <w:rFonts w:hint="eastAsia" w:ascii="仿宋" w:hAnsi="仿宋" w:eastAsia="仿宋" w:cs="仿宋"/>
                <w:b/>
                <w:bCs/>
                <w:sz w:val="24"/>
                <w:szCs w:val="24"/>
                <w:lang w:val="en-US" w:eastAsia="zh-CN"/>
              </w:rPr>
              <w:t>5</w:t>
            </w:r>
          </w:p>
        </w:tc>
        <w:tc>
          <w:tcPr>
            <w:tcW w:w="1654" w:type="dxa"/>
          </w:tcPr>
          <w:p>
            <w:pPr>
              <w:pStyle w:val="36"/>
              <w:spacing w:before="58"/>
              <w:ind w:left="192" w:right="18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19.25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资金执行</w:t>
            </w:r>
          </w:p>
        </w:tc>
        <w:tc>
          <w:tcPr>
            <w:tcW w:w="1729" w:type="dxa"/>
          </w:tcPr>
          <w:p>
            <w:pPr>
              <w:pStyle w:val="36"/>
              <w:spacing w:before="58"/>
              <w:ind w:left="6"/>
              <w:jc w:val="center"/>
              <w:rPr>
                <w:rFonts w:hint="default" w:ascii="仿宋" w:hAnsi="仿宋" w:eastAsia="仿宋" w:cs="仿宋"/>
                <w:w w:val="99"/>
                <w:sz w:val="24"/>
                <w:szCs w:val="24"/>
                <w:lang w:val="en-US" w:eastAsia="zh-CN"/>
              </w:rPr>
            </w:pPr>
            <w:r>
              <w:rPr>
                <w:rFonts w:hint="eastAsia" w:ascii="仿宋" w:hAnsi="仿宋" w:eastAsia="仿宋" w:cs="仿宋"/>
                <w:w w:val="99"/>
                <w:sz w:val="24"/>
                <w:szCs w:val="24"/>
                <w:lang w:val="en-US" w:eastAsia="zh-CN"/>
              </w:rPr>
              <w:t>10</w:t>
            </w:r>
          </w:p>
        </w:tc>
        <w:tc>
          <w:tcPr>
            <w:tcW w:w="1654" w:type="dxa"/>
          </w:tcPr>
          <w:p>
            <w:pPr>
              <w:pStyle w:val="36"/>
              <w:spacing w:before="58"/>
              <w:ind w:left="5"/>
              <w:jc w:val="center"/>
              <w:rPr>
                <w:rFonts w:hint="default" w:ascii="仿宋" w:hAnsi="仿宋" w:eastAsia="仿宋" w:cs="仿宋"/>
                <w:w w:val="99"/>
                <w:sz w:val="24"/>
                <w:szCs w:val="24"/>
                <w:lang w:val="en-US" w:eastAsia="zh-CN"/>
              </w:rPr>
            </w:pPr>
            <w:r>
              <w:rPr>
                <w:rFonts w:hint="eastAsia" w:ascii="仿宋" w:hAnsi="仿宋" w:eastAsia="仿宋" w:cs="仿宋"/>
                <w:w w:val="99"/>
                <w:sz w:val="24"/>
                <w:szCs w:val="24"/>
                <w:lang w:val="en-US" w:eastAsia="zh-CN"/>
              </w:rPr>
              <w:t>7.25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资金管理</w:t>
            </w:r>
          </w:p>
        </w:tc>
        <w:tc>
          <w:tcPr>
            <w:tcW w:w="1729" w:type="dxa"/>
          </w:tcPr>
          <w:p>
            <w:pPr>
              <w:pStyle w:val="36"/>
              <w:spacing w:before="58"/>
              <w:ind w:left="6"/>
              <w:jc w:val="center"/>
              <w:rPr>
                <w:rFonts w:hint="eastAsia" w:ascii="仿宋" w:hAnsi="仿宋" w:eastAsia="仿宋" w:cs="仿宋"/>
                <w:sz w:val="24"/>
                <w:szCs w:val="24"/>
                <w:lang w:eastAsia="zh-CN"/>
              </w:rPr>
            </w:pPr>
            <w:r>
              <w:rPr>
                <w:rFonts w:hint="eastAsia" w:ascii="仿宋" w:hAnsi="仿宋" w:eastAsia="仿宋" w:cs="仿宋"/>
                <w:w w:val="99"/>
                <w:sz w:val="24"/>
                <w:szCs w:val="24"/>
              </w:rPr>
              <w:t>1</w:t>
            </w:r>
            <w:r>
              <w:rPr>
                <w:rFonts w:hint="eastAsia" w:ascii="仿宋" w:hAnsi="仿宋" w:eastAsia="仿宋" w:cs="仿宋"/>
                <w:w w:val="99"/>
                <w:sz w:val="24"/>
                <w:szCs w:val="24"/>
                <w:lang w:val="en-US" w:eastAsia="zh-CN"/>
              </w:rPr>
              <w:t>0</w:t>
            </w:r>
          </w:p>
        </w:tc>
        <w:tc>
          <w:tcPr>
            <w:tcW w:w="1654" w:type="dxa"/>
          </w:tcPr>
          <w:p>
            <w:pPr>
              <w:pStyle w:val="36"/>
              <w:spacing w:before="58"/>
              <w:ind w:left="5"/>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ascii="仿宋" w:hAnsi="仿宋" w:eastAsia="仿宋" w:cs="仿宋"/>
                <w:sz w:val="24"/>
                <w:szCs w:val="24"/>
              </w:rPr>
            </w:pPr>
            <w:r>
              <w:rPr>
                <w:rFonts w:hint="eastAsia" w:ascii="仿宋" w:hAnsi="仿宋" w:eastAsia="仿宋" w:cs="仿宋"/>
                <w:sz w:val="24"/>
                <w:szCs w:val="24"/>
              </w:rPr>
              <w:t>组织实施</w:t>
            </w:r>
          </w:p>
        </w:tc>
        <w:tc>
          <w:tcPr>
            <w:tcW w:w="1729" w:type="dxa"/>
          </w:tcPr>
          <w:p>
            <w:pPr>
              <w:pStyle w:val="36"/>
              <w:spacing w:before="58"/>
              <w:ind w:left="6"/>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5</w:t>
            </w:r>
          </w:p>
        </w:tc>
        <w:tc>
          <w:tcPr>
            <w:tcW w:w="1654" w:type="dxa"/>
          </w:tcPr>
          <w:p>
            <w:pPr>
              <w:pStyle w:val="36"/>
              <w:spacing w:before="58"/>
              <w:ind w:left="5"/>
              <w:jc w:val="center"/>
              <w:rPr>
                <w:rFonts w:hint="eastAsia" w:ascii="仿宋" w:hAnsi="仿宋" w:eastAsia="仿宋" w:cs="仿宋"/>
                <w:sz w:val="24"/>
                <w:szCs w:val="24"/>
                <w:lang w:eastAsia="zh-CN"/>
              </w:rPr>
            </w:pPr>
            <w:r>
              <w:rPr>
                <w:rFonts w:hint="eastAsia" w:ascii="仿宋" w:hAnsi="仿宋" w:eastAsia="仿宋" w:cs="仿宋"/>
                <w:w w:val="99"/>
                <w:sz w:val="24"/>
                <w:szCs w:val="24"/>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5054" w:type="dxa"/>
            <w:gridSpan w:val="2"/>
          </w:tcPr>
          <w:p>
            <w:pPr>
              <w:pStyle w:val="36"/>
              <w:spacing w:before="58"/>
              <w:ind w:firstLine="240" w:firstLineChars="100"/>
              <w:rPr>
                <w:rFonts w:hint="eastAsia" w:ascii="仿宋" w:hAnsi="仿宋" w:eastAsia="仿宋" w:cs="仿宋"/>
                <w:sz w:val="24"/>
                <w:szCs w:val="24"/>
                <w:lang w:eastAsia="zh-CN"/>
              </w:rPr>
            </w:pPr>
            <w:r>
              <w:rPr>
                <w:rFonts w:hint="eastAsia" w:ascii="仿宋" w:hAnsi="仿宋" w:eastAsia="仿宋" w:cs="仿宋"/>
                <w:sz w:val="24"/>
                <w:szCs w:val="24"/>
              </w:rPr>
              <w:t>项目</w:t>
            </w:r>
            <w:r>
              <w:rPr>
                <w:rFonts w:hint="eastAsia" w:ascii="仿宋" w:hAnsi="仿宋" w:eastAsia="仿宋" w:cs="仿宋"/>
                <w:sz w:val="24"/>
                <w:szCs w:val="24"/>
                <w:lang w:val="en-US" w:eastAsia="zh-CN"/>
              </w:rPr>
              <w:t>绩效</w:t>
            </w:r>
          </w:p>
        </w:tc>
        <w:tc>
          <w:tcPr>
            <w:tcW w:w="1729" w:type="dxa"/>
          </w:tcPr>
          <w:p>
            <w:pPr>
              <w:pStyle w:val="36"/>
              <w:spacing w:before="58"/>
              <w:ind w:left="263" w:right="25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60</w:t>
            </w:r>
          </w:p>
        </w:tc>
        <w:tc>
          <w:tcPr>
            <w:tcW w:w="1654" w:type="dxa"/>
          </w:tcPr>
          <w:p>
            <w:pPr>
              <w:pStyle w:val="36"/>
              <w:spacing w:before="58"/>
              <w:ind w:left="192" w:right="187"/>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53.70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项目产出</w:t>
            </w:r>
          </w:p>
        </w:tc>
        <w:tc>
          <w:tcPr>
            <w:tcW w:w="1729" w:type="dxa"/>
          </w:tcPr>
          <w:p>
            <w:pPr>
              <w:pStyle w:val="36"/>
              <w:spacing w:before="58"/>
              <w:ind w:left="263" w:right="257"/>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1654" w:type="dxa"/>
          </w:tcPr>
          <w:p>
            <w:pPr>
              <w:pStyle w:val="36"/>
              <w:spacing w:before="58"/>
              <w:ind w:left="192" w:right="187"/>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27.70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2318" w:type="dxa"/>
          </w:tcPr>
          <w:p>
            <w:pPr>
              <w:pStyle w:val="36"/>
              <w:rPr>
                <w:rFonts w:ascii="仿宋" w:hAnsi="仿宋" w:eastAsia="仿宋" w:cs="仿宋"/>
                <w:sz w:val="24"/>
                <w:szCs w:val="24"/>
              </w:rPr>
            </w:pPr>
          </w:p>
        </w:tc>
        <w:tc>
          <w:tcPr>
            <w:tcW w:w="2736" w:type="dxa"/>
          </w:tcPr>
          <w:p>
            <w:pPr>
              <w:pStyle w:val="36"/>
              <w:spacing w:before="58"/>
              <w:ind w:left="108"/>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项目效果</w:t>
            </w:r>
          </w:p>
        </w:tc>
        <w:tc>
          <w:tcPr>
            <w:tcW w:w="1729" w:type="dxa"/>
          </w:tcPr>
          <w:p>
            <w:pPr>
              <w:pStyle w:val="36"/>
              <w:spacing w:before="58"/>
              <w:ind w:left="263" w:right="257"/>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26</w:t>
            </w:r>
          </w:p>
        </w:tc>
        <w:tc>
          <w:tcPr>
            <w:tcW w:w="1654" w:type="dxa"/>
          </w:tcPr>
          <w:p>
            <w:pPr>
              <w:pStyle w:val="36"/>
              <w:spacing w:before="58"/>
              <w:ind w:left="192" w:right="187"/>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 w:hRule="atLeast"/>
        </w:trPr>
        <w:tc>
          <w:tcPr>
            <w:tcW w:w="5054" w:type="dxa"/>
            <w:gridSpan w:val="2"/>
            <w:vAlign w:val="center"/>
          </w:tcPr>
          <w:p>
            <w:pPr>
              <w:pStyle w:val="36"/>
              <w:jc w:val="center"/>
              <w:rPr>
                <w:rFonts w:hint="eastAsia" w:ascii="仿宋" w:hAnsi="仿宋" w:eastAsia="仿宋" w:cs="仿宋"/>
                <w:b/>
                <w:bCs w:val="0"/>
                <w:kern w:val="0"/>
                <w:sz w:val="24"/>
                <w:szCs w:val="24"/>
                <w:lang w:val="en-US" w:eastAsia="zh-CN" w:bidi="zh-CN"/>
              </w:rPr>
            </w:pPr>
            <w:r>
              <w:rPr>
                <w:rFonts w:hint="eastAsia" w:ascii="仿宋" w:hAnsi="仿宋" w:eastAsia="仿宋" w:cs="仿宋"/>
                <w:b/>
                <w:bCs w:val="0"/>
                <w:sz w:val="24"/>
                <w:szCs w:val="24"/>
              </w:rPr>
              <w:t>合</w:t>
            </w:r>
            <w:r>
              <w:rPr>
                <w:rFonts w:hint="eastAsia" w:ascii="仿宋" w:hAnsi="仿宋" w:eastAsia="仿宋" w:cs="仿宋"/>
                <w:b/>
                <w:bCs w:val="0"/>
                <w:sz w:val="24"/>
                <w:szCs w:val="24"/>
                <w:lang w:val="en-US"/>
              </w:rPr>
              <w:t xml:space="preserve">  </w:t>
            </w:r>
            <w:r>
              <w:rPr>
                <w:rFonts w:hint="eastAsia" w:ascii="仿宋" w:hAnsi="仿宋" w:eastAsia="仿宋" w:cs="仿宋"/>
                <w:b/>
                <w:bCs w:val="0"/>
                <w:sz w:val="24"/>
                <w:szCs w:val="24"/>
              </w:rPr>
              <w:t>计</w:t>
            </w:r>
          </w:p>
        </w:tc>
        <w:tc>
          <w:tcPr>
            <w:tcW w:w="1729" w:type="dxa"/>
            <w:vAlign w:val="top"/>
          </w:tcPr>
          <w:p>
            <w:pPr>
              <w:pStyle w:val="36"/>
              <w:spacing w:before="58"/>
              <w:ind w:left="263" w:leftChars="0" w:right="257" w:rightChars="0"/>
              <w:jc w:val="center"/>
              <w:rPr>
                <w:rFonts w:hint="eastAsia" w:ascii="仿宋" w:hAnsi="仿宋" w:eastAsia="仿宋" w:cs="仿宋"/>
                <w:b/>
                <w:bCs w:val="0"/>
                <w:kern w:val="0"/>
                <w:sz w:val="24"/>
                <w:szCs w:val="24"/>
                <w:lang w:val="en-US" w:eastAsia="zh-CN" w:bidi="zh-CN"/>
              </w:rPr>
            </w:pPr>
            <w:r>
              <w:rPr>
                <w:rFonts w:hint="eastAsia" w:ascii="仿宋" w:hAnsi="仿宋" w:eastAsia="仿宋" w:cs="仿宋"/>
                <w:b/>
                <w:bCs w:val="0"/>
                <w:sz w:val="24"/>
                <w:szCs w:val="24"/>
              </w:rPr>
              <w:t>100</w:t>
            </w:r>
          </w:p>
        </w:tc>
        <w:tc>
          <w:tcPr>
            <w:tcW w:w="1654" w:type="dxa"/>
            <w:vAlign w:val="top"/>
          </w:tcPr>
          <w:p>
            <w:pPr>
              <w:pStyle w:val="36"/>
              <w:spacing w:before="58"/>
              <w:ind w:left="192" w:leftChars="0" w:right="187" w:rightChars="0"/>
              <w:jc w:val="center"/>
              <w:rPr>
                <w:rFonts w:hint="default" w:ascii="仿宋" w:hAnsi="仿宋" w:eastAsia="仿宋" w:cs="仿宋"/>
                <w:b/>
                <w:bCs w:val="0"/>
                <w:kern w:val="0"/>
                <w:sz w:val="24"/>
                <w:szCs w:val="24"/>
                <w:lang w:val="en-US" w:eastAsia="zh-CN" w:bidi="zh-CN"/>
              </w:rPr>
            </w:pPr>
            <w:r>
              <w:rPr>
                <w:rFonts w:hint="eastAsia" w:ascii="仿宋" w:hAnsi="仿宋" w:eastAsia="仿宋" w:cs="仿宋"/>
                <w:b/>
                <w:bCs w:val="0"/>
                <w:sz w:val="24"/>
                <w:szCs w:val="24"/>
                <w:lang w:val="en-US" w:eastAsia="zh-CN"/>
              </w:rPr>
              <w:t>85.95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 w:hRule="atLeast"/>
        </w:trPr>
        <w:tc>
          <w:tcPr>
            <w:tcW w:w="5054" w:type="dxa"/>
            <w:gridSpan w:val="2"/>
            <w:vAlign w:val="center"/>
          </w:tcPr>
          <w:p>
            <w:pPr>
              <w:pStyle w:val="36"/>
              <w:jc w:val="center"/>
              <w:rPr>
                <w:rFonts w:ascii="仿宋" w:hAnsi="仿宋" w:eastAsia="仿宋" w:cs="仿宋"/>
                <w:b/>
                <w:bCs w:val="0"/>
                <w:sz w:val="24"/>
                <w:szCs w:val="24"/>
              </w:rPr>
            </w:pPr>
            <w:r>
              <w:rPr>
                <w:rFonts w:hint="eastAsia" w:ascii="仿宋_GB2312" w:hAnsi="仿宋_GB2312" w:eastAsia="仿宋_GB2312" w:cs="仿宋_GB2312"/>
                <w:b/>
                <w:sz w:val="28"/>
                <w:szCs w:val="28"/>
                <w:highlight w:val="none"/>
              </w:rPr>
              <w:t>绩效评定级别</w:t>
            </w:r>
          </w:p>
        </w:tc>
        <w:tc>
          <w:tcPr>
            <w:tcW w:w="3383" w:type="dxa"/>
            <w:gridSpan w:val="2"/>
          </w:tcPr>
          <w:p>
            <w:pPr>
              <w:pStyle w:val="36"/>
              <w:spacing w:before="58"/>
              <w:ind w:right="187" w:firstLine="1687" w:firstLineChars="600"/>
              <w:jc w:val="both"/>
              <w:rPr>
                <w:rFonts w:hint="eastAsia" w:ascii="仿宋" w:hAnsi="仿宋" w:eastAsia="仿宋" w:cs="仿宋"/>
                <w:b/>
                <w:bCs w:val="0"/>
                <w:sz w:val="24"/>
                <w:szCs w:val="24"/>
                <w:lang w:val="en-US" w:eastAsia="zh-CN"/>
              </w:rPr>
            </w:pPr>
            <w:r>
              <w:rPr>
                <w:rFonts w:hint="eastAsia" w:ascii="仿宋_GB2312" w:hAnsi="仿宋_GB2312" w:eastAsia="仿宋_GB2312" w:cs="仿宋_GB2312"/>
                <w:b/>
                <w:bCs/>
                <w:sz w:val="28"/>
                <w:szCs w:val="28"/>
                <w:highlight w:val="none"/>
                <w:lang w:val="en-US" w:eastAsia="zh-CN"/>
              </w:rPr>
              <w:t>良</w:t>
            </w:r>
          </w:p>
        </w:tc>
      </w:tr>
    </w:tbl>
    <w:p>
      <w:pPr>
        <w:pStyle w:val="5"/>
        <w:numPr>
          <w:ilvl w:val="0"/>
          <w:numId w:val="1"/>
        </w:numPr>
        <w:spacing w:before="0" w:after="0"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绩效指标对比分析项目绩效评价指标按一级指标分类对比分析，一级指标共分为</w:t>
      </w:r>
      <w:r>
        <w:rPr>
          <w:rFonts w:hint="eastAsia" w:ascii="仿宋" w:hAnsi="仿宋" w:eastAsia="仿宋" w:cs="仿宋"/>
          <w:b w:val="0"/>
          <w:bCs w:val="0"/>
          <w:sz w:val="28"/>
          <w:szCs w:val="28"/>
          <w:lang w:val="en-US" w:eastAsia="zh-CN"/>
        </w:rPr>
        <w:t>三</w:t>
      </w:r>
      <w:r>
        <w:rPr>
          <w:rFonts w:hint="eastAsia" w:ascii="仿宋" w:hAnsi="仿宋" w:eastAsia="仿宋" w:cs="仿宋"/>
          <w:b w:val="0"/>
          <w:bCs w:val="0"/>
          <w:sz w:val="28"/>
          <w:szCs w:val="28"/>
        </w:rPr>
        <w:t>个部分：项目决策、项目</w:t>
      </w:r>
      <w:r>
        <w:rPr>
          <w:rFonts w:hint="eastAsia" w:ascii="仿宋" w:hAnsi="仿宋" w:eastAsia="仿宋" w:cs="仿宋"/>
          <w:b w:val="0"/>
          <w:bCs w:val="0"/>
          <w:sz w:val="28"/>
          <w:szCs w:val="28"/>
          <w:lang w:val="en-US" w:eastAsia="zh-CN"/>
        </w:rPr>
        <w:t>管理</w:t>
      </w:r>
      <w:r>
        <w:rPr>
          <w:rFonts w:hint="eastAsia" w:ascii="仿宋" w:hAnsi="仿宋" w:eastAsia="仿宋" w:cs="仿宋"/>
          <w:b w:val="0"/>
          <w:bCs w:val="0"/>
          <w:sz w:val="28"/>
          <w:szCs w:val="28"/>
        </w:rPr>
        <w:t>项目</w:t>
      </w:r>
      <w:r>
        <w:rPr>
          <w:rFonts w:hint="eastAsia" w:ascii="仿宋" w:hAnsi="仿宋" w:eastAsia="仿宋" w:cs="仿宋"/>
          <w:b w:val="0"/>
          <w:bCs w:val="0"/>
          <w:sz w:val="28"/>
          <w:szCs w:val="28"/>
          <w:lang w:val="en-US" w:eastAsia="zh-CN"/>
        </w:rPr>
        <w:t>绩效</w:t>
      </w:r>
      <w:r>
        <w:rPr>
          <w:rFonts w:hint="eastAsia" w:ascii="仿宋" w:hAnsi="仿宋" w:eastAsia="仿宋" w:cs="仿宋"/>
          <w:b w:val="0"/>
          <w:bCs w:val="0"/>
          <w:sz w:val="28"/>
          <w:szCs w:val="28"/>
        </w:rPr>
        <w:t>，对比情况如图：</w:t>
      </w:r>
    </w:p>
    <w:p>
      <w:pPr>
        <w:widowControl w:val="0"/>
        <w:numPr>
          <w:ilvl w:val="0"/>
          <w:numId w:val="0"/>
        </w:numPr>
        <w:jc w:val="both"/>
        <w:rPr>
          <w:rFonts w:hint="eastAsia"/>
        </w:rPr>
      </w:pPr>
      <w:r>
        <w:rPr>
          <w:rFonts w:hint="eastAsia" w:eastAsia="宋体"/>
          <w:lang w:eastAsia="zh-CN"/>
        </w:rPr>
        <w:object>
          <v:shape id="_x0000_i1026" o:spt="75" type="#_x0000_t75" style="height:212pt;width:421.95pt;" o:ole="t" filled="f" o:preferrelative="t" stroked="f" coordsize="21600,21600">
            <v:path/>
            <v:fill on="f" focussize="0,0"/>
            <v:stroke on="f"/>
            <v:imagedata r:id="rId18" o:title=""/>
            <o:lock v:ext="edit" aspectratio="t"/>
            <w10:wrap type="none"/>
            <w10:anchorlock/>
          </v:shape>
          <o:OLEObject Type="Embed" ProgID="Excel.Chart.8" ShapeID="_x0000_i1026" DrawAspect="Content" ObjectID="_1468075725" r:id="rId17">
            <o:LockedField>false</o:LockedField>
          </o:OLEObject>
        </w:object>
      </w:r>
    </w:p>
    <w:p>
      <w:pPr>
        <w:pStyle w:val="5"/>
        <w:spacing w:before="0" w:after="0" w:line="360" w:lineRule="auto"/>
        <w:ind w:firstLine="562" w:firstLineChars="200"/>
        <w:rPr>
          <w:rFonts w:hint="eastAsia" w:ascii="仿宋" w:hAnsi="仿宋" w:eastAsia="仿宋" w:cs="仿宋"/>
          <w:b/>
          <w:bCs w:val="0"/>
          <w:kern w:val="32"/>
          <w:sz w:val="28"/>
          <w:szCs w:val="28"/>
        </w:rPr>
      </w:pPr>
      <w:r>
        <w:rPr>
          <w:rFonts w:hint="eastAsia" w:ascii="仿宋" w:hAnsi="仿宋" w:eastAsia="仿宋" w:cs="仿宋"/>
          <w:b/>
          <w:bCs w:val="0"/>
          <w:kern w:val="32"/>
          <w:sz w:val="28"/>
          <w:szCs w:val="28"/>
        </w:rPr>
        <w:t>（二）具体绩效分析</w:t>
      </w:r>
      <w:bookmarkEnd w:id="31"/>
      <w:bookmarkEnd w:id="32"/>
      <w:bookmarkEnd w:id="33"/>
      <w:bookmarkEnd w:id="34"/>
      <w:bookmarkEnd w:id="35"/>
    </w:p>
    <w:p>
      <w:pPr>
        <w:ind w:firstLine="641"/>
        <w:rPr>
          <w:rFonts w:hint="eastAsia" w:ascii="仿宋" w:hAnsi="仿宋" w:eastAsia="仿宋" w:cs="仿宋"/>
          <w:sz w:val="28"/>
          <w:szCs w:val="28"/>
        </w:rPr>
      </w:pPr>
      <w:r>
        <w:rPr>
          <w:rFonts w:hint="eastAsia" w:ascii="仿宋" w:hAnsi="仿宋" w:eastAsia="仿宋" w:cs="仿宋"/>
          <w:kern w:val="32"/>
          <w:sz w:val="28"/>
          <w:szCs w:val="28"/>
        </w:rPr>
        <w:t>1.项目</w:t>
      </w:r>
      <w:r>
        <w:rPr>
          <w:rFonts w:hint="eastAsia" w:ascii="仿宋" w:hAnsi="仿宋" w:eastAsia="仿宋" w:cs="仿宋"/>
          <w:kern w:val="32"/>
          <w:sz w:val="28"/>
          <w:szCs w:val="28"/>
          <w:lang w:val="en-US" w:eastAsia="zh-CN"/>
        </w:rPr>
        <w:t>决策</w:t>
      </w:r>
      <w:r>
        <w:rPr>
          <w:rFonts w:hint="eastAsia" w:ascii="仿宋" w:hAnsi="仿宋" w:eastAsia="仿宋" w:cs="仿宋"/>
          <w:kern w:val="32"/>
          <w:sz w:val="28"/>
          <w:szCs w:val="28"/>
        </w:rPr>
        <w:t>分析</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项目决策指标包含3个二级指标以及5个三级指标，该指标分值15分，得分为13.00分，得分率87.00%。各指标详细说明如下：</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（1）项目目标管理情况：该二级指标分值4分，得4分，该指标下具体内容：</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①设有目标：该指标分值1分，得1分。项目绩效目标为2020年已接收的绿化管养及2021年计划接收的绿化管养服务。</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②目标明确性：该指标分值1分，得1分。该项目绩效目标明确，即对辖区内绿化用地进行管养。</w:t>
      </w:r>
    </w:p>
    <w:p>
      <w:pPr>
        <w:ind w:firstLine="641"/>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③目标细化性：该指标分值1分，得1分。该项目绩效目标细化，即通过招标确定4家养护公司对辖区内绿化用地进行管养。</w:t>
      </w:r>
    </w:p>
    <w:p>
      <w:pPr>
        <w:pStyle w:val="2"/>
        <w:rPr>
          <w:rFonts w:hint="eastAsia" w:ascii="仿宋" w:hAnsi="仿宋" w:eastAsia="仿宋" w:cs="仿宋"/>
          <w:color w:val="000000"/>
          <w:kern w:val="32"/>
          <w:sz w:val="28"/>
          <w:szCs w:val="28"/>
          <w:lang w:val="en-US" w:eastAsia="zh-CN" w:bidi="ar-SA"/>
        </w:rPr>
      </w:pPr>
      <w:r>
        <w:rPr>
          <w:rFonts w:hint="eastAsia" w:ascii="仿宋" w:hAnsi="仿宋" w:eastAsia="仿宋" w:cs="仿宋"/>
          <w:sz w:val="28"/>
          <w:szCs w:val="28"/>
          <w:lang w:val="en-US" w:eastAsia="zh-CN"/>
        </w:rPr>
        <w:t xml:space="preserve">  </w:t>
      </w:r>
      <w:r>
        <w:rPr>
          <w:rFonts w:hint="eastAsia" w:ascii="仿宋" w:hAnsi="仿宋" w:eastAsia="仿宋" w:cs="仿宋"/>
          <w:color w:val="000000"/>
          <w:kern w:val="32"/>
          <w:sz w:val="28"/>
          <w:szCs w:val="28"/>
          <w:lang w:val="en-US" w:eastAsia="zh-CN" w:bidi="ar-SA"/>
        </w:rPr>
        <w:t>④目标量化性：该指标分值1分，得1分。项目绩效目标表显示养护面积为151.83万平方米。</w:t>
      </w:r>
    </w:p>
    <w:p>
      <w:pPr>
        <w:pStyle w:val="2"/>
        <w:numPr>
          <w:ilvl w:val="0"/>
          <w:numId w:val="2"/>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决策过程管理情况：该二级指标分值6分，得5分，该指标下具体内容：</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①决策依据是否符合法律法规，经济社会发展规划和相关政策：该指标分值1分，得1分。该项目依据《安阳县人民政府常务会议纪要》第92次第五条“同意自2021年起，每年的绿化管养费用列入安阳县城管局财政预算”。</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②决策依据是否符合行业发展规划和政策要求，与部门职责范围相符，符合部门年度工作计划：该指标分值0.5分，得0.5分。该项目决策依据符合行业发展规划和政策要求，与部门职责范围相符，符合部门年度工作计划</w:t>
      </w:r>
      <w:r>
        <w:rPr>
          <w:rFonts w:hint="eastAsia" w:cs="仿宋"/>
          <w:color w:val="000000"/>
          <w:kern w:val="32"/>
          <w:sz w:val="28"/>
          <w:szCs w:val="28"/>
          <w:lang w:val="en-US" w:eastAsia="zh-CN" w:bidi="ar-SA"/>
        </w:rPr>
        <w:t>。</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③决策依据是否属于公共财政支持范围，符合中央、地方事权支出责任划分：该指标分值0.5分，得0.5分。该项目决策依据属于公共财政支持范围，符合中央、地方事权支出责任划分。</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④决策依据是否针对某一实际问题和需求：该指标分值1分，得1分。该项目决策依据针对辖区内绿地绿化管养费用这一实际问题和需求。</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⑤项目是否符合申报条件：该指标分值0.5分，得0.5分。该项目符合申报条件。</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⑥项目事前是否经过必要的可行性研究、专家论证、风险评估。绩效评估、集体决策：该指标分值1分，得0分。扣分原因：未见该项目的可行性研究、专家论证等资料。</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⑦项目申报、批复程序是否符合管理办法：该指标分值0.5分，得0.5分。项目申报、批复程序符合管理办法。</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⑧项目调整是否履行了相应手续：该指标分值1分，得1分。该项目无项目调整。</w:t>
      </w:r>
    </w:p>
    <w:p>
      <w:pPr>
        <w:pStyle w:val="2"/>
        <w:numPr>
          <w:ilvl w:val="0"/>
          <w:numId w:val="2"/>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资金投入管理情况：该二级指标分值5分，得4分，该指标下具体内容：</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①预算编制经过科学论证，与项目内容匹配：该指标分值0.5分，得0.5分。该专项资金与项目内容匹配，即2020年已接收的绿化管养及2021年计划接收的绿化管养资金。</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②预算额度测算依据充分：该指标分值2分，得2分。该项目通过招标最终确定4家企业对辖区内绿地绿化进行管养工作，依据充分。</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③预算确定的项目投资额或资金量与工作任务相匹配：该指标分值0.5分，得0.5分。</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④有相应的资金管理办法，资金分配符合分配办法：该指标分值1分，得0.5分。扣分原因：资金管理办法不够详细，无具体的内容指向。</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⑤资金分配公平合理，有测算依据，与项目单位与地方实际相适应：该指标分值2分，得0.5分。扣分原因：资金分配时有考核表，但考核表仅1人签字，不够客观。 </w:t>
      </w:r>
    </w:p>
    <w:p>
      <w:pPr>
        <w:pStyle w:val="2"/>
        <w:numPr>
          <w:ilvl w:val="0"/>
          <w:numId w:val="0"/>
        </w:numPr>
        <w:ind w:firstLine="560" w:firstLineChars="200"/>
        <w:rPr>
          <w:rFonts w:hint="eastAsia" w:ascii="仿宋" w:hAnsi="仿宋" w:eastAsia="仿宋" w:cs="仿宋"/>
          <w:kern w:val="32"/>
          <w:sz w:val="28"/>
          <w:szCs w:val="28"/>
        </w:rPr>
      </w:pPr>
      <w:r>
        <w:rPr>
          <w:rFonts w:hint="eastAsia" w:ascii="仿宋" w:hAnsi="仿宋" w:eastAsia="仿宋" w:cs="仿宋"/>
          <w:kern w:val="32"/>
          <w:sz w:val="28"/>
          <w:szCs w:val="28"/>
          <w:lang w:val="en-US" w:eastAsia="zh-CN"/>
        </w:rPr>
        <w:t>2.项目管理</w:t>
      </w:r>
      <w:r>
        <w:rPr>
          <w:rFonts w:hint="eastAsia" w:ascii="仿宋" w:hAnsi="仿宋" w:eastAsia="仿宋" w:cs="仿宋"/>
          <w:kern w:val="32"/>
          <w:sz w:val="28"/>
          <w:szCs w:val="28"/>
        </w:rPr>
        <w:t>分析</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项目管理指标包含3个二级指标以及8个三级指标，该指标分值25分，得分为19.25分，得分率77.00%。各指标详细说明如下：</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（1）资金执行管理情况：该二级指标分值10分，得7.25分，该指标下具体内容：</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①资金到位率：该指标分值2分，得2分。该项目年初预算600万元，资金到位600万元，到位率100%。</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②预算执行率：该指标分值8分，得5.25分。扣分原因：该项目本年实际支付393.57万元，预算执行率65.60%。</w:t>
      </w:r>
    </w:p>
    <w:p>
      <w:pPr>
        <w:pStyle w:val="2"/>
        <w:numPr>
          <w:ilvl w:val="0"/>
          <w:numId w:val="3"/>
        </w:numPr>
        <w:ind w:left="200" w:leftChars="0" w:firstLine="640" w:firstLineChars="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资金管理情况：该二级指标分值10分，得8分，该指标下具体内容：</w:t>
      </w:r>
    </w:p>
    <w:p>
      <w:pPr>
        <w:pStyle w:val="2"/>
        <w:numPr>
          <w:ilvl w:val="0"/>
          <w:numId w:val="0"/>
        </w:numPr>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 xml:space="preserve">    ①资金使用情况：该指标分值6分，得6分。该项目支出依据合规，无虚列项目支出、截留挤占挪用、超标准、超预算等情况。</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②财务管理情况：该指标分值4分，得2分。扣分原因：支付绿化费用时，考核表上均1名考核人员签字，财务审核不够严谨。</w:t>
      </w:r>
      <w:bookmarkStart w:id="36" w:name="_Toc47736020"/>
      <w:bookmarkStart w:id="37" w:name="_Toc25339"/>
    </w:p>
    <w:p>
      <w:pPr>
        <w:pStyle w:val="2"/>
        <w:numPr>
          <w:ilvl w:val="0"/>
          <w:numId w:val="3"/>
        </w:numPr>
        <w:ind w:left="200" w:leftChars="0" w:firstLine="640" w:firstLineChars="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组织实施情况：该二级指标分值5分，得4分，该指标下具体内容：</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①组织机构健全、分工明确：该指标分值1分，得1分。</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②具备人员、场地、设备条件：该指标分值1分，得1分。该项目通过招标最终确定4家企业对辖区内绿地绿化进行管养工作，人员、场地和设备均具备良好条件。</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③按计划开工、按计划开展、按计划完工：该指标分值1分，得1分。</w:t>
      </w:r>
    </w:p>
    <w:p>
      <w:pPr>
        <w:pStyle w:val="2"/>
        <w:numPr>
          <w:ilvl w:val="0"/>
          <w:numId w:val="0"/>
        </w:numPr>
        <w:ind w:firstLine="64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lang w:val="en-US" w:eastAsia="zh-CN" w:bidi="ar-SA"/>
        </w:rPr>
        <w:t>④管理制度健全:该指标分值1分，得1分。安阳县城市管理局制定了</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专项资金管理制度</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绩效考核评价制度</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等管理制度。</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⑤制度执行严格:该指标分值1分，得0分。扣分原因：绿化养护考核表上仅1名考核人员签字，结果不够客观。</w:t>
      </w:r>
    </w:p>
    <w:p>
      <w:pPr>
        <w:pStyle w:val="2"/>
        <w:numPr>
          <w:ilvl w:val="0"/>
          <w:numId w:val="0"/>
        </w:numPr>
        <w:ind w:firstLine="560" w:firstLineChars="200"/>
        <w:rPr>
          <w:rFonts w:hint="eastAsia" w:ascii="仿宋" w:hAnsi="仿宋" w:eastAsia="仿宋" w:cs="仿宋"/>
          <w:kern w:val="32"/>
          <w:sz w:val="28"/>
          <w:szCs w:val="28"/>
        </w:rPr>
      </w:pPr>
      <w:r>
        <w:rPr>
          <w:rFonts w:hint="eastAsia" w:ascii="仿宋" w:hAnsi="仿宋" w:eastAsia="仿宋" w:cs="仿宋"/>
          <w:color w:val="000000"/>
          <w:kern w:val="32"/>
          <w:sz w:val="28"/>
          <w:szCs w:val="28"/>
          <w:lang w:val="en-US" w:eastAsia="zh-CN" w:bidi="ar-SA"/>
        </w:rPr>
        <w:t>3.</w:t>
      </w:r>
      <w:r>
        <w:rPr>
          <w:rFonts w:hint="eastAsia" w:ascii="仿宋" w:hAnsi="仿宋" w:eastAsia="仿宋" w:cs="仿宋"/>
          <w:kern w:val="32"/>
          <w:sz w:val="28"/>
          <w:szCs w:val="28"/>
          <w:lang w:val="en-US" w:eastAsia="zh-CN"/>
        </w:rPr>
        <w:t>项目绩效</w:t>
      </w:r>
      <w:r>
        <w:rPr>
          <w:rFonts w:hint="eastAsia" w:ascii="仿宋" w:hAnsi="仿宋" w:eastAsia="仿宋" w:cs="仿宋"/>
          <w:kern w:val="32"/>
          <w:sz w:val="28"/>
          <w:szCs w:val="28"/>
        </w:rPr>
        <w:t>分析</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项目绩效指标包含2个二级指标以及9个三级指标，该指标得分60分，得分为53.70分，得分率89.50%。各指标详细说明如下：</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（1）项目产出情况：该二级指标分值34分，得27.70分，该指标下具体内容：</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①产出数量：该指标分值9分，得9分。项目绩效目标表养护面积为151.83万平方米 ，实际完成178万平方米左右的养护。</w:t>
      </w:r>
    </w:p>
    <w:p>
      <w:pPr>
        <w:pStyle w:val="2"/>
        <w:numPr>
          <w:ilvl w:val="0"/>
          <w:numId w:val="0"/>
        </w:numPr>
        <w:ind w:firstLine="640"/>
        <w:rPr>
          <w:rFonts w:hint="eastAsia" w:ascii="仿宋" w:hAnsi="仿宋" w:eastAsia="仿宋" w:cs="仿宋"/>
          <w:color w:val="000000"/>
          <w:kern w:val="32"/>
          <w:sz w:val="28"/>
          <w:szCs w:val="28"/>
          <w:highlight w:val="none"/>
          <w:lang w:val="en-US" w:eastAsia="zh-CN" w:bidi="ar-SA"/>
        </w:rPr>
      </w:pPr>
      <w:r>
        <w:rPr>
          <w:rFonts w:hint="eastAsia" w:ascii="仿宋" w:hAnsi="仿宋" w:eastAsia="仿宋" w:cs="仿宋"/>
          <w:color w:val="000000"/>
          <w:kern w:val="32"/>
          <w:sz w:val="28"/>
          <w:szCs w:val="28"/>
          <w:lang w:val="en-US" w:eastAsia="zh-CN" w:bidi="ar-SA"/>
        </w:rPr>
        <w:t>②产出质量：该指标分值9分，得6.7分。扣分原因：根据资料显示本年共对4家中标单位完成质量进行39次考核，其中得分80分</w:t>
      </w:r>
      <w:r>
        <w:rPr>
          <w:rFonts w:hint="eastAsia" w:ascii="仿宋" w:hAnsi="仿宋" w:eastAsia="仿宋" w:cs="仿宋"/>
          <w:color w:val="000000"/>
          <w:kern w:val="32"/>
          <w:sz w:val="28"/>
          <w:szCs w:val="28"/>
          <w:highlight w:val="none"/>
          <w:lang w:val="en-US" w:eastAsia="zh-CN" w:bidi="ar-SA"/>
        </w:rPr>
        <w:t>以下共10次，质量达标率为74.36%。</w:t>
      </w:r>
    </w:p>
    <w:p>
      <w:pPr>
        <w:pStyle w:val="2"/>
        <w:numPr>
          <w:ilvl w:val="0"/>
          <w:numId w:val="0"/>
        </w:numPr>
        <w:ind w:firstLine="640"/>
        <w:rPr>
          <w:rFonts w:hint="eastAsia" w:ascii="仿宋" w:hAnsi="仿宋" w:eastAsia="仿宋" w:cs="仿宋"/>
          <w:color w:val="000000"/>
          <w:kern w:val="32"/>
          <w:sz w:val="28"/>
          <w:szCs w:val="28"/>
          <w:highlight w:val="yellow"/>
          <w:lang w:val="en-US" w:eastAsia="zh-CN" w:bidi="ar-SA"/>
        </w:rPr>
      </w:pPr>
      <w:r>
        <w:rPr>
          <w:rFonts w:hint="eastAsia" w:ascii="仿宋" w:hAnsi="仿宋" w:eastAsia="仿宋" w:cs="仿宋"/>
          <w:color w:val="000000"/>
          <w:kern w:val="32"/>
          <w:sz w:val="28"/>
          <w:szCs w:val="28"/>
          <w:lang w:val="en-US" w:eastAsia="zh-CN" w:bidi="ar-SA"/>
        </w:rPr>
        <w:t>③产出时效：该指标分值8分，得4分。扣分原因：绩效目标表中计划2020年9月完成招标，实际前3个标段2020年11月完成，第四标段2021年4月完成，未按照计划时间完成。</w:t>
      </w:r>
    </w:p>
    <w:p>
      <w:pPr>
        <w:pStyle w:val="2"/>
        <w:numPr>
          <w:ilvl w:val="0"/>
          <w:numId w:val="0"/>
        </w:numPr>
        <w:ind w:firstLine="64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④产出成本：该指标分值8分，得8分。2021年该项目共支付费用393.57万元，未存在超预算的情况。</w:t>
      </w:r>
    </w:p>
    <w:p>
      <w:pPr>
        <w:pStyle w:val="2"/>
        <w:numPr>
          <w:ilvl w:val="0"/>
          <w:numId w:val="0"/>
        </w:numPr>
        <w:ind w:firstLine="560" w:firstLineChars="200"/>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（2）项目效果情况：该二级指标分值26分，得26分，该指标下具体内容：</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①经济效益：该指标分值6分，得6分。共抽取辖区内商</w:t>
      </w:r>
      <w:r>
        <w:rPr>
          <w:rFonts w:hint="eastAsia" w:cs="仿宋"/>
          <w:color w:val="000000"/>
          <w:kern w:val="32"/>
          <w:sz w:val="28"/>
          <w:szCs w:val="28"/>
          <w:lang w:val="en-US" w:eastAsia="zh-CN" w:bidi="ar-SA"/>
        </w:rPr>
        <w:t>户</w:t>
      </w:r>
      <w:bookmarkStart w:id="41" w:name="_GoBack"/>
      <w:bookmarkEnd w:id="41"/>
      <w:r>
        <w:rPr>
          <w:rFonts w:hint="eastAsia" w:ascii="仿宋" w:hAnsi="仿宋" w:eastAsia="仿宋" w:cs="仿宋"/>
          <w:color w:val="000000"/>
          <w:kern w:val="32"/>
          <w:sz w:val="28"/>
          <w:szCs w:val="28"/>
          <w:lang w:val="en-US" w:eastAsia="zh-CN" w:bidi="ar-SA"/>
        </w:rPr>
        <w:t>100家填写商户对辖区绿化环境满意度调查问卷，通过计算汇总得出对该单位满意度调查平均得98.95分，分值率98.50%。</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②社会效益：该指标分值5分，得5分。通过对辖区内居民对绿化环境的满意度调查结果，2021年绿化养护工作具有良好的社会效益。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③环境效益：该指标分值5分，得5分。通过对辖区内的绿化进行管养，提高了辖区内的居民生活环境，使居民的生活幸福感不断提高。</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④可持续影响：该指标分值5分，得5分。通过不断提高绿化养护的考核要求，不断形成招商引资的环境，不断提高辖区内的经济发展。</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kern w:val="32"/>
          <w:sz w:val="28"/>
          <w:szCs w:val="28"/>
          <w:lang w:val="en-US" w:eastAsia="zh-CN" w:bidi="ar-SA"/>
        </w:rPr>
      </w:pPr>
      <w:r>
        <w:rPr>
          <w:rFonts w:hint="eastAsia" w:ascii="仿宋" w:hAnsi="仿宋" w:eastAsia="仿宋" w:cs="仿宋"/>
          <w:color w:val="000000"/>
          <w:kern w:val="32"/>
          <w:sz w:val="28"/>
          <w:szCs w:val="28"/>
          <w:lang w:val="en-US" w:eastAsia="zh-CN" w:bidi="ar-SA"/>
        </w:rPr>
        <w:t>⑤服务对象满意度：该指标分值5分，得5分。共抽取辖区内居民400人填写绿化环境满意度调查问卷，通过计算汇总得出对该单位满意度调查平均得97.65分，分值率97.65%。</w:t>
      </w:r>
    </w:p>
    <w:p>
      <w:pPr>
        <w:pStyle w:val="4"/>
        <w:spacing w:before="0" w:after="0" w:line="360" w:lineRule="auto"/>
        <w:ind w:firstLine="562" w:firstLineChars="200"/>
        <w:rPr>
          <w:rFonts w:hint="eastAsia" w:ascii="仿宋" w:hAnsi="仿宋" w:eastAsia="仿宋" w:cs="仿宋"/>
          <w:b/>
          <w:bCs w:val="0"/>
          <w:color w:val="000000"/>
          <w:kern w:val="32"/>
          <w:sz w:val="28"/>
          <w:szCs w:val="28"/>
        </w:rPr>
      </w:pPr>
      <w:r>
        <w:rPr>
          <w:rFonts w:hint="eastAsia" w:ascii="仿宋" w:hAnsi="仿宋" w:eastAsia="仿宋" w:cs="仿宋"/>
          <w:b/>
          <w:bCs w:val="0"/>
          <w:kern w:val="0"/>
          <w:sz w:val="28"/>
          <w:szCs w:val="28"/>
        </w:rPr>
        <w:t>四、</w:t>
      </w:r>
      <w:bookmarkEnd w:id="36"/>
      <w:bookmarkEnd w:id="37"/>
      <w:r>
        <w:rPr>
          <w:rFonts w:hint="eastAsia" w:ascii="仿宋" w:hAnsi="仿宋" w:eastAsia="仿宋" w:cs="仿宋"/>
          <w:b/>
          <w:bCs w:val="0"/>
          <w:kern w:val="0"/>
          <w:sz w:val="28"/>
          <w:szCs w:val="28"/>
        </w:rPr>
        <w:t>评价中发现的主要问题及有关建议</w:t>
      </w:r>
    </w:p>
    <w:p>
      <w:pPr>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1</w:t>
      </w:r>
      <w:r>
        <w:rPr>
          <w:rFonts w:hint="eastAsia" w:ascii="仿宋" w:hAnsi="仿宋" w:eastAsia="仿宋" w:cs="仿宋"/>
          <w:color w:val="000000"/>
          <w:kern w:val="32"/>
          <w:sz w:val="28"/>
          <w:szCs w:val="28"/>
        </w:rPr>
        <w:t>）预算编制的科学性、准确性、预算支出结构的合理性不足</w:t>
      </w:r>
    </w:p>
    <w:p>
      <w:pPr>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该项目批复预算</w:t>
      </w:r>
      <w:r>
        <w:rPr>
          <w:rFonts w:hint="eastAsia" w:ascii="仿宋" w:hAnsi="仿宋" w:eastAsia="仿宋" w:cs="仿宋"/>
          <w:color w:val="000000"/>
          <w:kern w:val="32"/>
          <w:sz w:val="28"/>
          <w:szCs w:val="28"/>
          <w:lang w:val="en-US" w:eastAsia="zh-CN"/>
        </w:rPr>
        <w:t>6</w:t>
      </w:r>
      <w:r>
        <w:rPr>
          <w:rFonts w:hint="eastAsia" w:ascii="仿宋" w:hAnsi="仿宋" w:eastAsia="仿宋" w:cs="仿宋"/>
          <w:color w:val="000000"/>
          <w:kern w:val="32"/>
          <w:sz w:val="28"/>
          <w:szCs w:val="28"/>
        </w:rPr>
        <w:t>00万元，主要</w:t>
      </w:r>
      <w:r>
        <w:rPr>
          <w:rFonts w:hint="eastAsia" w:ascii="仿宋" w:hAnsi="仿宋" w:eastAsia="仿宋" w:cs="仿宋"/>
          <w:color w:val="000000"/>
          <w:kern w:val="32"/>
          <w:sz w:val="28"/>
          <w:szCs w:val="28"/>
          <w:lang w:val="en-US" w:eastAsia="zh-CN"/>
        </w:rPr>
        <w:t>用于支付委托业务费。由于支付方式为每季度完结后，次月经考核后支付，故第四季度的费用于次年支付，导致预算执行率较低。</w:t>
      </w:r>
    </w:p>
    <w:p>
      <w:pPr>
        <w:pStyle w:val="2"/>
        <w:rPr>
          <w:rFonts w:hint="eastAsia" w:ascii="仿宋" w:hAnsi="仿宋" w:eastAsia="仿宋" w:cs="仿宋"/>
          <w:sz w:val="28"/>
          <w:szCs w:val="28"/>
          <w:lang w:val="en-US" w:eastAsia="zh-CN"/>
        </w:rPr>
      </w:pPr>
      <w:r>
        <w:rPr>
          <w:rFonts w:hint="eastAsia" w:ascii="仿宋" w:hAnsi="仿宋" w:eastAsia="仿宋" w:cs="仿宋"/>
          <w:color w:val="000000"/>
          <w:kern w:val="32"/>
          <w:sz w:val="28"/>
          <w:szCs w:val="28"/>
          <w:lang w:val="en-US" w:eastAsia="zh-CN"/>
        </w:rPr>
        <w:t xml:space="preserve">  建议：根据当年实际需要支出的情况编制项目预算，保证预算执行率按要求完成。</w:t>
      </w:r>
    </w:p>
    <w:p>
      <w:pPr>
        <w:ind w:firstLine="560" w:firstLineChars="200"/>
        <w:rPr>
          <w:rFonts w:hint="eastAsia" w:ascii="仿宋" w:hAnsi="仿宋" w:eastAsia="仿宋" w:cs="仿宋"/>
          <w:color w:val="000000"/>
          <w:kern w:val="32"/>
          <w:sz w:val="28"/>
          <w:szCs w:val="28"/>
        </w:rPr>
      </w:pPr>
      <w:r>
        <w:rPr>
          <w:rFonts w:hint="eastAsia" w:ascii="仿宋" w:hAnsi="仿宋" w:eastAsia="仿宋" w:cs="仿宋"/>
          <w:color w:val="000000"/>
          <w:kern w:val="32"/>
          <w:sz w:val="28"/>
          <w:szCs w:val="28"/>
        </w:rPr>
        <w:t>（</w:t>
      </w:r>
      <w:r>
        <w:rPr>
          <w:rFonts w:hint="eastAsia" w:ascii="仿宋" w:hAnsi="仿宋" w:eastAsia="仿宋" w:cs="仿宋"/>
          <w:color w:val="000000"/>
          <w:kern w:val="32"/>
          <w:sz w:val="28"/>
          <w:szCs w:val="28"/>
          <w:lang w:val="en-US" w:eastAsia="zh-CN"/>
        </w:rPr>
        <w:t>2</w:t>
      </w:r>
      <w:r>
        <w:rPr>
          <w:rFonts w:hint="eastAsia" w:ascii="仿宋" w:hAnsi="仿宋" w:eastAsia="仿宋" w:cs="仿宋"/>
          <w:color w:val="000000"/>
          <w:kern w:val="32"/>
          <w:sz w:val="28"/>
          <w:szCs w:val="28"/>
        </w:rPr>
        <w:t>）绩效目标申报表仍需完善</w:t>
      </w:r>
    </w:p>
    <w:p>
      <w:pPr>
        <w:ind w:firstLine="560" w:firstLineChars="200"/>
        <w:rPr>
          <w:rFonts w:hint="eastAsia" w:ascii="仿宋" w:hAnsi="仿宋" w:eastAsia="仿宋" w:cs="仿宋"/>
          <w:color w:val="000000"/>
          <w:kern w:val="32"/>
          <w:sz w:val="28"/>
          <w:szCs w:val="28"/>
          <w:lang w:val="en-US" w:eastAsia="zh-CN"/>
        </w:rPr>
      </w:pPr>
      <w:r>
        <w:rPr>
          <w:rFonts w:hint="eastAsia" w:ascii="仿宋" w:hAnsi="仿宋" w:eastAsia="仿宋" w:cs="仿宋"/>
          <w:color w:val="000000"/>
          <w:kern w:val="32"/>
          <w:sz w:val="28"/>
          <w:szCs w:val="28"/>
        </w:rPr>
        <w:t>一是</w:t>
      </w:r>
      <w:r>
        <w:rPr>
          <w:rFonts w:hint="eastAsia" w:ascii="仿宋" w:hAnsi="仿宋" w:eastAsia="仿宋" w:cs="仿宋"/>
          <w:color w:val="000000"/>
          <w:kern w:val="32"/>
          <w:sz w:val="28"/>
          <w:szCs w:val="28"/>
          <w:lang w:val="en-US" w:eastAsia="zh-CN"/>
        </w:rPr>
        <w:t>产出指标中的效益指标目标不够明确，</w:t>
      </w:r>
      <w:r>
        <w:rPr>
          <w:rFonts w:hint="eastAsia" w:ascii="仿宋" w:hAnsi="仿宋" w:eastAsia="仿宋" w:cs="仿宋"/>
          <w:color w:val="000000"/>
          <w:kern w:val="32"/>
          <w:sz w:val="28"/>
          <w:szCs w:val="28"/>
        </w:rPr>
        <w:t>二是项目的绩效指标设置</w:t>
      </w:r>
      <w:r>
        <w:rPr>
          <w:rFonts w:hint="eastAsia" w:ascii="仿宋" w:hAnsi="仿宋" w:eastAsia="仿宋" w:cs="仿宋"/>
          <w:color w:val="000000"/>
          <w:kern w:val="32"/>
          <w:sz w:val="28"/>
          <w:szCs w:val="28"/>
          <w:lang w:val="en-US" w:eastAsia="zh-CN"/>
        </w:rPr>
        <w:t>过于空泛，无具体的考核内容</w:t>
      </w:r>
      <w:r>
        <w:rPr>
          <w:rFonts w:hint="eastAsia" w:ascii="仿宋" w:hAnsi="仿宋" w:eastAsia="仿宋" w:cs="仿宋"/>
          <w:color w:val="000000"/>
          <w:kern w:val="32"/>
          <w:sz w:val="28"/>
          <w:szCs w:val="28"/>
          <w:lang w:eastAsia="zh-CN"/>
        </w:rPr>
        <w:t>，</w:t>
      </w:r>
      <w:r>
        <w:rPr>
          <w:rFonts w:hint="eastAsia" w:ascii="仿宋" w:hAnsi="仿宋" w:eastAsia="仿宋" w:cs="仿宋"/>
          <w:color w:val="000000"/>
          <w:kern w:val="32"/>
          <w:sz w:val="28"/>
          <w:szCs w:val="28"/>
          <w:lang w:val="en-US" w:eastAsia="zh-CN"/>
        </w:rPr>
        <w:t>影响最终考核结果。</w:t>
      </w:r>
    </w:p>
    <w:p>
      <w:pPr>
        <w:pStyle w:val="2"/>
        <w:rPr>
          <w:rFonts w:hint="eastAsia" w:ascii="仿宋" w:hAnsi="仿宋" w:eastAsia="仿宋" w:cs="仿宋"/>
          <w:sz w:val="28"/>
          <w:szCs w:val="28"/>
          <w:lang w:val="en-US" w:eastAsia="zh-CN"/>
        </w:rPr>
      </w:pPr>
      <w:r>
        <w:rPr>
          <w:rFonts w:hint="eastAsia" w:ascii="仿宋" w:hAnsi="仿宋" w:eastAsia="仿宋" w:cs="仿宋"/>
          <w:color w:val="000000"/>
          <w:kern w:val="32"/>
          <w:sz w:val="28"/>
          <w:szCs w:val="28"/>
          <w:lang w:val="en-US" w:eastAsia="zh-CN"/>
        </w:rPr>
        <w:t xml:space="preserve">  建议：完善绩效目标申报表，数量指标尽量预算出具体的数量，以便事后绩效评价的完整性、真实性。</w:t>
      </w:r>
    </w:p>
    <w:p>
      <w:pPr>
        <w:pStyle w:val="4"/>
        <w:spacing w:before="0" w:after="0" w:line="360" w:lineRule="auto"/>
        <w:ind w:firstLine="562" w:firstLineChars="200"/>
        <w:rPr>
          <w:rFonts w:hint="eastAsia" w:ascii="仿宋" w:hAnsi="仿宋" w:eastAsia="仿宋" w:cs="仿宋"/>
          <w:b/>
          <w:bCs w:val="0"/>
          <w:kern w:val="0"/>
          <w:sz w:val="28"/>
          <w:szCs w:val="28"/>
        </w:rPr>
      </w:pPr>
      <w:bookmarkStart w:id="38" w:name="_Toc18749"/>
      <w:bookmarkStart w:id="39" w:name="_Toc47736024"/>
      <w:r>
        <w:rPr>
          <w:rFonts w:hint="eastAsia" w:ascii="仿宋" w:hAnsi="仿宋" w:eastAsia="仿宋" w:cs="仿宋"/>
          <w:b/>
          <w:bCs w:val="0"/>
          <w:kern w:val="0"/>
          <w:sz w:val="28"/>
          <w:szCs w:val="28"/>
        </w:rPr>
        <w:t>五、其他需说明的问题</w:t>
      </w:r>
      <w:bookmarkEnd w:id="38"/>
      <w:bookmarkEnd w:id="39"/>
    </w:p>
    <w:p>
      <w:pPr>
        <w:pStyle w:val="6"/>
        <w:ind w:firstLine="560" w:firstLineChars="200"/>
        <w:rPr>
          <w:rFonts w:hint="eastAsia" w:ascii="仿宋" w:hAnsi="仿宋" w:eastAsia="仿宋" w:cs="仿宋"/>
          <w:sz w:val="28"/>
          <w:szCs w:val="28"/>
        </w:rPr>
      </w:pPr>
      <w:r>
        <w:rPr>
          <w:rFonts w:hint="eastAsia" w:ascii="仿宋" w:hAnsi="仿宋" w:eastAsia="仿宋" w:cs="仿宋"/>
          <w:bCs/>
          <w:sz w:val="28"/>
          <w:szCs w:val="28"/>
        </w:rPr>
        <w:t>本报告仅为</w:t>
      </w:r>
      <w:r>
        <w:rPr>
          <w:rFonts w:hint="eastAsia" w:ascii="仿宋" w:hAnsi="仿宋" w:eastAsia="仿宋" w:cs="仿宋"/>
          <w:bCs/>
          <w:sz w:val="28"/>
          <w:szCs w:val="28"/>
          <w:lang w:val="en-US" w:eastAsia="zh-CN"/>
        </w:rPr>
        <w:t>安阳县</w:t>
      </w:r>
      <w:r>
        <w:rPr>
          <w:rFonts w:hint="eastAsia" w:ascii="仿宋" w:hAnsi="仿宋" w:eastAsia="仿宋" w:cs="仿宋"/>
          <w:bCs/>
          <w:sz w:val="28"/>
          <w:szCs w:val="28"/>
        </w:rPr>
        <w:t>财政局绩效管理部门、业务主管部门及预算部门绩效管理、审核预算提供参考依据，不做其它用途。</w:t>
      </w:r>
    </w:p>
    <w:p>
      <w:pPr>
        <w:pStyle w:val="4"/>
        <w:spacing w:before="0" w:after="0" w:line="360" w:lineRule="auto"/>
        <w:ind w:firstLine="562" w:firstLineChars="200"/>
        <w:rPr>
          <w:rFonts w:hint="eastAsia" w:ascii="仿宋" w:hAnsi="仿宋" w:eastAsia="仿宋" w:cs="仿宋"/>
          <w:b/>
          <w:bCs w:val="0"/>
          <w:sz w:val="28"/>
          <w:szCs w:val="28"/>
        </w:rPr>
      </w:pPr>
      <w:bookmarkStart w:id="40" w:name="_Toc47736025"/>
      <w:r>
        <w:rPr>
          <w:rFonts w:hint="eastAsia" w:ascii="仿宋" w:hAnsi="仿宋" w:eastAsia="仿宋" w:cs="仿宋"/>
          <w:b/>
          <w:bCs w:val="0"/>
          <w:kern w:val="0"/>
          <w:sz w:val="28"/>
          <w:szCs w:val="28"/>
        </w:rPr>
        <w:t>六、附件</w:t>
      </w:r>
      <w:bookmarkEnd w:id="40"/>
    </w:p>
    <w:p>
      <w:pPr>
        <w:pStyle w:val="6"/>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1</w:t>
      </w:r>
      <w:r>
        <w:rPr>
          <w:rFonts w:hint="eastAsia" w:ascii="仿宋" w:hAnsi="仿宋" w:eastAsia="仿宋" w:cs="仿宋"/>
          <w:bCs/>
          <w:sz w:val="28"/>
          <w:szCs w:val="28"/>
        </w:rPr>
        <w:t>.绩效目标申报表</w:t>
      </w:r>
    </w:p>
    <w:p>
      <w:pPr>
        <w:pStyle w:val="6"/>
        <w:ind w:firstLine="560" w:firstLineChars="200"/>
        <w:rPr>
          <w:rFonts w:hint="eastAsia" w:ascii="仿宋" w:hAnsi="仿宋" w:eastAsia="仿宋" w:cs="仿宋"/>
          <w:bCs/>
          <w:sz w:val="28"/>
          <w:szCs w:val="28"/>
        </w:rPr>
      </w:pPr>
      <w:r>
        <w:rPr>
          <w:rFonts w:hint="eastAsia" w:ascii="仿宋" w:hAnsi="仿宋" w:eastAsia="仿宋" w:cs="仿宋"/>
          <w:bCs/>
          <w:sz w:val="28"/>
          <w:szCs w:val="28"/>
          <w:lang w:val="en-US" w:eastAsia="zh-CN"/>
        </w:rPr>
        <w:t>2</w:t>
      </w:r>
      <w:r>
        <w:rPr>
          <w:rFonts w:hint="eastAsia" w:ascii="仿宋" w:hAnsi="仿宋" w:eastAsia="仿宋" w:cs="仿宋"/>
          <w:bCs/>
          <w:sz w:val="28"/>
          <w:szCs w:val="28"/>
        </w:rPr>
        <w:t>.指标体系及打分情况表</w:t>
      </w:r>
    </w:p>
    <w:p>
      <w:pPr>
        <w:pStyle w:val="6"/>
        <w:ind w:firstLine="560" w:firstLineChars="200"/>
        <w:rPr>
          <w:rFonts w:hint="eastAsia" w:ascii="仿宋" w:hAnsi="仿宋" w:eastAsia="仿宋" w:cs="仿宋"/>
          <w:bCs/>
          <w:sz w:val="28"/>
          <w:szCs w:val="28"/>
          <w:lang w:val="en-US" w:eastAsia="zh-CN"/>
        </w:rPr>
      </w:pPr>
    </w:p>
    <w:p>
      <w:pPr>
        <w:pStyle w:val="6"/>
        <w:ind w:firstLine="560" w:firstLineChars="200"/>
        <w:rPr>
          <w:rFonts w:hint="eastAsia" w:ascii="仿宋" w:hAnsi="仿宋" w:eastAsia="仿宋" w:cs="仿宋"/>
          <w:bCs/>
          <w:sz w:val="28"/>
          <w:szCs w:val="28"/>
          <w:lang w:val="en-US" w:eastAsia="zh-CN"/>
        </w:rPr>
      </w:pPr>
    </w:p>
    <w:p>
      <w:pPr>
        <w:snapToGrid w:val="0"/>
        <w:spacing w:before="31" w:beforeLines="10" w:after="31" w:afterLines="10" w:line="720" w:lineRule="auto"/>
        <w:ind w:left="1489" w:leftChars="109" w:hanging="1260" w:hangingChars="45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 xml:space="preserve">河南高审会计师事务所（普通合伙）    主评人：   </w:t>
      </w:r>
    </w:p>
    <w:p>
      <w:pPr>
        <w:pStyle w:val="2"/>
        <w:rPr>
          <w:rFonts w:hint="eastAsia" w:ascii="仿宋" w:hAnsi="仿宋" w:eastAsia="仿宋" w:cs="仿宋"/>
          <w:sz w:val="28"/>
          <w:szCs w:val="28"/>
          <w:lang w:val="en-US" w:eastAsia="zh-CN"/>
        </w:rPr>
      </w:pPr>
    </w:p>
    <w:p>
      <w:pPr>
        <w:snapToGrid w:val="0"/>
        <w:spacing w:before="31" w:beforeLines="10" w:after="31" w:afterLines="10" w:line="720" w:lineRule="auto"/>
        <w:ind w:firstLine="1540" w:firstLineChars="55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 xml:space="preserve">中国·河南                 </w:t>
      </w:r>
    </w:p>
    <w:p>
      <w:pPr>
        <w:snapToGrid w:val="0"/>
        <w:spacing w:before="50" w:after="50" w:line="360" w:lineRule="auto"/>
        <w:ind w:firstLine="5880" w:firstLineChars="2100"/>
        <w:rPr>
          <w:rFonts w:hint="eastAsia" w:ascii="仿宋" w:hAnsi="仿宋" w:eastAsia="仿宋" w:cs="仿宋"/>
          <w:bCs/>
          <w:kern w:val="2"/>
          <w:sz w:val="28"/>
          <w:szCs w:val="28"/>
          <w:lang w:val="en-US" w:eastAsia="zh-CN" w:bidi="ar-SA"/>
        </w:rPr>
      </w:pPr>
    </w:p>
    <w:p>
      <w:pPr>
        <w:snapToGrid w:val="0"/>
        <w:spacing w:before="50" w:after="50" w:line="360" w:lineRule="auto"/>
        <w:ind w:firstLine="5040" w:firstLineChars="1800"/>
        <w:rPr>
          <w:rFonts w:hint="eastAsia" w:ascii="仿宋" w:hAnsi="仿宋" w:eastAsia="仿宋" w:cs="仿宋"/>
          <w:bCs/>
          <w:kern w:val="2"/>
          <w:sz w:val="28"/>
          <w:szCs w:val="28"/>
          <w:lang w:val="en-US" w:eastAsia="zh-CN" w:bidi="ar-SA"/>
        </w:rPr>
      </w:pPr>
      <w:r>
        <w:rPr>
          <w:rFonts w:hint="eastAsia" w:ascii="仿宋" w:hAnsi="仿宋" w:eastAsia="仿宋" w:cs="仿宋"/>
          <w:bCs/>
          <w:kern w:val="2"/>
          <w:sz w:val="28"/>
          <w:szCs w:val="28"/>
          <w:lang w:val="en-US" w:eastAsia="zh-CN" w:bidi="ar-SA"/>
        </w:rPr>
        <w:t xml:space="preserve">2022年10月8日 </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240" w:lineRule="auto"/>
        <w:ind w:right="0" w:rightChars="0"/>
        <w:jc w:val="both"/>
        <w:textAlignment w:val="auto"/>
        <w:outlineLvl w:val="9"/>
        <w:rPr>
          <w:rFonts w:hint="default" w:cs="仿宋"/>
          <w:b w:val="0"/>
          <w:bCs w:val="0"/>
          <w:sz w:val="32"/>
          <w:szCs w:val="32"/>
          <w:highlight w:val="none"/>
          <w:lang w:val="en-US" w:eastAsia="zh-CN"/>
        </w:rPr>
      </w:pPr>
    </w:p>
    <w:p>
      <w:pPr>
        <w:pStyle w:val="6"/>
        <w:rPr>
          <w:rFonts w:ascii="仿宋_GB2312" w:eastAsia="仿宋_GB2312"/>
          <w:bCs/>
          <w:sz w:val="32"/>
          <w:szCs w:val="32"/>
        </w:rPr>
      </w:pPr>
    </w:p>
    <w:sectPr>
      <w:headerReference r:id="rId12" w:type="first"/>
      <w:footerReference r:id="rId14" w:type="first"/>
      <w:footerReference r:id="rId1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4098" o:spid="_x0000_s4098"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default" w:eastAsia="宋体"/>
        <w:lang w:val="en-US" w:eastAsia="zh-CN"/>
      </w:rPr>
    </w:pPr>
    <w:r>
      <w:rPr>
        <w:sz w:val="24"/>
      </w:rPr>
      <w:pict>
        <v:line id="_x0000_s4107" o:spid="_x0000_s4107" o:spt="20" style="position:absolute;left:0pt;margin-left:0.4pt;margin-top:-7pt;height:0.55pt;width:415pt;z-index:251663360;mso-width-relative:page;mso-height-relative:page;" filled="f" stroked="t" coordsize="21600,21600">
          <v:path arrowok="t"/>
          <v:fill on="f" focussize="0,0"/>
          <v:stroke color="#000000"/>
          <v:imagedata o:title=""/>
          <o:lock v:ext="edit" aspectratio="f"/>
        </v:line>
      </w:pict>
    </w:r>
    <w:r>
      <w:rPr>
        <w:rFonts w:hint="eastAsia" w:ascii="隶书" w:eastAsia="隶书"/>
        <w:b/>
        <w:bCs/>
        <w:i/>
        <w:iCs/>
        <w:sz w:val="24"/>
        <w:u w:val="none"/>
        <w:lang w:val="en-US" w:eastAsia="zh-CN"/>
      </w:rPr>
      <w:t>河南高审会计师事务所</w:t>
    </w: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23</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24"/>
      </w:rPr>
      <w:pict>
        <v:line id="_x0000_s4100" o:spid="_x0000_s4100" o:spt="20" style="position:absolute;left:0pt;margin-left:2.1pt;margin-top:-7.95pt;height:2.2pt;width:413.9pt;z-index:251662336;mso-width-relative:page;mso-height-relative:page;" filled="f" stroked="t" coordsize="21600,21600">
          <v:path arrowok="t"/>
          <v:fill on="f" focussize="0,0"/>
          <v:stroke color="#000000"/>
          <v:imagedata o:title=""/>
          <o:lock v:ext="edit" aspectratio="f"/>
        </v:line>
      </w:pict>
    </w:r>
    <w:r>
      <w:rPr>
        <w:sz w:val="24"/>
      </w:rPr>
      <w:pict>
        <v:shape id="_x0000_s4099" o:spid="_x0000_s4099" o:spt="202" type="#_x0000_t202" style="position:absolute;left:0pt;margin-top:0pt;height:144pt;width:144pt;mso-position-horizontal:righ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r>
      <w:rPr>
        <w:rFonts w:hint="eastAsia" w:ascii="隶书" w:eastAsia="隶书"/>
        <w:b/>
        <w:bCs/>
        <w:i/>
        <w:iCs/>
        <w:sz w:val="24"/>
        <w:u w:val="none"/>
        <w:lang w:val="en-US" w:eastAsia="zh-CN"/>
      </w:rPr>
      <w:t>河南高审会计师事务所</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rPr>
        <w:rFonts w:hint="default"/>
        <w:lang w:val="en-US"/>
      </w:rPr>
    </w:pPr>
    <w:r>
      <w:rPr>
        <w:rFonts w:hint="eastAsia" w:ascii="隶书" w:eastAsia="隶书" w:cs="Times New Roman"/>
        <w:b/>
        <w:bCs/>
        <w:i/>
        <w:iCs/>
        <w:kern w:val="2"/>
        <w:sz w:val="24"/>
        <w:szCs w:val="24"/>
        <w:u w:val="none"/>
        <w:lang w:val="en-US" w:eastAsia="zh-CN" w:bidi="ar-SA"/>
      </w:rPr>
      <w:t xml:space="preserve">                        </w:t>
    </w:r>
  </w:p>
  <w:p>
    <w:pPr>
      <w:pStyle w:val="12"/>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0"/>
        <w:right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single" w:color="auto" w:sz="4" w:space="0"/>
        <w:right w:val="none" w:color="auto" w:sz="0" w:space="0"/>
      </w:pBdr>
      <w:rPr>
        <w:rFonts w:hint="default"/>
        <w:lang w:val="en-US"/>
      </w:rPr>
    </w:pPr>
    <w:r>
      <w:rPr>
        <w:rFonts w:hint="eastAsia" w:ascii="隶书" w:hAnsi="Times New Roman" w:eastAsia="隶书" w:cs="Times New Roman"/>
        <w:b/>
        <w:bCs/>
        <w:i/>
        <w:iCs/>
        <w:kern w:val="2"/>
        <w:sz w:val="24"/>
        <w:szCs w:val="24"/>
        <w:u w:val="none"/>
        <w:lang w:val="en-US" w:eastAsia="zh-CN" w:bidi="ar-SA"/>
      </w:rPr>
      <w:t>绩效评价报告·正文</w:t>
    </w:r>
    <w:r>
      <w:rPr>
        <w:rFonts w:hint="eastAsia" w:ascii="隶书" w:eastAsia="隶书" w:cs="Times New Roman"/>
        <w:b/>
        <w:bCs/>
        <w:i/>
        <w:iCs/>
        <w:kern w:val="2"/>
        <w:sz w:val="24"/>
        <w:szCs w:val="24"/>
        <w:u w:val="none"/>
        <w:lang w:val="en-US" w:eastAsia="zh-CN" w:bidi="ar-SA"/>
      </w:rPr>
      <w:t xml:space="preserve">                                豫22TKXFZZJP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9F0D9"/>
    <w:multiLevelType w:val="singleLevel"/>
    <w:tmpl w:val="B769F0D9"/>
    <w:lvl w:ilvl="0" w:tentative="0">
      <w:start w:val="2"/>
      <w:numFmt w:val="decimal"/>
      <w:suff w:val="nothing"/>
      <w:lvlText w:val="（%1）"/>
      <w:lvlJc w:val="left"/>
    </w:lvl>
  </w:abstractNum>
  <w:abstractNum w:abstractNumId="1">
    <w:nsid w:val="BFDE264E"/>
    <w:multiLevelType w:val="singleLevel"/>
    <w:tmpl w:val="BFDE264E"/>
    <w:lvl w:ilvl="0" w:tentative="0">
      <w:start w:val="2"/>
      <w:numFmt w:val="decimal"/>
      <w:lvlText w:val="%1."/>
      <w:lvlJc w:val="left"/>
      <w:pPr>
        <w:tabs>
          <w:tab w:val="left" w:pos="312"/>
        </w:tabs>
      </w:pPr>
    </w:lvl>
  </w:abstractNum>
  <w:abstractNum w:abstractNumId="2">
    <w:nsid w:val="DEB63397"/>
    <w:multiLevelType w:val="singleLevel"/>
    <w:tmpl w:val="DEB63397"/>
    <w:lvl w:ilvl="0" w:tentative="0">
      <w:start w:val="2"/>
      <w:numFmt w:val="decimal"/>
      <w:suff w:val="nothing"/>
      <w:lvlText w:val="（%1）"/>
      <w:lvlJc w:val="left"/>
      <w:pPr>
        <w:ind w:left="2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U5YTk2NWU3OTRhNTU0YjZlNWE0ODExMjY4YzM0MTgifQ=="/>
  </w:docVars>
  <w:rsids>
    <w:rsidRoot w:val="75762B14"/>
    <w:rsid w:val="00020C90"/>
    <w:rsid w:val="0002742B"/>
    <w:rsid w:val="00070A86"/>
    <w:rsid w:val="0009515C"/>
    <w:rsid w:val="000A02EB"/>
    <w:rsid w:val="000E0151"/>
    <w:rsid w:val="000E607A"/>
    <w:rsid w:val="001310C6"/>
    <w:rsid w:val="0013646C"/>
    <w:rsid w:val="00166483"/>
    <w:rsid w:val="00172FFB"/>
    <w:rsid w:val="00183F8F"/>
    <w:rsid w:val="001942A9"/>
    <w:rsid w:val="001B6903"/>
    <w:rsid w:val="001D3176"/>
    <w:rsid w:val="001E011F"/>
    <w:rsid w:val="001E33AD"/>
    <w:rsid w:val="002112BD"/>
    <w:rsid w:val="00261E81"/>
    <w:rsid w:val="00271FC0"/>
    <w:rsid w:val="00284C44"/>
    <w:rsid w:val="002A5328"/>
    <w:rsid w:val="002C2A1A"/>
    <w:rsid w:val="00302EB2"/>
    <w:rsid w:val="00323479"/>
    <w:rsid w:val="003332D1"/>
    <w:rsid w:val="003616E8"/>
    <w:rsid w:val="003678C6"/>
    <w:rsid w:val="0038490E"/>
    <w:rsid w:val="003D336F"/>
    <w:rsid w:val="00407FED"/>
    <w:rsid w:val="00446046"/>
    <w:rsid w:val="004626AE"/>
    <w:rsid w:val="00472D1A"/>
    <w:rsid w:val="004754A4"/>
    <w:rsid w:val="004913F5"/>
    <w:rsid w:val="004943C6"/>
    <w:rsid w:val="004C3202"/>
    <w:rsid w:val="004D1203"/>
    <w:rsid w:val="004E55D7"/>
    <w:rsid w:val="004E7EED"/>
    <w:rsid w:val="00581FF8"/>
    <w:rsid w:val="005964CE"/>
    <w:rsid w:val="005A2FBC"/>
    <w:rsid w:val="005B4BD5"/>
    <w:rsid w:val="006069BC"/>
    <w:rsid w:val="00640127"/>
    <w:rsid w:val="00640FD0"/>
    <w:rsid w:val="00644FC0"/>
    <w:rsid w:val="00672271"/>
    <w:rsid w:val="00687589"/>
    <w:rsid w:val="006B05FF"/>
    <w:rsid w:val="006E45ED"/>
    <w:rsid w:val="00731969"/>
    <w:rsid w:val="00732B91"/>
    <w:rsid w:val="0073754B"/>
    <w:rsid w:val="00756816"/>
    <w:rsid w:val="00765C12"/>
    <w:rsid w:val="00782705"/>
    <w:rsid w:val="007D4A16"/>
    <w:rsid w:val="007E7F19"/>
    <w:rsid w:val="007F1C11"/>
    <w:rsid w:val="00826519"/>
    <w:rsid w:val="00826660"/>
    <w:rsid w:val="0084764D"/>
    <w:rsid w:val="00870EDE"/>
    <w:rsid w:val="0088589E"/>
    <w:rsid w:val="00894E52"/>
    <w:rsid w:val="008D3775"/>
    <w:rsid w:val="008F0E31"/>
    <w:rsid w:val="008F1838"/>
    <w:rsid w:val="009037B6"/>
    <w:rsid w:val="00903FFA"/>
    <w:rsid w:val="00911DDA"/>
    <w:rsid w:val="00935CDA"/>
    <w:rsid w:val="00962D52"/>
    <w:rsid w:val="00971545"/>
    <w:rsid w:val="009727AB"/>
    <w:rsid w:val="00984E6F"/>
    <w:rsid w:val="00992190"/>
    <w:rsid w:val="009D63C9"/>
    <w:rsid w:val="009D77E7"/>
    <w:rsid w:val="009E7A5E"/>
    <w:rsid w:val="00A26DDC"/>
    <w:rsid w:val="00A52F62"/>
    <w:rsid w:val="00AA246A"/>
    <w:rsid w:val="00AA55CD"/>
    <w:rsid w:val="00AC4560"/>
    <w:rsid w:val="00AD2A7E"/>
    <w:rsid w:val="00B14360"/>
    <w:rsid w:val="00B163C2"/>
    <w:rsid w:val="00B35886"/>
    <w:rsid w:val="00B44995"/>
    <w:rsid w:val="00B90DB1"/>
    <w:rsid w:val="00BB6DCE"/>
    <w:rsid w:val="00BC3160"/>
    <w:rsid w:val="00BF1E15"/>
    <w:rsid w:val="00C467C7"/>
    <w:rsid w:val="00C81057"/>
    <w:rsid w:val="00CA17F3"/>
    <w:rsid w:val="00CA2080"/>
    <w:rsid w:val="00CA46F5"/>
    <w:rsid w:val="00CB41FB"/>
    <w:rsid w:val="00CE0B40"/>
    <w:rsid w:val="00D16233"/>
    <w:rsid w:val="00D172C8"/>
    <w:rsid w:val="00D1766E"/>
    <w:rsid w:val="00D648A0"/>
    <w:rsid w:val="00D67D23"/>
    <w:rsid w:val="00D73312"/>
    <w:rsid w:val="00DB2040"/>
    <w:rsid w:val="00DD5516"/>
    <w:rsid w:val="00DD705B"/>
    <w:rsid w:val="00E17FE9"/>
    <w:rsid w:val="00E274D0"/>
    <w:rsid w:val="00E31379"/>
    <w:rsid w:val="00E4778D"/>
    <w:rsid w:val="00EA5936"/>
    <w:rsid w:val="00F44FC1"/>
    <w:rsid w:val="00F46E15"/>
    <w:rsid w:val="00F528BB"/>
    <w:rsid w:val="00F63D83"/>
    <w:rsid w:val="00F80F24"/>
    <w:rsid w:val="00F85BDA"/>
    <w:rsid w:val="00F93031"/>
    <w:rsid w:val="00FC55DD"/>
    <w:rsid w:val="00FE3ED1"/>
    <w:rsid w:val="00FF5115"/>
    <w:rsid w:val="036839EA"/>
    <w:rsid w:val="06035F1E"/>
    <w:rsid w:val="0BD360A4"/>
    <w:rsid w:val="0BF03A26"/>
    <w:rsid w:val="0CA16F23"/>
    <w:rsid w:val="11A472C7"/>
    <w:rsid w:val="14AC74C2"/>
    <w:rsid w:val="150C0679"/>
    <w:rsid w:val="15130762"/>
    <w:rsid w:val="15BD502F"/>
    <w:rsid w:val="17E33B79"/>
    <w:rsid w:val="1AA37D5D"/>
    <w:rsid w:val="1B3834FB"/>
    <w:rsid w:val="1C085539"/>
    <w:rsid w:val="1D225F39"/>
    <w:rsid w:val="255451F6"/>
    <w:rsid w:val="25D55108"/>
    <w:rsid w:val="2F57371B"/>
    <w:rsid w:val="32375F5F"/>
    <w:rsid w:val="334B2FA7"/>
    <w:rsid w:val="33644FE5"/>
    <w:rsid w:val="34180485"/>
    <w:rsid w:val="372154C7"/>
    <w:rsid w:val="37BE3CB8"/>
    <w:rsid w:val="3854171E"/>
    <w:rsid w:val="3B2661EB"/>
    <w:rsid w:val="3BAF03C7"/>
    <w:rsid w:val="3BB63869"/>
    <w:rsid w:val="3E1B02CE"/>
    <w:rsid w:val="3E3870D5"/>
    <w:rsid w:val="3F3A11B4"/>
    <w:rsid w:val="40174DA7"/>
    <w:rsid w:val="424C0F53"/>
    <w:rsid w:val="4AB25A75"/>
    <w:rsid w:val="4C5E3C59"/>
    <w:rsid w:val="50B84D65"/>
    <w:rsid w:val="553D4DFB"/>
    <w:rsid w:val="559A5908"/>
    <w:rsid w:val="55C64B8F"/>
    <w:rsid w:val="57D473DE"/>
    <w:rsid w:val="57FA3198"/>
    <w:rsid w:val="5A5223D3"/>
    <w:rsid w:val="5B7A058C"/>
    <w:rsid w:val="5E8C4E00"/>
    <w:rsid w:val="60874774"/>
    <w:rsid w:val="61954BAB"/>
    <w:rsid w:val="62604B32"/>
    <w:rsid w:val="645E411A"/>
    <w:rsid w:val="688910FA"/>
    <w:rsid w:val="6A314DBF"/>
    <w:rsid w:val="6AE475AA"/>
    <w:rsid w:val="6F9A1886"/>
    <w:rsid w:val="75762B14"/>
    <w:rsid w:val="76344490"/>
    <w:rsid w:val="78B937CE"/>
    <w:rsid w:val="7D070C1B"/>
    <w:rsid w:val="7D94395D"/>
    <w:rsid w:val="7E896A0E"/>
    <w:rsid w:val="7FC970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1"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qFormat="1" w:unhideWhenUsed="0" w:uiPriority="99"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5">
    <w:name w:val="heading 2"/>
    <w:basedOn w:val="1"/>
    <w:next w:val="1"/>
    <w:link w:val="23"/>
    <w:qFormat/>
    <w:uiPriority w:val="99"/>
    <w:pPr>
      <w:keepNext/>
      <w:keepLines/>
      <w:spacing w:before="260" w:after="260" w:line="416" w:lineRule="auto"/>
      <w:outlineLvl w:val="1"/>
    </w:pPr>
    <w:rPr>
      <w:rFonts w:ascii="Calibri Light" w:hAnsi="Calibri Light"/>
      <w:b/>
      <w:bCs/>
      <w:sz w:val="32"/>
      <w:szCs w:val="32"/>
    </w:rPr>
  </w:style>
  <w:style w:type="character" w:default="1" w:styleId="20">
    <w:name w:val="Default Paragraph Font"/>
    <w:semiHidden/>
    <w:qFormat/>
    <w:uiPriority w:val="99"/>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locked/>
    <w:uiPriority w:val="99"/>
    <w:pPr>
      <w:ind w:firstLine="420" w:firstLineChars="100"/>
    </w:pPr>
  </w:style>
  <w:style w:type="paragraph" w:styleId="3">
    <w:name w:val="Body Text"/>
    <w:basedOn w:val="1"/>
    <w:qFormat/>
    <w:locked/>
    <w:uiPriority w:val="1"/>
    <w:rPr>
      <w:rFonts w:ascii="仿宋" w:hAnsi="仿宋" w:eastAsia="仿宋" w:cs="仿宋"/>
      <w:sz w:val="32"/>
      <w:szCs w:val="32"/>
      <w:lang w:val="zh-CN" w:eastAsia="zh-CN" w:bidi="zh-CN"/>
    </w:rPr>
  </w:style>
  <w:style w:type="paragraph" w:styleId="6">
    <w:name w:val="Normal Indent"/>
    <w:basedOn w:val="1"/>
    <w:qFormat/>
    <w:uiPriority w:val="99"/>
    <w:pPr>
      <w:ind w:firstLine="420"/>
    </w:pPr>
  </w:style>
  <w:style w:type="paragraph" w:styleId="7">
    <w:name w:val="annotation text"/>
    <w:basedOn w:val="1"/>
    <w:link w:val="24"/>
    <w:qFormat/>
    <w:uiPriority w:val="99"/>
    <w:pPr>
      <w:jc w:val="left"/>
    </w:pPr>
  </w:style>
  <w:style w:type="paragraph" w:styleId="8">
    <w:name w:val="toc 3"/>
    <w:basedOn w:val="1"/>
    <w:next w:val="1"/>
    <w:qFormat/>
    <w:uiPriority w:val="99"/>
    <w:pPr>
      <w:widowControl/>
      <w:spacing w:after="100" w:line="259" w:lineRule="auto"/>
      <w:ind w:left="440"/>
      <w:jc w:val="left"/>
    </w:pPr>
    <w:rPr>
      <w:rFonts w:ascii="Calibri" w:hAnsi="Calibri"/>
      <w:kern w:val="0"/>
      <w:sz w:val="22"/>
      <w:szCs w:val="22"/>
    </w:rPr>
  </w:style>
  <w:style w:type="paragraph" w:styleId="9">
    <w:name w:val="Body Text Indent 2"/>
    <w:basedOn w:val="1"/>
    <w:link w:val="25"/>
    <w:qFormat/>
    <w:uiPriority w:val="99"/>
    <w:pPr>
      <w:spacing w:after="120" w:line="480" w:lineRule="auto"/>
      <w:ind w:left="420" w:leftChars="200" w:firstLine="200" w:firstLineChars="200"/>
    </w:pPr>
    <w:rPr>
      <w:rFonts w:eastAsia="仿宋_GB2312"/>
      <w:sz w:val="28"/>
      <w:szCs w:val="22"/>
    </w:rPr>
  </w:style>
  <w:style w:type="paragraph" w:styleId="10">
    <w:name w:val="Balloon Text"/>
    <w:basedOn w:val="1"/>
    <w:link w:val="26"/>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sz w:val="18"/>
    </w:rPr>
  </w:style>
  <w:style w:type="paragraph" w:styleId="12">
    <w:name w:val="header"/>
    <w:basedOn w:val="1"/>
    <w:link w:val="2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99"/>
  </w:style>
  <w:style w:type="paragraph" w:styleId="14">
    <w:name w:val="Subtitle"/>
    <w:basedOn w:val="1"/>
    <w:next w:val="1"/>
    <w:link w:val="29"/>
    <w:qFormat/>
    <w:uiPriority w:val="99"/>
    <w:pPr>
      <w:jc w:val="left"/>
      <w:outlineLvl w:val="2"/>
    </w:pPr>
    <w:rPr>
      <w:rFonts w:ascii="Cambria" w:hAnsi="Cambria" w:eastAsia="黑体"/>
      <w:bCs/>
      <w:kern w:val="28"/>
      <w:szCs w:val="32"/>
    </w:rPr>
  </w:style>
  <w:style w:type="paragraph" w:styleId="15">
    <w:name w:val="toc 2"/>
    <w:basedOn w:val="1"/>
    <w:next w:val="1"/>
    <w:qFormat/>
    <w:uiPriority w:val="99"/>
    <w:pPr>
      <w:ind w:left="420" w:leftChars="200"/>
    </w:pPr>
  </w:style>
  <w:style w:type="paragraph" w:styleId="16">
    <w:name w:val="HTML Preformatted"/>
    <w:basedOn w:val="1"/>
    <w:link w:val="3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7">
    <w:name w:val="Title"/>
    <w:basedOn w:val="1"/>
    <w:next w:val="1"/>
    <w:link w:val="31"/>
    <w:qFormat/>
    <w:uiPriority w:val="99"/>
    <w:pPr>
      <w:spacing w:before="240" w:after="60"/>
      <w:ind w:firstLine="200" w:firstLineChars="200"/>
      <w:jc w:val="center"/>
      <w:outlineLvl w:val="0"/>
    </w:pPr>
    <w:rPr>
      <w:rFonts w:ascii="Cambria" w:hAnsi="Cambria"/>
      <w:b/>
      <w:bCs/>
      <w:sz w:val="32"/>
      <w:szCs w:val="32"/>
    </w:rPr>
  </w:style>
  <w:style w:type="paragraph" w:styleId="18">
    <w:name w:val="annotation subject"/>
    <w:basedOn w:val="7"/>
    <w:next w:val="7"/>
    <w:link w:val="32"/>
    <w:qFormat/>
    <w:uiPriority w:val="99"/>
    <w:pPr>
      <w:ind w:firstLine="200" w:firstLineChars="200"/>
    </w:pPr>
    <w:rPr>
      <w:rFonts w:eastAsia="仿宋_GB2312"/>
      <w:b/>
      <w:bCs/>
      <w:sz w:val="28"/>
      <w:szCs w:val="22"/>
    </w:rPr>
  </w:style>
  <w:style w:type="character" w:styleId="21">
    <w:name w:val="Hyperlink"/>
    <w:basedOn w:val="20"/>
    <w:qFormat/>
    <w:uiPriority w:val="99"/>
    <w:rPr>
      <w:rFonts w:cs="Times New Roman"/>
      <w:color w:val="0563C1"/>
      <w:u w:val="single"/>
    </w:rPr>
  </w:style>
  <w:style w:type="character" w:customStyle="1" w:styleId="22">
    <w:name w:val="Heading 1 Char"/>
    <w:basedOn w:val="20"/>
    <w:link w:val="4"/>
    <w:qFormat/>
    <w:locked/>
    <w:uiPriority w:val="99"/>
    <w:rPr>
      <w:rFonts w:cs="Times New Roman"/>
      <w:b/>
      <w:bCs/>
      <w:kern w:val="44"/>
      <w:sz w:val="44"/>
      <w:szCs w:val="44"/>
    </w:rPr>
  </w:style>
  <w:style w:type="character" w:customStyle="1" w:styleId="23">
    <w:name w:val="Heading 2 Char"/>
    <w:basedOn w:val="20"/>
    <w:link w:val="5"/>
    <w:qFormat/>
    <w:locked/>
    <w:uiPriority w:val="99"/>
    <w:rPr>
      <w:rFonts w:ascii="Calibri Light" w:hAnsi="Calibri Light" w:eastAsia="宋体" w:cs="Times New Roman"/>
      <w:b/>
      <w:bCs/>
      <w:kern w:val="2"/>
      <w:sz w:val="32"/>
      <w:szCs w:val="32"/>
    </w:rPr>
  </w:style>
  <w:style w:type="character" w:customStyle="1" w:styleId="24">
    <w:name w:val="Comment Text Char"/>
    <w:basedOn w:val="20"/>
    <w:link w:val="7"/>
    <w:qFormat/>
    <w:locked/>
    <w:uiPriority w:val="99"/>
    <w:rPr>
      <w:rFonts w:cs="Times New Roman"/>
      <w:kern w:val="2"/>
      <w:sz w:val="24"/>
      <w:szCs w:val="24"/>
    </w:rPr>
  </w:style>
  <w:style w:type="character" w:customStyle="1" w:styleId="25">
    <w:name w:val="Body Text Indent 2 Char"/>
    <w:basedOn w:val="20"/>
    <w:link w:val="9"/>
    <w:semiHidden/>
    <w:qFormat/>
    <w:locked/>
    <w:uiPriority w:val="99"/>
    <w:rPr>
      <w:rFonts w:cs="Times New Roman"/>
      <w:sz w:val="24"/>
      <w:szCs w:val="24"/>
    </w:rPr>
  </w:style>
  <w:style w:type="character" w:customStyle="1" w:styleId="26">
    <w:name w:val="Balloon Text Char"/>
    <w:basedOn w:val="20"/>
    <w:link w:val="10"/>
    <w:qFormat/>
    <w:locked/>
    <w:uiPriority w:val="99"/>
    <w:rPr>
      <w:rFonts w:cs="Times New Roman"/>
      <w:kern w:val="2"/>
      <w:sz w:val="18"/>
      <w:szCs w:val="18"/>
    </w:rPr>
  </w:style>
  <w:style w:type="character" w:customStyle="1" w:styleId="27">
    <w:name w:val="Footer Char"/>
    <w:basedOn w:val="20"/>
    <w:link w:val="11"/>
    <w:semiHidden/>
    <w:qFormat/>
    <w:locked/>
    <w:uiPriority w:val="99"/>
    <w:rPr>
      <w:rFonts w:cs="Times New Roman"/>
      <w:sz w:val="18"/>
      <w:szCs w:val="18"/>
    </w:rPr>
  </w:style>
  <w:style w:type="character" w:customStyle="1" w:styleId="28">
    <w:name w:val="Header Char"/>
    <w:basedOn w:val="20"/>
    <w:link w:val="12"/>
    <w:semiHidden/>
    <w:qFormat/>
    <w:locked/>
    <w:uiPriority w:val="99"/>
    <w:rPr>
      <w:rFonts w:cs="Times New Roman"/>
      <w:sz w:val="18"/>
      <w:szCs w:val="18"/>
    </w:rPr>
  </w:style>
  <w:style w:type="character" w:customStyle="1" w:styleId="29">
    <w:name w:val="Subtitle Char"/>
    <w:basedOn w:val="20"/>
    <w:link w:val="14"/>
    <w:qFormat/>
    <w:locked/>
    <w:uiPriority w:val="99"/>
    <w:rPr>
      <w:rFonts w:ascii="Cambria" w:hAnsi="Cambria" w:cs="Times New Roman"/>
      <w:b/>
      <w:bCs/>
      <w:kern w:val="28"/>
      <w:sz w:val="32"/>
      <w:szCs w:val="32"/>
    </w:rPr>
  </w:style>
  <w:style w:type="character" w:customStyle="1" w:styleId="30">
    <w:name w:val="HTML Preformatted Char"/>
    <w:basedOn w:val="20"/>
    <w:link w:val="16"/>
    <w:semiHidden/>
    <w:qFormat/>
    <w:locked/>
    <w:uiPriority w:val="99"/>
    <w:rPr>
      <w:rFonts w:ascii="Courier New" w:hAnsi="Courier New" w:cs="Courier New"/>
      <w:sz w:val="20"/>
      <w:szCs w:val="20"/>
    </w:rPr>
  </w:style>
  <w:style w:type="character" w:customStyle="1" w:styleId="31">
    <w:name w:val="Title Char"/>
    <w:basedOn w:val="20"/>
    <w:link w:val="17"/>
    <w:qFormat/>
    <w:locked/>
    <w:uiPriority w:val="99"/>
    <w:rPr>
      <w:rFonts w:ascii="Cambria" w:hAnsi="Cambria" w:cs="Times New Roman"/>
      <w:b/>
      <w:bCs/>
      <w:kern w:val="2"/>
      <w:sz w:val="32"/>
      <w:szCs w:val="32"/>
    </w:rPr>
  </w:style>
  <w:style w:type="character" w:customStyle="1" w:styleId="32">
    <w:name w:val="Comment Subject Char"/>
    <w:basedOn w:val="24"/>
    <w:link w:val="18"/>
    <w:qFormat/>
    <w:locked/>
    <w:uiPriority w:val="99"/>
    <w:rPr>
      <w:rFonts w:eastAsia="仿宋_GB2312"/>
      <w:b/>
      <w:bCs/>
      <w:sz w:val="22"/>
      <w:szCs w:val="22"/>
    </w:rPr>
  </w:style>
  <w:style w:type="paragraph" w:customStyle="1" w:styleId="33">
    <w:name w:val="WPSOffice手动目录 1"/>
    <w:qFormat/>
    <w:uiPriority w:val="99"/>
    <w:rPr>
      <w:rFonts w:ascii="Times New Roman" w:hAnsi="Times New Roman" w:eastAsia="宋体" w:cs="Times New Roman"/>
      <w:kern w:val="0"/>
      <w:sz w:val="20"/>
      <w:szCs w:val="20"/>
      <w:lang w:val="en-US" w:eastAsia="zh-CN" w:bidi="ar-SA"/>
    </w:rPr>
  </w:style>
  <w:style w:type="paragraph" w:customStyle="1" w:styleId="34">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5">
    <w:name w:val="TOC 标题1"/>
    <w:basedOn w:val="4"/>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36">
    <w:name w:val="Table Paragraph"/>
    <w:basedOn w:val="1"/>
    <w:qFormat/>
    <w:uiPriority w:val="1"/>
    <w:pPr>
      <w:autoSpaceDE w:val="0"/>
      <w:autoSpaceDN w:val="0"/>
      <w:jc w:val="left"/>
    </w:pPr>
    <w:rPr>
      <w:rFonts w:ascii="宋体" w:hAnsi="宋体" w:eastAsia="宋体" w:cs="宋体"/>
      <w:kern w:val="0"/>
      <w:sz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emf"/><Relationship Id="rId17" Type="http://schemas.openxmlformats.org/officeDocument/2006/relationships/oleObject" Target="embeddings/oleObject1.bin"/><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textRotate="1"/>
    <customShpInfo spid="_x0000_s4107"/>
    <customShpInfo spid="_x0000_s4097"/>
    <customShpInfo spid="_x0000_s4100"/>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19</Pages>
  <Words>6873</Words>
  <Characters>7370</Characters>
  <Lines>0</Lines>
  <Paragraphs>0</Paragraphs>
  <TotalTime>8</TotalTime>
  <ScaleCrop>false</ScaleCrop>
  <LinksUpToDate>false</LinksUpToDate>
  <CharactersWithSpaces>7546</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2021-03-19T08:04:00Z</dcterms:created>
  <dc:creator>Bryan</dc:creator>
  <cp:lastModifiedBy>高一</cp:lastModifiedBy>
  <cp:lastPrinted>2022-11-15T10:00:00Z</cp:lastPrinted>
  <dcterms:modified xsi:type="dcterms:W3CDTF">2022-12-02T01:55:35Z</dcterms:modified>
  <dc:title>XX市财政支出项目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F91BAAFF454042699D7C0374E1591B1F</vt:lpwstr>
  </property>
</Properties>
</file>