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color w:val="auto"/>
        </w:rPr>
      </w:pPr>
    </w:p>
    <w:p>
      <w:pPr>
        <w:pStyle w:val="6"/>
        <w:rPr>
          <w:rFonts w:hint="eastAsia"/>
        </w:rPr>
      </w:pPr>
      <w:bookmarkStart w:id="63" w:name="_GoBack"/>
      <w:bookmarkEnd w:id="63"/>
    </w:p>
    <w:p>
      <w:pPr>
        <w:widowControl w:val="0"/>
        <w:spacing w:line="560" w:lineRule="exact"/>
        <w:jc w:val="center"/>
        <w:outlineLvl w:val="0"/>
        <w:rPr>
          <w:rFonts w:hint="eastAsia" w:ascii="仿宋_GB2312" w:hAnsi="仿宋_GB2312" w:eastAsia="仿宋_GB2312" w:cs="仿宋_GB2312"/>
          <w:b/>
          <w:bCs/>
          <w:color w:val="auto"/>
          <w:sz w:val="40"/>
          <w:szCs w:val="40"/>
        </w:rPr>
      </w:pPr>
      <w:r>
        <w:rPr>
          <w:rFonts w:hint="eastAsia" w:ascii="仿宋_GB2312" w:hAnsi="仿宋_GB2312" w:eastAsia="仿宋_GB2312" w:cs="仿宋_GB2312"/>
          <w:b/>
          <w:bCs/>
          <w:color w:val="auto"/>
          <w:sz w:val="40"/>
          <w:szCs w:val="40"/>
          <w:lang w:eastAsia="zh-CN"/>
        </w:rPr>
        <w:t>安阳县自然资源局创建森林城市绿化建设京港澳高速城区段绿化项目（一园）</w:t>
      </w:r>
      <w:r>
        <w:rPr>
          <w:rFonts w:hint="eastAsia" w:ascii="仿宋_GB2312" w:hAnsi="仿宋_GB2312" w:eastAsia="仿宋_GB2312" w:cs="仿宋_GB2312"/>
          <w:b/>
          <w:bCs/>
          <w:color w:val="auto"/>
          <w:sz w:val="40"/>
          <w:szCs w:val="40"/>
        </w:rPr>
        <w:t>资金</w:t>
      </w:r>
    </w:p>
    <w:p>
      <w:pPr>
        <w:widowControl w:val="0"/>
        <w:spacing w:line="560" w:lineRule="exact"/>
        <w:jc w:val="center"/>
        <w:outlineLvl w:val="0"/>
        <w:rPr>
          <w:rFonts w:hint="eastAsia" w:ascii="仿宋_GB2312" w:hAnsi="仿宋_GB2312" w:eastAsia="仿宋_GB2312" w:cs="仿宋_GB2312"/>
          <w:b/>
          <w:bCs/>
          <w:color w:val="auto"/>
          <w:sz w:val="40"/>
          <w:szCs w:val="40"/>
        </w:rPr>
      </w:pPr>
      <w:r>
        <w:rPr>
          <w:rFonts w:hint="eastAsia" w:ascii="仿宋_GB2312" w:hAnsi="仿宋_GB2312" w:eastAsia="仿宋_GB2312" w:cs="仿宋_GB2312"/>
          <w:b/>
          <w:bCs/>
          <w:color w:val="auto"/>
          <w:sz w:val="40"/>
          <w:szCs w:val="40"/>
        </w:rPr>
        <w:t>绩效评价报告</w:t>
      </w:r>
    </w:p>
    <w:p>
      <w:pPr>
        <w:tabs>
          <w:tab w:val="left" w:pos="6865"/>
        </w:tabs>
        <w:spacing w:after="120" w:line="500" w:lineRule="exact"/>
        <w:ind w:firstLine="1200" w:firstLineChars="300"/>
        <w:rPr>
          <w:rFonts w:hint="eastAsia" w:ascii="仿宋" w:hAnsi="仿宋" w:eastAsia="仿宋" w:cs="仿宋"/>
          <w:color w:val="auto"/>
          <w:sz w:val="40"/>
          <w:szCs w:val="40"/>
          <w:lang w:eastAsia="zh-CN"/>
        </w:rPr>
      </w:pPr>
      <w:r>
        <w:rPr>
          <w:rFonts w:hint="eastAsia" w:ascii="仿宋" w:hAnsi="仿宋" w:eastAsia="仿宋" w:cs="仿宋"/>
          <w:color w:val="auto"/>
          <w:sz w:val="40"/>
          <w:szCs w:val="40"/>
          <w:lang w:eastAsia="zh-CN"/>
        </w:rPr>
        <w:tab/>
      </w:r>
    </w:p>
    <w:p>
      <w:pPr>
        <w:spacing w:after="120" w:line="500" w:lineRule="exact"/>
        <w:ind w:firstLine="960" w:firstLineChars="300"/>
        <w:rPr>
          <w:rFonts w:hint="eastAsia" w:ascii="仿宋" w:hAnsi="仿宋" w:eastAsia="仿宋" w:cs="仿宋"/>
          <w:color w:val="auto"/>
          <w:sz w:val="32"/>
          <w:szCs w:val="32"/>
        </w:rPr>
      </w:pPr>
    </w:p>
    <w:p>
      <w:pPr>
        <w:spacing w:after="120" w:line="500" w:lineRule="exact"/>
        <w:ind w:firstLine="960" w:firstLineChars="300"/>
        <w:rPr>
          <w:rFonts w:hint="eastAsia" w:ascii="仿宋" w:hAnsi="仿宋" w:eastAsia="仿宋" w:cs="仿宋"/>
          <w:color w:val="auto"/>
          <w:sz w:val="32"/>
          <w:szCs w:val="32"/>
        </w:rPr>
      </w:pPr>
    </w:p>
    <w:p>
      <w:pPr>
        <w:spacing w:after="120" w:line="500" w:lineRule="exact"/>
        <w:ind w:firstLine="960" w:firstLineChars="300"/>
        <w:rPr>
          <w:rFonts w:hint="eastAsia" w:ascii="仿宋" w:hAnsi="仿宋" w:eastAsia="仿宋" w:cs="仿宋"/>
          <w:color w:val="auto"/>
          <w:sz w:val="32"/>
          <w:szCs w:val="32"/>
        </w:rPr>
      </w:pPr>
    </w:p>
    <w:p>
      <w:pPr>
        <w:spacing w:after="120" w:line="500" w:lineRule="exact"/>
        <w:ind w:firstLine="960" w:firstLineChars="300"/>
        <w:rPr>
          <w:rFonts w:hint="eastAsia" w:ascii="仿宋" w:hAnsi="仿宋" w:eastAsia="仿宋" w:cs="仿宋"/>
          <w:color w:val="auto"/>
          <w:sz w:val="32"/>
          <w:szCs w:val="32"/>
        </w:rPr>
      </w:pPr>
    </w:p>
    <w:p>
      <w:pPr>
        <w:jc w:val="both"/>
        <w:rPr>
          <w:rFonts w:hint="eastAsia" w:ascii="仿宋" w:hAnsi="仿宋" w:eastAsia="仿宋" w:cs="仿宋"/>
          <w:color w:val="auto"/>
          <w:sz w:val="32"/>
          <w:szCs w:val="32"/>
        </w:rPr>
      </w:pPr>
    </w:p>
    <w:p>
      <w:pPr>
        <w:jc w:val="center"/>
        <w:rPr>
          <w:rFonts w:hint="eastAsia" w:ascii="仿宋" w:hAnsi="仿宋" w:eastAsia="仿宋" w:cs="仿宋"/>
          <w:color w:val="auto"/>
          <w:sz w:val="32"/>
          <w:szCs w:val="32"/>
        </w:rPr>
      </w:pPr>
    </w:p>
    <w:p>
      <w:pPr>
        <w:pStyle w:val="17"/>
        <w:rPr>
          <w:rFonts w:hint="eastAsia" w:ascii="仿宋" w:hAnsi="仿宋" w:eastAsia="仿宋" w:cs="仿宋"/>
          <w:color w:val="auto"/>
          <w:sz w:val="32"/>
          <w:szCs w:val="32"/>
        </w:rPr>
      </w:pPr>
    </w:p>
    <w:p>
      <w:pPr>
        <w:pStyle w:val="17"/>
        <w:rPr>
          <w:rFonts w:hint="eastAsia" w:ascii="仿宋" w:hAnsi="仿宋" w:eastAsia="仿宋" w:cs="仿宋"/>
          <w:color w:val="auto"/>
          <w:sz w:val="32"/>
          <w:szCs w:val="32"/>
        </w:rPr>
      </w:pPr>
    </w:p>
    <w:p>
      <w:pPr>
        <w:pStyle w:val="17"/>
        <w:rPr>
          <w:rFonts w:hint="eastAsia" w:ascii="仿宋" w:hAnsi="仿宋" w:eastAsia="仿宋" w:cs="仿宋"/>
          <w:color w:val="auto"/>
          <w:sz w:val="32"/>
          <w:szCs w:val="32"/>
        </w:rPr>
      </w:pPr>
    </w:p>
    <w:p>
      <w:pPr>
        <w:pStyle w:val="17"/>
        <w:rPr>
          <w:rFonts w:hint="eastAsia" w:ascii="仿宋" w:hAnsi="仿宋" w:eastAsia="仿宋" w:cs="仿宋"/>
          <w:color w:val="auto"/>
          <w:sz w:val="32"/>
          <w:szCs w:val="32"/>
        </w:rPr>
      </w:pPr>
    </w:p>
    <w:p>
      <w:pPr>
        <w:spacing w:line="360" w:lineRule="auto"/>
        <w:jc w:val="center"/>
        <w:outlineLvl w:val="0"/>
        <w:rPr>
          <w:rFonts w:hint="eastAsia" w:ascii="仿宋_GB2312" w:hAnsi="仿宋_GB2312" w:eastAsia="仿宋_GB2312" w:cs="仿宋_GB2312"/>
          <w:b/>
          <w:bCs/>
          <w:color w:val="auto"/>
          <w:sz w:val="32"/>
          <w:szCs w:val="32"/>
          <w:lang w:eastAsia="zh-CN"/>
        </w:rPr>
      </w:pPr>
      <w:bookmarkStart w:id="0" w:name="_Toc27113"/>
      <w:r>
        <w:rPr>
          <w:rFonts w:hint="eastAsia" w:ascii="仿宋_GB2312" w:hAnsi="仿宋_GB2312" w:eastAsia="仿宋_GB2312" w:cs="仿宋_GB2312"/>
          <w:b/>
          <w:bCs/>
          <w:color w:val="auto"/>
          <w:sz w:val="32"/>
          <w:szCs w:val="32"/>
          <w:lang w:eastAsia="zh-CN"/>
        </w:rPr>
        <w:t>河南昌盛会计师事务所（普通合伙）</w:t>
      </w:r>
      <w:bookmarkEnd w:id="0"/>
    </w:p>
    <w:p>
      <w:pPr>
        <w:spacing w:line="360" w:lineRule="auto"/>
        <w:jc w:val="center"/>
        <w:outlineLvl w:val="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rPr>
        <w:t>202</w:t>
      </w: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rPr>
        <w:t>年</w:t>
      </w:r>
      <w:r>
        <w:rPr>
          <w:rFonts w:hint="eastAsia" w:ascii="仿宋_GB2312" w:hAnsi="仿宋_GB2312" w:eastAsia="仿宋_GB2312" w:cs="仿宋_GB2312"/>
          <w:b/>
          <w:bCs/>
          <w:color w:val="auto"/>
          <w:sz w:val="32"/>
          <w:szCs w:val="32"/>
          <w:lang w:val="en-US" w:eastAsia="zh-CN"/>
        </w:rPr>
        <w:t>10月</w:t>
      </w:r>
    </w:p>
    <w:sdt>
      <w:sdtPr>
        <w:rPr>
          <w:rFonts w:hint="eastAsia" w:ascii="仿宋" w:hAnsi="仿宋" w:eastAsia="仿宋" w:cs="仿宋"/>
          <w:color w:val="auto"/>
          <w:kern w:val="0"/>
          <w:sz w:val="22"/>
          <w:szCs w:val="28"/>
          <w:lang w:val="en-US" w:eastAsia="zh-CN" w:bidi="ar-SA"/>
        </w:rPr>
        <w:id w:val="147451382"/>
        <w15:color w:val="DBDBDB"/>
      </w:sdtPr>
      <w:sdtEndPr>
        <w:rPr>
          <w:rFonts w:hint="eastAsia" w:ascii="仿宋_GB2312" w:hAnsi="仿宋_GB2312" w:eastAsia="仿宋_GB2312" w:cs="仿宋_GB2312"/>
          <w:b/>
          <w:bCs/>
          <w:color w:val="auto"/>
          <w:kern w:val="0"/>
          <w:sz w:val="24"/>
          <w:szCs w:val="36"/>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color w:val="auto"/>
              <w:kern w:val="0"/>
              <w:sz w:val="22"/>
              <w:szCs w:val="28"/>
              <w:lang w:val="en-US" w:eastAsia="zh-CN" w:bidi="ar-SA"/>
            </w:rPr>
          </w:pPr>
        </w:p>
        <w:p>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rFonts w:hint="eastAsia" w:ascii="仿宋" w:hAnsi="仿宋" w:eastAsia="仿宋" w:cs="仿宋"/>
              <w:color w:val="auto"/>
              <w:sz w:val="32"/>
              <w:szCs w:val="40"/>
            </w:rPr>
            <w:sectPr>
              <w:headerReference r:id="rId3" w:type="default"/>
              <w:footerReference r:id="rId5" w:type="default"/>
              <w:headerReference r:id="rId4" w:type="even"/>
              <w:footerReference r:id="rId6" w:type="even"/>
              <w:pgSz w:w="11906" w:h="16838"/>
              <w:pgMar w:top="1440" w:right="1797" w:bottom="1440" w:left="1797" w:header="851" w:footer="992" w:gutter="0"/>
              <w:pgBorders>
                <w:top w:val="none" w:sz="0" w:space="0"/>
                <w:left w:val="none" w:sz="0" w:space="0"/>
                <w:bottom w:val="none" w:sz="0" w:space="0"/>
                <w:right w:val="none" w:sz="0" w:space="0"/>
              </w:pgBorders>
              <w:pgNumType w:start="1"/>
              <w:cols w:space="425" w:num="1"/>
              <w:docGrid w:type="lines" w:linePitch="326" w:charSpace="0"/>
            </w:sectPr>
          </w:pPr>
        </w:p>
        <w:p>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rFonts w:hint="eastAsia" w:ascii="仿宋" w:hAnsi="仿宋" w:eastAsia="仿宋" w:cs="仿宋"/>
              <w:color w:val="auto"/>
              <w:sz w:val="36"/>
              <w:szCs w:val="36"/>
            </w:rPr>
          </w:pPr>
          <w:r>
            <w:rPr>
              <w:rFonts w:hint="eastAsia" w:ascii="仿宋" w:hAnsi="仿宋" w:eastAsia="仿宋" w:cs="仿宋"/>
              <w:color w:val="auto"/>
              <w:sz w:val="28"/>
              <w:szCs w:val="36"/>
            </w:rPr>
            <w:t>目录</w:t>
          </w:r>
        </w:p>
        <w:p>
          <w:pPr>
            <w:pStyle w:val="46"/>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color w:val="auto"/>
              <w:sz w:val="24"/>
              <w:szCs w:val="24"/>
            </w:rPr>
          </w:pPr>
          <w:r>
            <w:rPr>
              <w:rFonts w:hint="eastAsia" w:ascii="仿宋_GB2312" w:hAnsi="仿宋_GB2312" w:eastAsia="仿宋_GB2312" w:cs="仿宋_GB2312"/>
              <w:b/>
              <w:bCs/>
              <w:color w:val="auto"/>
              <w:sz w:val="32"/>
              <w:szCs w:val="36"/>
            </w:rPr>
            <w:fldChar w:fldCharType="begin"/>
          </w:r>
          <w:r>
            <w:rPr>
              <w:rFonts w:hint="eastAsia" w:ascii="仿宋_GB2312" w:hAnsi="仿宋_GB2312" w:eastAsia="仿宋_GB2312" w:cs="仿宋_GB2312"/>
              <w:b/>
              <w:bCs/>
              <w:color w:val="auto"/>
              <w:sz w:val="32"/>
              <w:szCs w:val="36"/>
            </w:rPr>
            <w:instrText xml:space="preserve">TOC \o "1-2" \h \u </w:instrText>
          </w:r>
          <w:r>
            <w:rPr>
              <w:rFonts w:hint="eastAsia" w:ascii="仿宋_GB2312" w:hAnsi="仿宋_GB2312" w:eastAsia="仿宋_GB2312" w:cs="仿宋_GB2312"/>
              <w:b/>
              <w:bCs/>
              <w:color w:val="auto"/>
              <w:sz w:val="32"/>
              <w:szCs w:val="36"/>
            </w:rPr>
            <w:fldChar w:fldCharType="separate"/>
          </w:r>
          <w:r>
            <w:rPr>
              <w:rFonts w:hint="eastAsia" w:ascii="仿宋_GB2312" w:hAnsi="仿宋_GB2312" w:eastAsia="仿宋_GB2312" w:cs="仿宋_GB2312"/>
              <w:b/>
              <w:bCs/>
              <w:color w:val="auto"/>
              <w:sz w:val="24"/>
              <w:szCs w:val="24"/>
            </w:rPr>
            <w:fldChar w:fldCharType="begin"/>
          </w:r>
          <w:r>
            <w:rPr>
              <w:rFonts w:hint="eastAsia" w:ascii="仿宋_GB2312" w:hAnsi="仿宋_GB2312" w:eastAsia="仿宋_GB2312" w:cs="仿宋_GB2312"/>
              <w:b/>
              <w:bCs/>
              <w:color w:val="auto"/>
              <w:sz w:val="24"/>
              <w:szCs w:val="24"/>
            </w:rPr>
            <w:instrText xml:space="preserve"> HYPERLINK \l _Toc19523 </w:instrText>
          </w:r>
          <w:r>
            <w:rPr>
              <w:rFonts w:hint="eastAsia" w:ascii="仿宋_GB2312" w:hAnsi="仿宋_GB2312" w:eastAsia="仿宋_GB2312" w:cs="仿宋_GB2312"/>
              <w:b/>
              <w:bCs/>
              <w:color w:val="auto"/>
              <w:sz w:val="24"/>
              <w:szCs w:val="24"/>
            </w:rPr>
            <w:fldChar w:fldCharType="separate"/>
          </w:r>
          <w:r>
            <w:rPr>
              <w:rFonts w:hint="eastAsia" w:ascii="仿宋_GB2312" w:hAnsi="仿宋_GB2312" w:eastAsia="仿宋_GB2312" w:cs="仿宋_GB2312"/>
              <w:b/>
              <w:color w:val="auto"/>
              <w:sz w:val="24"/>
              <w:szCs w:val="24"/>
            </w:rPr>
            <w:t>一、基本概况</w:t>
          </w:r>
          <w:r>
            <w:rPr>
              <w:rFonts w:hint="eastAsia" w:ascii="仿宋_GB2312" w:hAnsi="仿宋_GB2312" w:eastAsia="仿宋_GB2312" w:cs="仿宋_GB2312"/>
              <w:b/>
              <w:color w:val="auto"/>
              <w:sz w:val="24"/>
              <w:szCs w:val="24"/>
            </w:rPr>
            <w:tab/>
          </w:r>
          <w:r>
            <w:rPr>
              <w:rFonts w:hint="eastAsia" w:ascii="仿宋_GB2312" w:hAnsi="仿宋_GB2312" w:eastAsia="仿宋_GB2312" w:cs="仿宋_GB2312"/>
              <w:b/>
              <w:color w:val="auto"/>
              <w:sz w:val="24"/>
              <w:szCs w:val="24"/>
            </w:rPr>
            <w:fldChar w:fldCharType="begin"/>
          </w:r>
          <w:r>
            <w:rPr>
              <w:rFonts w:hint="eastAsia" w:ascii="仿宋_GB2312" w:hAnsi="仿宋_GB2312" w:eastAsia="仿宋_GB2312" w:cs="仿宋_GB2312"/>
              <w:b/>
              <w:color w:val="auto"/>
              <w:sz w:val="24"/>
              <w:szCs w:val="24"/>
            </w:rPr>
            <w:instrText xml:space="preserve"> PAGEREF _Toc19523 \h </w:instrText>
          </w:r>
          <w:r>
            <w:rPr>
              <w:rFonts w:hint="eastAsia" w:ascii="仿宋_GB2312" w:hAnsi="仿宋_GB2312" w:eastAsia="仿宋_GB2312" w:cs="仿宋_GB2312"/>
              <w:b/>
              <w:color w:val="auto"/>
              <w:sz w:val="24"/>
              <w:szCs w:val="24"/>
            </w:rPr>
            <w:fldChar w:fldCharType="separate"/>
          </w:r>
          <w:r>
            <w:rPr>
              <w:rFonts w:hint="eastAsia" w:ascii="仿宋_GB2312" w:hAnsi="仿宋_GB2312" w:eastAsia="仿宋_GB2312" w:cs="仿宋_GB2312"/>
              <w:b/>
              <w:color w:val="auto"/>
              <w:sz w:val="24"/>
              <w:szCs w:val="24"/>
            </w:rPr>
            <w:t>1</w:t>
          </w:r>
          <w:r>
            <w:rPr>
              <w:rFonts w:hint="eastAsia" w:ascii="仿宋_GB2312" w:hAnsi="仿宋_GB2312" w:eastAsia="仿宋_GB2312" w:cs="仿宋_GB2312"/>
              <w:b/>
              <w:color w:val="auto"/>
              <w:sz w:val="24"/>
              <w:szCs w:val="24"/>
            </w:rPr>
            <w:fldChar w:fldCharType="end"/>
          </w:r>
          <w:r>
            <w:rPr>
              <w:rFonts w:hint="eastAsia" w:ascii="仿宋_GB2312" w:hAnsi="仿宋_GB2312" w:eastAsia="仿宋_GB2312" w:cs="仿宋_GB2312"/>
              <w:b/>
              <w:bCs/>
              <w:color w:val="auto"/>
              <w:sz w:val="24"/>
              <w:szCs w:val="24"/>
            </w:rPr>
            <w:fldChar w:fldCharType="end"/>
          </w:r>
        </w:p>
        <w:p>
          <w:pPr>
            <w:pStyle w:val="4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Cs/>
              <w:color w:val="auto"/>
              <w:sz w:val="24"/>
              <w:szCs w:val="24"/>
            </w:rPr>
            <w:fldChar w:fldCharType="begin"/>
          </w:r>
          <w:r>
            <w:rPr>
              <w:rFonts w:hint="eastAsia" w:ascii="仿宋_GB2312" w:hAnsi="仿宋_GB2312" w:eastAsia="仿宋_GB2312" w:cs="仿宋_GB2312"/>
              <w:bCs/>
              <w:color w:val="auto"/>
              <w:sz w:val="24"/>
              <w:szCs w:val="24"/>
            </w:rPr>
            <w:instrText xml:space="preserve"> HYPERLINK \l _Toc11366 </w:instrText>
          </w:r>
          <w:r>
            <w:rPr>
              <w:rFonts w:hint="eastAsia" w:ascii="仿宋_GB2312" w:hAnsi="仿宋_GB2312" w:eastAsia="仿宋_GB2312" w:cs="仿宋_GB2312"/>
              <w:bCs/>
              <w:color w:val="auto"/>
              <w:sz w:val="24"/>
              <w:szCs w:val="24"/>
            </w:rPr>
            <w:fldChar w:fldCharType="separate"/>
          </w:r>
          <w:r>
            <w:rPr>
              <w:rFonts w:hint="eastAsia" w:ascii="仿宋_GB2312" w:hAnsi="仿宋_GB2312" w:eastAsia="仿宋_GB2312" w:cs="仿宋_GB2312"/>
              <w:bCs/>
              <w:color w:val="auto"/>
              <w:sz w:val="24"/>
              <w:szCs w:val="24"/>
            </w:rPr>
            <w:t>（一）项目概况</w:t>
          </w:r>
          <w:r>
            <w:rPr>
              <w:rFonts w:hint="eastAsia" w:ascii="仿宋_GB2312" w:hAnsi="仿宋_GB2312" w:eastAsia="仿宋_GB2312" w:cs="仿宋_GB2312"/>
              <w:color w:val="auto"/>
              <w:sz w:val="24"/>
              <w:szCs w:val="24"/>
            </w:rPr>
            <w:tab/>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PAGEREF _Toc11366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rPr>
            <w:fldChar w:fldCharType="end"/>
          </w:r>
          <w:r>
            <w:rPr>
              <w:rFonts w:hint="eastAsia" w:ascii="仿宋_GB2312" w:hAnsi="仿宋_GB2312" w:eastAsia="仿宋_GB2312" w:cs="仿宋_GB2312"/>
              <w:bCs/>
              <w:color w:val="auto"/>
              <w:sz w:val="24"/>
              <w:szCs w:val="24"/>
            </w:rPr>
            <w:fldChar w:fldCharType="end"/>
          </w:r>
        </w:p>
        <w:p>
          <w:pPr>
            <w:pStyle w:val="4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Cs/>
              <w:color w:val="auto"/>
              <w:sz w:val="24"/>
              <w:szCs w:val="24"/>
            </w:rPr>
            <w:fldChar w:fldCharType="begin"/>
          </w:r>
          <w:r>
            <w:rPr>
              <w:rFonts w:hint="eastAsia" w:ascii="仿宋_GB2312" w:hAnsi="仿宋_GB2312" w:eastAsia="仿宋_GB2312" w:cs="仿宋_GB2312"/>
              <w:bCs/>
              <w:color w:val="auto"/>
              <w:sz w:val="24"/>
              <w:szCs w:val="24"/>
            </w:rPr>
            <w:instrText xml:space="preserve"> HYPERLINK \l _Toc16375 </w:instrText>
          </w:r>
          <w:r>
            <w:rPr>
              <w:rFonts w:hint="eastAsia" w:ascii="仿宋_GB2312" w:hAnsi="仿宋_GB2312" w:eastAsia="仿宋_GB2312" w:cs="仿宋_GB2312"/>
              <w:bCs/>
              <w:color w:val="auto"/>
              <w:sz w:val="24"/>
              <w:szCs w:val="24"/>
            </w:rPr>
            <w:fldChar w:fldCharType="separate"/>
          </w:r>
          <w:r>
            <w:rPr>
              <w:rFonts w:hint="eastAsia" w:ascii="仿宋_GB2312" w:hAnsi="仿宋_GB2312" w:eastAsia="仿宋_GB2312" w:cs="仿宋_GB2312"/>
              <w:bCs/>
              <w:color w:val="auto"/>
              <w:sz w:val="24"/>
              <w:szCs w:val="24"/>
            </w:rPr>
            <w:t>（二）项目绩效目标</w:t>
          </w:r>
          <w:r>
            <w:rPr>
              <w:rFonts w:hint="eastAsia" w:ascii="仿宋_GB2312" w:hAnsi="仿宋_GB2312" w:eastAsia="仿宋_GB2312" w:cs="仿宋_GB2312"/>
              <w:color w:val="auto"/>
              <w:sz w:val="24"/>
              <w:szCs w:val="24"/>
            </w:rPr>
            <w:tab/>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PAGEREF _Toc16375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sz w:val="24"/>
              <w:szCs w:val="24"/>
            </w:rPr>
            <w:t>3</w:t>
          </w:r>
          <w:r>
            <w:rPr>
              <w:rFonts w:hint="eastAsia" w:ascii="仿宋_GB2312" w:hAnsi="仿宋_GB2312" w:eastAsia="仿宋_GB2312" w:cs="仿宋_GB2312"/>
              <w:color w:val="auto"/>
              <w:sz w:val="24"/>
              <w:szCs w:val="24"/>
            </w:rPr>
            <w:fldChar w:fldCharType="end"/>
          </w:r>
          <w:r>
            <w:rPr>
              <w:rFonts w:hint="eastAsia" w:ascii="仿宋_GB2312" w:hAnsi="仿宋_GB2312" w:eastAsia="仿宋_GB2312" w:cs="仿宋_GB2312"/>
              <w:bCs/>
              <w:color w:val="auto"/>
              <w:sz w:val="24"/>
              <w:szCs w:val="24"/>
            </w:rPr>
            <w:fldChar w:fldCharType="end"/>
          </w:r>
        </w:p>
        <w:p>
          <w:pPr>
            <w:pStyle w:val="46"/>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color w:val="auto"/>
              <w:sz w:val="24"/>
              <w:szCs w:val="24"/>
            </w:rPr>
          </w:pPr>
          <w:r>
            <w:rPr>
              <w:rFonts w:hint="eastAsia" w:ascii="仿宋_GB2312" w:hAnsi="仿宋_GB2312" w:eastAsia="仿宋_GB2312" w:cs="仿宋_GB2312"/>
              <w:b/>
              <w:bCs/>
              <w:color w:val="auto"/>
              <w:sz w:val="24"/>
              <w:szCs w:val="24"/>
            </w:rPr>
            <w:fldChar w:fldCharType="begin"/>
          </w:r>
          <w:r>
            <w:rPr>
              <w:rFonts w:hint="eastAsia" w:ascii="仿宋_GB2312" w:hAnsi="仿宋_GB2312" w:eastAsia="仿宋_GB2312" w:cs="仿宋_GB2312"/>
              <w:b/>
              <w:bCs/>
              <w:color w:val="auto"/>
              <w:sz w:val="24"/>
              <w:szCs w:val="24"/>
            </w:rPr>
            <w:instrText xml:space="preserve"> HYPERLINK \l _Toc11462 </w:instrText>
          </w:r>
          <w:r>
            <w:rPr>
              <w:rFonts w:hint="eastAsia" w:ascii="仿宋_GB2312" w:hAnsi="仿宋_GB2312" w:eastAsia="仿宋_GB2312" w:cs="仿宋_GB2312"/>
              <w:b/>
              <w:bCs/>
              <w:color w:val="auto"/>
              <w:sz w:val="24"/>
              <w:szCs w:val="24"/>
            </w:rPr>
            <w:fldChar w:fldCharType="separate"/>
          </w:r>
          <w:r>
            <w:rPr>
              <w:rFonts w:hint="eastAsia" w:ascii="仿宋_GB2312" w:hAnsi="仿宋_GB2312" w:eastAsia="仿宋_GB2312" w:cs="仿宋_GB2312"/>
              <w:b/>
              <w:color w:val="auto"/>
              <w:sz w:val="24"/>
              <w:szCs w:val="24"/>
            </w:rPr>
            <w:t>二、绩效评价工作开展情况</w:t>
          </w:r>
          <w:r>
            <w:rPr>
              <w:rFonts w:hint="eastAsia" w:ascii="仿宋_GB2312" w:hAnsi="仿宋_GB2312" w:eastAsia="仿宋_GB2312" w:cs="仿宋_GB2312"/>
              <w:b/>
              <w:color w:val="auto"/>
              <w:sz w:val="24"/>
              <w:szCs w:val="24"/>
            </w:rPr>
            <w:tab/>
          </w:r>
          <w:r>
            <w:rPr>
              <w:rFonts w:hint="eastAsia" w:ascii="仿宋_GB2312" w:hAnsi="仿宋_GB2312" w:eastAsia="仿宋_GB2312" w:cs="仿宋_GB2312"/>
              <w:b/>
              <w:color w:val="auto"/>
              <w:sz w:val="24"/>
              <w:szCs w:val="24"/>
            </w:rPr>
            <w:fldChar w:fldCharType="begin"/>
          </w:r>
          <w:r>
            <w:rPr>
              <w:rFonts w:hint="eastAsia" w:ascii="仿宋_GB2312" w:hAnsi="仿宋_GB2312" w:eastAsia="仿宋_GB2312" w:cs="仿宋_GB2312"/>
              <w:b/>
              <w:color w:val="auto"/>
              <w:sz w:val="24"/>
              <w:szCs w:val="24"/>
            </w:rPr>
            <w:instrText xml:space="preserve"> PAGEREF _Toc11462 \h </w:instrText>
          </w:r>
          <w:r>
            <w:rPr>
              <w:rFonts w:hint="eastAsia" w:ascii="仿宋_GB2312" w:hAnsi="仿宋_GB2312" w:eastAsia="仿宋_GB2312" w:cs="仿宋_GB2312"/>
              <w:b/>
              <w:color w:val="auto"/>
              <w:sz w:val="24"/>
              <w:szCs w:val="24"/>
            </w:rPr>
            <w:fldChar w:fldCharType="separate"/>
          </w:r>
          <w:r>
            <w:rPr>
              <w:rFonts w:hint="eastAsia" w:ascii="仿宋_GB2312" w:hAnsi="仿宋_GB2312" w:eastAsia="仿宋_GB2312" w:cs="仿宋_GB2312"/>
              <w:b/>
              <w:color w:val="auto"/>
              <w:sz w:val="24"/>
              <w:szCs w:val="24"/>
            </w:rPr>
            <w:t>4</w:t>
          </w:r>
          <w:r>
            <w:rPr>
              <w:rFonts w:hint="eastAsia" w:ascii="仿宋_GB2312" w:hAnsi="仿宋_GB2312" w:eastAsia="仿宋_GB2312" w:cs="仿宋_GB2312"/>
              <w:b/>
              <w:color w:val="auto"/>
              <w:sz w:val="24"/>
              <w:szCs w:val="24"/>
            </w:rPr>
            <w:fldChar w:fldCharType="end"/>
          </w:r>
          <w:r>
            <w:rPr>
              <w:rFonts w:hint="eastAsia" w:ascii="仿宋_GB2312" w:hAnsi="仿宋_GB2312" w:eastAsia="仿宋_GB2312" w:cs="仿宋_GB2312"/>
              <w:b/>
              <w:bCs/>
              <w:color w:val="auto"/>
              <w:sz w:val="24"/>
              <w:szCs w:val="24"/>
            </w:rPr>
            <w:fldChar w:fldCharType="end"/>
          </w:r>
        </w:p>
        <w:p>
          <w:pPr>
            <w:pStyle w:val="4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Cs/>
              <w:color w:val="auto"/>
              <w:sz w:val="24"/>
              <w:szCs w:val="24"/>
            </w:rPr>
            <w:fldChar w:fldCharType="begin"/>
          </w:r>
          <w:r>
            <w:rPr>
              <w:rFonts w:hint="eastAsia" w:ascii="仿宋_GB2312" w:hAnsi="仿宋_GB2312" w:eastAsia="仿宋_GB2312" w:cs="仿宋_GB2312"/>
              <w:bCs/>
              <w:color w:val="auto"/>
              <w:sz w:val="24"/>
              <w:szCs w:val="24"/>
            </w:rPr>
            <w:instrText xml:space="preserve"> HYPERLINK \l _Toc25987 </w:instrText>
          </w:r>
          <w:r>
            <w:rPr>
              <w:rFonts w:hint="eastAsia" w:ascii="仿宋_GB2312" w:hAnsi="仿宋_GB2312" w:eastAsia="仿宋_GB2312" w:cs="仿宋_GB2312"/>
              <w:bCs/>
              <w:color w:val="auto"/>
              <w:sz w:val="24"/>
              <w:szCs w:val="24"/>
            </w:rPr>
            <w:fldChar w:fldCharType="separate"/>
          </w:r>
          <w:r>
            <w:rPr>
              <w:rFonts w:hint="eastAsia" w:ascii="仿宋_GB2312" w:hAnsi="仿宋_GB2312" w:eastAsia="仿宋_GB2312" w:cs="仿宋_GB2312"/>
              <w:bCs/>
              <w:color w:val="auto"/>
              <w:sz w:val="24"/>
              <w:szCs w:val="24"/>
            </w:rPr>
            <w:t>（一）评价目的、对象及范围</w:t>
          </w:r>
          <w:r>
            <w:rPr>
              <w:rFonts w:hint="eastAsia" w:ascii="仿宋_GB2312" w:hAnsi="仿宋_GB2312" w:eastAsia="仿宋_GB2312" w:cs="仿宋_GB2312"/>
              <w:color w:val="auto"/>
              <w:sz w:val="24"/>
              <w:szCs w:val="24"/>
            </w:rPr>
            <w:tab/>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PAGEREF _Toc25987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sz w:val="24"/>
              <w:szCs w:val="24"/>
            </w:rPr>
            <w:t>4</w:t>
          </w:r>
          <w:r>
            <w:rPr>
              <w:rFonts w:hint="eastAsia" w:ascii="仿宋_GB2312" w:hAnsi="仿宋_GB2312" w:eastAsia="仿宋_GB2312" w:cs="仿宋_GB2312"/>
              <w:color w:val="auto"/>
              <w:sz w:val="24"/>
              <w:szCs w:val="24"/>
            </w:rPr>
            <w:fldChar w:fldCharType="end"/>
          </w:r>
          <w:r>
            <w:rPr>
              <w:rFonts w:hint="eastAsia" w:ascii="仿宋_GB2312" w:hAnsi="仿宋_GB2312" w:eastAsia="仿宋_GB2312" w:cs="仿宋_GB2312"/>
              <w:bCs/>
              <w:color w:val="auto"/>
              <w:sz w:val="24"/>
              <w:szCs w:val="24"/>
            </w:rPr>
            <w:fldChar w:fldCharType="end"/>
          </w:r>
        </w:p>
        <w:p>
          <w:pPr>
            <w:pStyle w:val="4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Cs/>
              <w:color w:val="auto"/>
              <w:sz w:val="24"/>
              <w:szCs w:val="24"/>
            </w:rPr>
            <w:fldChar w:fldCharType="begin"/>
          </w:r>
          <w:r>
            <w:rPr>
              <w:rFonts w:hint="eastAsia" w:ascii="仿宋_GB2312" w:hAnsi="仿宋_GB2312" w:eastAsia="仿宋_GB2312" w:cs="仿宋_GB2312"/>
              <w:bCs/>
              <w:color w:val="auto"/>
              <w:sz w:val="24"/>
              <w:szCs w:val="24"/>
            </w:rPr>
            <w:instrText xml:space="preserve"> HYPERLINK \l _Toc7356 </w:instrText>
          </w:r>
          <w:r>
            <w:rPr>
              <w:rFonts w:hint="eastAsia" w:ascii="仿宋_GB2312" w:hAnsi="仿宋_GB2312" w:eastAsia="仿宋_GB2312" w:cs="仿宋_GB2312"/>
              <w:bCs/>
              <w:color w:val="auto"/>
              <w:sz w:val="24"/>
              <w:szCs w:val="24"/>
            </w:rPr>
            <w:fldChar w:fldCharType="separate"/>
          </w:r>
          <w:r>
            <w:rPr>
              <w:rFonts w:hint="eastAsia" w:ascii="仿宋_GB2312" w:hAnsi="仿宋_GB2312" w:eastAsia="仿宋_GB2312" w:cs="仿宋_GB2312"/>
              <w:bCs/>
              <w:color w:val="auto"/>
              <w:sz w:val="24"/>
              <w:szCs w:val="24"/>
            </w:rPr>
            <w:t>（二）评价指标体系</w:t>
          </w:r>
          <w:r>
            <w:rPr>
              <w:rFonts w:hint="eastAsia" w:ascii="仿宋_GB2312" w:hAnsi="仿宋_GB2312" w:eastAsia="仿宋_GB2312" w:cs="仿宋_GB2312"/>
              <w:color w:val="auto"/>
              <w:sz w:val="24"/>
              <w:szCs w:val="24"/>
            </w:rPr>
            <w:tab/>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PAGEREF _Toc7356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rPr>
            <w:fldChar w:fldCharType="end"/>
          </w:r>
          <w:r>
            <w:rPr>
              <w:rFonts w:hint="eastAsia" w:ascii="仿宋_GB2312" w:hAnsi="仿宋_GB2312" w:eastAsia="仿宋_GB2312" w:cs="仿宋_GB2312"/>
              <w:bCs/>
              <w:color w:val="auto"/>
              <w:sz w:val="24"/>
              <w:szCs w:val="24"/>
            </w:rPr>
            <w:fldChar w:fldCharType="end"/>
          </w:r>
        </w:p>
        <w:p>
          <w:pPr>
            <w:pStyle w:val="4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Cs/>
              <w:color w:val="auto"/>
              <w:sz w:val="24"/>
              <w:szCs w:val="24"/>
            </w:rPr>
            <w:fldChar w:fldCharType="begin"/>
          </w:r>
          <w:r>
            <w:rPr>
              <w:rFonts w:hint="eastAsia" w:ascii="仿宋_GB2312" w:hAnsi="仿宋_GB2312" w:eastAsia="仿宋_GB2312" w:cs="仿宋_GB2312"/>
              <w:bCs/>
              <w:color w:val="auto"/>
              <w:sz w:val="24"/>
              <w:szCs w:val="24"/>
            </w:rPr>
            <w:instrText xml:space="preserve"> HYPERLINK \l _Toc30195 </w:instrText>
          </w:r>
          <w:r>
            <w:rPr>
              <w:rFonts w:hint="eastAsia" w:ascii="仿宋_GB2312" w:hAnsi="仿宋_GB2312" w:eastAsia="仿宋_GB2312" w:cs="仿宋_GB2312"/>
              <w:bCs/>
              <w:color w:val="auto"/>
              <w:sz w:val="24"/>
              <w:szCs w:val="24"/>
            </w:rPr>
            <w:fldChar w:fldCharType="separate"/>
          </w:r>
          <w:r>
            <w:rPr>
              <w:rFonts w:hint="eastAsia" w:ascii="仿宋_GB2312" w:hAnsi="仿宋_GB2312" w:eastAsia="仿宋_GB2312" w:cs="仿宋_GB2312"/>
              <w:bCs/>
              <w:color w:val="auto"/>
              <w:sz w:val="24"/>
              <w:szCs w:val="24"/>
            </w:rPr>
            <w:t>（三）绩效评价原则、方法和标准</w:t>
          </w:r>
          <w:r>
            <w:rPr>
              <w:rFonts w:hint="eastAsia" w:ascii="仿宋_GB2312" w:hAnsi="仿宋_GB2312" w:eastAsia="仿宋_GB2312" w:cs="仿宋_GB2312"/>
              <w:color w:val="auto"/>
              <w:sz w:val="24"/>
              <w:szCs w:val="24"/>
            </w:rPr>
            <w:tab/>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PAGEREF _Toc30195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rPr>
            <w:fldChar w:fldCharType="end"/>
          </w:r>
          <w:r>
            <w:rPr>
              <w:rFonts w:hint="eastAsia" w:ascii="仿宋_GB2312" w:hAnsi="仿宋_GB2312" w:eastAsia="仿宋_GB2312" w:cs="仿宋_GB2312"/>
              <w:bCs/>
              <w:color w:val="auto"/>
              <w:sz w:val="24"/>
              <w:szCs w:val="24"/>
            </w:rPr>
            <w:fldChar w:fldCharType="end"/>
          </w:r>
        </w:p>
        <w:p>
          <w:pPr>
            <w:pStyle w:val="4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Cs/>
              <w:color w:val="auto"/>
              <w:sz w:val="24"/>
              <w:szCs w:val="24"/>
            </w:rPr>
            <w:fldChar w:fldCharType="begin"/>
          </w:r>
          <w:r>
            <w:rPr>
              <w:rFonts w:hint="eastAsia" w:ascii="仿宋_GB2312" w:hAnsi="仿宋_GB2312" w:eastAsia="仿宋_GB2312" w:cs="仿宋_GB2312"/>
              <w:bCs/>
              <w:color w:val="auto"/>
              <w:sz w:val="24"/>
              <w:szCs w:val="24"/>
            </w:rPr>
            <w:instrText xml:space="preserve"> HYPERLINK \l _Toc17429 </w:instrText>
          </w:r>
          <w:r>
            <w:rPr>
              <w:rFonts w:hint="eastAsia" w:ascii="仿宋_GB2312" w:hAnsi="仿宋_GB2312" w:eastAsia="仿宋_GB2312" w:cs="仿宋_GB2312"/>
              <w:bCs/>
              <w:color w:val="auto"/>
              <w:sz w:val="24"/>
              <w:szCs w:val="24"/>
            </w:rPr>
            <w:fldChar w:fldCharType="separate"/>
          </w:r>
          <w:r>
            <w:rPr>
              <w:rFonts w:hint="eastAsia" w:ascii="仿宋_GB2312" w:hAnsi="仿宋_GB2312" w:eastAsia="仿宋_GB2312" w:cs="仿宋_GB2312"/>
              <w:bCs/>
              <w:color w:val="auto"/>
              <w:sz w:val="24"/>
              <w:szCs w:val="24"/>
            </w:rPr>
            <w:t>（四）绩效评价工作过程</w:t>
          </w:r>
          <w:r>
            <w:rPr>
              <w:rFonts w:hint="eastAsia" w:ascii="仿宋_GB2312" w:hAnsi="仿宋_GB2312" w:eastAsia="仿宋_GB2312" w:cs="仿宋_GB2312"/>
              <w:color w:val="auto"/>
              <w:sz w:val="24"/>
              <w:szCs w:val="24"/>
            </w:rPr>
            <w:tab/>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PAGEREF _Toc17429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sz w:val="24"/>
              <w:szCs w:val="24"/>
            </w:rPr>
            <w:t>6</w:t>
          </w:r>
          <w:r>
            <w:rPr>
              <w:rFonts w:hint="eastAsia" w:ascii="仿宋_GB2312" w:hAnsi="仿宋_GB2312" w:eastAsia="仿宋_GB2312" w:cs="仿宋_GB2312"/>
              <w:color w:val="auto"/>
              <w:sz w:val="24"/>
              <w:szCs w:val="24"/>
            </w:rPr>
            <w:fldChar w:fldCharType="end"/>
          </w:r>
          <w:r>
            <w:rPr>
              <w:rFonts w:hint="eastAsia" w:ascii="仿宋_GB2312" w:hAnsi="仿宋_GB2312" w:eastAsia="仿宋_GB2312" w:cs="仿宋_GB2312"/>
              <w:bCs/>
              <w:color w:val="auto"/>
              <w:sz w:val="24"/>
              <w:szCs w:val="24"/>
            </w:rPr>
            <w:fldChar w:fldCharType="end"/>
          </w:r>
        </w:p>
        <w:p>
          <w:pPr>
            <w:pStyle w:val="46"/>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color w:val="auto"/>
              <w:sz w:val="24"/>
              <w:szCs w:val="24"/>
            </w:rPr>
          </w:pPr>
          <w:r>
            <w:rPr>
              <w:rFonts w:hint="eastAsia" w:ascii="仿宋_GB2312" w:hAnsi="仿宋_GB2312" w:eastAsia="仿宋_GB2312" w:cs="仿宋_GB2312"/>
              <w:b/>
              <w:bCs/>
              <w:color w:val="auto"/>
              <w:sz w:val="24"/>
              <w:szCs w:val="24"/>
            </w:rPr>
            <w:fldChar w:fldCharType="begin"/>
          </w:r>
          <w:r>
            <w:rPr>
              <w:rFonts w:hint="eastAsia" w:ascii="仿宋_GB2312" w:hAnsi="仿宋_GB2312" w:eastAsia="仿宋_GB2312" w:cs="仿宋_GB2312"/>
              <w:b/>
              <w:bCs/>
              <w:color w:val="auto"/>
              <w:sz w:val="24"/>
              <w:szCs w:val="24"/>
            </w:rPr>
            <w:instrText xml:space="preserve"> HYPERLINK \l _Toc2313 </w:instrText>
          </w:r>
          <w:r>
            <w:rPr>
              <w:rFonts w:hint="eastAsia" w:ascii="仿宋_GB2312" w:hAnsi="仿宋_GB2312" w:eastAsia="仿宋_GB2312" w:cs="仿宋_GB2312"/>
              <w:b/>
              <w:bCs/>
              <w:color w:val="auto"/>
              <w:sz w:val="24"/>
              <w:szCs w:val="24"/>
            </w:rPr>
            <w:fldChar w:fldCharType="separate"/>
          </w:r>
          <w:r>
            <w:rPr>
              <w:rFonts w:hint="eastAsia" w:ascii="仿宋_GB2312" w:hAnsi="仿宋_GB2312" w:eastAsia="仿宋_GB2312" w:cs="仿宋_GB2312"/>
              <w:b/>
              <w:color w:val="auto"/>
              <w:sz w:val="24"/>
              <w:szCs w:val="24"/>
            </w:rPr>
            <w:t>三、综合评价情况及评价结论</w:t>
          </w:r>
          <w:r>
            <w:rPr>
              <w:rFonts w:hint="eastAsia" w:ascii="仿宋_GB2312" w:hAnsi="仿宋_GB2312" w:eastAsia="仿宋_GB2312" w:cs="仿宋_GB2312"/>
              <w:b/>
              <w:color w:val="auto"/>
              <w:sz w:val="24"/>
              <w:szCs w:val="24"/>
            </w:rPr>
            <w:tab/>
          </w:r>
          <w:r>
            <w:rPr>
              <w:rFonts w:hint="eastAsia" w:ascii="仿宋_GB2312" w:hAnsi="仿宋_GB2312" w:eastAsia="仿宋_GB2312" w:cs="仿宋_GB2312"/>
              <w:b/>
              <w:color w:val="auto"/>
              <w:sz w:val="24"/>
              <w:szCs w:val="24"/>
            </w:rPr>
            <w:fldChar w:fldCharType="begin"/>
          </w:r>
          <w:r>
            <w:rPr>
              <w:rFonts w:hint="eastAsia" w:ascii="仿宋_GB2312" w:hAnsi="仿宋_GB2312" w:eastAsia="仿宋_GB2312" w:cs="仿宋_GB2312"/>
              <w:b/>
              <w:color w:val="auto"/>
              <w:sz w:val="24"/>
              <w:szCs w:val="24"/>
            </w:rPr>
            <w:instrText xml:space="preserve"> PAGEREF _Toc2313 \h </w:instrText>
          </w:r>
          <w:r>
            <w:rPr>
              <w:rFonts w:hint="eastAsia" w:ascii="仿宋_GB2312" w:hAnsi="仿宋_GB2312" w:eastAsia="仿宋_GB2312" w:cs="仿宋_GB2312"/>
              <w:b/>
              <w:color w:val="auto"/>
              <w:sz w:val="24"/>
              <w:szCs w:val="24"/>
            </w:rPr>
            <w:fldChar w:fldCharType="separate"/>
          </w:r>
          <w:r>
            <w:rPr>
              <w:rFonts w:hint="eastAsia" w:ascii="仿宋_GB2312" w:hAnsi="仿宋_GB2312" w:eastAsia="仿宋_GB2312" w:cs="仿宋_GB2312"/>
              <w:b/>
              <w:color w:val="auto"/>
              <w:sz w:val="24"/>
              <w:szCs w:val="24"/>
            </w:rPr>
            <w:t>7</w:t>
          </w:r>
          <w:r>
            <w:rPr>
              <w:rFonts w:hint="eastAsia" w:ascii="仿宋_GB2312" w:hAnsi="仿宋_GB2312" w:eastAsia="仿宋_GB2312" w:cs="仿宋_GB2312"/>
              <w:b/>
              <w:color w:val="auto"/>
              <w:sz w:val="24"/>
              <w:szCs w:val="24"/>
            </w:rPr>
            <w:fldChar w:fldCharType="end"/>
          </w:r>
          <w:r>
            <w:rPr>
              <w:rFonts w:hint="eastAsia" w:ascii="仿宋_GB2312" w:hAnsi="仿宋_GB2312" w:eastAsia="仿宋_GB2312" w:cs="仿宋_GB2312"/>
              <w:b/>
              <w:bCs/>
              <w:color w:val="auto"/>
              <w:sz w:val="24"/>
              <w:szCs w:val="24"/>
            </w:rPr>
            <w:fldChar w:fldCharType="end"/>
          </w:r>
        </w:p>
        <w:p>
          <w:pPr>
            <w:pStyle w:val="4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Cs/>
              <w:color w:val="auto"/>
              <w:sz w:val="24"/>
              <w:szCs w:val="24"/>
            </w:rPr>
            <w:fldChar w:fldCharType="begin"/>
          </w:r>
          <w:r>
            <w:rPr>
              <w:rFonts w:hint="eastAsia" w:ascii="仿宋_GB2312" w:hAnsi="仿宋_GB2312" w:eastAsia="仿宋_GB2312" w:cs="仿宋_GB2312"/>
              <w:bCs/>
              <w:color w:val="auto"/>
              <w:sz w:val="24"/>
              <w:szCs w:val="24"/>
            </w:rPr>
            <w:instrText xml:space="preserve"> HYPERLINK \l _Toc13842 </w:instrText>
          </w:r>
          <w:r>
            <w:rPr>
              <w:rFonts w:hint="eastAsia" w:ascii="仿宋_GB2312" w:hAnsi="仿宋_GB2312" w:eastAsia="仿宋_GB2312" w:cs="仿宋_GB2312"/>
              <w:bCs/>
              <w:color w:val="auto"/>
              <w:sz w:val="24"/>
              <w:szCs w:val="24"/>
            </w:rPr>
            <w:fldChar w:fldCharType="separate"/>
          </w:r>
          <w:r>
            <w:rPr>
              <w:rFonts w:hint="eastAsia" w:ascii="仿宋_GB2312" w:hAnsi="仿宋_GB2312" w:eastAsia="仿宋_GB2312" w:cs="仿宋_GB2312"/>
              <w:bCs/>
              <w:color w:val="auto"/>
              <w:sz w:val="24"/>
              <w:szCs w:val="24"/>
            </w:rPr>
            <w:t>（一）综合评价情况</w:t>
          </w:r>
          <w:r>
            <w:rPr>
              <w:rFonts w:hint="eastAsia" w:ascii="仿宋_GB2312" w:hAnsi="仿宋_GB2312" w:eastAsia="仿宋_GB2312" w:cs="仿宋_GB2312"/>
              <w:color w:val="auto"/>
              <w:sz w:val="24"/>
              <w:szCs w:val="24"/>
            </w:rPr>
            <w:tab/>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PAGEREF _Toc13842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sz w:val="24"/>
              <w:szCs w:val="24"/>
            </w:rPr>
            <w:t>7</w:t>
          </w:r>
          <w:r>
            <w:rPr>
              <w:rFonts w:hint="eastAsia" w:ascii="仿宋_GB2312" w:hAnsi="仿宋_GB2312" w:eastAsia="仿宋_GB2312" w:cs="仿宋_GB2312"/>
              <w:color w:val="auto"/>
              <w:sz w:val="24"/>
              <w:szCs w:val="24"/>
            </w:rPr>
            <w:fldChar w:fldCharType="end"/>
          </w:r>
          <w:r>
            <w:rPr>
              <w:rFonts w:hint="eastAsia" w:ascii="仿宋_GB2312" w:hAnsi="仿宋_GB2312" w:eastAsia="仿宋_GB2312" w:cs="仿宋_GB2312"/>
              <w:bCs/>
              <w:color w:val="auto"/>
              <w:sz w:val="24"/>
              <w:szCs w:val="24"/>
            </w:rPr>
            <w:fldChar w:fldCharType="end"/>
          </w:r>
        </w:p>
        <w:p>
          <w:pPr>
            <w:pStyle w:val="4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Cs/>
              <w:color w:val="auto"/>
              <w:sz w:val="24"/>
              <w:szCs w:val="24"/>
            </w:rPr>
            <w:fldChar w:fldCharType="begin"/>
          </w:r>
          <w:r>
            <w:rPr>
              <w:rFonts w:hint="eastAsia" w:ascii="仿宋_GB2312" w:hAnsi="仿宋_GB2312" w:eastAsia="仿宋_GB2312" w:cs="仿宋_GB2312"/>
              <w:bCs/>
              <w:color w:val="auto"/>
              <w:sz w:val="24"/>
              <w:szCs w:val="24"/>
            </w:rPr>
            <w:instrText xml:space="preserve"> HYPERLINK \l _Toc23933 </w:instrText>
          </w:r>
          <w:r>
            <w:rPr>
              <w:rFonts w:hint="eastAsia" w:ascii="仿宋_GB2312" w:hAnsi="仿宋_GB2312" w:eastAsia="仿宋_GB2312" w:cs="仿宋_GB2312"/>
              <w:bCs/>
              <w:color w:val="auto"/>
              <w:sz w:val="24"/>
              <w:szCs w:val="24"/>
            </w:rPr>
            <w:fldChar w:fldCharType="separate"/>
          </w:r>
          <w:r>
            <w:rPr>
              <w:rFonts w:hint="eastAsia" w:ascii="仿宋_GB2312" w:hAnsi="仿宋_GB2312" w:eastAsia="仿宋_GB2312" w:cs="仿宋_GB2312"/>
              <w:bCs/>
              <w:color w:val="auto"/>
              <w:sz w:val="24"/>
              <w:szCs w:val="24"/>
            </w:rPr>
            <w:t>（二）总体评价结论</w:t>
          </w:r>
          <w:r>
            <w:rPr>
              <w:rFonts w:hint="eastAsia" w:ascii="仿宋_GB2312" w:hAnsi="仿宋_GB2312" w:eastAsia="仿宋_GB2312" w:cs="仿宋_GB2312"/>
              <w:color w:val="auto"/>
              <w:sz w:val="24"/>
              <w:szCs w:val="24"/>
            </w:rPr>
            <w:tab/>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PAGEREF _Toc23933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sz w:val="24"/>
              <w:szCs w:val="24"/>
            </w:rPr>
            <w:t>7</w:t>
          </w:r>
          <w:r>
            <w:rPr>
              <w:rFonts w:hint="eastAsia" w:ascii="仿宋_GB2312" w:hAnsi="仿宋_GB2312" w:eastAsia="仿宋_GB2312" w:cs="仿宋_GB2312"/>
              <w:color w:val="auto"/>
              <w:sz w:val="24"/>
              <w:szCs w:val="24"/>
            </w:rPr>
            <w:fldChar w:fldCharType="end"/>
          </w:r>
          <w:r>
            <w:rPr>
              <w:rFonts w:hint="eastAsia" w:ascii="仿宋_GB2312" w:hAnsi="仿宋_GB2312" w:eastAsia="仿宋_GB2312" w:cs="仿宋_GB2312"/>
              <w:bCs/>
              <w:color w:val="auto"/>
              <w:sz w:val="24"/>
              <w:szCs w:val="24"/>
            </w:rPr>
            <w:fldChar w:fldCharType="end"/>
          </w:r>
        </w:p>
        <w:p>
          <w:pPr>
            <w:pStyle w:val="46"/>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color w:val="auto"/>
              <w:sz w:val="24"/>
              <w:szCs w:val="24"/>
            </w:rPr>
          </w:pPr>
          <w:r>
            <w:rPr>
              <w:rFonts w:hint="eastAsia" w:ascii="仿宋_GB2312" w:hAnsi="仿宋_GB2312" w:eastAsia="仿宋_GB2312" w:cs="仿宋_GB2312"/>
              <w:b/>
              <w:bCs/>
              <w:color w:val="auto"/>
              <w:sz w:val="24"/>
              <w:szCs w:val="24"/>
            </w:rPr>
            <w:fldChar w:fldCharType="begin"/>
          </w:r>
          <w:r>
            <w:rPr>
              <w:rFonts w:hint="eastAsia" w:ascii="仿宋_GB2312" w:hAnsi="仿宋_GB2312" w:eastAsia="仿宋_GB2312" w:cs="仿宋_GB2312"/>
              <w:b/>
              <w:bCs/>
              <w:color w:val="auto"/>
              <w:sz w:val="24"/>
              <w:szCs w:val="24"/>
            </w:rPr>
            <w:instrText xml:space="preserve"> HYPERLINK \l _Toc13588 </w:instrText>
          </w:r>
          <w:r>
            <w:rPr>
              <w:rFonts w:hint="eastAsia" w:ascii="仿宋_GB2312" w:hAnsi="仿宋_GB2312" w:eastAsia="仿宋_GB2312" w:cs="仿宋_GB2312"/>
              <w:b/>
              <w:bCs/>
              <w:color w:val="auto"/>
              <w:sz w:val="24"/>
              <w:szCs w:val="24"/>
            </w:rPr>
            <w:fldChar w:fldCharType="separate"/>
          </w:r>
          <w:r>
            <w:rPr>
              <w:rFonts w:hint="eastAsia" w:ascii="仿宋_GB2312" w:hAnsi="仿宋_GB2312" w:eastAsia="仿宋_GB2312" w:cs="仿宋_GB2312"/>
              <w:b/>
              <w:color w:val="auto"/>
              <w:sz w:val="24"/>
              <w:szCs w:val="24"/>
            </w:rPr>
            <w:t>四、绩效指标分析</w:t>
          </w:r>
          <w:r>
            <w:rPr>
              <w:rFonts w:hint="eastAsia" w:ascii="仿宋_GB2312" w:hAnsi="仿宋_GB2312" w:eastAsia="仿宋_GB2312" w:cs="仿宋_GB2312"/>
              <w:b/>
              <w:color w:val="auto"/>
              <w:sz w:val="24"/>
              <w:szCs w:val="24"/>
            </w:rPr>
            <w:tab/>
          </w:r>
          <w:r>
            <w:rPr>
              <w:rFonts w:hint="eastAsia" w:ascii="仿宋_GB2312" w:hAnsi="仿宋_GB2312" w:eastAsia="仿宋_GB2312" w:cs="仿宋_GB2312"/>
              <w:b/>
              <w:color w:val="auto"/>
              <w:sz w:val="24"/>
              <w:szCs w:val="24"/>
            </w:rPr>
            <w:fldChar w:fldCharType="begin"/>
          </w:r>
          <w:r>
            <w:rPr>
              <w:rFonts w:hint="eastAsia" w:ascii="仿宋_GB2312" w:hAnsi="仿宋_GB2312" w:eastAsia="仿宋_GB2312" w:cs="仿宋_GB2312"/>
              <w:b/>
              <w:color w:val="auto"/>
              <w:sz w:val="24"/>
              <w:szCs w:val="24"/>
            </w:rPr>
            <w:instrText xml:space="preserve"> PAGEREF _Toc13588 \h </w:instrText>
          </w:r>
          <w:r>
            <w:rPr>
              <w:rFonts w:hint="eastAsia" w:ascii="仿宋_GB2312" w:hAnsi="仿宋_GB2312" w:eastAsia="仿宋_GB2312" w:cs="仿宋_GB2312"/>
              <w:b/>
              <w:color w:val="auto"/>
              <w:sz w:val="24"/>
              <w:szCs w:val="24"/>
            </w:rPr>
            <w:fldChar w:fldCharType="separate"/>
          </w:r>
          <w:r>
            <w:rPr>
              <w:rFonts w:hint="eastAsia" w:ascii="仿宋_GB2312" w:hAnsi="仿宋_GB2312" w:eastAsia="仿宋_GB2312" w:cs="仿宋_GB2312"/>
              <w:b/>
              <w:color w:val="auto"/>
              <w:sz w:val="24"/>
              <w:szCs w:val="24"/>
            </w:rPr>
            <w:t>8</w:t>
          </w:r>
          <w:r>
            <w:rPr>
              <w:rFonts w:hint="eastAsia" w:ascii="仿宋_GB2312" w:hAnsi="仿宋_GB2312" w:eastAsia="仿宋_GB2312" w:cs="仿宋_GB2312"/>
              <w:b/>
              <w:color w:val="auto"/>
              <w:sz w:val="24"/>
              <w:szCs w:val="24"/>
            </w:rPr>
            <w:fldChar w:fldCharType="end"/>
          </w:r>
          <w:r>
            <w:rPr>
              <w:rFonts w:hint="eastAsia" w:ascii="仿宋_GB2312" w:hAnsi="仿宋_GB2312" w:eastAsia="仿宋_GB2312" w:cs="仿宋_GB2312"/>
              <w:b/>
              <w:bCs/>
              <w:color w:val="auto"/>
              <w:sz w:val="24"/>
              <w:szCs w:val="24"/>
            </w:rPr>
            <w:fldChar w:fldCharType="end"/>
          </w:r>
        </w:p>
        <w:p>
          <w:pPr>
            <w:pStyle w:val="4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Cs/>
              <w:color w:val="auto"/>
              <w:sz w:val="24"/>
              <w:szCs w:val="24"/>
            </w:rPr>
            <w:fldChar w:fldCharType="begin"/>
          </w:r>
          <w:r>
            <w:rPr>
              <w:rFonts w:hint="eastAsia" w:ascii="仿宋_GB2312" w:hAnsi="仿宋_GB2312" w:eastAsia="仿宋_GB2312" w:cs="仿宋_GB2312"/>
              <w:bCs/>
              <w:color w:val="auto"/>
              <w:sz w:val="24"/>
              <w:szCs w:val="24"/>
            </w:rPr>
            <w:instrText xml:space="preserve"> HYPERLINK \l _Toc30836 </w:instrText>
          </w:r>
          <w:r>
            <w:rPr>
              <w:rFonts w:hint="eastAsia" w:ascii="仿宋_GB2312" w:hAnsi="仿宋_GB2312" w:eastAsia="仿宋_GB2312" w:cs="仿宋_GB2312"/>
              <w:bCs/>
              <w:color w:val="auto"/>
              <w:sz w:val="24"/>
              <w:szCs w:val="24"/>
            </w:rPr>
            <w:fldChar w:fldCharType="separate"/>
          </w:r>
          <w:r>
            <w:rPr>
              <w:rFonts w:hint="eastAsia" w:ascii="仿宋_GB2312" w:hAnsi="仿宋_GB2312" w:eastAsia="仿宋_GB2312" w:cs="仿宋_GB2312"/>
              <w:bCs/>
              <w:color w:val="auto"/>
              <w:sz w:val="24"/>
              <w:szCs w:val="24"/>
            </w:rPr>
            <w:t>（一）项目决策情况</w:t>
          </w:r>
          <w:r>
            <w:rPr>
              <w:rFonts w:hint="eastAsia" w:ascii="仿宋_GB2312" w:hAnsi="仿宋_GB2312" w:eastAsia="仿宋_GB2312" w:cs="仿宋_GB2312"/>
              <w:color w:val="auto"/>
              <w:sz w:val="24"/>
              <w:szCs w:val="24"/>
            </w:rPr>
            <w:tab/>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PAGEREF _Toc30836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sz w:val="24"/>
              <w:szCs w:val="24"/>
            </w:rPr>
            <w:t>8</w:t>
          </w:r>
          <w:r>
            <w:rPr>
              <w:rFonts w:hint="eastAsia" w:ascii="仿宋_GB2312" w:hAnsi="仿宋_GB2312" w:eastAsia="仿宋_GB2312" w:cs="仿宋_GB2312"/>
              <w:color w:val="auto"/>
              <w:sz w:val="24"/>
              <w:szCs w:val="24"/>
            </w:rPr>
            <w:fldChar w:fldCharType="end"/>
          </w:r>
          <w:r>
            <w:rPr>
              <w:rFonts w:hint="eastAsia" w:ascii="仿宋_GB2312" w:hAnsi="仿宋_GB2312" w:eastAsia="仿宋_GB2312" w:cs="仿宋_GB2312"/>
              <w:bCs/>
              <w:color w:val="auto"/>
              <w:sz w:val="24"/>
              <w:szCs w:val="24"/>
            </w:rPr>
            <w:fldChar w:fldCharType="end"/>
          </w:r>
        </w:p>
        <w:p>
          <w:pPr>
            <w:pStyle w:val="4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Cs/>
              <w:color w:val="auto"/>
              <w:sz w:val="24"/>
              <w:szCs w:val="24"/>
            </w:rPr>
            <w:fldChar w:fldCharType="begin"/>
          </w:r>
          <w:r>
            <w:rPr>
              <w:rFonts w:hint="eastAsia" w:ascii="仿宋_GB2312" w:hAnsi="仿宋_GB2312" w:eastAsia="仿宋_GB2312" w:cs="仿宋_GB2312"/>
              <w:bCs/>
              <w:color w:val="auto"/>
              <w:sz w:val="24"/>
              <w:szCs w:val="24"/>
            </w:rPr>
            <w:instrText xml:space="preserve"> HYPERLINK \l _Toc29911 </w:instrText>
          </w:r>
          <w:r>
            <w:rPr>
              <w:rFonts w:hint="eastAsia" w:ascii="仿宋_GB2312" w:hAnsi="仿宋_GB2312" w:eastAsia="仿宋_GB2312" w:cs="仿宋_GB2312"/>
              <w:bCs/>
              <w:color w:val="auto"/>
              <w:sz w:val="24"/>
              <w:szCs w:val="24"/>
            </w:rPr>
            <w:fldChar w:fldCharType="separate"/>
          </w:r>
          <w:r>
            <w:rPr>
              <w:rFonts w:hint="eastAsia" w:ascii="仿宋_GB2312" w:hAnsi="仿宋_GB2312" w:eastAsia="仿宋_GB2312" w:cs="仿宋_GB2312"/>
              <w:bCs/>
              <w:color w:val="auto"/>
              <w:sz w:val="24"/>
              <w:szCs w:val="24"/>
            </w:rPr>
            <w:t>（二）项目过程情况</w:t>
          </w:r>
          <w:r>
            <w:rPr>
              <w:rFonts w:hint="eastAsia" w:ascii="仿宋_GB2312" w:hAnsi="仿宋_GB2312" w:eastAsia="仿宋_GB2312" w:cs="仿宋_GB2312"/>
              <w:color w:val="auto"/>
              <w:sz w:val="24"/>
              <w:szCs w:val="24"/>
            </w:rPr>
            <w:tab/>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PAGEREF _Toc29911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sz w:val="24"/>
              <w:szCs w:val="24"/>
            </w:rPr>
            <w:t>8</w:t>
          </w:r>
          <w:r>
            <w:rPr>
              <w:rFonts w:hint="eastAsia" w:ascii="仿宋_GB2312" w:hAnsi="仿宋_GB2312" w:eastAsia="仿宋_GB2312" w:cs="仿宋_GB2312"/>
              <w:color w:val="auto"/>
              <w:sz w:val="24"/>
              <w:szCs w:val="24"/>
            </w:rPr>
            <w:fldChar w:fldCharType="end"/>
          </w:r>
          <w:r>
            <w:rPr>
              <w:rFonts w:hint="eastAsia" w:ascii="仿宋_GB2312" w:hAnsi="仿宋_GB2312" w:eastAsia="仿宋_GB2312" w:cs="仿宋_GB2312"/>
              <w:bCs/>
              <w:color w:val="auto"/>
              <w:sz w:val="24"/>
              <w:szCs w:val="24"/>
            </w:rPr>
            <w:fldChar w:fldCharType="end"/>
          </w:r>
        </w:p>
        <w:p>
          <w:pPr>
            <w:pStyle w:val="4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Cs/>
              <w:color w:val="auto"/>
              <w:sz w:val="24"/>
              <w:szCs w:val="24"/>
            </w:rPr>
            <w:fldChar w:fldCharType="begin"/>
          </w:r>
          <w:r>
            <w:rPr>
              <w:rFonts w:hint="eastAsia" w:ascii="仿宋_GB2312" w:hAnsi="仿宋_GB2312" w:eastAsia="仿宋_GB2312" w:cs="仿宋_GB2312"/>
              <w:bCs/>
              <w:color w:val="auto"/>
              <w:sz w:val="24"/>
              <w:szCs w:val="24"/>
            </w:rPr>
            <w:instrText xml:space="preserve"> HYPERLINK \l _Toc32086 </w:instrText>
          </w:r>
          <w:r>
            <w:rPr>
              <w:rFonts w:hint="eastAsia" w:ascii="仿宋_GB2312" w:hAnsi="仿宋_GB2312" w:eastAsia="仿宋_GB2312" w:cs="仿宋_GB2312"/>
              <w:bCs/>
              <w:color w:val="auto"/>
              <w:sz w:val="24"/>
              <w:szCs w:val="24"/>
            </w:rPr>
            <w:fldChar w:fldCharType="separate"/>
          </w:r>
          <w:r>
            <w:rPr>
              <w:rFonts w:hint="eastAsia" w:ascii="仿宋_GB2312" w:hAnsi="仿宋_GB2312" w:eastAsia="仿宋_GB2312" w:cs="仿宋_GB2312"/>
              <w:bCs/>
              <w:color w:val="auto"/>
              <w:sz w:val="24"/>
              <w:szCs w:val="24"/>
            </w:rPr>
            <w:t>（三）项目产出情况</w:t>
          </w:r>
          <w:r>
            <w:rPr>
              <w:rFonts w:hint="eastAsia" w:ascii="仿宋_GB2312" w:hAnsi="仿宋_GB2312" w:eastAsia="仿宋_GB2312" w:cs="仿宋_GB2312"/>
              <w:color w:val="auto"/>
              <w:sz w:val="24"/>
              <w:szCs w:val="24"/>
            </w:rPr>
            <w:tab/>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PAGEREF _Toc32086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sz w:val="24"/>
              <w:szCs w:val="24"/>
            </w:rPr>
            <w:t>9</w:t>
          </w:r>
          <w:r>
            <w:rPr>
              <w:rFonts w:hint="eastAsia" w:ascii="仿宋_GB2312" w:hAnsi="仿宋_GB2312" w:eastAsia="仿宋_GB2312" w:cs="仿宋_GB2312"/>
              <w:color w:val="auto"/>
              <w:sz w:val="24"/>
              <w:szCs w:val="24"/>
            </w:rPr>
            <w:fldChar w:fldCharType="end"/>
          </w:r>
          <w:r>
            <w:rPr>
              <w:rFonts w:hint="eastAsia" w:ascii="仿宋_GB2312" w:hAnsi="仿宋_GB2312" w:eastAsia="仿宋_GB2312" w:cs="仿宋_GB2312"/>
              <w:bCs/>
              <w:color w:val="auto"/>
              <w:sz w:val="24"/>
              <w:szCs w:val="24"/>
            </w:rPr>
            <w:fldChar w:fldCharType="end"/>
          </w:r>
        </w:p>
        <w:p>
          <w:pPr>
            <w:pStyle w:val="4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Cs/>
              <w:color w:val="auto"/>
              <w:sz w:val="24"/>
              <w:szCs w:val="24"/>
            </w:rPr>
            <w:fldChar w:fldCharType="begin"/>
          </w:r>
          <w:r>
            <w:rPr>
              <w:rFonts w:hint="eastAsia" w:ascii="仿宋_GB2312" w:hAnsi="仿宋_GB2312" w:eastAsia="仿宋_GB2312" w:cs="仿宋_GB2312"/>
              <w:bCs/>
              <w:color w:val="auto"/>
              <w:sz w:val="24"/>
              <w:szCs w:val="24"/>
            </w:rPr>
            <w:instrText xml:space="preserve"> HYPERLINK \l _Toc14161 </w:instrText>
          </w:r>
          <w:r>
            <w:rPr>
              <w:rFonts w:hint="eastAsia" w:ascii="仿宋_GB2312" w:hAnsi="仿宋_GB2312" w:eastAsia="仿宋_GB2312" w:cs="仿宋_GB2312"/>
              <w:bCs/>
              <w:color w:val="auto"/>
              <w:sz w:val="24"/>
              <w:szCs w:val="24"/>
            </w:rPr>
            <w:fldChar w:fldCharType="separate"/>
          </w:r>
          <w:r>
            <w:rPr>
              <w:rFonts w:hint="eastAsia" w:ascii="仿宋_GB2312" w:hAnsi="仿宋_GB2312" w:eastAsia="仿宋_GB2312" w:cs="仿宋_GB2312"/>
              <w:bCs/>
              <w:color w:val="auto"/>
              <w:sz w:val="24"/>
              <w:szCs w:val="24"/>
            </w:rPr>
            <w:t>（四）项目效益情况</w:t>
          </w:r>
          <w:r>
            <w:rPr>
              <w:rFonts w:hint="eastAsia" w:ascii="仿宋_GB2312" w:hAnsi="仿宋_GB2312" w:eastAsia="仿宋_GB2312" w:cs="仿宋_GB2312"/>
              <w:color w:val="auto"/>
              <w:sz w:val="24"/>
              <w:szCs w:val="24"/>
            </w:rPr>
            <w:tab/>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PAGEREF _Toc14161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sz w:val="24"/>
              <w:szCs w:val="24"/>
            </w:rPr>
            <w:t>10</w:t>
          </w:r>
          <w:r>
            <w:rPr>
              <w:rFonts w:hint="eastAsia" w:ascii="仿宋_GB2312" w:hAnsi="仿宋_GB2312" w:eastAsia="仿宋_GB2312" w:cs="仿宋_GB2312"/>
              <w:color w:val="auto"/>
              <w:sz w:val="24"/>
              <w:szCs w:val="24"/>
            </w:rPr>
            <w:fldChar w:fldCharType="end"/>
          </w:r>
          <w:r>
            <w:rPr>
              <w:rFonts w:hint="eastAsia" w:ascii="仿宋_GB2312" w:hAnsi="仿宋_GB2312" w:eastAsia="仿宋_GB2312" w:cs="仿宋_GB2312"/>
              <w:bCs/>
              <w:color w:val="auto"/>
              <w:sz w:val="24"/>
              <w:szCs w:val="24"/>
            </w:rPr>
            <w:fldChar w:fldCharType="end"/>
          </w:r>
        </w:p>
        <w:p>
          <w:pPr>
            <w:pStyle w:val="46"/>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color w:val="auto"/>
              <w:sz w:val="24"/>
              <w:szCs w:val="24"/>
            </w:rPr>
          </w:pPr>
          <w:r>
            <w:rPr>
              <w:rFonts w:hint="eastAsia" w:ascii="仿宋_GB2312" w:hAnsi="仿宋_GB2312" w:eastAsia="仿宋_GB2312" w:cs="仿宋_GB2312"/>
              <w:b/>
              <w:bCs/>
              <w:color w:val="auto"/>
              <w:sz w:val="24"/>
              <w:szCs w:val="24"/>
            </w:rPr>
            <w:fldChar w:fldCharType="begin"/>
          </w:r>
          <w:r>
            <w:rPr>
              <w:rFonts w:hint="eastAsia" w:ascii="仿宋_GB2312" w:hAnsi="仿宋_GB2312" w:eastAsia="仿宋_GB2312" w:cs="仿宋_GB2312"/>
              <w:b/>
              <w:bCs/>
              <w:color w:val="auto"/>
              <w:sz w:val="24"/>
              <w:szCs w:val="24"/>
            </w:rPr>
            <w:instrText xml:space="preserve"> HYPERLINK \l _Toc27052 </w:instrText>
          </w:r>
          <w:r>
            <w:rPr>
              <w:rFonts w:hint="eastAsia" w:ascii="仿宋_GB2312" w:hAnsi="仿宋_GB2312" w:eastAsia="仿宋_GB2312" w:cs="仿宋_GB2312"/>
              <w:b/>
              <w:bCs/>
              <w:color w:val="auto"/>
              <w:sz w:val="24"/>
              <w:szCs w:val="24"/>
            </w:rPr>
            <w:fldChar w:fldCharType="separate"/>
          </w:r>
          <w:r>
            <w:rPr>
              <w:rFonts w:hint="eastAsia" w:ascii="仿宋_GB2312" w:hAnsi="仿宋_GB2312" w:eastAsia="仿宋_GB2312" w:cs="仿宋_GB2312"/>
              <w:b/>
              <w:color w:val="auto"/>
              <w:sz w:val="24"/>
              <w:szCs w:val="24"/>
            </w:rPr>
            <w:t>五、主要成效和做法</w:t>
          </w:r>
          <w:r>
            <w:rPr>
              <w:rFonts w:hint="eastAsia" w:ascii="仿宋_GB2312" w:hAnsi="仿宋_GB2312" w:eastAsia="仿宋_GB2312" w:cs="仿宋_GB2312"/>
              <w:b/>
              <w:color w:val="auto"/>
              <w:sz w:val="24"/>
              <w:szCs w:val="24"/>
            </w:rPr>
            <w:tab/>
          </w:r>
          <w:r>
            <w:rPr>
              <w:rFonts w:hint="eastAsia" w:ascii="仿宋_GB2312" w:hAnsi="仿宋_GB2312" w:eastAsia="仿宋_GB2312" w:cs="仿宋_GB2312"/>
              <w:b/>
              <w:color w:val="auto"/>
              <w:sz w:val="24"/>
              <w:szCs w:val="24"/>
            </w:rPr>
            <w:fldChar w:fldCharType="begin"/>
          </w:r>
          <w:r>
            <w:rPr>
              <w:rFonts w:hint="eastAsia" w:ascii="仿宋_GB2312" w:hAnsi="仿宋_GB2312" w:eastAsia="仿宋_GB2312" w:cs="仿宋_GB2312"/>
              <w:b/>
              <w:color w:val="auto"/>
              <w:sz w:val="24"/>
              <w:szCs w:val="24"/>
            </w:rPr>
            <w:instrText xml:space="preserve"> PAGEREF _Toc27052 \h </w:instrText>
          </w:r>
          <w:r>
            <w:rPr>
              <w:rFonts w:hint="eastAsia" w:ascii="仿宋_GB2312" w:hAnsi="仿宋_GB2312" w:eastAsia="仿宋_GB2312" w:cs="仿宋_GB2312"/>
              <w:b/>
              <w:color w:val="auto"/>
              <w:sz w:val="24"/>
              <w:szCs w:val="24"/>
            </w:rPr>
            <w:fldChar w:fldCharType="separate"/>
          </w:r>
          <w:r>
            <w:rPr>
              <w:rFonts w:hint="eastAsia" w:ascii="仿宋_GB2312" w:hAnsi="仿宋_GB2312" w:eastAsia="仿宋_GB2312" w:cs="仿宋_GB2312"/>
              <w:b/>
              <w:color w:val="auto"/>
              <w:sz w:val="24"/>
              <w:szCs w:val="24"/>
            </w:rPr>
            <w:t>11</w:t>
          </w:r>
          <w:r>
            <w:rPr>
              <w:rFonts w:hint="eastAsia" w:ascii="仿宋_GB2312" w:hAnsi="仿宋_GB2312" w:eastAsia="仿宋_GB2312" w:cs="仿宋_GB2312"/>
              <w:b/>
              <w:color w:val="auto"/>
              <w:sz w:val="24"/>
              <w:szCs w:val="24"/>
            </w:rPr>
            <w:fldChar w:fldCharType="end"/>
          </w:r>
          <w:r>
            <w:rPr>
              <w:rFonts w:hint="eastAsia" w:ascii="仿宋_GB2312" w:hAnsi="仿宋_GB2312" w:eastAsia="仿宋_GB2312" w:cs="仿宋_GB2312"/>
              <w:b/>
              <w:bCs/>
              <w:color w:val="auto"/>
              <w:sz w:val="24"/>
              <w:szCs w:val="24"/>
            </w:rPr>
            <w:fldChar w:fldCharType="end"/>
          </w:r>
        </w:p>
        <w:p>
          <w:pPr>
            <w:pStyle w:val="46"/>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fldChar w:fldCharType="begin"/>
          </w:r>
          <w:r>
            <w:rPr>
              <w:rFonts w:hint="eastAsia" w:ascii="仿宋_GB2312" w:hAnsi="仿宋_GB2312" w:eastAsia="仿宋_GB2312" w:cs="仿宋_GB2312"/>
              <w:b/>
              <w:bCs/>
              <w:color w:val="auto"/>
              <w:sz w:val="24"/>
              <w:szCs w:val="24"/>
            </w:rPr>
            <w:instrText xml:space="preserve"> HYPERLINK \l _Toc25001 </w:instrText>
          </w:r>
          <w:r>
            <w:rPr>
              <w:rFonts w:hint="eastAsia" w:ascii="仿宋_GB2312" w:hAnsi="仿宋_GB2312" w:eastAsia="仿宋_GB2312" w:cs="仿宋_GB2312"/>
              <w:b/>
              <w:bCs/>
              <w:color w:val="auto"/>
              <w:sz w:val="24"/>
              <w:szCs w:val="24"/>
            </w:rPr>
            <w:fldChar w:fldCharType="separate"/>
          </w:r>
          <w:r>
            <w:rPr>
              <w:rFonts w:hint="eastAsia" w:ascii="仿宋_GB2312" w:hAnsi="仿宋_GB2312" w:eastAsia="仿宋_GB2312" w:cs="仿宋_GB2312"/>
              <w:b/>
              <w:color w:val="auto"/>
              <w:sz w:val="24"/>
              <w:szCs w:val="24"/>
            </w:rPr>
            <w:t>六、存在的问题及原因分析</w:t>
          </w:r>
          <w:r>
            <w:rPr>
              <w:rFonts w:hint="eastAsia" w:ascii="仿宋_GB2312" w:hAnsi="仿宋_GB2312" w:eastAsia="仿宋_GB2312" w:cs="仿宋_GB2312"/>
              <w:b/>
              <w:color w:val="auto"/>
              <w:sz w:val="24"/>
              <w:szCs w:val="24"/>
            </w:rPr>
            <w:tab/>
          </w:r>
          <w:r>
            <w:rPr>
              <w:rFonts w:hint="eastAsia" w:ascii="仿宋_GB2312" w:hAnsi="仿宋_GB2312" w:eastAsia="仿宋_GB2312" w:cs="仿宋_GB2312"/>
              <w:b/>
              <w:color w:val="auto"/>
              <w:sz w:val="24"/>
              <w:szCs w:val="24"/>
            </w:rPr>
            <w:fldChar w:fldCharType="begin"/>
          </w:r>
          <w:r>
            <w:rPr>
              <w:rFonts w:hint="eastAsia" w:ascii="仿宋_GB2312" w:hAnsi="仿宋_GB2312" w:eastAsia="仿宋_GB2312" w:cs="仿宋_GB2312"/>
              <w:b/>
              <w:color w:val="auto"/>
              <w:sz w:val="24"/>
              <w:szCs w:val="24"/>
            </w:rPr>
            <w:instrText xml:space="preserve"> PAGEREF _Toc25001 \h </w:instrText>
          </w:r>
          <w:r>
            <w:rPr>
              <w:rFonts w:hint="eastAsia" w:ascii="仿宋_GB2312" w:hAnsi="仿宋_GB2312" w:eastAsia="仿宋_GB2312" w:cs="仿宋_GB2312"/>
              <w:b/>
              <w:color w:val="auto"/>
              <w:sz w:val="24"/>
              <w:szCs w:val="24"/>
            </w:rPr>
            <w:fldChar w:fldCharType="separate"/>
          </w:r>
          <w:r>
            <w:rPr>
              <w:rFonts w:hint="eastAsia" w:ascii="仿宋_GB2312" w:hAnsi="仿宋_GB2312" w:eastAsia="仿宋_GB2312" w:cs="仿宋_GB2312"/>
              <w:b/>
              <w:color w:val="auto"/>
              <w:sz w:val="24"/>
              <w:szCs w:val="24"/>
            </w:rPr>
            <w:t>11</w:t>
          </w:r>
          <w:r>
            <w:rPr>
              <w:rFonts w:hint="eastAsia" w:ascii="仿宋_GB2312" w:hAnsi="仿宋_GB2312" w:eastAsia="仿宋_GB2312" w:cs="仿宋_GB2312"/>
              <w:b/>
              <w:color w:val="auto"/>
              <w:sz w:val="24"/>
              <w:szCs w:val="24"/>
            </w:rPr>
            <w:fldChar w:fldCharType="end"/>
          </w:r>
          <w:r>
            <w:rPr>
              <w:rFonts w:hint="eastAsia" w:ascii="仿宋_GB2312" w:hAnsi="仿宋_GB2312" w:eastAsia="仿宋_GB2312" w:cs="仿宋_GB2312"/>
              <w:b/>
              <w:bCs/>
              <w:color w:val="auto"/>
              <w:sz w:val="24"/>
              <w:szCs w:val="24"/>
            </w:rPr>
            <w:fldChar w:fldCharType="end"/>
          </w:r>
        </w:p>
        <w:p>
          <w:pPr>
            <w:pStyle w:val="46"/>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z w:val="24"/>
              <w:szCs w:val="24"/>
            </w:rPr>
            <w:fldChar w:fldCharType="begin"/>
          </w:r>
          <w:r>
            <w:rPr>
              <w:rFonts w:hint="eastAsia" w:ascii="仿宋_GB2312" w:hAnsi="仿宋_GB2312" w:eastAsia="仿宋_GB2312" w:cs="仿宋_GB2312"/>
              <w:b/>
              <w:bCs/>
              <w:color w:val="auto"/>
              <w:sz w:val="24"/>
              <w:szCs w:val="24"/>
            </w:rPr>
            <w:instrText xml:space="preserve"> HYPERLINK \l _Toc4304 </w:instrText>
          </w:r>
          <w:r>
            <w:rPr>
              <w:rFonts w:hint="eastAsia" w:ascii="仿宋_GB2312" w:hAnsi="仿宋_GB2312" w:eastAsia="仿宋_GB2312" w:cs="仿宋_GB2312"/>
              <w:b/>
              <w:bCs/>
              <w:color w:val="auto"/>
              <w:sz w:val="24"/>
              <w:szCs w:val="24"/>
            </w:rPr>
            <w:fldChar w:fldCharType="separate"/>
          </w:r>
          <w:r>
            <w:rPr>
              <w:rFonts w:hint="eastAsia" w:ascii="仿宋_GB2312" w:hAnsi="仿宋_GB2312" w:eastAsia="仿宋_GB2312" w:cs="仿宋_GB2312"/>
              <w:b/>
              <w:color w:val="auto"/>
              <w:sz w:val="24"/>
              <w:szCs w:val="24"/>
            </w:rPr>
            <w:t>七、有关建议</w:t>
          </w:r>
          <w:r>
            <w:rPr>
              <w:rFonts w:hint="eastAsia" w:ascii="仿宋_GB2312" w:hAnsi="仿宋_GB2312" w:eastAsia="仿宋_GB2312" w:cs="仿宋_GB2312"/>
              <w:b/>
              <w:color w:val="auto"/>
              <w:sz w:val="24"/>
              <w:szCs w:val="24"/>
            </w:rPr>
            <w:tab/>
          </w:r>
          <w:r>
            <w:rPr>
              <w:rFonts w:hint="eastAsia" w:ascii="仿宋_GB2312" w:hAnsi="仿宋_GB2312" w:eastAsia="仿宋_GB2312" w:cs="仿宋_GB2312"/>
              <w:b/>
              <w:color w:val="auto"/>
              <w:sz w:val="24"/>
              <w:szCs w:val="24"/>
            </w:rPr>
            <w:fldChar w:fldCharType="begin"/>
          </w:r>
          <w:r>
            <w:rPr>
              <w:rFonts w:hint="eastAsia" w:ascii="仿宋_GB2312" w:hAnsi="仿宋_GB2312" w:eastAsia="仿宋_GB2312" w:cs="仿宋_GB2312"/>
              <w:b/>
              <w:color w:val="auto"/>
              <w:sz w:val="24"/>
              <w:szCs w:val="24"/>
            </w:rPr>
            <w:instrText xml:space="preserve"> PAGEREF _Toc4304 \h </w:instrText>
          </w:r>
          <w:r>
            <w:rPr>
              <w:rFonts w:hint="eastAsia" w:ascii="仿宋_GB2312" w:hAnsi="仿宋_GB2312" w:eastAsia="仿宋_GB2312" w:cs="仿宋_GB2312"/>
              <w:b/>
              <w:color w:val="auto"/>
              <w:sz w:val="24"/>
              <w:szCs w:val="24"/>
            </w:rPr>
            <w:fldChar w:fldCharType="separate"/>
          </w:r>
          <w:r>
            <w:rPr>
              <w:rFonts w:hint="eastAsia" w:ascii="仿宋_GB2312" w:hAnsi="仿宋_GB2312" w:eastAsia="仿宋_GB2312" w:cs="仿宋_GB2312"/>
              <w:b/>
              <w:color w:val="auto"/>
              <w:sz w:val="24"/>
              <w:szCs w:val="24"/>
            </w:rPr>
            <w:t>12</w:t>
          </w:r>
          <w:r>
            <w:rPr>
              <w:rFonts w:hint="eastAsia" w:ascii="仿宋_GB2312" w:hAnsi="仿宋_GB2312" w:eastAsia="仿宋_GB2312" w:cs="仿宋_GB2312"/>
              <w:b/>
              <w:color w:val="auto"/>
              <w:sz w:val="24"/>
              <w:szCs w:val="24"/>
            </w:rPr>
            <w:fldChar w:fldCharType="end"/>
          </w:r>
          <w:r>
            <w:rPr>
              <w:rFonts w:hint="eastAsia" w:ascii="仿宋_GB2312" w:hAnsi="仿宋_GB2312" w:eastAsia="仿宋_GB2312" w:cs="仿宋_GB2312"/>
              <w:b/>
              <w:bCs/>
              <w:color w:val="auto"/>
              <w:sz w:val="24"/>
              <w:szCs w:val="24"/>
            </w:rPr>
            <w:fldChar w:fldCharType="end"/>
          </w:r>
        </w:p>
        <w:p>
          <w:pPr>
            <w:pStyle w:val="46"/>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fldChar w:fldCharType="begin"/>
          </w:r>
          <w:r>
            <w:rPr>
              <w:rFonts w:hint="eastAsia" w:ascii="仿宋_GB2312" w:hAnsi="仿宋_GB2312" w:eastAsia="仿宋_GB2312" w:cs="仿宋_GB2312"/>
              <w:b/>
              <w:bCs/>
              <w:color w:val="auto"/>
              <w:sz w:val="24"/>
              <w:szCs w:val="24"/>
            </w:rPr>
            <w:instrText xml:space="preserve"> HYPERLINK \l _Toc1648 </w:instrText>
          </w:r>
          <w:r>
            <w:rPr>
              <w:rFonts w:hint="eastAsia" w:ascii="仿宋_GB2312" w:hAnsi="仿宋_GB2312" w:eastAsia="仿宋_GB2312" w:cs="仿宋_GB2312"/>
              <w:b/>
              <w:bCs/>
              <w:color w:val="auto"/>
              <w:sz w:val="24"/>
              <w:szCs w:val="24"/>
            </w:rPr>
            <w:fldChar w:fldCharType="separate"/>
          </w:r>
          <w:r>
            <w:rPr>
              <w:rFonts w:hint="eastAsia" w:ascii="仿宋_GB2312" w:hAnsi="仿宋_GB2312" w:eastAsia="仿宋_GB2312" w:cs="仿宋_GB2312"/>
              <w:b/>
              <w:bCs/>
              <w:color w:val="auto"/>
              <w:kern w:val="2"/>
              <w:sz w:val="24"/>
              <w:szCs w:val="24"/>
            </w:rPr>
            <w:t>附件</w:t>
          </w:r>
          <w:r>
            <w:rPr>
              <w:rFonts w:hint="eastAsia" w:ascii="仿宋_GB2312" w:hAnsi="仿宋_GB2312" w:eastAsia="仿宋_GB2312" w:cs="仿宋_GB2312"/>
              <w:b/>
              <w:bCs/>
              <w:color w:val="auto"/>
              <w:kern w:val="2"/>
              <w:sz w:val="24"/>
              <w:szCs w:val="24"/>
              <w:lang w:val="en-US" w:eastAsia="zh-CN"/>
            </w:rPr>
            <w:t>1</w:t>
          </w:r>
          <w:r>
            <w:rPr>
              <w:rFonts w:hint="eastAsia" w:ascii="仿宋_GB2312" w:hAnsi="仿宋_GB2312" w:eastAsia="仿宋_GB2312" w:cs="仿宋_GB2312"/>
              <w:b/>
              <w:bCs/>
              <w:color w:val="auto"/>
              <w:kern w:val="2"/>
              <w:sz w:val="24"/>
              <w:szCs w:val="24"/>
            </w:rPr>
            <w:t>：202</w:t>
          </w:r>
          <w:r>
            <w:rPr>
              <w:rFonts w:hint="eastAsia" w:ascii="仿宋_GB2312" w:hAnsi="仿宋_GB2312" w:eastAsia="仿宋_GB2312" w:cs="仿宋_GB2312"/>
              <w:b/>
              <w:bCs/>
              <w:color w:val="auto"/>
              <w:kern w:val="2"/>
              <w:sz w:val="24"/>
              <w:szCs w:val="24"/>
              <w:lang w:val="en-US" w:eastAsia="zh-CN"/>
            </w:rPr>
            <w:t>1</w:t>
          </w:r>
          <w:r>
            <w:rPr>
              <w:rFonts w:hint="eastAsia" w:ascii="仿宋_GB2312" w:hAnsi="仿宋_GB2312" w:eastAsia="仿宋_GB2312" w:cs="仿宋_GB2312"/>
              <w:b/>
              <w:bCs/>
              <w:color w:val="auto"/>
              <w:kern w:val="2"/>
              <w:sz w:val="24"/>
              <w:szCs w:val="24"/>
            </w:rPr>
            <w:t>年</w:t>
          </w:r>
          <w:r>
            <w:rPr>
              <w:rFonts w:hint="eastAsia" w:ascii="仿宋_GB2312" w:hAnsi="仿宋_GB2312" w:eastAsia="仿宋_GB2312" w:cs="仿宋_GB2312"/>
              <w:b/>
              <w:bCs/>
              <w:color w:val="auto"/>
              <w:kern w:val="2"/>
              <w:sz w:val="24"/>
              <w:szCs w:val="24"/>
              <w:lang w:eastAsia="zh-CN"/>
            </w:rPr>
            <w:t>安阳县自然资源局创建森林城市绿化建设京港澳高速城区段绿化项目（一园）</w:t>
          </w:r>
          <w:r>
            <w:rPr>
              <w:rFonts w:hint="eastAsia" w:ascii="仿宋_GB2312" w:hAnsi="仿宋_GB2312" w:eastAsia="仿宋_GB2312" w:cs="仿宋_GB2312"/>
              <w:b/>
              <w:bCs/>
              <w:color w:val="auto"/>
              <w:kern w:val="2"/>
              <w:sz w:val="24"/>
              <w:szCs w:val="24"/>
            </w:rPr>
            <w:t>绩效评价</w:t>
          </w:r>
          <w:r>
            <w:rPr>
              <w:rFonts w:hint="eastAsia" w:ascii="仿宋_GB2312" w:hAnsi="仿宋_GB2312" w:eastAsia="仿宋_GB2312" w:cs="仿宋_GB2312"/>
              <w:b/>
              <w:bCs/>
              <w:color w:val="auto"/>
              <w:kern w:val="2"/>
              <w:sz w:val="24"/>
              <w:szCs w:val="24"/>
              <w:lang w:eastAsia="zh-CN"/>
            </w:rPr>
            <w:t>评分表</w:t>
          </w:r>
          <w:r>
            <w:rPr>
              <w:rFonts w:hint="eastAsia" w:ascii="仿宋_GB2312" w:hAnsi="仿宋_GB2312" w:eastAsia="仿宋_GB2312" w:cs="仿宋_GB2312"/>
              <w:b/>
              <w:bCs/>
              <w:color w:val="auto"/>
              <w:sz w:val="24"/>
              <w:szCs w:val="24"/>
              <w:lang w:val="en-US" w:eastAsia="zh-CN"/>
            </w:rPr>
            <w:t>....</w:t>
          </w:r>
          <w:r>
            <w:rPr>
              <w:rFonts w:hint="eastAsia" w:ascii="仿宋_GB2312" w:hAnsi="仿宋_GB2312" w:eastAsia="仿宋_GB2312" w:cs="仿宋_GB2312"/>
              <w:b/>
              <w:color w:val="auto"/>
              <w:sz w:val="24"/>
              <w:szCs w:val="24"/>
            </w:rPr>
            <w:tab/>
          </w:r>
          <w:r>
            <w:rPr>
              <w:rFonts w:hint="eastAsia" w:ascii="仿宋_GB2312" w:hAnsi="仿宋_GB2312" w:eastAsia="仿宋_GB2312" w:cs="仿宋_GB2312"/>
              <w:b/>
              <w:color w:val="auto"/>
              <w:sz w:val="24"/>
              <w:szCs w:val="24"/>
              <w:lang w:val="en-US" w:eastAsia="zh-CN"/>
            </w:rPr>
            <w:t>14</w:t>
          </w:r>
          <w:r>
            <w:rPr>
              <w:rFonts w:hint="eastAsia" w:ascii="仿宋_GB2312" w:hAnsi="仿宋_GB2312" w:eastAsia="仿宋_GB2312" w:cs="仿宋_GB2312"/>
              <w:b/>
              <w:bCs/>
              <w:color w:val="auto"/>
              <w:sz w:val="24"/>
              <w:szCs w:val="24"/>
            </w:rPr>
            <w:fldChar w:fldCharType="end"/>
          </w:r>
        </w:p>
        <w:p>
          <w:pPr>
            <w:pStyle w:val="46"/>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附件2：2021年安阳县自然资源局创建森林城市绿化建设京港澳高速城区段绿化项目（</w:t>
          </w:r>
          <w:r>
            <w:rPr>
              <w:rFonts w:hint="eastAsia" w:ascii="仿宋_GB2312" w:hAnsi="仿宋_GB2312" w:eastAsia="仿宋_GB2312" w:cs="仿宋_GB2312"/>
              <w:b/>
              <w:bCs/>
              <w:color w:val="auto"/>
              <w:kern w:val="2"/>
              <w:sz w:val="24"/>
              <w:szCs w:val="24"/>
              <w:lang w:val="en-US" w:eastAsia="zh-CN"/>
            </w:rPr>
            <w:t>一园）工作底稿</w:t>
          </w:r>
          <w:r>
            <w:rPr>
              <w:rFonts w:hint="eastAsia" w:ascii="仿宋_GB2312" w:hAnsi="仿宋_GB2312" w:eastAsia="仿宋_GB2312" w:cs="仿宋_GB2312"/>
              <w:b/>
              <w:bCs/>
              <w:color w:val="auto"/>
              <w:sz w:val="24"/>
              <w:szCs w:val="24"/>
              <w:lang w:val="en-US" w:eastAsia="zh-CN"/>
            </w:rPr>
            <w:t>.............................................25</w:t>
          </w:r>
        </w:p>
        <w:p>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color w:val="auto"/>
              <w:sz w:val="36"/>
              <w:szCs w:val="36"/>
              <w:lang w:val="en-US" w:eastAsia="zh-CN"/>
            </w:rPr>
            <w:sectPr>
              <w:footerReference r:id="rId7" w:type="default"/>
              <w:pgSz w:w="11906" w:h="16838"/>
              <w:pgMar w:top="1440" w:right="1797" w:bottom="1440" w:left="1797" w:header="851" w:footer="992" w:gutter="0"/>
              <w:pgBorders>
                <w:top w:val="none" w:sz="0" w:space="0"/>
                <w:left w:val="none" w:sz="0" w:space="0"/>
                <w:bottom w:val="none" w:sz="0" w:space="0"/>
                <w:right w:val="none" w:sz="0" w:space="0"/>
              </w:pgBorders>
              <w:pgNumType w:start="1"/>
              <w:cols w:space="425" w:num="1"/>
              <w:docGrid w:type="lines" w:linePitch="326" w:charSpace="0"/>
            </w:sectPr>
          </w:pPr>
          <w:r>
            <w:rPr>
              <w:rFonts w:hint="eastAsia" w:ascii="仿宋_GB2312" w:hAnsi="仿宋_GB2312" w:eastAsia="仿宋_GB2312" w:cs="仿宋_GB2312"/>
              <w:b/>
              <w:bCs/>
              <w:color w:val="auto"/>
              <w:sz w:val="24"/>
              <w:szCs w:val="36"/>
            </w:rPr>
            <w:fldChar w:fldCharType="end"/>
          </w:r>
          <w:bookmarkStart w:id="1" w:name="_Toc26092"/>
          <w:bookmarkStart w:id="2" w:name="_Toc74939773"/>
        </w:p>
      </w:sdtContent>
    </w:sdt>
    <w:p>
      <w:pPr>
        <w:widowControl w:val="0"/>
        <w:spacing w:line="560" w:lineRule="exact"/>
        <w:jc w:val="center"/>
        <w:outlineLvl w:val="0"/>
        <w:rPr>
          <w:rFonts w:hint="eastAsia" w:ascii="仿宋_GB2312" w:hAnsi="仿宋_GB2312" w:eastAsia="仿宋_GB2312" w:cs="仿宋_GB2312"/>
          <w:b/>
          <w:bCs/>
          <w:color w:val="auto"/>
          <w:sz w:val="36"/>
          <w:szCs w:val="36"/>
        </w:rPr>
      </w:pPr>
      <w:r>
        <w:rPr>
          <w:rFonts w:hint="eastAsia" w:ascii="仿宋_GB2312" w:hAnsi="仿宋_GB2312" w:eastAsia="仿宋_GB2312" w:cs="仿宋_GB2312"/>
          <w:b/>
          <w:bCs/>
          <w:color w:val="auto"/>
          <w:sz w:val="36"/>
          <w:szCs w:val="36"/>
          <w:lang w:eastAsia="zh-CN"/>
        </w:rPr>
        <w:t>安阳县自然资源局创建森林城市绿化建设京港澳高速城区段绿化项目（一园）</w:t>
      </w:r>
      <w:r>
        <w:rPr>
          <w:rFonts w:hint="eastAsia" w:ascii="仿宋_GB2312" w:hAnsi="仿宋_GB2312" w:eastAsia="仿宋_GB2312" w:cs="仿宋_GB2312"/>
          <w:b/>
          <w:bCs/>
          <w:color w:val="auto"/>
          <w:sz w:val="36"/>
          <w:szCs w:val="36"/>
        </w:rPr>
        <w:t>资金</w:t>
      </w:r>
    </w:p>
    <w:p>
      <w:pPr>
        <w:widowControl w:val="0"/>
        <w:tabs>
          <w:tab w:val="center" w:pos="4216"/>
          <w:tab w:val="left" w:pos="6670"/>
        </w:tabs>
        <w:spacing w:line="560" w:lineRule="exact"/>
        <w:jc w:val="left"/>
        <w:outlineLvl w:val="0"/>
        <w:rPr>
          <w:rFonts w:hint="eastAsia" w:ascii="仿宋_GB2312" w:hAnsi="仿宋_GB2312" w:eastAsia="仿宋_GB2312" w:cs="仿宋_GB2312"/>
          <w:b/>
          <w:bCs/>
          <w:color w:val="auto"/>
          <w:sz w:val="36"/>
          <w:szCs w:val="36"/>
          <w:lang w:eastAsia="zh-CN"/>
        </w:rPr>
      </w:pPr>
      <w:r>
        <w:rPr>
          <w:rFonts w:hint="eastAsia" w:ascii="仿宋_GB2312" w:hAnsi="仿宋_GB2312" w:eastAsia="仿宋_GB2312" w:cs="仿宋_GB2312"/>
          <w:b/>
          <w:bCs/>
          <w:color w:val="auto"/>
          <w:sz w:val="36"/>
          <w:szCs w:val="36"/>
          <w:lang w:eastAsia="zh-CN"/>
        </w:rPr>
        <w:tab/>
      </w:r>
      <w:r>
        <w:rPr>
          <w:rFonts w:hint="eastAsia" w:ascii="仿宋_GB2312" w:hAnsi="仿宋_GB2312" w:eastAsia="仿宋_GB2312" w:cs="仿宋_GB2312"/>
          <w:b/>
          <w:bCs/>
          <w:color w:val="auto"/>
          <w:sz w:val="36"/>
          <w:szCs w:val="36"/>
        </w:rPr>
        <w:t>绩效评价报告</w:t>
      </w:r>
      <w:bookmarkEnd w:id="1"/>
      <w:r>
        <w:rPr>
          <w:rFonts w:hint="eastAsia" w:ascii="仿宋_GB2312" w:hAnsi="仿宋_GB2312" w:eastAsia="仿宋_GB2312" w:cs="仿宋_GB2312"/>
          <w:b/>
          <w:bCs/>
          <w:color w:val="auto"/>
          <w:sz w:val="36"/>
          <w:szCs w:val="36"/>
          <w:lang w:eastAsia="zh-CN"/>
        </w:rPr>
        <w:tab/>
      </w:r>
    </w:p>
    <w:p>
      <w:pPr>
        <w:jc w:val="right"/>
        <w:rPr>
          <w:rFonts w:hint="default" w:eastAsia="仿宋_GB2312"/>
          <w:lang w:val="en-US" w:eastAsia="zh-CN"/>
        </w:rPr>
      </w:pPr>
      <w:r>
        <w:rPr>
          <w:rFonts w:hint="eastAsia" w:ascii="仿宋_GB2312" w:hAnsi="仿宋_GB2312" w:eastAsia="仿宋_GB2312" w:cs="仿宋_GB2312"/>
          <w:b/>
          <w:bCs/>
          <w:color w:val="auto"/>
          <w:sz w:val="36"/>
          <w:szCs w:val="36"/>
          <w:lang w:val="en-US" w:eastAsia="zh-CN"/>
        </w:rPr>
        <w:t xml:space="preserve">                  </w:t>
      </w:r>
      <w:r>
        <w:rPr>
          <w:rFonts w:hint="eastAsia" w:ascii="仿宋_GB2312" w:hAnsi="仿宋_GB2312" w:eastAsia="仿宋_GB2312" w:cs="仿宋_GB2312"/>
          <w:b/>
          <w:bCs/>
          <w:color w:val="auto"/>
          <w:sz w:val="36"/>
          <w:szCs w:val="36"/>
          <w:highlight w:val="none"/>
          <w:lang w:val="en-US" w:eastAsia="zh-CN"/>
        </w:rPr>
        <w:t xml:space="preserve">       </w:t>
      </w:r>
      <w:r>
        <w:rPr>
          <w:rFonts w:hint="eastAsia" w:ascii="仿宋_GB2312" w:hAnsi="仿宋_GB2312" w:eastAsia="仿宋_GB2312" w:cs="仿宋_GB2312"/>
          <w:b w:val="0"/>
          <w:bCs w:val="0"/>
          <w:sz w:val="32"/>
          <w:szCs w:val="32"/>
          <w:highlight w:val="none"/>
          <w:lang w:eastAsia="zh-CN"/>
        </w:rPr>
        <w:t>昌盛绩报字【</w:t>
      </w:r>
      <w:r>
        <w:rPr>
          <w:rFonts w:hint="eastAsia" w:ascii="仿宋_GB2312" w:hAnsi="仿宋_GB2312" w:eastAsia="仿宋_GB2312" w:cs="仿宋_GB2312"/>
          <w:b w:val="0"/>
          <w:bCs w:val="0"/>
          <w:sz w:val="32"/>
          <w:szCs w:val="32"/>
          <w:highlight w:val="none"/>
          <w:lang w:val="en-US" w:eastAsia="zh-CN"/>
        </w:rPr>
        <w:t>2022</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296号</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outlineLvl w:val="0"/>
        <w:rPr>
          <w:rFonts w:hint="eastAsia" w:ascii="仿宋_GB2312" w:hAnsi="仿宋_GB2312" w:eastAsia="仿宋_GB2312" w:cs="仿宋_GB2312"/>
          <w:color w:val="auto"/>
          <w:kern w:val="2"/>
          <w:sz w:val="32"/>
          <w:szCs w:val="32"/>
          <w:highlight w:val="none"/>
        </w:rPr>
      </w:pPr>
      <w:bookmarkStart w:id="3" w:name="_Toc1324"/>
      <w:r>
        <w:rPr>
          <w:rFonts w:hint="eastAsia" w:ascii="仿宋_GB2312" w:hAnsi="仿宋_GB2312" w:eastAsia="仿宋_GB2312" w:cs="仿宋_GB2312"/>
          <w:color w:val="auto"/>
          <w:kern w:val="2"/>
          <w:sz w:val="32"/>
          <w:szCs w:val="32"/>
        </w:rPr>
        <w:t>为提升财政资金的预算绩效管理工作水平，增强单位财政资金支出责任，规范资金管理行为，提高财政资金使用效益，提高公共服务质量，优化公共资源配置，保障部门更好的履行职责，节约公共支出成本。根据《中共中央国务院关于全面实施预算绩效管理的意见》（中发〔2018〕34号）和《中共河南省委河南省人民政府关于全面实施预算绩效管理的实施意见》（豫发〔2019〕10号）</w:t>
      </w:r>
      <w:r>
        <w:rPr>
          <w:rFonts w:hint="eastAsia" w:ascii="仿宋_GB2312" w:hAnsi="仿宋_GB2312" w:eastAsia="仿宋_GB2312" w:cs="仿宋_GB2312"/>
          <w:color w:val="auto"/>
          <w:kern w:val="2"/>
          <w:sz w:val="32"/>
          <w:szCs w:val="32"/>
          <w:lang w:eastAsia="zh-CN"/>
        </w:rPr>
        <w:t>文件精神，</w:t>
      </w:r>
      <w:r>
        <w:rPr>
          <w:rFonts w:hint="eastAsia" w:ascii="仿宋_GB2312" w:hAnsi="仿宋_GB2312" w:eastAsia="仿宋_GB2312" w:cs="仿宋_GB2312"/>
          <w:color w:val="auto"/>
          <w:kern w:val="2"/>
          <w:sz w:val="32"/>
          <w:szCs w:val="32"/>
        </w:rPr>
        <w:t>安阳</w:t>
      </w:r>
      <w:r>
        <w:rPr>
          <w:rFonts w:hint="eastAsia" w:ascii="仿宋_GB2312" w:hAnsi="仿宋_GB2312" w:eastAsia="仿宋_GB2312" w:cs="仿宋_GB2312"/>
          <w:color w:val="auto"/>
          <w:kern w:val="2"/>
          <w:sz w:val="32"/>
          <w:szCs w:val="32"/>
          <w:lang w:eastAsia="zh-CN"/>
        </w:rPr>
        <w:t>县</w:t>
      </w:r>
      <w:r>
        <w:rPr>
          <w:rFonts w:hint="eastAsia" w:ascii="仿宋_GB2312" w:hAnsi="仿宋_GB2312" w:eastAsia="仿宋_GB2312" w:cs="仿宋_GB2312"/>
          <w:color w:val="auto"/>
          <w:kern w:val="2"/>
          <w:sz w:val="32"/>
          <w:szCs w:val="32"/>
        </w:rPr>
        <w:t>财政局委托河南昌盛会计师事务所（普通合伙）成立绩效评价工作组，本着客观、公正、科学的评价原则，</w:t>
      </w:r>
      <w:r>
        <w:rPr>
          <w:rFonts w:hint="eastAsia" w:ascii="仿宋_GB2312" w:hAnsi="仿宋_GB2312" w:eastAsia="仿宋_GB2312" w:cs="仿宋_GB2312"/>
          <w:color w:val="auto"/>
          <w:kern w:val="2"/>
          <w:sz w:val="32"/>
          <w:szCs w:val="32"/>
          <w:highlight w:val="none"/>
        </w:rPr>
        <w:t>对</w:t>
      </w:r>
      <w:r>
        <w:rPr>
          <w:rFonts w:hint="eastAsia" w:ascii="仿宋_GB2312" w:hAnsi="仿宋_GB2312" w:eastAsia="仿宋_GB2312" w:cs="仿宋_GB2312"/>
          <w:color w:val="auto"/>
          <w:kern w:val="2"/>
          <w:sz w:val="32"/>
          <w:szCs w:val="32"/>
          <w:highlight w:val="none"/>
          <w:lang w:val="en-US" w:eastAsia="zh-CN"/>
        </w:rPr>
        <w:t>2021年</w:t>
      </w:r>
      <w:r>
        <w:rPr>
          <w:rFonts w:hint="eastAsia" w:ascii="仿宋_GB2312" w:hAnsi="仿宋_GB2312" w:eastAsia="仿宋_GB2312" w:cs="仿宋_GB2312"/>
          <w:color w:val="auto"/>
          <w:kern w:val="2"/>
          <w:sz w:val="32"/>
          <w:szCs w:val="32"/>
          <w:highlight w:val="none"/>
          <w:lang w:eastAsia="zh-CN"/>
        </w:rPr>
        <w:t>安阳县自然资源局创建森林城市绿化建设京港澳高速城区段绿化项目（一园）项目</w:t>
      </w:r>
      <w:r>
        <w:rPr>
          <w:rFonts w:hint="eastAsia" w:ascii="仿宋_GB2312" w:hAnsi="仿宋_GB2312" w:eastAsia="仿宋_GB2312" w:cs="仿宋_GB2312"/>
          <w:color w:val="auto"/>
          <w:kern w:val="2"/>
          <w:sz w:val="32"/>
          <w:szCs w:val="32"/>
          <w:highlight w:val="none"/>
          <w:lang w:val="en-US" w:eastAsia="zh-CN"/>
        </w:rPr>
        <w:t>953.00万元资金使用情况</w:t>
      </w:r>
      <w:r>
        <w:rPr>
          <w:rFonts w:hint="eastAsia" w:ascii="仿宋_GB2312" w:hAnsi="仿宋_GB2312" w:eastAsia="仿宋_GB2312" w:cs="仿宋_GB2312"/>
          <w:color w:val="auto"/>
          <w:kern w:val="2"/>
          <w:sz w:val="32"/>
          <w:szCs w:val="32"/>
          <w:highlight w:val="none"/>
        </w:rPr>
        <w:t>进行绩效评价，现将有关情况报告如下：</w:t>
      </w:r>
      <w:bookmarkEnd w:id="3"/>
    </w:p>
    <w:p>
      <w:pPr>
        <w:keepNext w:val="0"/>
        <w:keepLines w:val="0"/>
        <w:pageBreakBefore w:val="0"/>
        <w:kinsoku/>
        <w:wordWrap/>
        <w:overflowPunct/>
        <w:topLinePunct w:val="0"/>
        <w:autoSpaceDE/>
        <w:autoSpaceDN/>
        <w:bidi w:val="0"/>
        <w:adjustRightInd/>
        <w:snapToGrid/>
        <w:spacing w:line="360" w:lineRule="auto"/>
        <w:ind w:firstLine="643" w:firstLineChars="200"/>
        <w:jc w:val="both"/>
        <w:textAlignment w:val="auto"/>
        <w:outlineLvl w:val="0"/>
        <w:rPr>
          <w:rFonts w:hint="eastAsia" w:ascii="仿宋_GB2312" w:hAnsi="仿宋_GB2312" w:eastAsia="仿宋_GB2312" w:cs="仿宋_GB2312"/>
          <w:b/>
          <w:bCs/>
          <w:color w:val="auto"/>
          <w:sz w:val="32"/>
          <w:szCs w:val="32"/>
          <w:highlight w:val="none"/>
        </w:rPr>
      </w:pPr>
      <w:bookmarkStart w:id="4" w:name="_Toc19523"/>
      <w:r>
        <w:rPr>
          <w:rFonts w:hint="eastAsia" w:ascii="仿宋_GB2312" w:hAnsi="仿宋_GB2312" w:eastAsia="仿宋_GB2312" w:cs="仿宋_GB2312"/>
          <w:b/>
          <w:bCs/>
          <w:color w:val="auto"/>
          <w:sz w:val="32"/>
          <w:szCs w:val="32"/>
          <w:highlight w:val="none"/>
        </w:rPr>
        <w:t>一、基本概况</w:t>
      </w:r>
      <w:bookmarkEnd w:id="2"/>
      <w:bookmarkEnd w:id="4"/>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color w:val="auto"/>
          <w:kern w:val="2"/>
          <w:sz w:val="32"/>
          <w:szCs w:val="32"/>
          <w:highlight w:val="none"/>
        </w:rPr>
      </w:pPr>
      <w:bookmarkStart w:id="5" w:name="_Toc11366"/>
      <w:bookmarkStart w:id="6" w:name="_Toc74939774"/>
      <w:r>
        <w:rPr>
          <w:rFonts w:hint="eastAsia" w:ascii="仿宋_GB2312" w:hAnsi="仿宋_GB2312" w:eastAsia="仿宋_GB2312" w:cs="仿宋_GB2312"/>
          <w:b/>
          <w:bCs/>
          <w:color w:val="auto"/>
          <w:sz w:val="32"/>
          <w:szCs w:val="32"/>
          <w:highlight w:val="none"/>
        </w:rPr>
        <w:t>（一）项目概况</w:t>
      </w:r>
      <w:bookmarkEnd w:id="5"/>
      <w:bookmarkEnd w:id="6"/>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auto"/>
          <w:kern w:val="2"/>
          <w:sz w:val="32"/>
          <w:szCs w:val="32"/>
          <w:lang w:eastAsia="zh-CN"/>
        </w:rPr>
      </w:pPr>
      <w:bookmarkStart w:id="7" w:name="_Hlk74770473"/>
      <w:r>
        <w:rPr>
          <w:rFonts w:hint="eastAsia" w:ascii="仿宋_GB2312" w:hAnsi="仿宋_GB2312" w:eastAsia="仿宋_GB2312" w:cs="仿宋_GB2312"/>
          <w:color w:val="auto"/>
          <w:kern w:val="2"/>
          <w:sz w:val="32"/>
          <w:szCs w:val="32"/>
          <w:lang w:eastAsia="zh-CN"/>
        </w:rPr>
        <w:t>安阳县自然资源局创建森林城市绿化建设京港澳高速城区段绿化项目（一园）</w:t>
      </w:r>
      <w:r>
        <w:rPr>
          <w:rFonts w:hint="eastAsia" w:ascii="仿宋_GB2312" w:hAnsi="仿宋_GB2312" w:eastAsia="仿宋_GB2312" w:cs="仿宋_GB2312"/>
          <w:color w:val="auto"/>
          <w:kern w:val="2"/>
          <w:sz w:val="32"/>
          <w:szCs w:val="32"/>
        </w:rPr>
        <w:t>是</w:t>
      </w:r>
      <w:r>
        <w:rPr>
          <w:rFonts w:hint="eastAsia" w:ascii="仿宋_GB2312" w:hAnsi="仿宋_GB2312" w:eastAsia="仿宋_GB2312" w:cs="仿宋_GB2312"/>
          <w:color w:val="auto"/>
          <w:kern w:val="2"/>
          <w:sz w:val="32"/>
          <w:szCs w:val="32"/>
          <w:lang w:eastAsia="zh-CN"/>
        </w:rPr>
        <w:t>安阳县</w:t>
      </w:r>
      <w:r>
        <w:rPr>
          <w:rFonts w:hint="eastAsia" w:ascii="仿宋_GB2312" w:hAnsi="仿宋_GB2312" w:eastAsia="仿宋_GB2312" w:cs="仿宋_GB2312"/>
          <w:color w:val="auto"/>
          <w:kern w:val="2"/>
          <w:sz w:val="32"/>
          <w:szCs w:val="32"/>
        </w:rPr>
        <w:t>委、</w:t>
      </w:r>
      <w:r>
        <w:rPr>
          <w:rFonts w:hint="eastAsia" w:ascii="仿宋_GB2312" w:hAnsi="仿宋_GB2312" w:eastAsia="仿宋_GB2312" w:cs="仿宋_GB2312"/>
          <w:color w:val="auto"/>
          <w:kern w:val="2"/>
          <w:sz w:val="32"/>
          <w:szCs w:val="32"/>
          <w:lang w:eastAsia="zh-CN"/>
        </w:rPr>
        <w:t>县</w:t>
      </w:r>
      <w:r>
        <w:rPr>
          <w:rFonts w:hint="eastAsia" w:ascii="仿宋_GB2312" w:hAnsi="仿宋_GB2312" w:eastAsia="仿宋_GB2312" w:cs="仿宋_GB2312"/>
          <w:color w:val="auto"/>
          <w:kern w:val="2"/>
          <w:sz w:val="32"/>
          <w:szCs w:val="32"/>
        </w:rPr>
        <w:t>政府为贯彻落实《</w:t>
      </w:r>
      <w:r>
        <w:rPr>
          <w:rFonts w:hint="eastAsia" w:ascii="仿宋_GB2312" w:hAnsi="仿宋_GB2312" w:eastAsia="仿宋_GB2312" w:cs="仿宋_GB2312"/>
          <w:color w:val="auto"/>
          <w:kern w:val="2"/>
          <w:sz w:val="32"/>
          <w:szCs w:val="32"/>
          <w:lang w:eastAsia="zh-CN"/>
        </w:rPr>
        <w:t>中共中央国务院关于加快推进生态文明建设的意见</w:t>
      </w:r>
      <w:r>
        <w:rPr>
          <w:rFonts w:hint="eastAsia" w:ascii="仿宋_GB2312" w:hAnsi="仿宋_GB2312" w:eastAsia="仿宋_GB2312" w:cs="仿宋_GB2312"/>
          <w:color w:val="auto"/>
          <w:kern w:val="2"/>
          <w:sz w:val="32"/>
          <w:szCs w:val="32"/>
        </w:rPr>
        <w:t>》</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sz w:val="32"/>
          <w:szCs w:val="32"/>
          <w:highlight w:val="none"/>
        </w:rPr>
        <w:t>《安阳市城市绿化条例》</w:t>
      </w:r>
      <w:r>
        <w:rPr>
          <w:rFonts w:hint="eastAsia" w:ascii="仿宋_GB2312" w:hAnsi="仿宋_GB2312" w:eastAsia="仿宋_GB2312" w:cs="仿宋_GB2312"/>
          <w:color w:val="auto"/>
          <w:sz w:val="32"/>
          <w:szCs w:val="32"/>
          <w:highlight w:val="none"/>
          <w:lang w:eastAsia="zh-CN"/>
        </w:rPr>
        <w:t>等</w:t>
      </w:r>
      <w:r>
        <w:rPr>
          <w:rFonts w:hint="eastAsia" w:ascii="仿宋_GB2312" w:hAnsi="仿宋_GB2312" w:eastAsia="仿宋_GB2312" w:cs="仿宋_GB2312"/>
          <w:color w:val="auto"/>
          <w:kern w:val="2"/>
          <w:sz w:val="32"/>
          <w:szCs w:val="32"/>
          <w:lang w:eastAsia="zh-CN"/>
        </w:rPr>
        <w:t>相关文件</w:t>
      </w:r>
      <w:r>
        <w:rPr>
          <w:rFonts w:hint="eastAsia" w:ascii="仿宋_GB2312" w:hAnsi="仿宋_GB2312" w:eastAsia="仿宋_GB2312" w:cs="仿宋_GB2312"/>
          <w:color w:val="auto"/>
          <w:kern w:val="2"/>
          <w:sz w:val="32"/>
          <w:szCs w:val="32"/>
        </w:rPr>
        <w:t>，旨在</w:t>
      </w:r>
      <w:r>
        <w:rPr>
          <w:rFonts w:hint="eastAsia" w:ascii="仿宋_GB2312" w:hAnsi="仿宋_GB2312" w:eastAsia="仿宋_GB2312" w:cs="仿宋_GB2312"/>
          <w:color w:val="auto"/>
          <w:kern w:val="2"/>
          <w:sz w:val="32"/>
          <w:szCs w:val="32"/>
          <w:lang w:eastAsia="zh-CN"/>
        </w:rPr>
        <w:t>进一步增加我县森林资源，构建生态安全屏障，改善城乡人居环境</w:t>
      </w:r>
      <w:bookmarkEnd w:id="7"/>
      <w:bookmarkStart w:id="8" w:name="_Hlk74771306"/>
      <w:r>
        <w:rPr>
          <w:rFonts w:hint="eastAsia" w:ascii="仿宋_GB2312" w:hAnsi="仿宋_GB2312" w:eastAsia="仿宋_GB2312" w:cs="仿宋_GB2312"/>
          <w:color w:val="auto"/>
          <w:kern w:val="2"/>
          <w:sz w:val="32"/>
          <w:szCs w:val="32"/>
          <w:lang w:eastAsia="zh-CN"/>
        </w:rPr>
        <w:t>，努力形成完善的森林生态体系、发达的林业产业体系、繁荣的生态文化体系，进一步提升城市形象和品位，为加快建设经济强县、美丽安阳县奠定基础。</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auto"/>
          <w:kern w:val="2"/>
          <w:sz w:val="32"/>
          <w:szCs w:val="32"/>
          <w:highlight w:val="none"/>
        </w:rPr>
      </w:pPr>
      <w:r>
        <w:rPr>
          <w:rFonts w:hint="eastAsia" w:ascii="仿宋_GB2312" w:hAnsi="仿宋_GB2312" w:eastAsia="仿宋_GB2312" w:cs="仿宋_GB2312"/>
          <w:color w:val="auto"/>
          <w:kern w:val="2"/>
          <w:sz w:val="32"/>
          <w:szCs w:val="32"/>
          <w:highlight w:val="none"/>
        </w:rPr>
        <w:t>为响应河南省实施国土绿化提速行动建设森林河南的要求，依托安阳建设国家森林城市的契机，以现状生态景观为依托，以森林城市系统为核心,安阳县规划实施安阳市京港澳城区段廊道绿化提升项目(一园)致力于打造一处集景观绿化、森林科普、休闲娱乐等景观游憩休闲功能于一体的城市生态公园，打破森林和城市的界限，打造最具亲和力的城市生态公园，助力安阳成为国家森林城市新标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auto"/>
          <w:kern w:val="2"/>
          <w:sz w:val="32"/>
          <w:szCs w:val="32"/>
          <w:highlight w:val="none"/>
          <w:lang w:eastAsia="zh-CN"/>
        </w:rPr>
      </w:pPr>
      <w:r>
        <w:rPr>
          <w:rFonts w:hint="eastAsia" w:ascii="仿宋_GB2312" w:hAnsi="仿宋_GB2312" w:eastAsia="仿宋_GB2312" w:cs="仿宋_GB2312"/>
          <w:color w:val="auto"/>
          <w:kern w:val="2"/>
          <w:sz w:val="32"/>
          <w:szCs w:val="32"/>
          <w:highlight w:val="none"/>
          <w:lang w:eastAsia="zh-CN"/>
        </w:rPr>
        <w:t>项目位于河南省安阳市安阳县境内南林高速与京港澳高速交叉口段，分东、西两个园区。东侧园区北部背靠工业园区，东部毗邻辛瓦路，西部和南部紧接京港澳高速和南林高速绿化带;西侧园区东部和南部紧接京港澳高速和南林高速绿化带，北部背靠洪河，西北紧挨村庄农地。</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仿宋_GB2312" w:hAnsi="仿宋_GB2312" w:eastAsia="仿宋_GB2312" w:cs="仿宋_GB2312"/>
          <w:color w:val="auto"/>
          <w:kern w:val="2"/>
          <w:sz w:val="32"/>
          <w:szCs w:val="32"/>
          <w:highlight w:val="none"/>
          <w:lang w:val="en-US" w:eastAsia="zh-CN"/>
        </w:rPr>
      </w:pPr>
      <w:r>
        <w:rPr>
          <w:rFonts w:hint="eastAsia" w:ascii="仿宋_GB2312" w:hAnsi="仿宋_GB2312" w:eastAsia="仿宋_GB2312" w:cs="仿宋_GB2312"/>
          <w:color w:val="auto"/>
          <w:kern w:val="2"/>
          <w:sz w:val="32"/>
          <w:szCs w:val="32"/>
          <w:highlight w:val="none"/>
          <w:lang w:eastAsia="zh-CN"/>
        </w:rPr>
        <w:t>工程内容及规模:安阳市京港澳城区段廊道绿化提升项目(一园)建设内容主要包括景观打造(绿化种植、地形塑造、山体堆建)，以及观景平台、园路、灌溉、照明系统及其他配套设施的建设等。项目总建设面积439736.95㎡(合659.61亩，其中水域面积约63.90亩)。合同计划开工日期</w:t>
      </w:r>
      <w:r>
        <w:rPr>
          <w:rFonts w:hint="eastAsia" w:ascii="仿宋_GB2312" w:hAnsi="仿宋_GB2312" w:eastAsia="仿宋_GB2312" w:cs="仿宋_GB2312"/>
          <w:color w:val="auto"/>
          <w:kern w:val="2"/>
          <w:sz w:val="32"/>
          <w:szCs w:val="32"/>
          <w:highlight w:val="none"/>
          <w:lang w:val="en-US" w:eastAsia="zh-CN"/>
        </w:rPr>
        <w:t>2019年6月6日，计划竣工日期2019年11月2日。</w:t>
      </w:r>
      <w:r>
        <w:rPr>
          <w:rFonts w:hint="eastAsia" w:ascii="仿宋_GB2312" w:hAnsi="仿宋_GB2312" w:eastAsia="仿宋_GB2312" w:cs="仿宋_GB2312"/>
          <w:color w:val="auto"/>
          <w:kern w:val="2"/>
          <w:sz w:val="32"/>
          <w:szCs w:val="32"/>
          <w:highlight w:val="none"/>
          <w:lang w:eastAsia="zh-CN"/>
        </w:rPr>
        <w:t>拟打造一处集景观绿化、森林科普、休闲娱乐等景观游憩休闲功能于一体的城市生态公园</w:t>
      </w:r>
      <w:r>
        <w:rPr>
          <w:rFonts w:hint="eastAsia" w:ascii="仿宋_GB2312" w:hAnsi="仿宋_GB2312" w:eastAsia="仿宋_GB2312" w:cs="仿宋_GB2312"/>
          <w:color w:val="auto"/>
          <w:kern w:val="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auto"/>
          <w:kern w:val="2"/>
          <w:sz w:val="32"/>
          <w:szCs w:val="32"/>
          <w:highlight w:val="none"/>
        </w:rPr>
      </w:pPr>
      <w:r>
        <w:rPr>
          <w:rFonts w:hint="eastAsia" w:ascii="仿宋_GB2312" w:hAnsi="仿宋_GB2312" w:eastAsia="仿宋_GB2312" w:cs="仿宋_GB2312"/>
          <w:color w:val="auto"/>
          <w:kern w:val="2"/>
          <w:sz w:val="32"/>
          <w:szCs w:val="32"/>
          <w:highlight w:val="none"/>
        </w:rPr>
        <w:t>202</w:t>
      </w:r>
      <w:r>
        <w:rPr>
          <w:rFonts w:hint="eastAsia" w:ascii="仿宋_GB2312" w:hAnsi="仿宋_GB2312" w:eastAsia="仿宋_GB2312" w:cs="仿宋_GB2312"/>
          <w:color w:val="auto"/>
          <w:kern w:val="2"/>
          <w:sz w:val="32"/>
          <w:szCs w:val="32"/>
          <w:highlight w:val="none"/>
          <w:lang w:val="en-US" w:eastAsia="zh-CN"/>
        </w:rPr>
        <w:t>1</w:t>
      </w:r>
      <w:r>
        <w:rPr>
          <w:rFonts w:hint="eastAsia" w:ascii="仿宋_GB2312" w:hAnsi="仿宋_GB2312" w:eastAsia="仿宋_GB2312" w:cs="仿宋_GB2312"/>
          <w:color w:val="auto"/>
          <w:kern w:val="2"/>
          <w:sz w:val="32"/>
          <w:szCs w:val="32"/>
          <w:highlight w:val="none"/>
        </w:rPr>
        <w:t>年预算金额及支付情况如下：预算金额</w:t>
      </w:r>
      <w:r>
        <w:rPr>
          <w:rFonts w:hint="eastAsia" w:ascii="仿宋_GB2312" w:hAnsi="仿宋_GB2312" w:eastAsia="仿宋_GB2312" w:cs="仿宋_GB2312"/>
          <w:color w:val="auto"/>
          <w:kern w:val="2"/>
          <w:sz w:val="32"/>
          <w:szCs w:val="32"/>
          <w:highlight w:val="none"/>
          <w:lang w:val="en-US" w:eastAsia="zh-CN"/>
        </w:rPr>
        <w:t>1,650.00</w:t>
      </w:r>
      <w:r>
        <w:rPr>
          <w:rFonts w:hint="eastAsia" w:ascii="仿宋_GB2312" w:hAnsi="仿宋_GB2312" w:eastAsia="仿宋_GB2312" w:cs="仿宋_GB2312"/>
          <w:color w:val="auto"/>
          <w:kern w:val="2"/>
          <w:sz w:val="32"/>
          <w:szCs w:val="32"/>
          <w:highlight w:val="none"/>
        </w:rPr>
        <w:t>万元，实际拨付</w:t>
      </w:r>
      <w:r>
        <w:rPr>
          <w:rFonts w:hint="eastAsia" w:ascii="仿宋_GB2312" w:hAnsi="仿宋_GB2312" w:eastAsia="仿宋_GB2312" w:cs="仿宋_GB2312"/>
          <w:color w:val="auto"/>
          <w:kern w:val="2"/>
          <w:sz w:val="32"/>
          <w:szCs w:val="32"/>
          <w:highlight w:val="none"/>
          <w:lang w:val="en-US" w:eastAsia="zh-CN"/>
        </w:rPr>
        <w:t>953.00</w:t>
      </w:r>
      <w:r>
        <w:rPr>
          <w:rFonts w:hint="eastAsia" w:ascii="仿宋_GB2312" w:hAnsi="仿宋_GB2312" w:eastAsia="仿宋_GB2312" w:cs="仿宋_GB2312"/>
          <w:color w:val="auto"/>
          <w:kern w:val="2"/>
          <w:sz w:val="32"/>
          <w:szCs w:val="32"/>
          <w:highlight w:val="none"/>
        </w:rPr>
        <w:t>万元，预算执行率</w:t>
      </w:r>
      <w:r>
        <w:rPr>
          <w:rFonts w:hint="eastAsia" w:ascii="仿宋_GB2312" w:hAnsi="仿宋_GB2312" w:eastAsia="仿宋_GB2312" w:cs="仿宋_GB2312"/>
          <w:color w:val="auto"/>
          <w:kern w:val="2"/>
          <w:sz w:val="32"/>
          <w:szCs w:val="32"/>
          <w:highlight w:val="none"/>
          <w:lang w:val="en-US" w:eastAsia="zh-CN"/>
        </w:rPr>
        <w:t>57.76</w:t>
      </w:r>
      <w:r>
        <w:rPr>
          <w:rFonts w:hint="eastAsia" w:ascii="仿宋_GB2312" w:hAnsi="仿宋_GB2312" w:eastAsia="仿宋_GB2312" w:cs="仿宋_GB2312"/>
          <w:color w:val="auto"/>
          <w:kern w:val="2"/>
          <w:sz w:val="32"/>
          <w:szCs w:val="32"/>
          <w:highlight w:val="none"/>
        </w:rPr>
        <w:t>%。</w:t>
      </w:r>
    </w:p>
    <w:bookmarkEnd w:id="8"/>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color w:val="auto"/>
          <w:sz w:val="32"/>
          <w:szCs w:val="32"/>
        </w:rPr>
      </w:pPr>
      <w:bookmarkStart w:id="9" w:name="_Toc16375"/>
      <w:bookmarkStart w:id="10" w:name="_Toc74939775"/>
      <w:r>
        <w:rPr>
          <w:rFonts w:hint="eastAsia" w:ascii="仿宋_GB2312" w:hAnsi="仿宋_GB2312" w:eastAsia="仿宋_GB2312" w:cs="仿宋_GB2312"/>
          <w:b/>
          <w:bCs/>
          <w:color w:val="auto"/>
          <w:sz w:val="32"/>
          <w:szCs w:val="32"/>
        </w:rPr>
        <w:t>（二）项目绩效目标</w:t>
      </w:r>
      <w:bookmarkEnd w:id="9"/>
      <w:bookmarkEnd w:id="10"/>
    </w:p>
    <w:p>
      <w:pPr>
        <w:keepNext w:val="0"/>
        <w:keepLines w:val="0"/>
        <w:pageBreakBefore w:val="0"/>
        <w:widowControl w:val="0"/>
        <w:kinsoku/>
        <w:wordWrap/>
        <w:overflowPunct/>
        <w:topLinePunct w:val="0"/>
        <w:autoSpaceDE/>
        <w:autoSpaceDN/>
        <w:bidi w:val="0"/>
        <w:adjustRightInd/>
        <w:snapToGrid/>
        <w:spacing w:line="360" w:lineRule="auto"/>
        <w:ind w:firstLine="960" w:firstLineChars="300"/>
        <w:jc w:val="both"/>
        <w:textAlignment w:val="auto"/>
        <w:rPr>
          <w:rFonts w:hint="eastAsia" w:ascii="仿宋_GB2312" w:hAnsi="仿宋_GB2312" w:eastAsia="仿宋_GB2312" w:cs="仿宋_GB2312"/>
          <w:color w:val="auto"/>
          <w:kern w:val="2"/>
          <w:sz w:val="32"/>
          <w:szCs w:val="32"/>
        </w:rPr>
      </w:pPr>
      <w:bookmarkStart w:id="11" w:name="_Toc74939776"/>
      <w:r>
        <w:rPr>
          <w:rFonts w:hint="eastAsia" w:ascii="仿宋_GB2312" w:hAnsi="仿宋_GB2312" w:eastAsia="仿宋_GB2312" w:cs="仿宋_GB2312"/>
          <w:color w:val="auto"/>
          <w:kern w:val="2"/>
          <w:sz w:val="32"/>
          <w:szCs w:val="32"/>
        </w:rPr>
        <w:t>计划到202</w:t>
      </w:r>
      <w:r>
        <w:rPr>
          <w:rFonts w:hint="eastAsia" w:ascii="仿宋_GB2312" w:hAnsi="仿宋_GB2312" w:eastAsia="仿宋_GB2312" w:cs="仿宋_GB2312"/>
          <w:color w:val="auto"/>
          <w:kern w:val="2"/>
          <w:sz w:val="32"/>
          <w:szCs w:val="32"/>
          <w:lang w:val="en-US" w:eastAsia="zh-CN"/>
        </w:rPr>
        <w:t>1</w:t>
      </w:r>
      <w:r>
        <w:rPr>
          <w:rFonts w:hint="eastAsia" w:ascii="仿宋_GB2312" w:hAnsi="仿宋_GB2312" w:eastAsia="仿宋_GB2312" w:cs="仿宋_GB2312"/>
          <w:color w:val="auto"/>
          <w:kern w:val="2"/>
          <w:sz w:val="32"/>
          <w:szCs w:val="32"/>
        </w:rPr>
        <w:t>年，全</w:t>
      </w:r>
      <w:r>
        <w:rPr>
          <w:rFonts w:hint="eastAsia" w:ascii="仿宋_GB2312" w:hAnsi="仿宋_GB2312" w:eastAsia="仿宋_GB2312" w:cs="仿宋_GB2312"/>
          <w:color w:val="auto"/>
          <w:kern w:val="2"/>
          <w:sz w:val="32"/>
          <w:szCs w:val="32"/>
          <w:lang w:eastAsia="zh-CN"/>
        </w:rPr>
        <w:t>县</w:t>
      </w:r>
      <w:r>
        <w:rPr>
          <w:rFonts w:hint="eastAsia" w:ascii="仿宋_GB2312" w:hAnsi="仿宋_GB2312" w:eastAsia="仿宋_GB2312" w:cs="仿宋_GB2312"/>
          <w:color w:val="auto"/>
          <w:kern w:val="2"/>
          <w:sz w:val="32"/>
          <w:szCs w:val="32"/>
        </w:rPr>
        <w:t>建起完备的“森林一湿地”生态体系、发达的林业产业体系和繁荣的森林文化体系，将我</w:t>
      </w:r>
      <w:r>
        <w:rPr>
          <w:rFonts w:hint="eastAsia" w:ascii="仿宋_GB2312" w:hAnsi="仿宋_GB2312" w:eastAsia="仿宋_GB2312" w:cs="仿宋_GB2312"/>
          <w:color w:val="auto"/>
          <w:kern w:val="2"/>
          <w:sz w:val="32"/>
          <w:szCs w:val="32"/>
          <w:lang w:eastAsia="zh-CN"/>
        </w:rPr>
        <w:t>县</w:t>
      </w:r>
      <w:r>
        <w:rPr>
          <w:rFonts w:hint="eastAsia" w:ascii="仿宋_GB2312" w:hAnsi="仿宋_GB2312" w:eastAsia="仿宋_GB2312" w:cs="仿宋_GB2312"/>
          <w:color w:val="auto"/>
          <w:kern w:val="2"/>
          <w:sz w:val="32"/>
          <w:szCs w:val="32"/>
        </w:rPr>
        <w:t>打造成国内外知名生态文化公园，实现“城在林中、林在</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城中、</w:t>
      </w:r>
      <w:r>
        <w:rPr>
          <w:rFonts w:hint="eastAsia" w:ascii="仿宋_GB2312" w:hAnsi="仿宋_GB2312" w:eastAsia="仿宋_GB2312" w:cs="仿宋_GB2312"/>
          <w:color w:val="auto"/>
          <w:kern w:val="2"/>
          <w:sz w:val="32"/>
          <w:szCs w:val="32"/>
          <w:highlight w:val="none"/>
        </w:rPr>
        <w:t>美丽</w:t>
      </w:r>
      <w:r>
        <w:rPr>
          <w:rFonts w:hint="eastAsia" w:ascii="仿宋_GB2312" w:hAnsi="仿宋_GB2312" w:eastAsia="仿宋_GB2312" w:cs="仿宋_GB2312"/>
          <w:color w:val="auto"/>
          <w:kern w:val="2"/>
          <w:sz w:val="32"/>
          <w:szCs w:val="32"/>
          <w:highlight w:val="none"/>
          <w:lang w:eastAsia="zh-CN"/>
        </w:rPr>
        <w:t>安阳县</w:t>
      </w:r>
      <w:r>
        <w:rPr>
          <w:rFonts w:hint="eastAsia" w:ascii="仿宋_GB2312" w:hAnsi="仿宋_GB2312" w:eastAsia="仿宋_GB2312" w:cs="仿宋_GB2312"/>
          <w:color w:val="auto"/>
          <w:kern w:val="2"/>
          <w:sz w:val="32"/>
          <w:szCs w:val="32"/>
          <w:highlight w:val="none"/>
        </w:rPr>
        <w:t>”</w:t>
      </w:r>
      <w:r>
        <w:rPr>
          <w:rFonts w:hint="eastAsia" w:ascii="仿宋_GB2312" w:hAnsi="仿宋_GB2312" w:eastAsia="仿宋_GB2312" w:cs="仿宋_GB2312"/>
          <w:color w:val="auto"/>
          <w:kern w:val="2"/>
          <w:sz w:val="32"/>
          <w:szCs w:val="32"/>
        </w:rPr>
        <w:t>的人与自然和谐相处、共同发展的目标。</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rPr>
        <w:t>具体目标：</w:t>
      </w:r>
      <w:r>
        <w:rPr>
          <w:rFonts w:hint="eastAsia" w:ascii="仿宋_GB2312" w:hAnsi="仿宋_GB2312" w:eastAsia="仿宋_GB2312" w:cs="仿宋_GB2312"/>
          <w:color w:val="auto"/>
          <w:kern w:val="2"/>
          <w:sz w:val="32"/>
          <w:szCs w:val="32"/>
          <w:lang w:eastAsia="zh-CN"/>
        </w:rPr>
        <w:t>通过创建森林城市绿化建设京港澳高速城区段绿化项目（一园）项目，</w:t>
      </w:r>
      <w:r>
        <w:rPr>
          <w:rFonts w:hint="eastAsia" w:ascii="仿宋_GB2312" w:hAnsi="仿宋_GB2312" w:eastAsia="仿宋_GB2312" w:cs="仿宋_GB2312"/>
          <w:color w:val="auto"/>
          <w:kern w:val="2"/>
          <w:sz w:val="32"/>
          <w:szCs w:val="32"/>
        </w:rPr>
        <w:t>利用村边、路边、水边、塘（沟）边、田边等“五边”隙地和山区宜林荒地、沙化土地、污染土地等生态空间，广泛开展国土绿化，加大生态保护力度，实施“四创五建五保”，实现森林绿量增加、森林质量提高、人居环境改善、群众幸福感增强、城市品质提升。</w:t>
      </w:r>
      <w:r>
        <w:rPr>
          <w:rFonts w:hint="eastAsia" w:ascii="仿宋_GB2312" w:hAnsi="仿宋_GB2312" w:eastAsia="仿宋_GB2312" w:cs="仿宋_GB2312"/>
          <w:color w:val="auto"/>
          <w:kern w:val="2"/>
          <w:sz w:val="32"/>
          <w:szCs w:val="32"/>
          <w:lang w:val="en-US" w:eastAsia="zh-CN"/>
        </w:rPr>
        <w:t>具体年度绩效指标如表1-1所示。</w:t>
      </w:r>
    </w:p>
    <w:tbl>
      <w:tblPr>
        <w:tblStyle w:val="18"/>
        <w:tblW w:w="852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1171"/>
        <w:gridCol w:w="1175"/>
        <w:gridCol w:w="4319"/>
        <w:gridCol w:w="18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21" w:hRule="atLeast"/>
        </w:trPr>
        <w:tc>
          <w:tcPr>
            <w:tcW w:w="8525" w:type="dxa"/>
            <w:gridSpan w:val="4"/>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表1-1：年度绩效目标表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5" w:hRule="atLeast"/>
        </w:trPr>
        <w:tc>
          <w:tcPr>
            <w:tcW w:w="1171"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一级指标</w:t>
            </w:r>
          </w:p>
        </w:tc>
        <w:tc>
          <w:tcPr>
            <w:tcW w:w="117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二级指标</w:t>
            </w:r>
          </w:p>
        </w:tc>
        <w:tc>
          <w:tcPr>
            <w:tcW w:w="431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三级指标</w:t>
            </w:r>
          </w:p>
        </w:tc>
        <w:tc>
          <w:tcPr>
            <w:tcW w:w="18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1171"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产出指标</w:t>
            </w:r>
          </w:p>
        </w:tc>
        <w:tc>
          <w:tcPr>
            <w:tcW w:w="1175"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数量指标</w:t>
            </w:r>
          </w:p>
        </w:tc>
        <w:tc>
          <w:tcPr>
            <w:tcW w:w="4319"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lang w:eastAsia="zh-CN"/>
              </w:rPr>
            </w:pPr>
            <w:r>
              <w:rPr>
                <w:rFonts w:hint="eastAsia" w:ascii="仿宋_GB2312" w:hAnsi="仿宋_GB2312" w:eastAsia="仿宋_GB2312" w:cs="仿宋_GB2312"/>
                <w:i w:val="0"/>
                <w:iCs w:val="0"/>
                <w:color w:val="auto"/>
                <w:sz w:val="24"/>
                <w:szCs w:val="24"/>
                <w:u w:val="none"/>
                <w:lang w:eastAsia="zh-CN"/>
              </w:rPr>
              <w:t>总建设面积</w:t>
            </w:r>
          </w:p>
        </w:tc>
        <w:tc>
          <w:tcPr>
            <w:tcW w:w="186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sz w:val="24"/>
                <w:szCs w:val="24"/>
                <w:u w:val="none"/>
              </w:rPr>
              <w:t>439736.95㎡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5" w:hRule="atLeast"/>
        </w:trPr>
        <w:tc>
          <w:tcPr>
            <w:tcW w:w="1171"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1175"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4319"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sz w:val="24"/>
                <w:szCs w:val="24"/>
                <w:u w:val="none"/>
              </w:rPr>
              <w:t>水域面积</w:t>
            </w:r>
          </w:p>
        </w:tc>
        <w:tc>
          <w:tcPr>
            <w:tcW w:w="1860"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sz w:val="24"/>
                <w:szCs w:val="24"/>
                <w:u w:val="none"/>
              </w:rPr>
              <w:t>约63.90亩</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7" w:hRule="atLeast"/>
        </w:trPr>
        <w:tc>
          <w:tcPr>
            <w:tcW w:w="1171"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1175"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质量指标</w:t>
            </w:r>
          </w:p>
        </w:tc>
        <w:tc>
          <w:tcPr>
            <w:tcW w:w="4319" w:type="dxa"/>
            <w:tcBorders>
              <w:tl2br w:val="nil"/>
              <w:tr2bl w:val="nil"/>
            </w:tcBorders>
            <w:shd w:val="clear" w:color="auto" w:fill="auto"/>
            <w:vAlign w:val="center"/>
          </w:tcPr>
          <w:p>
            <w:pPr>
              <w:keepNext w:val="0"/>
              <w:keepLines w:val="0"/>
              <w:widowControl/>
              <w:suppressLineNumbers w:val="0"/>
              <w:jc w:val="both"/>
              <w:textAlignment w:val="top"/>
              <w:rPr>
                <w:rFonts w:hint="eastAsia" w:ascii="仿宋_GB2312" w:hAnsi="仿宋_GB2312" w:eastAsia="仿宋_GB2312" w:cs="仿宋_GB2312"/>
                <w:i w:val="0"/>
                <w:iCs w:val="0"/>
                <w:color w:val="auto"/>
                <w:sz w:val="24"/>
                <w:szCs w:val="24"/>
                <w:u w:val="none"/>
                <w:lang w:eastAsia="zh-CN"/>
              </w:rPr>
            </w:pPr>
            <w:r>
              <w:rPr>
                <w:rFonts w:hint="eastAsia" w:ascii="仿宋_GB2312" w:hAnsi="仿宋_GB2312" w:eastAsia="仿宋_GB2312" w:cs="仿宋_GB2312"/>
                <w:i w:val="0"/>
                <w:iCs w:val="0"/>
                <w:color w:val="auto"/>
                <w:sz w:val="24"/>
                <w:szCs w:val="24"/>
                <w:u w:val="none"/>
                <w:lang w:eastAsia="zh-CN"/>
              </w:rPr>
              <w:t>森林城市绿化覆盖率</w:t>
            </w:r>
          </w:p>
        </w:tc>
        <w:tc>
          <w:tcPr>
            <w:tcW w:w="1860" w:type="dxa"/>
            <w:tcBorders>
              <w:tl2br w:val="nil"/>
              <w:tr2bl w:val="nil"/>
            </w:tcBorders>
            <w:shd w:val="clear" w:color="auto" w:fill="auto"/>
            <w:vAlign w:val="top"/>
          </w:tcPr>
          <w:p>
            <w:pPr>
              <w:keepNext w:val="0"/>
              <w:keepLines w:val="0"/>
              <w:widowControl/>
              <w:suppressLineNumbers w:val="0"/>
              <w:jc w:val="left"/>
              <w:textAlignment w:val="top"/>
              <w:rPr>
                <w:rFonts w:hint="default" w:ascii="仿宋_GB2312" w:hAnsi="仿宋_GB2312" w:eastAsia="仿宋_GB2312" w:cs="仿宋_GB2312"/>
                <w:i w:val="0"/>
                <w:iCs w:val="0"/>
                <w:color w:val="auto"/>
                <w:sz w:val="24"/>
                <w:szCs w:val="24"/>
                <w:u w:val="none"/>
                <w:lang w:val="en-US" w:eastAsia="zh-CN"/>
              </w:rPr>
            </w:pPr>
            <w:r>
              <w:rPr>
                <w:rFonts w:hint="eastAsia" w:ascii="仿宋_GB2312" w:hAnsi="仿宋_GB2312" w:eastAsia="仿宋_GB2312" w:cs="仿宋_GB2312"/>
                <w:i w:val="0"/>
                <w:iCs w:val="0"/>
                <w:color w:val="auto"/>
                <w:sz w:val="24"/>
                <w:szCs w:val="24"/>
                <w:u w:val="none"/>
                <w:lang w:eastAsia="zh-CN"/>
              </w:rPr>
              <w:t>≥</w:t>
            </w:r>
            <w:r>
              <w:rPr>
                <w:rFonts w:hint="eastAsia" w:ascii="仿宋_GB2312" w:hAnsi="仿宋_GB2312" w:eastAsia="仿宋_GB2312" w:cs="仿宋_GB2312"/>
                <w:i w:val="0"/>
                <w:iCs w:val="0"/>
                <w:color w:val="auto"/>
                <w:sz w:val="24"/>
                <w:szCs w:val="24"/>
                <w:u w:val="none"/>
                <w:lang w:val="en-US" w:eastAsia="zh-CN"/>
              </w:rPr>
              <w:t>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5" w:hRule="atLeast"/>
        </w:trPr>
        <w:tc>
          <w:tcPr>
            <w:tcW w:w="1171"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1175"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4319" w:type="dxa"/>
            <w:tcBorders>
              <w:tl2br w:val="nil"/>
              <w:tr2bl w:val="nil"/>
            </w:tcBorders>
            <w:shd w:val="clear" w:color="auto" w:fill="auto"/>
            <w:vAlign w:val="center"/>
          </w:tcPr>
          <w:p>
            <w:pPr>
              <w:keepNext w:val="0"/>
              <w:keepLines w:val="0"/>
              <w:widowControl/>
              <w:suppressLineNumbers w:val="0"/>
              <w:jc w:val="both"/>
              <w:textAlignment w:val="top"/>
              <w:rPr>
                <w:rFonts w:hint="eastAsia" w:ascii="仿宋_GB2312" w:hAnsi="仿宋_GB2312" w:eastAsia="仿宋_GB2312" w:cs="仿宋_GB2312"/>
                <w:i w:val="0"/>
                <w:iCs w:val="0"/>
                <w:color w:val="auto"/>
                <w:sz w:val="24"/>
                <w:szCs w:val="24"/>
                <w:u w:val="none"/>
                <w:lang w:eastAsia="zh-CN"/>
              </w:rPr>
            </w:pPr>
            <w:r>
              <w:rPr>
                <w:rFonts w:hint="eastAsia" w:ascii="仿宋_GB2312" w:hAnsi="仿宋_GB2312" w:eastAsia="仿宋_GB2312" w:cs="仿宋_GB2312"/>
                <w:i w:val="0"/>
                <w:iCs w:val="0"/>
                <w:color w:val="auto"/>
                <w:sz w:val="24"/>
                <w:szCs w:val="24"/>
                <w:u w:val="none"/>
                <w:lang w:eastAsia="zh-CN"/>
              </w:rPr>
              <w:t>新增林木成活率</w:t>
            </w:r>
          </w:p>
        </w:tc>
        <w:tc>
          <w:tcPr>
            <w:tcW w:w="1860" w:type="dxa"/>
            <w:tcBorders>
              <w:tl2br w:val="nil"/>
              <w:tr2bl w:val="nil"/>
            </w:tcBorders>
            <w:shd w:val="clear" w:color="auto" w:fill="auto"/>
            <w:vAlign w:val="top"/>
          </w:tcPr>
          <w:p>
            <w:pPr>
              <w:keepNext w:val="0"/>
              <w:keepLines w:val="0"/>
              <w:widowControl/>
              <w:suppressLineNumbers w:val="0"/>
              <w:jc w:val="left"/>
              <w:textAlignment w:val="top"/>
              <w:rPr>
                <w:rFonts w:hint="eastAsia" w:ascii="仿宋_GB2312" w:hAnsi="仿宋_GB2312" w:eastAsia="仿宋_GB2312" w:cs="仿宋_GB2312"/>
                <w:i w:val="0"/>
                <w:iCs w:val="0"/>
                <w:color w:val="auto"/>
                <w:sz w:val="24"/>
                <w:szCs w:val="24"/>
                <w:u w:val="none"/>
                <w:lang w:eastAsia="zh-CN"/>
              </w:rPr>
            </w:pPr>
            <w:r>
              <w:rPr>
                <w:rFonts w:hint="eastAsia" w:ascii="仿宋_GB2312" w:hAnsi="仿宋_GB2312" w:eastAsia="仿宋_GB2312" w:cs="仿宋_GB2312"/>
                <w:i w:val="0"/>
                <w:iCs w:val="0"/>
                <w:color w:val="auto"/>
                <w:sz w:val="24"/>
                <w:szCs w:val="24"/>
                <w:u w:val="none"/>
                <w:lang w:eastAsia="zh-CN"/>
              </w:rPr>
              <w:t>≥95%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5" w:hRule="atLeast"/>
        </w:trPr>
        <w:tc>
          <w:tcPr>
            <w:tcW w:w="1171"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1175"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4319" w:type="dxa"/>
            <w:tcBorders>
              <w:tl2br w:val="nil"/>
              <w:tr2bl w:val="nil"/>
            </w:tcBorders>
            <w:shd w:val="clear" w:color="auto" w:fill="auto"/>
            <w:vAlign w:val="center"/>
          </w:tcPr>
          <w:p>
            <w:pPr>
              <w:keepNext w:val="0"/>
              <w:keepLines w:val="0"/>
              <w:widowControl/>
              <w:suppressLineNumbers w:val="0"/>
              <w:jc w:val="both"/>
              <w:textAlignment w:val="top"/>
              <w:rPr>
                <w:rFonts w:hint="eastAsia" w:ascii="仿宋_GB2312" w:hAnsi="仿宋_GB2312" w:eastAsia="仿宋_GB2312" w:cs="仿宋_GB2312"/>
                <w:i w:val="0"/>
                <w:iCs w:val="0"/>
                <w:color w:val="auto"/>
                <w:sz w:val="24"/>
                <w:szCs w:val="24"/>
                <w:u w:val="none"/>
                <w:lang w:eastAsia="zh-CN"/>
              </w:rPr>
            </w:pPr>
            <w:r>
              <w:rPr>
                <w:rFonts w:hint="eastAsia" w:ascii="仿宋_GB2312" w:hAnsi="仿宋_GB2312" w:eastAsia="仿宋_GB2312" w:cs="仿宋_GB2312"/>
                <w:i w:val="0"/>
                <w:iCs w:val="0"/>
                <w:color w:val="auto"/>
                <w:sz w:val="24"/>
                <w:szCs w:val="24"/>
                <w:u w:val="none"/>
                <w:lang w:eastAsia="zh-CN"/>
              </w:rPr>
              <w:t>城市人均绿地面积增长率</w:t>
            </w:r>
          </w:p>
        </w:tc>
        <w:tc>
          <w:tcPr>
            <w:tcW w:w="1860" w:type="dxa"/>
            <w:tcBorders>
              <w:tl2br w:val="nil"/>
              <w:tr2bl w:val="nil"/>
            </w:tcBorders>
            <w:shd w:val="clear" w:color="auto" w:fill="auto"/>
            <w:vAlign w:val="top"/>
          </w:tcPr>
          <w:p>
            <w:pPr>
              <w:keepNext w:val="0"/>
              <w:keepLines w:val="0"/>
              <w:widowControl/>
              <w:suppressLineNumbers w:val="0"/>
              <w:jc w:val="left"/>
              <w:textAlignment w:val="top"/>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sz w:val="24"/>
                <w:szCs w:val="24"/>
                <w:u w:val="none"/>
                <w:lang w:eastAsia="zh-CN"/>
              </w:rPr>
              <w:t>≥</w:t>
            </w:r>
            <w:r>
              <w:rPr>
                <w:rFonts w:hint="eastAsia" w:ascii="仿宋_GB2312" w:hAnsi="仿宋_GB2312" w:eastAsia="仿宋_GB2312" w:cs="仿宋_GB2312"/>
                <w:i w:val="0"/>
                <w:iCs w:val="0"/>
                <w:color w:val="auto"/>
                <w:sz w:val="24"/>
                <w:szCs w:val="24"/>
                <w:u w:val="none"/>
                <w:lang w:val="en-US" w:eastAsia="zh-CN"/>
              </w:rPr>
              <w:t>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5" w:hRule="atLeast"/>
        </w:trPr>
        <w:tc>
          <w:tcPr>
            <w:tcW w:w="1171"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1175"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时效指标</w:t>
            </w:r>
          </w:p>
        </w:tc>
        <w:tc>
          <w:tcPr>
            <w:tcW w:w="4319"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lang w:eastAsia="zh-CN"/>
              </w:rPr>
            </w:pPr>
            <w:r>
              <w:rPr>
                <w:rFonts w:hint="eastAsia" w:ascii="仿宋_GB2312" w:hAnsi="仿宋_GB2312" w:eastAsia="仿宋_GB2312" w:cs="仿宋_GB2312"/>
                <w:i w:val="0"/>
                <w:iCs w:val="0"/>
                <w:color w:val="auto"/>
                <w:sz w:val="24"/>
                <w:szCs w:val="24"/>
                <w:u w:val="none"/>
                <w:lang w:eastAsia="zh-CN"/>
              </w:rPr>
              <w:t>开始时间</w:t>
            </w:r>
          </w:p>
        </w:tc>
        <w:tc>
          <w:tcPr>
            <w:tcW w:w="1860" w:type="dxa"/>
            <w:tcBorders>
              <w:tl2br w:val="nil"/>
              <w:tr2bl w:val="nil"/>
            </w:tcBorders>
            <w:shd w:val="clear" w:color="auto" w:fill="auto"/>
            <w:vAlign w:val="center"/>
          </w:tcPr>
          <w:p>
            <w:pPr>
              <w:keepNext w:val="0"/>
              <w:keepLines w:val="0"/>
              <w:widowControl/>
              <w:suppressLineNumbers w:val="0"/>
              <w:jc w:val="left"/>
              <w:textAlignment w:val="center"/>
              <w:rPr>
                <w:rFonts w:hint="default" w:ascii="仿宋_GB2312" w:hAnsi="仿宋_GB2312" w:eastAsia="仿宋_GB2312" w:cs="仿宋_GB2312"/>
                <w:i w:val="0"/>
                <w:iCs w:val="0"/>
                <w:color w:val="auto"/>
                <w:sz w:val="24"/>
                <w:szCs w:val="24"/>
                <w:u w:val="none"/>
                <w:lang w:val="en-US" w:eastAsia="zh-CN"/>
              </w:rPr>
            </w:pPr>
            <w:r>
              <w:rPr>
                <w:rFonts w:hint="eastAsia" w:ascii="仿宋_GB2312" w:hAnsi="仿宋_GB2312" w:eastAsia="仿宋_GB2312" w:cs="仿宋_GB2312"/>
                <w:i w:val="0"/>
                <w:iCs w:val="0"/>
                <w:color w:val="auto"/>
                <w:sz w:val="24"/>
                <w:szCs w:val="24"/>
                <w:u w:val="none"/>
                <w:lang w:val="en-US" w:eastAsia="zh-CN"/>
              </w:rPr>
              <w:t>2019.6.6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4" w:hRule="atLeast"/>
        </w:trPr>
        <w:tc>
          <w:tcPr>
            <w:tcW w:w="1171"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1175"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4319"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lang w:eastAsia="zh-CN"/>
              </w:rPr>
            </w:pPr>
            <w:r>
              <w:rPr>
                <w:rFonts w:hint="eastAsia" w:ascii="仿宋_GB2312" w:hAnsi="仿宋_GB2312" w:eastAsia="仿宋_GB2312" w:cs="仿宋_GB2312"/>
                <w:i w:val="0"/>
                <w:iCs w:val="0"/>
                <w:color w:val="auto"/>
                <w:sz w:val="24"/>
                <w:szCs w:val="24"/>
                <w:u w:val="none"/>
                <w:lang w:eastAsia="zh-CN"/>
              </w:rPr>
              <w:t>完成时间</w:t>
            </w:r>
          </w:p>
        </w:tc>
        <w:tc>
          <w:tcPr>
            <w:tcW w:w="1860" w:type="dxa"/>
            <w:tcBorders>
              <w:tl2br w:val="nil"/>
              <w:tr2bl w:val="nil"/>
            </w:tcBorders>
            <w:shd w:val="clear" w:color="auto" w:fill="auto"/>
            <w:vAlign w:val="center"/>
          </w:tcPr>
          <w:p>
            <w:pPr>
              <w:keepNext w:val="0"/>
              <w:keepLines w:val="0"/>
              <w:widowControl/>
              <w:suppressLineNumbers w:val="0"/>
              <w:jc w:val="left"/>
              <w:textAlignment w:val="center"/>
              <w:rPr>
                <w:rFonts w:hint="default" w:ascii="仿宋_GB2312" w:hAnsi="仿宋_GB2312" w:eastAsia="仿宋_GB2312" w:cs="仿宋_GB2312"/>
                <w:i w:val="0"/>
                <w:iCs w:val="0"/>
                <w:color w:val="auto"/>
                <w:sz w:val="24"/>
                <w:szCs w:val="24"/>
                <w:u w:val="none"/>
                <w:lang w:val="en-US" w:eastAsia="zh-CN"/>
              </w:rPr>
            </w:pPr>
            <w:r>
              <w:rPr>
                <w:rFonts w:hint="eastAsia" w:ascii="仿宋_GB2312" w:hAnsi="仿宋_GB2312" w:eastAsia="仿宋_GB2312" w:cs="仿宋_GB2312"/>
                <w:i w:val="0"/>
                <w:iCs w:val="0"/>
                <w:color w:val="auto"/>
                <w:sz w:val="24"/>
                <w:szCs w:val="24"/>
                <w:u w:val="none"/>
                <w:lang w:val="en-US" w:eastAsia="zh-CN"/>
              </w:rPr>
              <w:t>2019.11.2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7" w:hRule="atLeast"/>
        </w:trPr>
        <w:tc>
          <w:tcPr>
            <w:tcW w:w="1171"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成本指标</w:t>
            </w:r>
          </w:p>
        </w:tc>
        <w:tc>
          <w:tcPr>
            <w:tcW w:w="117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成本指标</w:t>
            </w:r>
          </w:p>
        </w:tc>
        <w:tc>
          <w:tcPr>
            <w:tcW w:w="4319" w:type="dxa"/>
            <w:tcBorders>
              <w:tl2br w:val="nil"/>
              <w:tr2bl w:val="nil"/>
            </w:tcBorders>
            <w:shd w:val="clear" w:color="auto" w:fill="auto"/>
            <w:vAlign w:val="top"/>
          </w:tcPr>
          <w:p>
            <w:pPr>
              <w:keepNext w:val="0"/>
              <w:keepLines w:val="0"/>
              <w:widowControl/>
              <w:suppressLineNumbers w:val="0"/>
              <w:jc w:val="both"/>
              <w:textAlignment w:val="top"/>
              <w:rPr>
                <w:rFonts w:hint="eastAsia" w:ascii="仿宋_GB2312" w:hAnsi="仿宋_GB2312" w:eastAsia="仿宋_GB2312" w:cs="仿宋_GB2312"/>
                <w:i w:val="0"/>
                <w:iCs w:val="0"/>
                <w:color w:val="auto"/>
                <w:sz w:val="24"/>
                <w:szCs w:val="24"/>
                <w:u w:val="none"/>
                <w:lang w:eastAsia="zh-CN"/>
              </w:rPr>
            </w:pPr>
            <w:r>
              <w:rPr>
                <w:rFonts w:hint="eastAsia" w:ascii="仿宋_GB2312" w:hAnsi="仿宋_GB2312" w:eastAsia="仿宋_GB2312" w:cs="仿宋_GB2312"/>
                <w:i w:val="0"/>
                <w:iCs w:val="0"/>
                <w:color w:val="auto"/>
                <w:sz w:val="24"/>
                <w:szCs w:val="24"/>
                <w:u w:val="none"/>
                <w:lang w:eastAsia="zh-CN"/>
              </w:rPr>
              <w:t>预算控制数</w:t>
            </w:r>
          </w:p>
        </w:tc>
        <w:tc>
          <w:tcPr>
            <w:tcW w:w="1860" w:type="dxa"/>
            <w:tcBorders>
              <w:tl2br w:val="nil"/>
              <w:tr2bl w:val="nil"/>
            </w:tcBorders>
            <w:shd w:val="clear" w:color="auto" w:fill="auto"/>
            <w:vAlign w:val="top"/>
          </w:tcPr>
          <w:p>
            <w:pPr>
              <w:keepNext w:val="0"/>
              <w:keepLines w:val="0"/>
              <w:widowControl/>
              <w:suppressLineNumbers w:val="0"/>
              <w:jc w:val="left"/>
              <w:textAlignment w:val="top"/>
              <w:rPr>
                <w:rFonts w:hint="default" w:ascii="仿宋_GB2312" w:hAnsi="仿宋_GB2312" w:eastAsia="仿宋_GB2312" w:cs="仿宋_GB2312"/>
                <w:i w:val="0"/>
                <w:iCs w:val="0"/>
                <w:color w:val="auto"/>
                <w:sz w:val="24"/>
                <w:szCs w:val="24"/>
                <w:u w:val="none"/>
                <w:lang w:val="en-US" w:eastAsia="zh-CN"/>
              </w:rPr>
            </w:pPr>
            <w:r>
              <w:rPr>
                <w:rFonts w:hint="eastAsia" w:ascii="仿宋_GB2312" w:hAnsi="仿宋_GB2312" w:eastAsia="仿宋_GB2312" w:cs="仿宋_GB2312"/>
                <w:i w:val="0"/>
                <w:iCs w:val="0"/>
                <w:color w:val="auto"/>
                <w:sz w:val="24"/>
                <w:szCs w:val="24"/>
                <w:u w:val="none"/>
                <w:lang w:eastAsia="zh-CN"/>
              </w:rPr>
              <w:t>≤</w:t>
            </w:r>
            <w:r>
              <w:rPr>
                <w:rFonts w:hint="eastAsia" w:ascii="仿宋_GB2312" w:hAnsi="仿宋_GB2312" w:eastAsia="仿宋_GB2312" w:cs="仿宋_GB2312"/>
                <w:i w:val="0"/>
                <w:iCs w:val="0"/>
                <w:color w:val="auto"/>
                <w:sz w:val="24"/>
                <w:szCs w:val="24"/>
                <w:u w:val="none"/>
                <w:lang w:val="en-US" w:eastAsia="zh-CN"/>
              </w:rPr>
              <w:t>1,650.00万元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1171"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效益指标</w:t>
            </w:r>
          </w:p>
        </w:tc>
        <w:tc>
          <w:tcPr>
            <w:tcW w:w="1175"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经济效益指标</w:t>
            </w:r>
          </w:p>
        </w:tc>
        <w:tc>
          <w:tcPr>
            <w:tcW w:w="4319"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lang w:eastAsia="zh-CN"/>
              </w:rPr>
            </w:pPr>
            <w:r>
              <w:rPr>
                <w:rFonts w:hint="eastAsia" w:ascii="仿宋_GB2312" w:hAnsi="仿宋_GB2312" w:eastAsia="仿宋_GB2312" w:cs="仿宋_GB2312"/>
                <w:i w:val="0"/>
                <w:iCs w:val="0"/>
                <w:color w:val="auto"/>
                <w:sz w:val="24"/>
                <w:szCs w:val="24"/>
                <w:u w:val="none"/>
                <w:lang w:eastAsia="zh-CN"/>
              </w:rPr>
              <w:t>绿化产值增加率</w:t>
            </w:r>
          </w:p>
        </w:tc>
        <w:tc>
          <w:tcPr>
            <w:tcW w:w="1860" w:type="dxa"/>
            <w:tcBorders>
              <w:tl2br w:val="nil"/>
              <w:tr2bl w:val="nil"/>
            </w:tcBorders>
            <w:shd w:val="clear" w:color="auto" w:fill="auto"/>
            <w:vAlign w:val="center"/>
          </w:tcPr>
          <w:p>
            <w:pPr>
              <w:keepNext w:val="0"/>
              <w:keepLines w:val="0"/>
              <w:widowControl/>
              <w:suppressLineNumbers w:val="0"/>
              <w:jc w:val="both"/>
              <w:textAlignment w:val="center"/>
              <w:rPr>
                <w:rFonts w:hint="default" w:ascii="仿宋_GB2312" w:hAnsi="仿宋_GB2312" w:eastAsia="仿宋_GB2312" w:cs="仿宋_GB2312"/>
                <w:i w:val="0"/>
                <w:iCs w:val="0"/>
                <w:color w:val="auto"/>
                <w:sz w:val="24"/>
                <w:szCs w:val="24"/>
                <w:u w:val="none"/>
                <w:lang w:val="en-US" w:eastAsia="zh-CN"/>
              </w:rPr>
            </w:pPr>
            <w:r>
              <w:rPr>
                <w:rFonts w:hint="eastAsia" w:ascii="仿宋_GB2312" w:hAnsi="仿宋_GB2312" w:eastAsia="仿宋_GB2312" w:cs="仿宋_GB2312"/>
                <w:i w:val="0"/>
                <w:iCs w:val="0"/>
                <w:color w:val="auto"/>
                <w:sz w:val="24"/>
                <w:szCs w:val="24"/>
                <w:u w:val="none"/>
                <w:lang w:val="en-US" w:eastAsia="zh-CN"/>
              </w:rPr>
              <w:t>明显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1171"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1175"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4319"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lang w:eastAsia="zh-CN"/>
              </w:rPr>
            </w:pPr>
            <w:r>
              <w:rPr>
                <w:rFonts w:hint="eastAsia" w:ascii="仿宋_GB2312" w:hAnsi="仿宋_GB2312" w:eastAsia="仿宋_GB2312" w:cs="仿宋_GB2312"/>
                <w:i w:val="0"/>
                <w:iCs w:val="0"/>
                <w:color w:val="auto"/>
                <w:sz w:val="24"/>
                <w:szCs w:val="24"/>
                <w:u w:val="none"/>
                <w:lang w:eastAsia="zh-CN"/>
              </w:rPr>
              <w:t>带动群众就业率</w:t>
            </w:r>
          </w:p>
        </w:tc>
        <w:tc>
          <w:tcPr>
            <w:tcW w:w="1860" w:type="dxa"/>
            <w:tcBorders>
              <w:tl2br w:val="nil"/>
              <w:tr2bl w:val="nil"/>
            </w:tcBorders>
            <w:shd w:val="clear" w:color="auto" w:fill="auto"/>
            <w:vAlign w:val="center"/>
          </w:tcPr>
          <w:p>
            <w:pPr>
              <w:keepNext w:val="0"/>
              <w:keepLines w:val="0"/>
              <w:widowControl/>
              <w:suppressLineNumbers w:val="0"/>
              <w:jc w:val="both"/>
              <w:textAlignment w:val="center"/>
              <w:rPr>
                <w:rFonts w:hint="default" w:ascii="仿宋_GB2312" w:hAnsi="仿宋_GB2312" w:eastAsia="仿宋_GB2312" w:cs="仿宋_GB2312"/>
                <w:i w:val="0"/>
                <w:iCs w:val="0"/>
                <w:color w:val="auto"/>
                <w:sz w:val="24"/>
                <w:szCs w:val="24"/>
                <w:u w:val="none"/>
                <w:lang w:val="en-US" w:eastAsia="zh-CN"/>
              </w:rPr>
            </w:pPr>
            <w:r>
              <w:rPr>
                <w:rFonts w:hint="eastAsia" w:ascii="仿宋_GB2312" w:hAnsi="仿宋_GB2312" w:eastAsia="仿宋_GB2312" w:cs="仿宋_GB2312"/>
                <w:i w:val="0"/>
                <w:iCs w:val="0"/>
                <w:color w:val="auto"/>
                <w:sz w:val="24"/>
                <w:szCs w:val="24"/>
                <w:u w:val="none"/>
                <w:lang w:val="en-US" w:eastAsia="zh-CN"/>
              </w:rPr>
              <w:t>增加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trPr>
        <w:tc>
          <w:tcPr>
            <w:tcW w:w="1171"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1175"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社会效益指标</w:t>
            </w:r>
          </w:p>
        </w:tc>
        <w:tc>
          <w:tcPr>
            <w:tcW w:w="4319"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优化投资环境</w:t>
            </w:r>
          </w:p>
        </w:tc>
        <w:tc>
          <w:tcPr>
            <w:tcW w:w="1860"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lang w:eastAsia="zh-CN"/>
              </w:rPr>
            </w:pPr>
            <w:r>
              <w:rPr>
                <w:rFonts w:hint="eastAsia" w:ascii="仿宋_GB2312" w:hAnsi="仿宋_GB2312" w:eastAsia="仿宋_GB2312" w:cs="仿宋_GB2312"/>
                <w:i w:val="0"/>
                <w:iCs w:val="0"/>
                <w:color w:val="auto"/>
                <w:sz w:val="24"/>
                <w:szCs w:val="24"/>
                <w:u w:val="none"/>
                <w:lang w:eastAsia="zh-CN"/>
              </w:rPr>
              <w:t>显著</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5" w:hRule="atLeast"/>
        </w:trPr>
        <w:tc>
          <w:tcPr>
            <w:tcW w:w="1171"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1175"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4319" w:type="dxa"/>
            <w:tcBorders>
              <w:tl2br w:val="nil"/>
              <w:tr2bl w:val="nil"/>
            </w:tcBorders>
            <w:shd w:val="clear" w:color="auto" w:fill="auto"/>
            <w:vAlign w:val="top"/>
          </w:tcPr>
          <w:p>
            <w:pPr>
              <w:keepNext w:val="0"/>
              <w:keepLines w:val="0"/>
              <w:widowControl/>
              <w:suppressLineNumbers w:val="0"/>
              <w:jc w:val="both"/>
              <w:textAlignment w:val="top"/>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有效带动全县实现高质量发展</w:t>
            </w:r>
          </w:p>
        </w:tc>
        <w:tc>
          <w:tcPr>
            <w:tcW w:w="1860"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lang w:eastAsia="zh-CN"/>
              </w:rPr>
            </w:pPr>
            <w:r>
              <w:rPr>
                <w:rFonts w:hint="eastAsia" w:ascii="仿宋_GB2312" w:hAnsi="仿宋_GB2312" w:eastAsia="仿宋_GB2312" w:cs="仿宋_GB2312"/>
                <w:i w:val="0"/>
                <w:iCs w:val="0"/>
                <w:color w:val="auto"/>
                <w:sz w:val="24"/>
                <w:szCs w:val="24"/>
                <w:u w:val="none"/>
                <w:lang w:eastAsia="zh-CN"/>
              </w:rPr>
              <w:t>提高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5" w:hRule="atLeast"/>
        </w:trPr>
        <w:tc>
          <w:tcPr>
            <w:tcW w:w="1171"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1175"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生态效益指标</w:t>
            </w:r>
          </w:p>
        </w:tc>
        <w:tc>
          <w:tcPr>
            <w:tcW w:w="4319"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lang w:eastAsia="zh-CN"/>
              </w:rPr>
            </w:pPr>
            <w:r>
              <w:rPr>
                <w:rFonts w:hint="eastAsia" w:ascii="仿宋_GB2312" w:hAnsi="仿宋_GB2312" w:eastAsia="仿宋_GB2312" w:cs="仿宋_GB2312"/>
                <w:i w:val="0"/>
                <w:iCs w:val="0"/>
                <w:color w:val="auto"/>
                <w:sz w:val="24"/>
                <w:szCs w:val="24"/>
                <w:u w:val="none"/>
                <w:lang w:eastAsia="zh-CN"/>
              </w:rPr>
              <w:t>绿化面积增长率</w:t>
            </w:r>
          </w:p>
        </w:tc>
        <w:tc>
          <w:tcPr>
            <w:tcW w:w="1860" w:type="dxa"/>
            <w:tcBorders>
              <w:tl2br w:val="nil"/>
              <w:tr2bl w:val="nil"/>
            </w:tcBorders>
            <w:shd w:val="clear" w:color="auto" w:fill="auto"/>
            <w:vAlign w:val="center"/>
          </w:tcPr>
          <w:p>
            <w:pPr>
              <w:keepNext w:val="0"/>
              <w:keepLines w:val="0"/>
              <w:widowControl/>
              <w:suppressLineNumbers w:val="0"/>
              <w:jc w:val="both"/>
              <w:textAlignment w:val="center"/>
              <w:rPr>
                <w:rFonts w:hint="default" w:ascii="仿宋_GB2312" w:hAnsi="仿宋_GB2312" w:eastAsia="仿宋_GB2312" w:cs="仿宋_GB2312"/>
                <w:i w:val="0"/>
                <w:iCs w:val="0"/>
                <w:color w:val="auto"/>
                <w:sz w:val="24"/>
                <w:szCs w:val="24"/>
                <w:u w:val="none"/>
                <w:lang w:val="en-US" w:eastAsia="zh-CN"/>
              </w:rPr>
            </w:pPr>
            <w:r>
              <w:rPr>
                <w:rFonts w:hint="eastAsia" w:ascii="仿宋_GB2312" w:hAnsi="仿宋_GB2312" w:eastAsia="仿宋_GB2312" w:cs="仿宋_GB2312"/>
                <w:i w:val="0"/>
                <w:iCs w:val="0"/>
                <w:color w:val="auto"/>
                <w:sz w:val="24"/>
                <w:szCs w:val="24"/>
                <w:u w:val="none"/>
                <w:lang w:val="en-US" w:eastAsia="zh-CN"/>
              </w:rPr>
              <w:t>提升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5" w:hRule="atLeast"/>
        </w:trPr>
        <w:tc>
          <w:tcPr>
            <w:tcW w:w="1171"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1175"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4319"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lang w:val="en-US" w:eastAsia="zh-CN"/>
              </w:rPr>
            </w:pPr>
            <w:r>
              <w:rPr>
                <w:rFonts w:hint="eastAsia" w:ascii="仿宋_GB2312" w:hAnsi="仿宋_GB2312" w:eastAsia="仿宋_GB2312" w:cs="仿宋_GB2312"/>
                <w:i w:val="0"/>
                <w:iCs w:val="0"/>
                <w:color w:val="auto"/>
                <w:sz w:val="24"/>
                <w:szCs w:val="24"/>
                <w:u w:val="none"/>
                <w:lang w:eastAsia="zh-CN"/>
              </w:rPr>
              <w:t>生态环境得到改善</w:t>
            </w:r>
          </w:p>
        </w:tc>
        <w:tc>
          <w:tcPr>
            <w:tcW w:w="1860"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lang w:eastAsia="zh-CN"/>
              </w:rPr>
            </w:pPr>
            <w:r>
              <w:rPr>
                <w:rFonts w:hint="eastAsia" w:ascii="仿宋_GB2312" w:hAnsi="仿宋_GB2312" w:eastAsia="仿宋_GB2312" w:cs="仿宋_GB2312"/>
                <w:i w:val="0"/>
                <w:iCs w:val="0"/>
                <w:color w:val="auto"/>
                <w:sz w:val="24"/>
                <w:szCs w:val="24"/>
                <w:u w:val="none"/>
                <w:lang w:eastAsia="zh-CN"/>
              </w:rPr>
              <w:t>显著</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5" w:hRule="atLeast"/>
        </w:trPr>
        <w:tc>
          <w:tcPr>
            <w:tcW w:w="1171"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1175"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可持续影响指标</w:t>
            </w:r>
          </w:p>
        </w:tc>
        <w:tc>
          <w:tcPr>
            <w:tcW w:w="4319"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lang w:eastAsia="zh-CN"/>
              </w:rPr>
            </w:pPr>
            <w:r>
              <w:rPr>
                <w:rFonts w:hint="eastAsia" w:ascii="仿宋_GB2312" w:hAnsi="仿宋_GB2312" w:eastAsia="仿宋_GB2312" w:cs="仿宋_GB2312"/>
                <w:i w:val="0"/>
                <w:iCs w:val="0"/>
                <w:color w:val="auto"/>
                <w:sz w:val="24"/>
                <w:szCs w:val="24"/>
                <w:u w:val="none"/>
                <w:lang w:eastAsia="zh-CN"/>
              </w:rPr>
              <w:t>构建森林稳定生态系统</w:t>
            </w:r>
          </w:p>
        </w:tc>
        <w:tc>
          <w:tcPr>
            <w:tcW w:w="1860"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lang w:eastAsia="zh-CN"/>
              </w:rPr>
            </w:pPr>
            <w:r>
              <w:rPr>
                <w:rFonts w:hint="eastAsia" w:ascii="仿宋_GB2312" w:hAnsi="仿宋_GB2312" w:eastAsia="仿宋_GB2312" w:cs="仿宋_GB2312"/>
                <w:i w:val="0"/>
                <w:iCs w:val="0"/>
                <w:color w:val="auto"/>
                <w:sz w:val="24"/>
                <w:szCs w:val="24"/>
                <w:u w:val="none"/>
                <w:lang w:eastAsia="zh-CN"/>
              </w:rPr>
              <w:t>持续</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5" w:hRule="atLeast"/>
        </w:trPr>
        <w:tc>
          <w:tcPr>
            <w:tcW w:w="1171" w:type="dxa"/>
            <w:vMerge w:val="continue"/>
            <w:tcBorders>
              <w:tl2br w:val="nil"/>
              <w:tr2bl w:val="nil"/>
            </w:tcBorders>
            <w:shd w:val="clear" w:color="auto" w:fill="auto"/>
            <w:vAlign w:val="center"/>
          </w:tcPr>
          <w:p>
            <w:pPr>
              <w:jc w:val="center"/>
              <w:rPr>
                <w:rFonts w:hint="default" w:ascii="仿宋_GB2312" w:hAnsi="仿宋_GB2312" w:eastAsia="仿宋_GB2312" w:cs="仿宋_GB2312"/>
                <w:i w:val="0"/>
                <w:iCs w:val="0"/>
                <w:color w:val="auto"/>
                <w:sz w:val="24"/>
                <w:szCs w:val="24"/>
                <w:u w:val="none"/>
                <w:lang w:val="en-US" w:eastAsia="zh-CN"/>
              </w:rPr>
            </w:pPr>
            <w:r>
              <w:rPr>
                <w:rFonts w:hint="eastAsia" w:ascii="仿宋_GB2312" w:hAnsi="仿宋_GB2312" w:eastAsia="仿宋_GB2312" w:cs="仿宋_GB2312"/>
                <w:i w:val="0"/>
                <w:iCs w:val="0"/>
                <w:color w:val="auto"/>
                <w:sz w:val="24"/>
                <w:szCs w:val="24"/>
                <w:u w:val="none"/>
                <w:lang w:eastAsia="zh-CN"/>
              </w:rPr>
              <w:t xml:space="preserve"> </w:t>
            </w:r>
            <w:r>
              <w:rPr>
                <w:rFonts w:hint="eastAsia" w:ascii="仿宋_GB2312" w:hAnsi="仿宋_GB2312" w:eastAsia="仿宋_GB2312" w:cs="仿宋_GB2312"/>
                <w:i w:val="0"/>
                <w:iCs w:val="0"/>
                <w:color w:val="auto"/>
                <w:sz w:val="24"/>
                <w:szCs w:val="24"/>
                <w:u w:val="none"/>
                <w:lang w:val="en-US" w:eastAsia="zh-CN"/>
              </w:rPr>
              <w:t xml:space="preserve"> </w:t>
            </w:r>
          </w:p>
        </w:tc>
        <w:tc>
          <w:tcPr>
            <w:tcW w:w="1175"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4319"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减低污染空气质量指数</w:t>
            </w:r>
          </w:p>
        </w:tc>
        <w:tc>
          <w:tcPr>
            <w:tcW w:w="1860"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sz w:val="24"/>
                <w:szCs w:val="24"/>
                <w:u w:val="none"/>
                <w:lang w:eastAsia="zh-CN"/>
              </w:rPr>
              <w:t>明显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35" w:hRule="atLeast"/>
        </w:trPr>
        <w:tc>
          <w:tcPr>
            <w:tcW w:w="1171"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满意度指标</w:t>
            </w:r>
          </w:p>
        </w:tc>
        <w:tc>
          <w:tcPr>
            <w:tcW w:w="1175"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服务对象满意度指标</w:t>
            </w:r>
          </w:p>
        </w:tc>
        <w:tc>
          <w:tcPr>
            <w:tcW w:w="4319"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lang w:eastAsia="zh-CN"/>
              </w:rPr>
            </w:pPr>
            <w:r>
              <w:rPr>
                <w:rFonts w:hint="eastAsia" w:ascii="仿宋_GB2312" w:hAnsi="仿宋_GB2312" w:eastAsia="仿宋_GB2312" w:cs="仿宋_GB2312"/>
                <w:i w:val="0"/>
                <w:iCs w:val="0"/>
                <w:color w:val="auto"/>
                <w:sz w:val="24"/>
                <w:szCs w:val="24"/>
                <w:u w:val="none"/>
                <w:lang w:eastAsia="zh-CN"/>
              </w:rPr>
              <w:t>直接对象满意度</w:t>
            </w:r>
          </w:p>
        </w:tc>
        <w:tc>
          <w:tcPr>
            <w:tcW w:w="1860"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171"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1175" w:type="dxa"/>
            <w:vMerge w:val="continue"/>
            <w:tcBorders>
              <w:tl2br w:val="nil"/>
              <w:tr2bl w:val="nil"/>
            </w:tcBorders>
            <w:shd w:val="clear" w:color="auto" w:fill="auto"/>
            <w:vAlign w:val="center"/>
          </w:tcPr>
          <w:p>
            <w:pPr>
              <w:jc w:val="center"/>
              <w:rPr>
                <w:rFonts w:hint="eastAsia" w:ascii="仿宋_GB2312" w:hAnsi="仿宋_GB2312" w:eastAsia="仿宋_GB2312" w:cs="仿宋_GB2312"/>
                <w:i w:val="0"/>
                <w:iCs w:val="0"/>
                <w:color w:val="auto"/>
                <w:sz w:val="24"/>
                <w:szCs w:val="24"/>
                <w:u w:val="none"/>
              </w:rPr>
            </w:pPr>
          </w:p>
        </w:tc>
        <w:tc>
          <w:tcPr>
            <w:tcW w:w="4319"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lang w:eastAsia="zh-CN"/>
              </w:rPr>
            </w:pPr>
            <w:r>
              <w:rPr>
                <w:rFonts w:hint="eastAsia" w:ascii="仿宋_GB2312" w:hAnsi="仿宋_GB2312" w:eastAsia="仿宋_GB2312" w:cs="仿宋_GB2312"/>
                <w:i w:val="0"/>
                <w:iCs w:val="0"/>
                <w:color w:val="auto"/>
                <w:sz w:val="24"/>
                <w:szCs w:val="24"/>
                <w:u w:val="none"/>
                <w:lang w:eastAsia="zh-CN"/>
              </w:rPr>
              <w:t>间接对象满意度</w:t>
            </w:r>
          </w:p>
        </w:tc>
        <w:tc>
          <w:tcPr>
            <w:tcW w:w="1860" w:type="dxa"/>
            <w:tcBorders>
              <w:tl2br w:val="nil"/>
              <w:tr2bl w:val="nil"/>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≥95%</w:t>
            </w:r>
          </w:p>
        </w:tc>
      </w:tr>
    </w:tbl>
    <w:p>
      <w:pPr>
        <w:pStyle w:val="7"/>
        <w:rPr>
          <w:rFonts w:hint="eastAsia" w:ascii="仿宋_GB2312" w:hAnsi="仿宋_GB2312" w:eastAsia="仿宋_GB2312" w:cs="仿宋_GB2312"/>
          <w:color w:val="auto"/>
          <w:sz w:val="24"/>
          <w:szCs w:val="24"/>
        </w:rPr>
      </w:pPr>
    </w:p>
    <w:p>
      <w:pPr>
        <w:keepNext w:val="0"/>
        <w:keepLines w:val="0"/>
        <w:pageBreakBefore w:val="0"/>
        <w:kinsoku/>
        <w:wordWrap/>
        <w:overflowPunct/>
        <w:topLinePunct w:val="0"/>
        <w:autoSpaceDE/>
        <w:autoSpaceDN/>
        <w:bidi w:val="0"/>
        <w:adjustRightInd/>
        <w:snapToGrid/>
        <w:spacing w:line="360" w:lineRule="auto"/>
        <w:ind w:firstLine="643" w:firstLineChars="200"/>
        <w:jc w:val="both"/>
        <w:textAlignment w:val="auto"/>
        <w:outlineLvl w:val="0"/>
        <w:rPr>
          <w:rFonts w:hint="eastAsia" w:ascii="仿宋_GB2312" w:hAnsi="仿宋_GB2312" w:eastAsia="仿宋_GB2312" w:cs="仿宋_GB2312"/>
          <w:b/>
          <w:bCs/>
          <w:color w:val="auto"/>
          <w:sz w:val="32"/>
          <w:szCs w:val="32"/>
        </w:rPr>
      </w:pPr>
      <w:bookmarkStart w:id="12" w:name="_Toc11462"/>
      <w:r>
        <w:rPr>
          <w:rFonts w:hint="eastAsia" w:ascii="仿宋_GB2312" w:hAnsi="仿宋_GB2312" w:eastAsia="仿宋_GB2312" w:cs="仿宋_GB2312"/>
          <w:b/>
          <w:bCs/>
          <w:color w:val="auto"/>
          <w:sz w:val="32"/>
          <w:szCs w:val="32"/>
        </w:rPr>
        <w:t>二、绩效评价工作开展情况</w:t>
      </w:r>
      <w:bookmarkEnd w:id="12"/>
    </w:p>
    <w:bookmarkEnd w:id="11"/>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color w:val="auto"/>
          <w:kern w:val="2"/>
          <w:sz w:val="32"/>
          <w:szCs w:val="32"/>
        </w:rPr>
      </w:pPr>
      <w:bookmarkStart w:id="13" w:name="_Toc25987"/>
      <w:bookmarkStart w:id="14" w:name="_Toc74939782"/>
      <w:r>
        <w:rPr>
          <w:rFonts w:hint="eastAsia" w:ascii="仿宋_GB2312" w:hAnsi="仿宋_GB2312" w:eastAsia="仿宋_GB2312" w:cs="仿宋_GB2312"/>
          <w:b/>
          <w:bCs/>
          <w:color w:val="auto"/>
          <w:sz w:val="32"/>
          <w:szCs w:val="32"/>
        </w:rPr>
        <w:t>（一）评价目的、对象及范围</w:t>
      </w:r>
      <w:bookmarkEnd w:id="13"/>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本次绩效评价旨在通过开展</w:t>
      </w:r>
      <w:r>
        <w:rPr>
          <w:rFonts w:hint="eastAsia" w:ascii="仿宋_GB2312" w:hAnsi="仿宋_GB2312" w:eastAsia="仿宋_GB2312" w:cs="仿宋_GB2312"/>
          <w:color w:val="auto"/>
          <w:kern w:val="2"/>
          <w:sz w:val="32"/>
          <w:szCs w:val="32"/>
          <w:lang w:eastAsia="zh-CN"/>
        </w:rPr>
        <w:t>安阳县自然资源局创建森林城市绿化建设京港澳高速城区段绿化项目（一园）</w:t>
      </w:r>
      <w:r>
        <w:rPr>
          <w:rFonts w:hint="eastAsia" w:ascii="仿宋_GB2312" w:hAnsi="仿宋_GB2312" w:eastAsia="仿宋_GB2312" w:cs="仿宋_GB2312"/>
          <w:color w:val="auto"/>
          <w:kern w:val="2"/>
          <w:sz w:val="32"/>
          <w:szCs w:val="32"/>
        </w:rPr>
        <w:t>绩效评价，建立健全财政收支绩效的社会评价体系，客观公正地核查该项目资金的预期目标实现程度，考评资金支出效率、效益和综合效果，及时总结项目管理经验，分析存在的问题及原因，切实采取措施，进一步改进和加强项目管理。同时，以评价抓落实，以绩效提实效，以监督促工作，全面提高预算绩效管理水平。</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本次绩效评价对象是“</w:t>
      </w:r>
      <w:r>
        <w:rPr>
          <w:rFonts w:hint="eastAsia" w:ascii="仿宋_GB2312" w:hAnsi="仿宋_GB2312" w:eastAsia="仿宋_GB2312" w:cs="仿宋_GB2312"/>
          <w:color w:val="auto"/>
          <w:kern w:val="2"/>
          <w:sz w:val="32"/>
          <w:szCs w:val="32"/>
          <w:lang w:eastAsia="zh-CN"/>
        </w:rPr>
        <w:t>安阳县自然资源局创建森林城市绿化建设京港澳高速城区段绿化项目（一园）</w:t>
      </w:r>
      <w:r>
        <w:rPr>
          <w:rFonts w:hint="eastAsia" w:ascii="仿宋_GB2312" w:hAnsi="仿宋_GB2312" w:eastAsia="仿宋_GB2312" w:cs="仿宋_GB2312"/>
          <w:color w:val="auto"/>
          <w:kern w:val="2"/>
          <w:sz w:val="32"/>
          <w:szCs w:val="32"/>
        </w:rPr>
        <w:t>”</w:t>
      </w:r>
      <w:r>
        <w:rPr>
          <w:rFonts w:hint="eastAsia" w:ascii="仿宋_GB2312" w:hAnsi="仿宋_GB2312" w:eastAsia="仿宋_GB2312" w:cs="仿宋_GB2312"/>
          <w:color w:val="auto"/>
          <w:kern w:val="2"/>
          <w:sz w:val="32"/>
          <w:szCs w:val="32"/>
          <w:highlight w:val="none"/>
        </w:rPr>
        <w:t>涉及的</w:t>
      </w:r>
      <w:r>
        <w:rPr>
          <w:rFonts w:hint="eastAsia" w:ascii="仿宋_GB2312" w:hAnsi="仿宋_GB2312" w:eastAsia="仿宋_GB2312" w:cs="仿宋_GB2312"/>
          <w:color w:val="auto"/>
          <w:kern w:val="2"/>
          <w:sz w:val="32"/>
          <w:szCs w:val="32"/>
          <w:highlight w:val="none"/>
          <w:lang w:eastAsia="zh-CN"/>
        </w:rPr>
        <w:t>县</w:t>
      </w:r>
      <w:r>
        <w:rPr>
          <w:rFonts w:hint="eastAsia" w:ascii="仿宋_GB2312" w:hAnsi="仿宋_GB2312" w:eastAsia="仿宋_GB2312" w:cs="仿宋_GB2312"/>
          <w:color w:val="auto"/>
          <w:kern w:val="2"/>
          <w:sz w:val="32"/>
          <w:szCs w:val="32"/>
          <w:highlight w:val="none"/>
        </w:rPr>
        <w:t>级财政预算资金</w:t>
      </w:r>
      <w:r>
        <w:rPr>
          <w:rFonts w:hint="eastAsia" w:ascii="仿宋_GB2312" w:hAnsi="仿宋_GB2312" w:eastAsia="仿宋_GB2312" w:cs="仿宋_GB2312"/>
          <w:color w:val="auto"/>
          <w:kern w:val="2"/>
          <w:sz w:val="32"/>
          <w:szCs w:val="32"/>
          <w:highlight w:val="none"/>
          <w:lang w:val="en-US" w:eastAsia="zh-CN"/>
        </w:rPr>
        <w:t>1,650.00</w:t>
      </w:r>
      <w:r>
        <w:rPr>
          <w:rFonts w:hint="eastAsia" w:ascii="仿宋_GB2312" w:hAnsi="仿宋_GB2312" w:eastAsia="仿宋_GB2312" w:cs="仿宋_GB2312"/>
          <w:color w:val="auto"/>
          <w:kern w:val="2"/>
          <w:sz w:val="32"/>
          <w:szCs w:val="32"/>
          <w:highlight w:val="none"/>
        </w:rPr>
        <w:t>万元。从</w:t>
      </w:r>
      <w:r>
        <w:rPr>
          <w:rFonts w:hint="eastAsia" w:ascii="仿宋_GB2312" w:hAnsi="仿宋_GB2312" w:eastAsia="仿宋_GB2312" w:cs="仿宋_GB2312"/>
          <w:color w:val="auto"/>
          <w:kern w:val="2"/>
          <w:sz w:val="32"/>
          <w:szCs w:val="32"/>
        </w:rPr>
        <w:t>项目实施流程角度看，评价范围包括项目决策管理到项目产生效益的全过程。从时间维度来看，评价涵盖202</w:t>
      </w:r>
      <w:r>
        <w:rPr>
          <w:rFonts w:hint="eastAsia" w:ascii="仿宋_GB2312" w:hAnsi="仿宋_GB2312" w:eastAsia="仿宋_GB2312" w:cs="仿宋_GB2312"/>
          <w:color w:val="auto"/>
          <w:kern w:val="2"/>
          <w:sz w:val="32"/>
          <w:szCs w:val="32"/>
          <w:lang w:val="en-US" w:eastAsia="zh-CN"/>
        </w:rPr>
        <w:t>1</w:t>
      </w:r>
      <w:r>
        <w:rPr>
          <w:rFonts w:hint="eastAsia" w:ascii="仿宋_GB2312" w:hAnsi="仿宋_GB2312" w:eastAsia="仿宋_GB2312" w:cs="仿宋_GB2312"/>
          <w:color w:val="auto"/>
          <w:kern w:val="2"/>
          <w:sz w:val="32"/>
          <w:szCs w:val="32"/>
        </w:rPr>
        <w:t>年1月1日至202</w:t>
      </w:r>
      <w:r>
        <w:rPr>
          <w:rFonts w:hint="eastAsia" w:ascii="仿宋_GB2312" w:hAnsi="仿宋_GB2312" w:eastAsia="仿宋_GB2312" w:cs="仿宋_GB2312"/>
          <w:color w:val="auto"/>
          <w:kern w:val="2"/>
          <w:sz w:val="32"/>
          <w:szCs w:val="32"/>
          <w:lang w:val="en-US" w:eastAsia="zh-CN"/>
        </w:rPr>
        <w:t>1</w:t>
      </w:r>
      <w:r>
        <w:rPr>
          <w:rFonts w:hint="eastAsia" w:ascii="仿宋_GB2312" w:hAnsi="仿宋_GB2312" w:eastAsia="仿宋_GB2312" w:cs="仿宋_GB2312"/>
          <w:color w:val="auto"/>
          <w:kern w:val="2"/>
          <w:sz w:val="32"/>
          <w:szCs w:val="32"/>
        </w:rPr>
        <w:t>年12月31日。评价相关方包括</w:t>
      </w:r>
      <w:r>
        <w:rPr>
          <w:rFonts w:hint="eastAsia" w:ascii="仿宋_GB2312" w:hAnsi="仿宋_GB2312" w:eastAsia="仿宋_GB2312" w:cs="仿宋_GB2312"/>
          <w:color w:val="auto"/>
          <w:kern w:val="2"/>
          <w:sz w:val="32"/>
          <w:szCs w:val="32"/>
          <w:lang w:eastAsia="zh-CN"/>
        </w:rPr>
        <w:t>自然资源局</w:t>
      </w:r>
      <w:r>
        <w:rPr>
          <w:rFonts w:hint="eastAsia" w:ascii="仿宋_GB2312" w:hAnsi="仿宋_GB2312" w:eastAsia="仿宋_GB2312" w:cs="仿宋_GB2312"/>
          <w:color w:val="auto"/>
          <w:kern w:val="2"/>
          <w:sz w:val="32"/>
          <w:szCs w:val="32"/>
        </w:rPr>
        <w:t>、</w:t>
      </w:r>
      <w:r>
        <w:rPr>
          <w:rFonts w:hint="eastAsia" w:ascii="仿宋_GB2312" w:hAnsi="仿宋_GB2312" w:eastAsia="仿宋_GB2312" w:cs="仿宋_GB2312"/>
          <w:color w:val="auto"/>
          <w:kern w:val="2"/>
          <w:sz w:val="32"/>
          <w:szCs w:val="32"/>
          <w:lang w:eastAsia="zh-CN"/>
        </w:rPr>
        <w:t>财政部门</w:t>
      </w:r>
      <w:r>
        <w:rPr>
          <w:rFonts w:hint="eastAsia" w:ascii="仿宋_GB2312" w:hAnsi="仿宋_GB2312" w:eastAsia="仿宋_GB2312" w:cs="仿宋_GB2312"/>
          <w:color w:val="auto"/>
          <w:kern w:val="2"/>
          <w:sz w:val="32"/>
          <w:szCs w:val="32"/>
        </w:rPr>
        <w:t>。</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outlineLvl w:val="1"/>
        <w:rPr>
          <w:rFonts w:hint="eastAsia" w:ascii="仿宋_GB2312" w:hAnsi="仿宋_GB2312" w:eastAsia="仿宋_GB2312" w:cs="仿宋_GB2312"/>
          <w:b/>
          <w:bCs/>
          <w:color w:val="auto"/>
          <w:sz w:val="32"/>
          <w:szCs w:val="32"/>
        </w:rPr>
      </w:pPr>
      <w:bookmarkStart w:id="15" w:name="_Toc7356"/>
      <w:r>
        <w:rPr>
          <w:rFonts w:hint="eastAsia" w:ascii="仿宋_GB2312" w:hAnsi="仿宋_GB2312" w:eastAsia="仿宋_GB2312" w:cs="仿宋_GB2312"/>
          <w:b/>
          <w:bCs/>
          <w:color w:val="auto"/>
          <w:sz w:val="32"/>
          <w:szCs w:val="32"/>
        </w:rPr>
        <w:t>（二）评价指标体系</w:t>
      </w:r>
      <w:bookmarkEnd w:id="15"/>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本次绩效评价指标体系按照“决策-过程-产出-效益”的逻辑路径分层设定，划分为4个一级指标、1</w:t>
      </w:r>
      <w:r>
        <w:rPr>
          <w:rFonts w:hint="eastAsia" w:ascii="仿宋_GB2312" w:hAnsi="仿宋_GB2312" w:eastAsia="仿宋_GB2312" w:cs="仿宋_GB2312"/>
          <w:color w:val="auto"/>
          <w:kern w:val="2"/>
          <w:sz w:val="32"/>
          <w:szCs w:val="32"/>
          <w:lang w:val="en-US" w:eastAsia="zh-CN"/>
        </w:rPr>
        <w:t>4</w:t>
      </w:r>
      <w:r>
        <w:rPr>
          <w:rFonts w:hint="eastAsia" w:ascii="仿宋_GB2312" w:hAnsi="仿宋_GB2312" w:eastAsia="仿宋_GB2312" w:cs="仿宋_GB2312"/>
          <w:color w:val="auto"/>
          <w:kern w:val="2"/>
          <w:sz w:val="32"/>
          <w:szCs w:val="32"/>
        </w:rPr>
        <w:t>个二级指标和2</w:t>
      </w:r>
      <w:r>
        <w:rPr>
          <w:rFonts w:hint="eastAsia" w:ascii="仿宋_GB2312" w:hAnsi="仿宋_GB2312" w:eastAsia="仿宋_GB2312" w:cs="仿宋_GB2312"/>
          <w:color w:val="auto"/>
          <w:kern w:val="2"/>
          <w:sz w:val="32"/>
          <w:szCs w:val="32"/>
          <w:lang w:val="en-US" w:eastAsia="zh-CN"/>
        </w:rPr>
        <w:t>4</w:t>
      </w:r>
      <w:r>
        <w:rPr>
          <w:rFonts w:hint="eastAsia" w:ascii="仿宋_GB2312" w:hAnsi="仿宋_GB2312" w:eastAsia="仿宋_GB2312" w:cs="仿宋_GB2312"/>
          <w:color w:val="auto"/>
          <w:kern w:val="2"/>
          <w:sz w:val="32"/>
          <w:szCs w:val="32"/>
        </w:rPr>
        <w:t>个三级指标。总分值为100分。一是决策（1</w:t>
      </w:r>
      <w:r>
        <w:rPr>
          <w:rFonts w:hint="eastAsia" w:ascii="仿宋_GB2312" w:hAnsi="仿宋_GB2312" w:eastAsia="仿宋_GB2312" w:cs="仿宋_GB2312"/>
          <w:color w:val="auto"/>
          <w:kern w:val="2"/>
          <w:sz w:val="32"/>
          <w:szCs w:val="32"/>
          <w:lang w:val="en-US" w:eastAsia="zh-CN"/>
        </w:rPr>
        <w:t>8</w:t>
      </w:r>
      <w:r>
        <w:rPr>
          <w:rFonts w:hint="eastAsia" w:ascii="仿宋_GB2312" w:hAnsi="仿宋_GB2312" w:eastAsia="仿宋_GB2312" w:cs="仿宋_GB2312"/>
          <w:color w:val="auto"/>
          <w:kern w:val="2"/>
          <w:sz w:val="32"/>
          <w:szCs w:val="32"/>
        </w:rPr>
        <w:t>.00分）。主要评价项目立项依据充分性、项目立项程序规范性、绩效目标合理性、绩效指标明确性及预算编制科学性和资金分配合理性。二是过程（</w:t>
      </w:r>
      <w:r>
        <w:rPr>
          <w:rFonts w:hint="eastAsia" w:ascii="仿宋_GB2312" w:hAnsi="仿宋_GB2312" w:eastAsia="仿宋_GB2312" w:cs="仿宋_GB2312"/>
          <w:color w:val="auto"/>
          <w:kern w:val="2"/>
          <w:sz w:val="32"/>
          <w:szCs w:val="32"/>
          <w:lang w:val="en-US" w:eastAsia="zh-CN"/>
        </w:rPr>
        <w:t>18.00</w:t>
      </w:r>
      <w:r>
        <w:rPr>
          <w:rFonts w:hint="eastAsia" w:ascii="仿宋_GB2312" w:hAnsi="仿宋_GB2312" w:eastAsia="仿宋_GB2312" w:cs="仿宋_GB2312"/>
          <w:color w:val="auto"/>
          <w:kern w:val="2"/>
          <w:sz w:val="32"/>
          <w:szCs w:val="32"/>
        </w:rPr>
        <w:t>分）。主要评价预算执行时效性、资金使用合规性、财务管理制度健全性、财务管理制度执行有效性、区财政资金拨付及时率、项目管理制度健全性、项目验收规范性。三是产出（</w:t>
      </w:r>
      <w:r>
        <w:rPr>
          <w:rFonts w:hint="eastAsia" w:ascii="仿宋_GB2312" w:hAnsi="仿宋_GB2312" w:eastAsia="仿宋_GB2312" w:cs="仿宋_GB2312"/>
          <w:color w:val="auto"/>
          <w:kern w:val="2"/>
          <w:sz w:val="32"/>
          <w:szCs w:val="32"/>
          <w:lang w:val="en-US" w:eastAsia="zh-CN"/>
        </w:rPr>
        <w:t>40.00</w:t>
      </w:r>
      <w:r>
        <w:rPr>
          <w:rFonts w:hint="eastAsia" w:ascii="仿宋_GB2312" w:hAnsi="仿宋_GB2312" w:eastAsia="仿宋_GB2312" w:cs="仿宋_GB2312"/>
          <w:color w:val="auto"/>
          <w:kern w:val="2"/>
          <w:sz w:val="32"/>
          <w:szCs w:val="32"/>
        </w:rPr>
        <w:t>分）。主要评价</w:t>
      </w:r>
      <w:r>
        <w:rPr>
          <w:rFonts w:hint="eastAsia" w:ascii="仿宋_GB2312" w:hAnsi="仿宋_GB2312" w:eastAsia="仿宋_GB2312" w:cs="仿宋_GB2312"/>
          <w:color w:val="auto"/>
          <w:kern w:val="2"/>
          <w:sz w:val="32"/>
          <w:szCs w:val="32"/>
          <w:lang w:eastAsia="zh-CN"/>
        </w:rPr>
        <w:t>总建设面积、森林城市绿化覆盖率、新增林木成活率、开始时间、完成时间、预算控制数。</w:t>
      </w:r>
      <w:r>
        <w:rPr>
          <w:rFonts w:hint="eastAsia" w:ascii="仿宋_GB2312" w:hAnsi="仿宋_GB2312" w:eastAsia="仿宋_GB2312" w:cs="仿宋_GB2312"/>
          <w:color w:val="auto"/>
          <w:kern w:val="2"/>
          <w:sz w:val="32"/>
          <w:szCs w:val="32"/>
        </w:rPr>
        <w:t>四是效益（2</w:t>
      </w:r>
      <w:r>
        <w:rPr>
          <w:rFonts w:hint="eastAsia" w:ascii="仿宋_GB2312" w:hAnsi="仿宋_GB2312" w:eastAsia="仿宋_GB2312" w:cs="仿宋_GB2312"/>
          <w:color w:val="auto"/>
          <w:kern w:val="2"/>
          <w:sz w:val="32"/>
          <w:szCs w:val="32"/>
          <w:lang w:val="en-US" w:eastAsia="zh-CN"/>
        </w:rPr>
        <w:t>4.00</w:t>
      </w:r>
      <w:r>
        <w:rPr>
          <w:rFonts w:hint="eastAsia" w:ascii="仿宋_GB2312" w:hAnsi="仿宋_GB2312" w:eastAsia="仿宋_GB2312" w:cs="仿宋_GB2312"/>
          <w:color w:val="auto"/>
          <w:kern w:val="2"/>
          <w:sz w:val="32"/>
          <w:szCs w:val="32"/>
        </w:rPr>
        <w:t>分）。主要评</w:t>
      </w:r>
      <w:r>
        <w:rPr>
          <w:rFonts w:hint="eastAsia" w:ascii="仿宋_GB2312" w:hAnsi="仿宋_GB2312" w:eastAsia="仿宋_GB2312" w:cs="仿宋_GB2312"/>
          <w:color w:val="auto"/>
          <w:kern w:val="2"/>
          <w:sz w:val="32"/>
          <w:szCs w:val="32"/>
          <w:lang w:eastAsia="zh-CN"/>
        </w:rPr>
        <w:t>价经济效益、社会效益、生态效益、可持续影响效益及社会公众或服务对象满意度。</w:t>
      </w:r>
      <w:r>
        <w:rPr>
          <w:rFonts w:hint="eastAsia" w:ascii="仿宋_GB2312" w:hAnsi="仿宋_GB2312" w:eastAsia="仿宋_GB2312" w:cs="仿宋_GB2312"/>
          <w:color w:val="auto"/>
          <w:kern w:val="2"/>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outlineLvl w:val="1"/>
        <w:rPr>
          <w:rFonts w:hint="eastAsia" w:ascii="仿宋_GB2312" w:hAnsi="仿宋_GB2312" w:eastAsia="仿宋_GB2312" w:cs="仿宋_GB2312"/>
          <w:b/>
          <w:bCs/>
          <w:color w:val="auto"/>
          <w:sz w:val="32"/>
          <w:szCs w:val="32"/>
        </w:rPr>
      </w:pPr>
      <w:bookmarkStart w:id="16" w:name="_Toc30195"/>
      <w:bookmarkStart w:id="17" w:name="_Toc74939780"/>
      <w:r>
        <w:rPr>
          <w:rFonts w:hint="eastAsia" w:ascii="仿宋_GB2312" w:hAnsi="仿宋_GB2312" w:eastAsia="仿宋_GB2312" w:cs="仿宋_GB2312"/>
          <w:b/>
          <w:bCs/>
          <w:color w:val="auto"/>
          <w:sz w:val="32"/>
          <w:szCs w:val="32"/>
        </w:rPr>
        <w:t>（三）绩效评价原则、方法和标准</w:t>
      </w:r>
      <w:bookmarkEnd w:id="16"/>
      <w:bookmarkEnd w:id="17"/>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本次绩效评价坚持科学规范、公正公开、分级分类、绩效相关的评价原则，根据设定的绩效目标，坚持以定量和定性相结合的原则设计评分表，采取综合评价法、比较法、现场核查法等评价方法，依据计划标准、行业标准、历史标准等评价标准，对专项资金的经济性、效率性和效益性进行客观、公正的评价。</w:t>
      </w:r>
      <w:r>
        <w:rPr>
          <w:rFonts w:hint="eastAsia" w:ascii="仿宋_GB2312" w:hAnsi="仿宋_GB2312" w:eastAsia="仿宋_GB2312" w:cs="仿宋_GB2312"/>
          <w:color w:val="auto"/>
          <w:kern w:val="2"/>
          <w:sz w:val="32"/>
          <w:szCs w:val="32"/>
          <w:lang w:eastAsia="zh-CN"/>
        </w:rPr>
        <w:t>并对安阳县自然资源局创建森林城市绿化建设京港澳高速城区段绿化项目（一园）</w:t>
      </w:r>
      <w:r>
        <w:rPr>
          <w:rFonts w:hint="eastAsia" w:ascii="仿宋_GB2312" w:hAnsi="仿宋_GB2312" w:eastAsia="仿宋_GB2312" w:cs="仿宋_GB2312"/>
          <w:color w:val="auto"/>
          <w:kern w:val="2"/>
          <w:sz w:val="32"/>
          <w:szCs w:val="32"/>
        </w:rPr>
        <w:t>进行现场调研，开展访谈询问等。非现场评价通过问卷形式，统计收集数据资料等形式。依据现场调研掌握的情况和非现场评价采集的数据，综合分析进行全面总体评价。</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outlineLvl w:val="1"/>
        <w:rPr>
          <w:rFonts w:hint="eastAsia" w:ascii="仿宋_GB2312" w:hAnsi="仿宋_GB2312" w:eastAsia="仿宋_GB2312" w:cs="仿宋_GB2312"/>
          <w:b/>
          <w:bCs/>
          <w:color w:val="auto"/>
          <w:sz w:val="32"/>
          <w:szCs w:val="32"/>
        </w:rPr>
      </w:pPr>
      <w:bookmarkStart w:id="18" w:name="_Toc17429"/>
      <w:r>
        <w:rPr>
          <w:rFonts w:hint="eastAsia" w:ascii="仿宋_GB2312" w:hAnsi="仿宋_GB2312" w:eastAsia="仿宋_GB2312" w:cs="仿宋_GB2312"/>
          <w:b/>
          <w:bCs/>
          <w:color w:val="auto"/>
          <w:sz w:val="32"/>
          <w:szCs w:val="32"/>
        </w:rPr>
        <w:t>（四）绩效评价工作过程</w:t>
      </w:r>
      <w:bookmarkEnd w:id="18"/>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outlineLvl w:val="0"/>
        <w:rPr>
          <w:rFonts w:hint="eastAsia" w:ascii="仿宋_GB2312" w:hAnsi="仿宋_GB2312" w:eastAsia="仿宋_GB2312" w:cs="仿宋_GB2312"/>
          <w:color w:val="auto"/>
          <w:kern w:val="2"/>
          <w:sz w:val="32"/>
          <w:szCs w:val="32"/>
          <w:lang w:val="en-US" w:eastAsia="zh-CN"/>
        </w:rPr>
      </w:pPr>
      <w:r>
        <w:rPr>
          <w:rFonts w:hint="eastAsia" w:ascii="仿宋" w:hAnsi="仿宋" w:eastAsia="仿宋" w:cs="仿宋"/>
          <w:color w:val="000000"/>
          <w:kern w:val="0"/>
          <w:sz w:val="32"/>
          <w:szCs w:val="32"/>
          <w:lang w:val="en-US" w:eastAsia="zh-CN" w:bidi="ar"/>
        </w:rPr>
        <w:t>根据工作要求，河南昌盛会计师事务所组织成立了绩效评价工作组，</w:t>
      </w:r>
      <w:r>
        <w:rPr>
          <w:rFonts w:hint="eastAsia" w:ascii="仿宋_GB2312" w:hAnsi="仿宋_GB2312" w:eastAsia="仿宋_GB2312" w:cs="仿宋_GB2312"/>
          <w:color w:val="auto"/>
          <w:kern w:val="2"/>
          <w:sz w:val="32"/>
          <w:szCs w:val="32"/>
          <w:lang w:val="en-US" w:eastAsia="zh-CN"/>
        </w:rPr>
        <w:t>按照“前期准备－现场调查－报告编写”的流程开展工作。</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outlineLvl w:val="0"/>
        <w:rPr>
          <w:rFonts w:hint="eastAsia" w:ascii="仿宋_GB2312" w:hAnsi="仿宋_GB2312" w:eastAsia="仿宋_GB2312" w:cs="仿宋_GB2312"/>
          <w:color w:val="auto"/>
          <w:kern w:val="2"/>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rPr>
        <w:t>工作小组成员名单如下：</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outlineLvl w:val="0"/>
        <w:rPr>
          <w:rFonts w:hint="eastAsia" w:ascii="仿宋_GB2312" w:hAnsi="仿宋_GB2312" w:eastAsia="仿宋_GB2312" w:cs="仿宋_GB2312"/>
          <w:color w:val="auto"/>
          <w:kern w:val="2"/>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rPr>
        <w:t>组  长：刘春枝</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outlineLvl w:val="0"/>
        <w:rPr>
          <w:rFonts w:hint="eastAsia" w:ascii="仿宋_GB2312" w:hAnsi="仿宋_GB2312" w:eastAsia="仿宋_GB2312" w:cs="仿宋_GB2312"/>
          <w:color w:val="auto"/>
          <w:kern w:val="2"/>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rPr>
        <w:t>成  员：韩星、张雪颖、郭丽云</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outlineLvl w:val="0"/>
        <w:rPr>
          <w:rFonts w:hint="eastAsia"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color w:val="auto"/>
          <w:kern w:val="2"/>
          <w:sz w:val="32"/>
          <w:szCs w:val="32"/>
          <w:lang w:val="en-US" w:eastAsia="zh-CN"/>
        </w:rPr>
        <w:t>2022年8月15日至 8月24日，评价工作组与安阳县自然资源局相关科室负责人进行座谈，了解部门支出整体情况和项目实施管理情况，收集相关资料；8月25日至9月3日，评价工作组现场对部门支出整体受益对象及相关方进行了满意度调查、访谈；9月4日至9月12日，评价工作组依据绩效评价指标体系，对评价工作实施过程中数据进行分析汇总，对项目执行情况及绩效实现情况进行客观的评价，编写出绩效评价报告初稿；9月13日至9月15日，评价工作组根据绩效评价初稿情况发出征求意见函；9月16日至9月21日，评价工作组根据项目相关单位反馈意见进一步完善绩效评价报告；9月22日至9月28日，出具最终版绩效评价报告。</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both"/>
        <w:textAlignment w:val="auto"/>
        <w:outlineLvl w:val="0"/>
        <w:rPr>
          <w:rFonts w:hint="eastAsia" w:ascii="仿宋_GB2312" w:hAnsi="仿宋_GB2312" w:eastAsia="仿宋_GB2312" w:cs="仿宋_GB2312"/>
          <w:b/>
          <w:bCs/>
          <w:color w:val="auto"/>
          <w:sz w:val="32"/>
          <w:szCs w:val="32"/>
        </w:rPr>
      </w:pPr>
      <w:bookmarkStart w:id="19" w:name="_Toc2313"/>
      <w:r>
        <w:rPr>
          <w:rFonts w:hint="eastAsia" w:ascii="仿宋_GB2312" w:hAnsi="仿宋_GB2312" w:eastAsia="仿宋_GB2312" w:cs="仿宋_GB2312"/>
          <w:b/>
          <w:bCs/>
          <w:color w:val="auto"/>
          <w:sz w:val="32"/>
          <w:szCs w:val="32"/>
        </w:rPr>
        <w:t>三、综合评价</w:t>
      </w:r>
      <w:bookmarkEnd w:id="14"/>
      <w:r>
        <w:rPr>
          <w:rFonts w:hint="eastAsia" w:ascii="仿宋_GB2312" w:hAnsi="仿宋_GB2312" w:eastAsia="仿宋_GB2312" w:cs="仿宋_GB2312"/>
          <w:b/>
          <w:bCs/>
          <w:color w:val="auto"/>
          <w:sz w:val="32"/>
          <w:szCs w:val="32"/>
        </w:rPr>
        <w:t>情况及评价结论</w:t>
      </w:r>
      <w:bookmarkEnd w:id="19"/>
    </w:p>
    <w:p>
      <w:pPr>
        <w:keepNext w:val="0"/>
        <w:keepLines w:val="0"/>
        <w:pageBreakBefore w:val="0"/>
        <w:widowControl/>
        <w:kinsoku/>
        <w:wordWrap/>
        <w:overflowPunct/>
        <w:topLinePunct w:val="0"/>
        <w:autoSpaceDE/>
        <w:autoSpaceDN/>
        <w:bidi w:val="0"/>
        <w:adjustRightInd/>
        <w:snapToGrid/>
        <w:spacing w:line="360" w:lineRule="auto"/>
        <w:ind w:firstLine="643" w:firstLineChars="200"/>
        <w:textAlignment w:val="auto"/>
        <w:outlineLvl w:val="1"/>
        <w:rPr>
          <w:rFonts w:hint="eastAsia" w:ascii="仿宋_GB2312" w:hAnsi="仿宋_GB2312" w:eastAsia="仿宋_GB2312" w:cs="仿宋_GB2312"/>
          <w:b/>
          <w:bCs/>
          <w:color w:val="auto"/>
          <w:sz w:val="32"/>
          <w:szCs w:val="32"/>
          <w:highlight w:val="none"/>
        </w:rPr>
      </w:pPr>
      <w:bookmarkStart w:id="20" w:name="_Toc13842"/>
      <w:bookmarkStart w:id="21" w:name="_Toc74030225"/>
      <w:bookmarkStart w:id="22" w:name="_Toc74939783"/>
      <w:r>
        <w:rPr>
          <w:rFonts w:hint="eastAsia" w:ascii="仿宋_GB2312" w:hAnsi="仿宋_GB2312" w:eastAsia="仿宋_GB2312" w:cs="仿宋_GB2312"/>
          <w:b/>
          <w:bCs/>
          <w:color w:val="auto"/>
          <w:sz w:val="32"/>
          <w:szCs w:val="32"/>
          <w:highlight w:val="none"/>
        </w:rPr>
        <w:t>（一）综合评价情况</w:t>
      </w:r>
      <w:bookmarkEnd w:id="20"/>
      <w:bookmarkEnd w:id="21"/>
      <w:bookmarkEnd w:id="22"/>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outlineLvl w:val="1"/>
        <w:rPr>
          <w:rFonts w:hint="eastAsia" w:ascii="仿宋_GB2312" w:hAnsi="仿宋_GB2312" w:eastAsia="仿宋_GB2312" w:cs="仿宋_GB2312"/>
          <w:color w:val="auto"/>
          <w:kern w:val="2"/>
          <w:sz w:val="32"/>
          <w:szCs w:val="32"/>
          <w:highlight w:val="yellow"/>
          <w:lang w:eastAsia="zh-CN"/>
        </w:rPr>
      </w:pPr>
      <w:r>
        <w:rPr>
          <w:rFonts w:hint="eastAsia" w:ascii="仿宋_GB2312" w:hAnsi="仿宋_GB2312" w:eastAsia="仿宋_GB2312" w:cs="仿宋_GB2312"/>
          <w:color w:val="auto"/>
          <w:kern w:val="2"/>
          <w:sz w:val="32"/>
          <w:szCs w:val="32"/>
        </w:rPr>
        <w:t>202</w:t>
      </w:r>
      <w:r>
        <w:rPr>
          <w:rFonts w:hint="eastAsia" w:ascii="仿宋_GB2312" w:hAnsi="仿宋_GB2312" w:eastAsia="仿宋_GB2312" w:cs="仿宋_GB2312"/>
          <w:color w:val="auto"/>
          <w:kern w:val="2"/>
          <w:sz w:val="32"/>
          <w:szCs w:val="32"/>
          <w:lang w:val="en-US" w:eastAsia="zh-CN"/>
        </w:rPr>
        <w:t>1</w:t>
      </w:r>
      <w:r>
        <w:rPr>
          <w:rFonts w:hint="eastAsia" w:ascii="仿宋_GB2312" w:hAnsi="仿宋_GB2312" w:eastAsia="仿宋_GB2312" w:cs="仿宋_GB2312"/>
          <w:color w:val="auto"/>
          <w:kern w:val="2"/>
          <w:sz w:val="32"/>
          <w:szCs w:val="32"/>
        </w:rPr>
        <w:t>年</w:t>
      </w:r>
      <w:r>
        <w:rPr>
          <w:rFonts w:hint="eastAsia" w:ascii="仿宋_GB2312" w:hAnsi="仿宋_GB2312" w:eastAsia="仿宋_GB2312" w:cs="仿宋_GB2312"/>
          <w:color w:val="auto"/>
          <w:kern w:val="2"/>
          <w:sz w:val="32"/>
          <w:szCs w:val="32"/>
          <w:lang w:eastAsia="zh-CN"/>
        </w:rPr>
        <w:t>安阳县自然资源局</w:t>
      </w:r>
      <w:r>
        <w:rPr>
          <w:rFonts w:hint="eastAsia" w:ascii="仿宋_GB2312" w:hAnsi="仿宋_GB2312" w:eastAsia="仿宋_GB2312" w:cs="仿宋_GB2312"/>
          <w:color w:val="auto"/>
          <w:kern w:val="2"/>
          <w:sz w:val="32"/>
          <w:szCs w:val="32"/>
        </w:rPr>
        <w:t>通过</w:t>
      </w:r>
      <w:r>
        <w:rPr>
          <w:rFonts w:hint="eastAsia" w:ascii="仿宋_GB2312" w:hAnsi="仿宋_GB2312" w:eastAsia="仿宋_GB2312" w:cs="仿宋_GB2312"/>
          <w:color w:val="auto"/>
          <w:kern w:val="2"/>
          <w:sz w:val="32"/>
          <w:szCs w:val="32"/>
          <w:lang w:eastAsia="zh-CN"/>
        </w:rPr>
        <w:t>创建森林城市绿化建设京港澳高速城区段绿化项目（一园）</w:t>
      </w:r>
      <w:r>
        <w:rPr>
          <w:rFonts w:hint="eastAsia" w:ascii="仿宋_GB2312" w:hAnsi="仿宋_GB2312" w:eastAsia="仿宋_GB2312" w:cs="仿宋_GB2312"/>
          <w:color w:val="auto"/>
          <w:kern w:val="2"/>
          <w:sz w:val="32"/>
          <w:szCs w:val="32"/>
        </w:rPr>
        <w:t>，推动在城市居民身边增绿，让居住环境绿树环抱，生活空间绿荫常在，更加便捷地享受造林绿化带来的好处，提升居民幸福指数</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增强居民对城市绿地建设的获得感，积极推进各类绿地免费向公众开放，建设遍及城乡的绿道网络和生态服务设施，方便公众进入绿地、享用绿</w:t>
      </w:r>
      <w:r>
        <w:rPr>
          <w:rFonts w:hint="eastAsia" w:ascii="仿宋_GB2312" w:hAnsi="仿宋_GB2312" w:eastAsia="仿宋_GB2312" w:cs="仿宋_GB2312"/>
          <w:color w:val="auto"/>
          <w:kern w:val="2"/>
          <w:sz w:val="32"/>
          <w:szCs w:val="32"/>
          <w:lang w:eastAsia="zh-CN"/>
        </w:rPr>
        <w:t>地</w:t>
      </w:r>
      <w:r>
        <w:rPr>
          <w:rFonts w:hint="eastAsia" w:ascii="仿宋_GB2312" w:hAnsi="仿宋_GB2312" w:eastAsia="仿宋_GB2312" w:cs="仿宋_GB2312"/>
          <w:color w:val="auto"/>
          <w:kern w:val="2"/>
          <w:sz w:val="32"/>
          <w:szCs w:val="32"/>
        </w:rPr>
        <w:t>推动我</w:t>
      </w:r>
      <w:r>
        <w:rPr>
          <w:rFonts w:hint="eastAsia" w:ascii="仿宋_GB2312" w:hAnsi="仿宋_GB2312" w:eastAsia="仿宋_GB2312" w:cs="仿宋_GB2312"/>
          <w:color w:val="auto"/>
          <w:kern w:val="2"/>
          <w:sz w:val="32"/>
          <w:szCs w:val="32"/>
          <w:lang w:eastAsia="zh-CN"/>
        </w:rPr>
        <w:t>县</w:t>
      </w:r>
      <w:r>
        <w:rPr>
          <w:rFonts w:hint="eastAsia" w:ascii="仿宋_GB2312" w:hAnsi="仿宋_GB2312" w:eastAsia="仿宋_GB2312" w:cs="仿宋_GB2312"/>
          <w:color w:val="auto"/>
          <w:kern w:val="2"/>
          <w:sz w:val="32"/>
          <w:szCs w:val="32"/>
        </w:rPr>
        <w:t>环境质量持续改善等方面成效明显。但</w:t>
      </w:r>
      <w:bookmarkStart w:id="23" w:name="_Toc74939784"/>
      <w:bookmarkStart w:id="24" w:name="_Toc74030226"/>
      <w:bookmarkStart w:id="25" w:name="_Toc43151969"/>
      <w:bookmarkStart w:id="26" w:name="_Toc519063322"/>
      <w:bookmarkStart w:id="27" w:name="_Toc74939785"/>
      <w:bookmarkStart w:id="28" w:name="_Toc12001083"/>
      <w:r>
        <w:rPr>
          <w:rFonts w:hint="eastAsia" w:ascii="仿宋_GB2312" w:hAnsi="仿宋_GB2312" w:eastAsia="仿宋_GB2312" w:cs="仿宋_GB2312"/>
          <w:color w:val="auto"/>
          <w:kern w:val="2"/>
          <w:sz w:val="32"/>
          <w:szCs w:val="32"/>
        </w:rPr>
        <w:t>项目在绩效目标设置的合理性、</w:t>
      </w:r>
      <w:r>
        <w:rPr>
          <w:rFonts w:hint="eastAsia" w:ascii="仿宋_GB2312" w:hAnsi="仿宋_GB2312" w:eastAsia="仿宋_GB2312" w:cs="仿宋_GB2312"/>
          <w:color w:val="auto"/>
          <w:kern w:val="2"/>
          <w:sz w:val="32"/>
          <w:szCs w:val="32"/>
          <w:lang w:eastAsia="zh-CN"/>
        </w:rPr>
        <w:t>预算编制科学性和财务管理制度执行有效性</w:t>
      </w:r>
      <w:r>
        <w:rPr>
          <w:rFonts w:hint="eastAsia" w:ascii="仿宋_GB2312" w:hAnsi="仿宋_GB2312" w:eastAsia="仿宋_GB2312" w:cs="仿宋_GB2312"/>
          <w:color w:val="auto"/>
          <w:kern w:val="2"/>
          <w:sz w:val="32"/>
          <w:szCs w:val="32"/>
        </w:rPr>
        <w:t>等方面还有待提高。</w:t>
      </w:r>
    </w:p>
    <w:p>
      <w:pPr>
        <w:keepNext w:val="0"/>
        <w:keepLines w:val="0"/>
        <w:pageBreakBefore w:val="0"/>
        <w:widowControl/>
        <w:kinsoku/>
        <w:wordWrap/>
        <w:overflowPunct/>
        <w:topLinePunct w:val="0"/>
        <w:autoSpaceDE/>
        <w:autoSpaceDN/>
        <w:bidi w:val="0"/>
        <w:adjustRightInd/>
        <w:snapToGrid/>
        <w:spacing w:line="360" w:lineRule="auto"/>
        <w:ind w:firstLine="643" w:firstLineChars="200"/>
        <w:textAlignment w:val="auto"/>
        <w:outlineLvl w:val="1"/>
        <w:rPr>
          <w:rFonts w:hint="eastAsia" w:ascii="仿宋_GB2312" w:hAnsi="仿宋_GB2312" w:eastAsia="仿宋_GB2312" w:cs="仿宋_GB2312"/>
          <w:b/>
          <w:bCs/>
          <w:color w:val="auto"/>
          <w:sz w:val="32"/>
          <w:szCs w:val="32"/>
        </w:rPr>
      </w:pPr>
      <w:bookmarkStart w:id="29" w:name="_Toc23933"/>
      <w:r>
        <w:rPr>
          <w:rFonts w:hint="eastAsia" w:ascii="仿宋_GB2312" w:hAnsi="仿宋_GB2312" w:eastAsia="仿宋_GB2312" w:cs="仿宋_GB2312"/>
          <w:b/>
          <w:bCs/>
          <w:color w:val="auto"/>
          <w:sz w:val="32"/>
          <w:szCs w:val="32"/>
        </w:rPr>
        <w:t>（二）总体评价结论</w:t>
      </w:r>
      <w:bookmarkEnd w:id="23"/>
      <w:bookmarkEnd w:id="24"/>
      <w:bookmarkEnd w:id="29"/>
    </w:p>
    <w:p>
      <w:pPr>
        <w:keepNext w:val="0"/>
        <w:keepLines w:val="0"/>
        <w:pageBreakBefore w:val="0"/>
        <w:widowControl/>
        <w:kinsoku/>
        <w:wordWrap/>
        <w:overflowPunct/>
        <w:topLinePunct w:val="0"/>
        <w:autoSpaceDE/>
        <w:autoSpaceDN/>
        <w:bidi w:val="0"/>
        <w:adjustRightInd/>
        <w:snapToGrid/>
        <w:spacing w:line="360" w:lineRule="auto"/>
        <w:ind w:firstLine="640" w:firstLineChars="200"/>
        <w:contextualSpacing/>
        <w:jc w:val="both"/>
        <w:textAlignment w:val="auto"/>
        <w:rPr>
          <w:rFonts w:hint="eastAsia" w:ascii="仿宋_GB2312" w:hAnsi="仿宋_GB2312" w:eastAsia="仿宋_GB2312" w:cs="仿宋_GB2312"/>
          <w:color w:val="auto"/>
          <w:kern w:val="2"/>
          <w:sz w:val="32"/>
          <w:szCs w:val="32"/>
          <w:highlight w:val="none"/>
        </w:rPr>
      </w:pPr>
      <w:r>
        <w:rPr>
          <w:rFonts w:hint="eastAsia" w:ascii="仿宋_GB2312" w:hAnsi="仿宋_GB2312" w:eastAsia="仿宋_GB2312" w:cs="仿宋_GB2312"/>
          <w:color w:val="auto"/>
          <w:kern w:val="2"/>
          <w:sz w:val="32"/>
          <w:szCs w:val="32"/>
        </w:rPr>
        <w:t>依据绩效评价指标体系进行评分，202</w:t>
      </w:r>
      <w:r>
        <w:rPr>
          <w:rFonts w:hint="eastAsia" w:ascii="仿宋_GB2312" w:hAnsi="仿宋_GB2312" w:eastAsia="仿宋_GB2312" w:cs="仿宋_GB2312"/>
          <w:color w:val="auto"/>
          <w:kern w:val="2"/>
          <w:sz w:val="32"/>
          <w:szCs w:val="32"/>
          <w:lang w:val="en-US" w:eastAsia="zh-CN"/>
        </w:rPr>
        <w:t>1</w:t>
      </w:r>
      <w:r>
        <w:rPr>
          <w:rFonts w:hint="eastAsia" w:ascii="仿宋_GB2312" w:hAnsi="仿宋_GB2312" w:eastAsia="仿宋_GB2312" w:cs="仿宋_GB2312"/>
          <w:color w:val="auto"/>
          <w:kern w:val="2"/>
          <w:sz w:val="32"/>
          <w:szCs w:val="32"/>
        </w:rPr>
        <w:t>年</w:t>
      </w:r>
      <w:r>
        <w:rPr>
          <w:rFonts w:hint="eastAsia" w:ascii="仿宋_GB2312" w:hAnsi="仿宋_GB2312" w:eastAsia="仿宋_GB2312" w:cs="仿宋_GB2312"/>
          <w:color w:val="auto"/>
          <w:kern w:val="2"/>
          <w:sz w:val="32"/>
          <w:szCs w:val="32"/>
          <w:lang w:eastAsia="zh-CN"/>
        </w:rPr>
        <w:t>安阳县自然资</w:t>
      </w:r>
      <w:r>
        <w:rPr>
          <w:rFonts w:hint="eastAsia" w:ascii="仿宋_GB2312" w:hAnsi="仿宋_GB2312" w:eastAsia="仿宋_GB2312" w:cs="仿宋_GB2312"/>
          <w:color w:val="auto"/>
          <w:kern w:val="2"/>
          <w:sz w:val="32"/>
          <w:szCs w:val="32"/>
          <w:highlight w:val="none"/>
          <w:lang w:eastAsia="zh-CN"/>
        </w:rPr>
        <w:t>源局创建森林城市绿化建设京港澳高速城区段绿化项目（一园）</w:t>
      </w:r>
      <w:r>
        <w:rPr>
          <w:rFonts w:hint="eastAsia" w:ascii="仿宋_GB2312" w:hAnsi="仿宋_GB2312" w:eastAsia="仿宋_GB2312" w:cs="仿宋_GB2312"/>
          <w:color w:val="auto"/>
          <w:kern w:val="2"/>
          <w:sz w:val="32"/>
          <w:szCs w:val="32"/>
          <w:highlight w:val="none"/>
        </w:rPr>
        <w:t>总体得分为</w:t>
      </w:r>
      <w:r>
        <w:rPr>
          <w:rFonts w:hint="eastAsia" w:ascii="仿宋_GB2312" w:hAnsi="仿宋_GB2312" w:eastAsia="仿宋_GB2312" w:cs="仿宋_GB2312"/>
          <w:color w:val="auto"/>
          <w:kern w:val="2"/>
          <w:sz w:val="32"/>
          <w:szCs w:val="32"/>
          <w:highlight w:val="none"/>
          <w:lang w:val="en-US" w:eastAsia="zh-CN"/>
        </w:rPr>
        <w:t>81.20</w:t>
      </w:r>
      <w:r>
        <w:rPr>
          <w:rFonts w:hint="eastAsia" w:ascii="仿宋_GB2312" w:hAnsi="仿宋_GB2312" w:eastAsia="仿宋_GB2312" w:cs="仿宋_GB2312"/>
          <w:color w:val="auto"/>
          <w:kern w:val="2"/>
          <w:sz w:val="32"/>
          <w:szCs w:val="32"/>
          <w:highlight w:val="none"/>
        </w:rPr>
        <w:t>分（见表1-1）。按照</w:t>
      </w:r>
      <w:r>
        <w:rPr>
          <w:rFonts w:hint="eastAsia" w:ascii="仿宋_GB2312" w:hAnsi="仿宋_GB2312" w:eastAsia="仿宋_GB2312" w:cs="仿宋_GB2312"/>
          <w:color w:val="auto"/>
          <w:kern w:val="2"/>
          <w:sz w:val="32"/>
          <w:szCs w:val="36"/>
          <w:highlight w:val="none"/>
          <w:lang w:val="en-US" w:eastAsia="zh-CN"/>
        </w:rPr>
        <w:t>《安阳县项目支出绩效评价管理办法（试行）的通知 》（安县财效〔2020〕7号）</w:t>
      </w:r>
      <w:r>
        <w:rPr>
          <w:rFonts w:hint="eastAsia" w:ascii="仿宋_GB2312" w:hAnsi="仿宋_GB2312" w:eastAsia="仿宋_GB2312" w:cs="仿宋_GB2312"/>
          <w:color w:val="auto"/>
          <w:kern w:val="2"/>
          <w:sz w:val="32"/>
          <w:szCs w:val="32"/>
          <w:highlight w:val="none"/>
        </w:rPr>
        <w:t>明确的评价等级设置，该项目评价等级为“</w:t>
      </w:r>
      <w:r>
        <w:rPr>
          <w:rFonts w:hint="eastAsia" w:ascii="仿宋_GB2312" w:hAnsi="仿宋_GB2312" w:eastAsia="仿宋_GB2312" w:cs="仿宋_GB2312"/>
          <w:color w:val="auto"/>
          <w:kern w:val="2"/>
          <w:sz w:val="32"/>
          <w:szCs w:val="32"/>
          <w:highlight w:val="none"/>
          <w:lang w:eastAsia="zh-CN"/>
        </w:rPr>
        <w:t>良</w:t>
      </w:r>
      <w:r>
        <w:rPr>
          <w:rFonts w:hint="eastAsia" w:ascii="仿宋_GB2312" w:hAnsi="仿宋_GB2312" w:eastAsia="仿宋_GB2312" w:cs="仿宋_GB2312"/>
          <w:color w:val="auto"/>
          <w:kern w:val="2"/>
          <w:sz w:val="32"/>
          <w:szCs w:val="32"/>
          <w:highlight w:val="none"/>
        </w:rPr>
        <w:t>”。</w:t>
      </w:r>
    </w:p>
    <w:p>
      <w:pPr>
        <w:spacing w:line="560" w:lineRule="exact"/>
        <w:contextualSpacing/>
        <w:jc w:val="center"/>
        <w:rPr>
          <w:rFonts w:hint="eastAsia" w:ascii="仿宋_GB2312" w:hAnsi="仿宋_GB2312" w:eastAsia="仿宋_GB2312" w:cs="仿宋_GB2312"/>
          <w:b/>
          <w:bCs/>
          <w:color w:val="auto"/>
          <w:kern w:val="2"/>
          <w:sz w:val="24"/>
          <w:szCs w:val="24"/>
        </w:rPr>
      </w:pPr>
      <w:r>
        <w:rPr>
          <w:rFonts w:hint="eastAsia" w:ascii="仿宋_GB2312" w:hAnsi="仿宋_GB2312" w:eastAsia="仿宋_GB2312" w:cs="仿宋_GB2312"/>
          <w:b/>
          <w:bCs/>
          <w:color w:val="auto"/>
          <w:kern w:val="2"/>
          <w:sz w:val="24"/>
          <w:szCs w:val="24"/>
        </w:rPr>
        <w:t>表1-1  总体得分情况表</w:t>
      </w:r>
    </w:p>
    <w:tbl>
      <w:tblPr>
        <w:tblStyle w:val="18"/>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491"/>
        <w:gridCol w:w="1492"/>
        <w:gridCol w:w="1492"/>
        <w:gridCol w:w="1492"/>
        <w:gridCol w:w="1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9" w:type="dxa"/>
            <w:vAlign w:val="center"/>
          </w:tcPr>
          <w:p>
            <w:pPr>
              <w:snapToGrid w:val="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指标</w:t>
            </w:r>
          </w:p>
        </w:tc>
        <w:tc>
          <w:tcPr>
            <w:tcW w:w="1491" w:type="dxa"/>
            <w:vAlign w:val="center"/>
          </w:tcPr>
          <w:p>
            <w:pPr>
              <w:snapToGrid w:val="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A 决策</w:t>
            </w:r>
          </w:p>
        </w:tc>
        <w:tc>
          <w:tcPr>
            <w:tcW w:w="1492" w:type="dxa"/>
            <w:vAlign w:val="center"/>
          </w:tcPr>
          <w:p>
            <w:pPr>
              <w:snapToGrid w:val="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B 过程</w:t>
            </w:r>
          </w:p>
        </w:tc>
        <w:tc>
          <w:tcPr>
            <w:tcW w:w="1492" w:type="dxa"/>
            <w:vAlign w:val="center"/>
          </w:tcPr>
          <w:p>
            <w:pPr>
              <w:snapToGrid w:val="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C 产出</w:t>
            </w:r>
          </w:p>
        </w:tc>
        <w:tc>
          <w:tcPr>
            <w:tcW w:w="1492" w:type="dxa"/>
            <w:vAlign w:val="center"/>
          </w:tcPr>
          <w:p>
            <w:pPr>
              <w:snapToGrid w:val="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D 效益</w:t>
            </w:r>
          </w:p>
        </w:tc>
        <w:tc>
          <w:tcPr>
            <w:tcW w:w="1492" w:type="dxa"/>
            <w:vAlign w:val="center"/>
          </w:tcPr>
          <w:p>
            <w:pPr>
              <w:snapToGrid w:val="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9" w:type="dxa"/>
            <w:vAlign w:val="center"/>
          </w:tcPr>
          <w:p>
            <w:pPr>
              <w:snapToGrid w:val="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分值</w:t>
            </w:r>
          </w:p>
        </w:tc>
        <w:tc>
          <w:tcPr>
            <w:tcW w:w="1491" w:type="dxa"/>
            <w:vAlign w:val="center"/>
          </w:tcPr>
          <w:p>
            <w:pPr>
              <w:snapToGrid w:val="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val="en-US" w:eastAsia="zh-CN"/>
              </w:rPr>
              <w:t>18</w:t>
            </w:r>
            <w:r>
              <w:rPr>
                <w:rFonts w:hint="eastAsia" w:ascii="仿宋_GB2312" w:hAnsi="仿宋_GB2312" w:eastAsia="仿宋_GB2312" w:cs="仿宋_GB2312"/>
                <w:b/>
                <w:bCs/>
                <w:color w:val="auto"/>
                <w:sz w:val="24"/>
                <w:szCs w:val="24"/>
              </w:rPr>
              <w:t>.00</w:t>
            </w:r>
          </w:p>
        </w:tc>
        <w:tc>
          <w:tcPr>
            <w:tcW w:w="1492" w:type="dxa"/>
            <w:vAlign w:val="center"/>
          </w:tcPr>
          <w:p>
            <w:pPr>
              <w:snapToGrid w:val="0"/>
              <w:jc w:val="center"/>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18.00</w:t>
            </w:r>
          </w:p>
        </w:tc>
        <w:tc>
          <w:tcPr>
            <w:tcW w:w="1492" w:type="dxa"/>
            <w:vAlign w:val="center"/>
          </w:tcPr>
          <w:p>
            <w:pPr>
              <w:snapToGrid w:val="0"/>
              <w:jc w:val="center"/>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40.00</w:t>
            </w:r>
          </w:p>
        </w:tc>
        <w:tc>
          <w:tcPr>
            <w:tcW w:w="1492" w:type="dxa"/>
            <w:vAlign w:val="center"/>
          </w:tcPr>
          <w:p>
            <w:pPr>
              <w:snapToGrid w:val="0"/>
              <w:jc w:val="center"/>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rPr>
              <w:t>2</w:t>
            </w:r>
            <w:r>
              <w:rPr>
                <w:rFonts w:hint="eastAsia" w:ascii="仿宋_GB2312" w:hAnsi="仿宋_GB2312" w:eastAsia="仿宋_GB2312" w:cs="仿宋_GB2312"/>
                <w:b/>
                <w:bCs/>
                <w:color w:val="auto"/>
                <w:sz w:val="24"/>
                <w:szCs w:val="24"/>
                <w:lang w:val="en-US" w:eastAsia="zh-CN"/>
              </w:rPr>
              <w:t>4.00</w:t>
            </w:r>
          </w:p>
        </w:tc>
        <w:tc>
          <w:tcPr>
            <w:tcW w:w="1492" w:type="dxa"/>
            <w:vAlign w:val="center"/>
          </w:tcPr>
          <w:p>
            <w:pPr>
              <w:snapToGrid w:val="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9" w:type="dxa"/>
            <w:vAlign w:val="center"/>
          </w:tcPr>
          <w:p>
            <w:pPr>
              <w:snapToGrid w:val="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得分</w:t>
            </w:r>
          </w:p>
        </w:tc>
        <w:tc>
          <w:tcPr>
            <w:tcW w:w="1491" w:type="dxa"/>
            <w:vAlign w:val="center"/>
          </w:tcPr>
          <w:p>
            <w:pPr>
              <w:snapToGrid w:val="0"/>
              <w:jc w:val="center"/>
              <w:rPr>
                <w:rFonts w:hint="default" w:ascii="仿宋_GB2312" w:hAnsi="仿宋_GB2312" w:eastAsia="仿宋_GB2312" w:cs="仿宋_GB2312"/>
                <w:b/>
                <w:bCs/>
                <w:color w:val="auto"/>
                <w:sz w:val="24"/>
                <w:szCs w:val="24"/>
                <w:highlight w:val="yellow"/>
                <w:lang w:val="en-US" w:eastAsia="zh-CN"/>
              </w:rPr>
            </w:pPr>
            <w:r>
              <w:rPr>
                <w:rFonts w:hint="eastAsia" w:ascii="仿宋_GB2312" w:hAnsi="仿宋_GB2312" w:eastAsia="仿宋_GB2312" w:cs="仿宋_GB2312"/>
                <w:b/>
                <w:bCs/>
                <w:color w:val="auto"/>
                <w:sz w:val="24"/>
                <w:szCs w:val="24"/>
                <w:lang w:val="en-US" w:eastAsia="zh-CN"/>
              </w:rPr>
              <w:t>14.50</w:t>
            </w:r>
          </w:p>
        </w:tc>
        <w:tc>
          <w:tcPr>
            <w:tcW w:w="1492" w:type="dxa"/>
            <w:vAlign w:val="center"/>
          </w:tcPr>
          <w:p>
            <w:pPr>
              <w:snapToGrid w:val="0"/>
              <w:jc w:val="center"/>
              <w:rPr>
                <w:rFonts w:hint="default"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14.00</w:t>
            </w:r>
          </w:p>
        </w:tc>
        <w:tc>
          <w:tcPr>
            <w:tcW w:w="1492" w:type="dxa"/>
            <w:vAlign w:val="center"/>
          </w:tcPr>
          <w:p>
            <w:pPr>
              <w:snapToGrid w:val="0"/>
              <w:jc w:val="center"/>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29.70</w:t>
            </w:r>
          </w:p>
        </w:tc>
        <w:tc>
          <w:tcPr>
            <w:tcW w:w="1492" w:type="dxa"/>
            <w:vAlign w:val="center"/>
          </w:tcPr>
          <w:p>
            <w:pPr>
              <w:snapToGrid w:val="0"/>
              <w:jc w:val="center"/>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23.00</w:t>
            </w:r>
          </w:p>
        </w:tc>
        <w:tc>
          <w:tcPr>
            <w:tcW w:w="1492" w:type="dxa"/>
            <w:vAlign w:val="center"/>
          </w:tcPr>
          <w:p>
            <w:pPr>
              <w:snapToGrid w:val="0"/>
              <w:jc w:val="center"/>
              <w:rPr>
                <w:rFonts w:hint="default"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81.20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9" w:type="dxa"/>
            <w:vAlign w:val="center"/>
          </w:tcPr>
          <w:p>
            <w:pPr>
              <w:snapToGrid w:val="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得分率</w:t>
            </w:r>
          </w:p>
        </w:tc>
        <w:tc>
          <w:tcPr>
            <w:tcW w:w="1491" w:type="dxa"/>
            <w:vAlign w:val="center"/>
          </w:tcPr>
          <w:p>
            <w:pPr>
              <w:snapToGrid w:val="0"/>
              <w:jc w:val="center"/>
              <w:rPr>
                <w:rFonts w:hint="eastAsia" w:ascii="仿宋_GB2312" w:hAnsi="仿宋_GB2312" w:eastAsia="仿宋_GB2312" w:cs="仿宋_GB2312"/>
                <w:b/>
                <w:bCs/>
                <w:color w:val="auto"/>
                <w:sz w:val="24"/>
                <w:szCs w:val="24"/>
                <w:highlight w:val="yellow"/>
              </w:rPr>
            </w:pPr>
            <w:r>
              <w:rPr>
                <w:rFonts w:hint="eastAsia" w:ascii="仿宋_GB2312" w:hAnsi="仿宋_GB2312" w:eastAsia="仿宋_GB2312" w:cs="仿宋_GB2312"/>
                <w:b/>
                <w:bCs/>
                <w:color w:val="auto"/>
                <w:sz w:val="24"/>
                <w:szCs w:val="24"/>
                <w:lang w:val="en-US" w:eastAsia="zh-CN"/>
              </w:rPr>
              <w:t>80.56</w:t>
            </w:r>
            <w:r>
              <w:rPr>
                <w:rFonts w:hint="eastAsia" w:ascii="仿宋_GB2312" w:hAnsi="仿宋_GB2312" w:eastAsia="仿宋_GB2312" w:cs="仿宋_GB2312"/>
                <w:b/>
                <w:bCs/>
                <w:color w:val="auto"/>
                <w:sz w:val="24"/>
                <w:szCs w:val="24"/>
              </w:rPr>
              <w:t>%</w:t>
            </w:r>
          </w:p>
        </w:tc>
        <w:tc>
          <w:tcPr>
            <w:tcW w:w="1492" w:type="dxa"/>
            <w:vAlign w:val="center"/>
          </w:tcPr>
          <w:p>
            <w:pPr>
              <w:snapToGrid w:val="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val="en-US" w:eastAsia="zh-CN"/>
              </w:rPr>
              <w:t>77.78</w:t>
            </w:r>
            <w:r>
              <w:rPr>
                <w:rFonts w:hint="eastAsia" w:ascii="仿宋_GB2312" w:hAnsi="仿宋_GB2312" w:eastAsia="仿宋_GB2312" w:cs="仿宋_GB2312"/>
                <w:b/>
                <w:bCs/>
                <w:color w:val="auto"/>
                <w:sz w:val="24"/>
                <w:szCs w:val="24"/>
              </w:rPr>
              <w:t>%</w:t>
            </w:r>
          </w:p>
        </w:tc>
        <w:tc>
          <w:tcPr>
            <w:tcW w:w="1492" w:type="dxa"/>
            <w:vAlign w:val="center"/>
          </w:tcPr>
          <w:p>
            <w:pPr>
              <w:snapToGrid w:val="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val="en-US" w:eastAsia="zh-CN"/>
              </w:rPr>
              <w:t>71.75</w:t>
            </w:r>
            <w:r>
              <w:rPr>
                <w:rFonts w:hint="eastAsia" w:ascii="仿宋_GB2312" w:hAnsi="仿宋_GB2312" w:eastAsia="仿宋_GB2312" w:cs="仿宋_GB2312"/>
                <w:b/>
                <w:bCs/>
                <w:color w:val="auto"/>
                <w:sz w:val="24"/>
                <w:szCs w:val="24"/>
              </w:rPr>
              <w:t>%</w:t>
            </w:r>
          </w:p>
        </w:tc>
        <w:tc>
          <w:tcPr>
            <w:tcW w:w="1492" w:type="dxa"/>
            <w:vAlign w:val="center"/>
          </w:tcPr>
          <w:p>
            <w:pPr>
              <w:snapToGrid w:val="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val="en-US" w:eastAsia="zh-CN"/>
              </w:rPr>
              <w:t>95.83</w:t>
            </w:r>
            <w:r>
              <w:rPr>
                <w:rFonts w:hint="eastAsia" w:ascii="仿宋_GB2312" w:hAnsi="仿宋_GB2312" w:eastAsia="仿宋_GB2312" w:cs="仿宋_GB2312"/>
                <w:b/>
                <w:bCs/>
                <w:color w:val="auto"/>
                <w:sz w:val="24"/>
                <w:szCs w:val="24"/>
              </w:rPr>
              <w:t>%</w:t>
            </w:r>
          </w:p>
        </w:tc>
        <w:tc>
          <w:tcPr>
            <w:tcW w:w="1492" w:type="dxa"/>
            <w:vAlign w:val="center"/>
          </w:tcPr>
          <w:p>
            <w:pPr>
              <w:snapToGrid w:val="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val="en-US" w:eastAsia="zh-CN"/>
              </w:rPr>
              <w:t>81.20</w:t>
            </w:r>
            <w:r>
              <w:rPr>
                <w:rFonts w:hint="eastAsia" w:ascii="仿宋_GB2312" w:hAnsi="仿宋_GB2312" w:eastAsia="仿宋_GB2312" w:cs="仿宋_GB2312"/>
                <w:b/>
                <w:bCs/>
                <w:color w:val="auto"/>
                <w:sz w:val="24"/>
                <w:szCs w:val="24"/>
              </w:rPr>
              <w:t>%</w:t>
            </w:r>
          </w:p>
        </w:tc>
      </w:tr>
    </w:tbl>
    <w:p>
      <w:pPr>
        <w:keepNext w:val="0"/>
        <w:keepLines w:val="0"/>
        <w:pageBreakBefore w:val="0"/>
        <w:widowControl/>
        <w:kinsoku/>
        <w:wordWrap/>
        <w:overflowPunct/>
        <w:topLinePunct w:val="0"/>
        <w:autoSpaceDE/>
        <w:autoSpaceDN/>
        <w:bidi w:val="0"/>
        <w:adjustRightInd/>
        <w:snapToGrid/>
        <w:spacing w:line="360" w:lineRule="auto"/>
        <w:ind w:firstLine="643" w:firstLineChars="200"/>
        <w:jc w:val="both"/>
        <w:textAlignment w:val="auto"/>
        <w:outlineLvl w:val="0"/>
        <w:rPr>
          <w:rFonts w:hint="eastAsia" w:ascii="仿宋_GB2312" w:hAnsi="仿宋_GB2312" w:eastAsia="仿宋_GB2312" w:cs="仿宋_GB2312"/>
          <w:b/>
          <w:bCs/>
          <w:color w:val="auto"/>
          <w:sz w:val="32"/>
          <w:szCs w:val="32"/>
        </w:rPr>
      </w:pPr>
      <w:bookmarkStart w:id="30" w:name="_Toc13588"/>
      <w:r>
        <w:rPr>
          <w:rFonts w:hint="eastAsia" w:ascii="仿宋_GB2312" w:hAnsi="仿宋_GB2312" w:eastAsia="仿宋_GB2312" w:cs="仿宋_GB2312"/>
          <w:b/>
          <w:bCs/>
          <w:color w:val="auto"/>
          <w:sz w:val="32"/>
          <w:szCs w:val="32"/>
        </w:rPr>
        <w:t>四、绩效指标分析</w:t>
      </w:r>
      <w:bookmarkEnd w:id="25"/>
      <w:bookmarkEnd w:id="26"/>
      <w:bookmarkEnd w:id="27"/>
      <w:bookmarkEnd w:id="28"/>
      <w:bookmarkEnd w:id="30"/>
    </w:p>
    <w:p>
      <w:pPr>
        <w:keepNext w:val="0"/>
        <w:keepLines w:val="0"/>
        <w:pageBreakBefore w:val="0"/>
        <w:widowControl/>
        <w:kinsoku/>
        <w:wordWrap/>
        <w:overflowPunct/>
        <w:topLinePunct w:val="0"/>
        <w:autoSpaceDE/>
        <w:autoSpaceDN/>
        <w:bidi w:val="0"/>
        <w:adjustRightInd/>
        <w:snapToGrid/>
        <w:spacing w:line="360" w:lineRule="auto"/>
        <w:ind w:firstLine="643" w:firstLineChars="200"/>
        <w:textAlignment w:val="auto"/>
        <w:outlineLvl w:val="1"/>
        <w:rPr>
          <w:rFonts w:hint="eastAsia" w:ascii="仿宋_GB2312" w:hAnsi="仿宋_GB2312" w:eastAsia="仿宋_GB2312" w:cs="仿宋_GB2312"/>
          <w:b/>
          <w:bCs/>
          <w:color w:val="auto"/>
          <w:sz w:val="32"/>
          <w:szCs w:val="32"/>
        </w:rPr>
      </w:pPr>
      <w:bookmarkStart w:id="31" w:name="_Toc30836"/>
      <w:bookmarkStart w:id="32" w:name="_Toc43151970"/>
      <w:bookmarkStart w:id="33" w:name="_Toc74939786"/>
      <w:r>
        <w:rPr>
          <w:rFonts w:hint="eastAsia" w:ascii="仿宋_GB2312" w:hAnsi="仿宋_GB2312" w:eastAsia="仿宋_GB2312" w:cs="仿宋_GB2312"/>
          <w:b/>
          <w:bCs/>
          <w:color w:val="auto"/>
          <w:sz w:val="32"/>
          <w:szCs w:val="32"/>
        </w:rPr>
        <w:t>（一）项目决策情况</w:t>
      </w:r>
      <w:bookmarkEnd w:id="31"/>
      <w:bookmarkEnd w:id="32"/>
      <w:bookmarkEnd w:id="33"/>
    </w:p>
    <w:p>
      <w:pPr>
        <w:keepNext w:val="0"/>
        <w:keepLines w:val="0"/>
        <w:pageBreakBefore w:val="0"/>
        <w:widowControl/>
        <w:kinsoku/>
        <w:wordWrap/>
        <w:overflowPunct/>
        <w:topLinePunct w:val="0"/>
        <w:autoSpaceDE/>
        <w:autoSpaceDN/>
        <w:bidi w:val="0"/>
        <w:adjustRightInd/>
        <w:snapToGrid/>
        <w:spacing w:line="360" w:lineRule="auto"/>
        <w:ind w:firstLine="640" w:firstLineChars="200"/>
        <w:contextualSpacing/>
        <w:jc w:val="both"/>
        <w:textAlignment w:val="auto"/>
        <w:rPr>
          <w:rFonts w:hint="eastAsia" w:ascii="仿宋_GB2312" w:hAnsi="仿宋_GB2312" w:eastAsia="仿宋_GB2312" w:cs="仿宋_GB2312"/>
          <w:color w:val="auto"/>
          <w:kern w:val="2"/>
          <w:sz w:val="32"/>
          <w:szCs w:val="32"/>
          <w:lang w:val="en-US" w:eastAsia="zh-CN"/>
        </w:rPr>
      </w:pPr>
      <w:bookmarkStart w:id="34" w:name="_Hlk39566407"/>
      <w:bookmarkStart w:id="35" w:name="_Toc43151971"/>
      <w:r>
        <w:rPr>
          <w:rFonts w:hint="eastAsia" w:ascii="仿宋_GB2312" w:hAnsi="仿宋_GB2312" w:eastAsia="仿宋_GB2312" w:cs="仿宋_GB2312"/>
          <w:color w:val="auto"/>
          <w:kern w:val="2"/>
          <w:sz w:val="32"/>
          <w:szCs w:val="32"/>
        </w:rPr>
        <w:t>项目决策主要从项目立项、绩效目标、资金投入三个方面进行评价，该部分指标总分1</w:t>
      </w:r>
      <w:r>
        <w:rPr>
          <w:rFonts w:hint="eastAsia" w:ascii="仿宋_GB2312" w:hAnsi="仿宋_GB2312" w:eastAsia="仿宋_GB2312" w:cs="仿宋_GB2312"/>
          <w:color w:val="auto"/>
          <w:kern w:val="2"/>
          <w:sz w:val="32"/>
          <w:szCs w:val="32"/>
          <w:lang w:val="en-US" w:eastAsia="zh-CN"/>
        </w:rPr>
        <w:t>8.00</w:t>
      </w:r>
      <w:r>
        <w:rPr>
          <w:rFonts w:hint="eastAsia" w:ascii="仿宋_GB2312" w:hAnsi="仿宋_GB2312" w:eastAsia="仿宋_GB2312" w:cs="仿宋_GB2312"/>
          <w:color w:val="auto"/>
          <w:kern w:val="2"/>
          <w:sz w:val="32"/>
          <w:szCs w:val="32"/>
        </w:rPr>
        <w:t>分，实际得</w:t>
      </w:r>
      <w:r>
        <w:rPr>
          <w:rFonts w:hint="eastAsia" w:ascii="仿宋_GB2312" w:hAnsi="仿宋_GB2312" w:eastAsia="仿宋_GB2312" w:cs="仿宋_GB2312"/>
          <w:color w:val="auto"/>
          <w:kern w:val="2"/>
          <w:sz w:val="32"/>
          <w:szCs w:val="32"/>
          <w:lang w:val="en-US" w:eastAsia="zh-CN"/>
        </w:rPr>
        <w:t>14.50</w:t>
      </w:r>
      <w:r>
        <w:rPr>
          <w:rFonts w:hint="eastAsia" w:ascii="仿宋_GB2312" w:hAnsi="仿宋_GB2312" w:eastAsia="仿宋_GB2312" w:cs="仿宋_GB2312"/>
          <w:color w:val="auto"/>
          <w:kern w:val="2"/>
          <w:sz w:val="32"/>
          <w:szCs w:val="32"/>
        </w:rPr>
        <w:t>分，得分率</w:t>
      </w:r>
      <w:r>
        <w:rPr>
          <w:rFonts w:hint="eastAsia" w:ascii="仿宋_GB2312" w:hAnsi="仿宋_GB2312" w:eastAsia="仿宋_GB2312" w:cs="仿宋_GB2312"/>
          <w:color w:val="auto"/>
          <w:kern w:val="2"/>
          <w:sz w:val="32"/>
          <w:szCs w:val="32"/>
          <w:lang w:val="en-US" w:eastAsia="zh-CN"/>
        </w:rPr>
        <w:t>80.56</w:t>
      </w:r>
      <w:r>
        <w:rPr>
          <w:rFonts w:hint="eastAsia" w:ascii="仿宋_GB2312" w:hAnsi="仿宋_GB2312" w:eastAsia="仿宋_GB2312" w:cs="仿宋_GB2312"/>
          <w:color w:val="auto"/>
          <w:kern w:val="2"/>
          <w:sz w:val="32"/>
          <w:szCs w:val="32"/>
        </w:rPr>
        <w:t>%。</w:t>
      </w:r>
      <w:r>
        <w:rPr>
          <w:rFonts w:hint="eastAsia" w:ascii="仿宋_GB2312" w:hAnsi="仿宋_GB2312" w:eastAsia="仿宋_GB2312" w:cs="仿宋_GB2312"/>
          <w:sz w:val="32"/>
          <w:szCs w:val="32"/>
        </w:rPr>
        <w:t>该项目立项依据充分，</w:t>
      </w:r>
      <w:r>
        <w:rPr>
          <w:rFonts w:hint="eastAsia" w:ascii="仿宋_GB2312" w:hAnsi="仿宋_GB2312" w:eastAsia="仿宋_GB2312" w:cs="仿宋_GB2312"/>
          <w:color w:val="auto"/>
          <w:sz w:val="32"/>
          <w:szCs w:val="32"/>
          <w:lang w:eastAsia="zh-CN"/>
        </w:rPr>
        <w:t>符合安阳县县委、县政府的重要指示精神</w:t>
      </w:r>
      <w:r>
        <w:rPr>
          <w:rFonts w:hint="eastAsia" w:ascii="仿宋_GB2312" w:hAnsi="仿宋_GB2312" w:eastAsia="仿宋_GB2312" w:cs="仿宋_GB2312"/>
          <w:color w:val="auto"/>
          <w:sz w:val="32"/>
          <w:szCs w:val="32"/>
        </w:rPr>
        <w:t>及</w:t>
      </w:r>
      <w:r>
        <w:rPr>
          <w:rFonts w:hint="eastAsia" w:ascii="仿宋_GB2312" w:hAnsi="仿宋_GB2312" w:eastAsia="仿宋_GB2312" w:cs="仿宋_GB2312"/>
          <w:color w:val="auto"/>
          <w:sz w:val="32"/>
          <w:szCs w:val="32"/>
          <w:highlight w:val="none"/>
        </w:rPr>
        <w:t>《河南省城市绿化实施办法》、《安阳市城市绿化条例》</w:t>
      </w:r>
      <w:r>
        <w:rPr>
          <w:rFonts w:hint="eastAsia" w:ascii="仿宋_GB2312" w:hAnsi="仿宋_GB2312" w:eastAsia="仿宋_GB2312" w:cs="仿宋_GB2312"/>
          <w:color w:val="auto"/>
          <w:sz w:val="32"/>
          <w:szCs w:val="32"/>
          <w:highlight w:val="none"/>
          <w:lang w:eastAsia="zh-CN"/>
        </w:rPr>
        <w:t>等</w:t>
      </w:r>
      <w:r>
        <w:rPr>
          <w:rFonts w:hint="eastAsia" w:ascii="仿宋_GB2312" w:hAnsi="仿宋_GB2312" w:eastAsia="仿宋_GB2312" w:cs="仿宋_GB2312"/>
          <w:sz w:val="32"/>
          <w:szCs w:val="32"/>
          <w:highlight w:val="none"/>
        </w:rPr>
        <w:t>文</w:t>
      </w:r>
      <w:r>
        <w:rPr>
          <w:rFonts w:hint="eastAsia" w:ascii="仿宋_GB2312" w:hAnsi="仿宋_GB2312" w:eastAsia="仿宋_GB2312" w:cs="仿宋_GB2312"/>
          <w:sz w:val="32"/>
          <w:szCs w:val="32"/>
        </w:rPr>
        <w:t>件</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要求，且与</w:t>
      </w: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职能范围相符，属于部门履职所需。</w:t>
      </w:r>
      <w:r>
        <w:rPr>
          <w:rFonts w:hint="eastAsia" w:ascii="仿宋_GB2312" w:hAnsi="仿宋_GB2312" w:eastAsia="仿宋_GB2312" w:cs="仿宋_GB2312"/>
          <w:sz w:val="32"/>
          <w:szCs w:val="32"/>
          <w:lang w:eastAsia="zh-CN"/>
        </w:rPr>
        <w:t>但事前未经过必要专家论证、风险评估；</w:t>
      </w:r>
      <w:r>
        <w:rPr>
          <w:rFonts w:hint="eastAsia" w:ascii="仿宋_GB2312" w:hAnsi="仿宋_GB2312" w:eastAsia="仿宋_GB2312" w:cs="仿宋_GB2312"/>
          <w:color w:val="auto"/>
          <w:kern w:val="2"/>
          <w:sz w:val="32"/>
          <w:szCs w:val="32"/>
          <w:lang w:eastAsia="zh-CN"/>
        </w:rPr>
        <w:t>绩效指标设置不太合理，如数量指标目标值和实际完成数量存在偏差，效益指标等指标值设置不够细化、明确；</w:t>
      </w:r>
      <w:r>
        <w:rPr>
          <w:rFonts w:hint="eastAsia" w:ascii="仿宋_GB2312" w:hAnsi="仿宋_GB2312" w:eastAsia="仿宋_GB2312" w:cs="仿宋_GB2312"/>
          <w:color w:val="auto"/>
          <w:sz w:val="32"/>
          <w:szCs w:val="32"/>
        </w:rPr>
        <w:t>预算额度测算依据不够充</w:t>
      </w:r>
      <w:r>
        <w:rPr>
          <w:rFonts w:hint="eastAsia" w:ascii="仿宋_GB2312" w:hAnsi="仿宋_GB2312" w:eastAsia="仿宋_GB2312" w:cs="仿宋_GB2312"/>
          <w:color w:val="auto"/>
          <w:sz w:val="32"/>
          <w:szCs w:val="32"/>
          <w:lang w:eastAsia="zh-CN"/>
        </w:rPr>
        <w:t>分，</w:t>
      </w:r>
      <w:r>
        <w:rPr>
          <w:rFonts w:hint="eastAsia" w:ascii="仿宋_GB2312" w:hAnsi="仿宋_GB2312" w:eastAsia="仿宋_GB2312" w:cs="仿宋_GB2312"/>
          <w:color w:val="auto"/>
          <w:kern w:val="2"/>
          <w:sz w:val="32"/>
          <w:szCs w:val="32"/>
          <w:lang w:eastAsia="zh-CN"/>
        </w:rPr>
        <w:t>未达到预期目标值。</w:t>
      </w:r>
    </w:p>
    <w:bookmarkEnd w:id="34"/>
    <w:p>
      <w:pPr>
        <w:keepNext w:val="0"/>
        <w:keepLines w:val="0"/>
        <w:pageBreakBefore w:val="0"/>
        <w:widowControl/>
        <w:kinsoku/>
        <w:wordWrap/>
        <w:overflowPunct/>
        <w:topLinePunct w:val="0"/>
        <w:autoSpaceDE/>
        <w:autoSpaceDN/>
        <w:bidi w:val="0"/>
        <w:adjustRightInd/>
        <w:snapToGrid/>
        <w:spacing w:line="360" w:lineRule="auto"/>
        <w:ind w:firstLine="643" w:firstLineChars="200"/>
        <w:textAlignment w:val="auto"/>
        <w:outlineLvl w:val="1"/>
        <w:rPr>
          <w:rFonts w:hint="eastAsia" w:ascii="仿宋_GB2312" w:hAnsi="仿宋_GB2312" w:eastAsia="仿宋_GB2312" w:cs="仿宋_GB2312"/>
          <w:b/>
          <w:bCs/>
          <w:color w:val="auto"/>
          <w:sz w:val="32"/>
          <w:szCs w:val="32"/>
        </w:rPr>
      </w:pPr>
      <w:bookmarkStart w:id="36" w:name="_Toc74939787"/>
      <w:bookmarkStart w:id="37" w:name="_Toc29911"/>
      <w:bookmarkStart w:id="38" w:name="_Hlk73956149"/>
      <w:r>
        <w:rPr>
          <w:rFonts w:hint="eastAsia" w:ascii="仿宋_GB2312" w:hAnsi="仿宋_GB2312" w:eastAsia="仿宋_GB2312" w:cs="仿宋_GB2312"/>
          <w:b/>
          <w:bCs/>
          <w:color w:val="auto"/>
          <w:sz w:val="32"/>
          <w:szCs w:val="32"/>
        </w:rPr>
        <w:t>（二）项目过程情况</w:t>
      </w:r>
      <w:bookmarkEnd w:id="36"/>
      <w:bookmarkEnd w:id="37"/>
    </w:p>
    <w:bookmarkEnd w:id="38"/>
    <w:p>
      <w:pPr>
        <w:keepNext w:val="0"/>
        <w:keepLines w:val="0"/>
        <w:pageBreakBefore w:val="0"/>
        <w:widowControl/>
        <w:kinsoku/>
        <w:wordWrap/>
        <w:overflowPunct/>
        <w:topLinePunct w:val="0"/>
        <w:autoSpaceDE/>
        <w:autoSpaceDN/>
        <w:bidi w:val="0"/>
        <w:adjustRightInd/>
        <w:snapToGrid/>
        <w:spacing w:line="360" w:lineRule="auto"/>
        <w:ind w:firstLine="640" w:firstLineChars="200"/>
        <w:contextualSpacing/>
        <w:jc w:val="both"/>
        <w:textAlignment w:val="auto"/>
        <w:rPr>
          <w:rFonts w:hint="eastAsia" w:ascii="仿宋_GB2312" w:hAnsi="仿宋_GB2312" w:eastAsia="仿宋_GB2312" w:cs="仿宋_GB2312"/>
          <w:color w:val="auto"/>
          <w:kern w:val="2"/>
          <w:sz w:val="32"/>
          <w:szCs w:val="32"/>
          <w:highlight w:val="none"/>
          <w:lang w:eastAsia="zh-CN"/>
        </w:rPr>
      </w:pPr>
      <w:r>
        <w:rPr>
          <w:rFonts w:hint="eastAsia" w:ascii="仿宋_GB2312" w:hAnsi="仿宋_GB2312" w:eastAsia="仿宋_GB2312" w:cs="仿宋_GB2312"/>
          <w:color w:val="auto"/>
          <w:kern w:val="2"/>
          <w:sz w:val="32"/>
          <w:szCs w:val="32"/>
        </w:rPr>
        <w:t>项目过程主要从预算执行、资金管理和组织实施三个方面进行评价，该部分指标总分</w:t>
      </w:r>
      <w:r>
        <w:rPr>
          <w:rFonts w:hint="eastAsia" w:ascii="仿宋_GB2312" w:hAnsi="仿宋_GB2312" w:eastAsia="仿宋_GB2312" w:cs="仿宋_GB2312"/>
          <w:color w:val="auto"/>
          <w:kern w:val="2"/>
          <w:sz w:val="32"/>
          <w:szCs w:val="32"/>
          <w:lang w:val="en-US" w:eastAsia="zh-CN"/>
        </w:rPr>
        <w:t>18.00</w:t>
      </w:r>
      <w:r>
        <w:rPr>
          <w:rFonts w:hint="eastAsia" w:ascii="仿宋_GB2312" w:hAnsi="仿宋_GB2312" w:eastAsia="仿宋_GB2312" w:cs="仿宋_GB2312"/>
          <w:color w:val="auto"/>
          <w:kern w:val="2"/>
          <w:sz w:val="32"/>
          <w:szCs w:val="32"/>
        </w:rPr>
        <w:t>分，得</w:t>
      </w:r>
      <w:r>
        <w:rPr>
          <w:rFonts w:hint="eastAsia" w:ascii="仿宋_GB2312" w:hAnsi="仿宋_GB2312" w:eastAsia="仿宋_GB2312" w:cs="仿宋_GB2312"/>
          <w:color w:val="auto"/>
          <w:kern w:val="2"/>
          <w:sz w:val="32"/>
          <w:szCs w:val="32"/>
          <w:lang w:val="en-US" w:eastAsia="zh-CN"/>
        </w:rPr>
        <w:t>14.00</w:t>
      </w:r>
      <w:r>
        <w:rPr>
          <w:rFonts w:hint="eastAsia" w:ascii="仿宋_GB2312" w:hAnsi="仿宋_GB2312" w:eastAsia="仿宋_GB2312" w:cs="仿宋_GB2312"/>
          <w:color w:val="auto"/>
          <w:kern w:val="2"/>
          <w:sz w:val="32"/>
          <w:szCs w:val="32"/>
        </w:rPr>
        <w:t>分，得分率</w:t>
      </w:r>
      <w:r>
        <w:rPr>
          <w:rFonts w:hint="eastAsia" w:ascii="仿宋_GB2312" w:hAnsi="仿宋_GB2312" w:eastAsia="仿宋_GB2312" w:cs="仿宋_GB2312"/>
          <w:color w:val="auto"/>
          <w:kern w:val="2"/>
          <w:sz w:val="32"/>
          <w:szCs w:val="32"/>
          <w:lang w:val="en-US" w:eastAsia="zh-CN"/>
        </w:rPr>
        <w:t>77.78</w:t>
      </w:r>
      <w:r>
        <w:rPr>
          <w:rFonts w:hint="eastAsia" w:ascii="仿宋_GB2312" w:hAnsi="仿宋_GB2312" w:eastAsia="仿宋_GB2312" w:cs="仿宋_GB2312"/>
          <w:color w:val="auto"/>
          <w:kern w:val="2"/>
          <w:sz w:val="32"/>
          <w:szCs w:val="32"/>
        </w:rPr>
        <w:t>%。</w:t>
      </w:r>
      <w:bookmarkStart w:id="39" w:name="_Toc74939788"/>
      <w:bookmarkStart w:id="40" w:name="_Hlk73956916"/>
      <w:r>
        <w:rPr>
          <w:rFonts w:hint="eastAsia" w:ascii="仿宋_GB2312" w:hAnsi="仿宋_GB2312" w:eastAsia="仿宋_GB2312" w:cs="仿宋_GB2312"/>
          <w:sz w:val="32"/>
          <w:szCs w:val="32"/>
        </w:rPr>
        <w:t>该项目实施过程中基本符合相关管理规定有关内容，</w:t>
      </w:r>
      <w:r>
        <w:rPr>
          <w:rFonts w:hint="eastAsia" w:ascii="仿宋_GB2312" w:hAnsi="仿宋_GB2312" w:eastAsia="仿宋_GB2312" w:cs="仿宋_GB2312"/>
          <w:sz w:val="32"/>
          <w:szCs w:val="32"/>
          <w:lang w:eastAsia="zh-CN"/>
        </w:rPr>
        <w:t>且</w:t>
      </w:r>
      <w:r>
        <w:rPr>
          <w:rFonts w:hint="eastAsia" w:ascii="仿宋_GB2312" w:hAnsi="仿宋_GB2312" w:eastAsia="仿宋_GB2312" w:cs="仿宋_GB2312"/>
          <w:sz w:val="32"/>
          <w:szCs w:val="32"/>
        </w:rPr>
        <w:t>未对项目开展造成不良影响</w:t>
      </w:r>
      <w:r>
        <w:rPr>
          <w:rFonts w:hint="eastAsia" w:ascii="仿宋_GB2312" w:hAnsi="仿宋_GB2312" w:eastAsia="仿宋_GB2312" w:cs="仿宋_GB2312"/>
          <w:sz w:val="32"/>
          <w:szCs w:val="32"/>
          <w:lang w:eastAsia="zh-CN"/>
        </w:rPr>
        <w:t>。创建森林城市绿化建设京港澳高速城区段绿化项目（一园）全年预算</w:t>
      </w:r>
      <w:r>
        <w:rPr>
          <w:rFonts w:hint="eastAsia" w:ascii="仿宋_GB2312" w:hAnsi="仿宋_GB2312" w:eastAsia="仿宋_GB2312" w:cs="仿宋_GB2312"/>
          <w:sz w:val="32"/>
          <w:szCs w:val="32"/>
          <w:lang w:val="en-US" w:eastAsia="zh-CN"/>
        </w:rPr>
        <w:t>1,650.00万元，实际到位资金953.00万元，因县级财政资金紧张，</w:t>
      </w:r>
      <w:r>
        <w:rPr>
          <w:rFonts w:hint="eastAsia" w:ascii="仿宋_GB2312" w:hAnsi="仿宋_GB2312" w:eastAsia="仿宋_GB2312" w:cs="仿宋_GB2312"/>
          <w:color w:val="auto"/>
          <w:kern w:val="2"/>
          <w:sz w:val="32"/>
          <w:szCs w:val="32"/>
          <w:lang w:eastAsia="zh-CN"/>
        </w:rPr>
        <w:t>预算执行率较低；</w:t>
      </w:r>
      <w:r>
        <w:rPr>
          <w:rFonts w:hint="eastAsia" w:ascii="仿宋_GB2312" w:hAnsi="仿宋_GB2312" w:eastAsia="仿宋_GB2312" w:cs="仿宋_GB2312"/>
          <w:sz w:val="32"/>
          <w:szCs w:val="32"/>
        </w:rPr>
        <w:t>项目业务管理制度不健全，</w:t>
      </w:r>
      <w:r>
        <w:rPr>
          <w:rFonts w:hint="eastAsia" w:ascii="仿宋_GB2312" w:hAnsi="仿宋_GB2312" w:eastAsia="仿宋_GB2312" w:cs="仿宋_GB2312"/>
          <w:sz w:val="32"/>
          <w:szCs w:val="32"/>
          <w:lang w:eastAsia="zh-CN"/>
        </w:rPr>
        <w:t>在项目实施中，缺乏</w:t>
      </w:r>
      <w:r>
        <w:rPr>
          <w:rFonts w:hint="eastAsia" w:ascii="仿宋_GB2312" w:hAnsi="仿宋_GB2312" w:eastAsia="仿宋_GB2312" w:cs="仿宋_GB2312"/>
          <w:sz w:val="32"/>
          <w:szCs w:val="32"/>
          <w:lang w:val="en-US" w:eastAsia="zh-CN"/>
        </w:rPr>
        <w:t>规范的制度管理作为依据。</w:t>
      </w:r>
    </w:p>
    <w:p>
      <w:pPr>
        <w:keepNext w:val="0"/>
        <w:keepLines w:val="0"/>
        <w:pageBreakBefore w:val="0"/>
        <w:widowControl/>
        <w:kinsoku/>
        <w:wordWrap/>
        <w:overflowPunct/>
        <w:topLinePunct w:val="0"/>
        <w:autoSpaceDE/>
        <w:autoSpaceDN/>
        <w:bidi w:val="0"/>
        <w:adjustRightInd/>
        <w:snapToGrid/>
        <w:spacing w:line="360" w:lineRule="auto"/>
        <w:ind w:firstLine="643" w:firstLineChars="200"/>
        <w:textAlignment w:val="auto"/>
        <w:outlineLvl w:val="1"/>
        <w:rPr>
          <w:rFonts w:hint="eastAsia" w:ascii="仿宋_GB2312" w:hAnsi="仿宋_GB2312" w:eastAsia="仿宋_GB2312" w:cs="仿宋_GB2312"/>
          <w:b/>
          <w:bCs/>
          <w:color w:val="auto"/>
          <w:sz w:val="32"/>
          <w:szCs w:val="32"/>
        </w:rPr>
      </w:pPr>
      <w:bookmarkStart w:id="41" w:name="_Toc32086"/>
      <w:r>
        <w:rPr>
          <w:rFonts w:hint="eastAsia" w:ascii="仿宋_GB2312" w:hAnsi="仿宋_GB2312" w:eastAsia="仿宋_GB2312" w:cs="仿宋_GB2312"/>
          <w:b/>
          <w:bCs/>
          <w:color w:val="auto"/>
          <w:sz w:val="32"/>
          <w:szCs w:val="32"/>
        </w:rPr>
        <w:t>（三）项目产出情况</w:t>
      </w:r>
      <w:bookmarkEnd w:id="39"/>
      <w:bookmarkEnd w:id="41"/>
    </w:p>
    <w:p>
      <w:pPr>
        <w:keepNext w:val="0"/>
        <w:keepLines w:val="0"/>
        <w:pageBreakBefore w:val="0"/>
        <w:widowControl/>
        <w:kinsoku/>
        <w:wordWrap/>
        <w:overflowPunct/>
        <w:topLinePunct w:val="0"/>
        <w:autoSpaceDE/>
        <w:autoSpaceDN/>
        <w:bidi w:val="0"/>
        <w:adjustRightInd/>
        <w:snapToGrid/>
        <w:spacing w:line="360" w:lineRule="auto"/>
        <w:ind w:firstLine="56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2"/>
          <w:sz w:val="32"/>
          <w:szCs w:val="32"/>
        </w:rPr>
        <w:t>项目产出主要从数量、质量、时效</w:t>
      </w:r>
      <w:r>
        <w:rPr>
          <w:rFonts w:hint="eastAsia" w:ascii="仿宋_GB2312" w:hAnsi="仿宋_GB2312" w:eastAsia="仿宋_GB2312" w:cs="仿宋_GB2312"/>
          <w:color w:val="auto"/>
          <w:kern w:val="2"/>
          <w:sz w:val="32"/>
          <w:szCs w:val="32"/>
          <w:lang w:eastAsia="zh-CN"/>
        </w:rPr>
        <w:t>、成本四</w:t>
      </w:r>
      <w:r>
        <w:rPr>
          <w:rFonts w:hint="eastAsia" w:ascii="仿宋_GB2312" w:hAnsi="仿宋_GB2312" w:eastAsia="仿宋_GB2312" w:cs="仿宋_GB2312"/>
          <w:color w:val="auto"/>
          <w:kern w:val="2"/>
          <w:sz w:val="32"/>
          <w:szCs w:val="32"/>
        </w:rPr>
        <w:t>个方面评价，该部分指标总分</w:t>
      </w:r>
      <w:r>
        <w:rPr>
          <w:rFonts w:hint="eastAsia" w:ascii="仿宋_GB2312" w:hAnsi="仿宋_GB2312" w:eastAsia="仿宋_GB2312" w:cs="仿宋_GB2312"/>
          <w:color w:val="auto"/>
          <w:kern w:val="2"/>
          <w:sz w:val="32"/>
          <w:szCs w:val="32"/>
          <w:lang w:val="en-US" w:eastAsia="zh-CN"/>
        </w:rPr>
        <w:t>40.00</w:t>
      </w:r>
      <w:r>
        <w:rPr>
          <w:rFonts w:hint="eastAsia" w:ascii="仿宋_GB2312" w:hAnsi="仿宋_GB2312" w:eastAsia="仿宋_GB2312" w:cs="仿宋_GB2312"/>
          <w:color w:val="auto"/>
          <w:kern w:val="2"/>
          <w:sz w:val="32"/>
          <w:szCs w:val="32"/>
        </w:rPr>
        <w:t>分，实际得</w:t>
      </w:r>
      <w:r>
        <w:rPr>
          <w:rFonts w:hint="eastAsia" w:ascii="仿宋_GB2312" w:hAnsi="仿宋_GB2312" w:eastAsia="仿宋_GB2312" w:cs="仿宋_GB2312"/>
          <w:color w:val="auto"/>
          <w:kern w:val="2"/>
          <w:sz w:val="32"/>
          <w:szCs w:val="32"/>
          <w:lang w:val="en-US" w:eastAsia="zh-CN"/>
        </w:rPr>
        <w:t>29.70</w:t>
      </w:r>
      <w:r>
        <w:rPr>
          <w:rFonts w:hint="eastAsia" w:ascii="仿宋_GB2312" w:hAnsi="仿宋_GB2312" w:eastAsia="仿宋_GB2312" w:cs="仿宋_GB2312"/>
          <w:color w:val="auto"/>
          <w:kern w:val="2"/>
          <w:sz w:val="32"/>
          <w:szCs w:val="32"/>
        </w:rPr>
        <w:t>分，得分率</w:t>
      </w:r>
      <w:r>
        <w:rPr>
          <w:rFonts w:hint="eastAsia" w:ascii="仿宋_GB2312" w:hAnsi="仿宋_GB2312" w:eastAsia="仿宋_GB2312" w:cs="仿宋_GB2312"/>
          <w:color w:val="auto"/>
          <w:kern w:val="2"/>
          <w:sz w:val="32"/>
          <w:szCs w:val="32"/>
          <w:lang w:val="en-US" w:eastAsia="zh-CN"/>
        </w:rPr>
        <w:t>74.25</w:t>
      </w:r>
      <w:r>
        <w:rPr>
          <w:rFonts w:hint="eastAsia" w:ascii="仿宋_GB2312" w:hAnsi="仿宋_GB2312" w:eastAsia="仿宋_GB2312" w:cs="仿宋_GB2312"/>
          <w:color w:val="auto"/>
          <w:kern w:val="2"/>
          <w:sz w:val="32"/>
          <w:szCs w:val="32"/>
        </w:rPr>
        <w:t>%。</w:t>
      </w:r>
      <w:bookmarkEnd w:id="35"/>
      <w:bookmarkEnd w:id="40"/>
      <w:r>
        <w:rPr>
          <w:rFonts w:hint="eastAsia" w:ascii="仿宋_GB2312" w:hAnsi="仿宋_GB2312" w:eastAsia="仿宋_GB2312" w:cs="仿宋_GB2312"/>
          <w:sz w:val="32"/>
          <w:szCs w:val="32"/>
        </w:rPr>
        <w:t>该项目</w:t>
      </w:r>
      <w:r>
        <w:rPr>
          <w:rFonts w:hint="eastAsia" w:ascii="仿宋_GB2312" w:hAnsi="仿宋_GB2312" w:eastAsia="仿宋_GB2312" w:cs="仿宋_GB2312"/>
          <w:sz w:val="32"/>
          <w:szCs w:val="32"/>
          <w:lang w:eastAsia="zh-CN"/>
        </w:rPr>
        <w:t>总建设面积、质量</w:t>
      </w:r>
      <w:r>
        <w:rPr>
          <w:rFonts w:hint="eastAsia" w:ascii="仿宋_GB2312" w:hAnsi="仿宋_GB2312" w:eastAsia="仿宋_GB2312" w:cs="仿宋_GB2312"/>
          <w:sz w:val="32"/>
          <w:szCs w:val="32"/>
        </w:rPr>
        <w:t>等方面均能及时高效、高质高量完成计划任务，充分保障了</w:t>
      </w:r>
      <w:r>
        <w:rPr>
          <w:rFonts w:hint="eastAsia" w:ascii="仿宋_GB2312" w:hAnsi="仿宋_GB2312" w:eastAsia="仿宋_GB2312" w:cs="仿宋_GB2312"/>
          <w:color w:val="auto"/>
          <w:kern w:val="2"/>
          <w:sz w:val="32"/>
          <w:szCs w:val="32"/>
          <w:lang w:eastAsia="zh-CN"/>
        </w:rPr>
        <w:t>创建森林城市绿化建设京港澳高速城区段绿化项目（一园）</w:t>
      </w:r>
      <w:r>
        <w:rPr>
          <w:rFonts w:hint="eastAsia" w:ascii="仿宋_GB2312" w:hAnsi="仿宋_GB2312" w:eastAsia="仿宋_GB2312" w:cs="仿宋_GB2312"/>
          <w:sz w:val="32"/>
          <w:szCs w:val="32"/>
        </w:rPr>
        <w:t>的有效开展</w:t>
      </w:r>
      <w:r>
        <w:rPr>
          <w:rFonts w:hint="eastAsia" w:ascii="仿宋_GB2312" w:hAnsi="仿宋_GB2312" w:eastAsia="仿宋_GB2312" w:cs="仿宋_GB2312"/>
          <w:sz w:val="32"/>
          <w:szCs w:val="32"/>
          <w:lang w:eastAsia="zh-CN"/>
        </w:rPr>
        <w:t>。但</w:t>
      </w:r>
      <w:r>
        <w:rPr>
          <w:rFonts w:hint="eastAsia" w:ascii="仿宋_GB2312" w:hAnsi="仿宋_GB2312" w:eastAsia="仿宋_GB2312" w:cs="仿宋_GB2312"/>
          <w:color w:val="auto"/>
          <w:kern w:val="2"/>
          <w:sz w:val="32"/>
          <w:szCs w:val="32"/>
          <w:lang w:eastAsia="zh-CN"/>
        </w:rPr>
        <w:t>项目质量、时效、成本方面</w:t>
      </w:r>
      <w:r>
        <w:rPr>
          <w:rFonts w:hint="eastAsia" w:ascii="仿宋_GB2312" w:hAnsi="仿宋_GB2312" w:eastAsia="仿宋_GB2312" w:cs="仿宋_GB2312"/>
          <w:sz w:val="32"/>
          <w:szCs w:val="32"/>
        </w:rPr>
        <w:t>控制有效性不足</w:t>
      </w:r>
      <w:r>
        <w:rPr>
          <w:rFonts w:hint="eastAsia" w:ascii="仿宋_GB2312" w:hAnsi="仿宋_GB2312" w:eastAsia="仿宋_GB2312" w:cs="仿宋_GB2312"/>
          <w:sz w:val="32"/>
          <w:szCs w:val="32"/>
          <w:lang w:eastAsia="zh-CN"/>
        </w:rPr>
        <w:t>，时效方面未能在合同规定的时间内竣工；质量方面园区道路绿化不到位、垃圾桶存在乱摆放、损坏等问题；成本方面因县级财政资金支付不及时，预算执行率较低</w:t>
      </w:r>
      <w:r>
        <w:rPr>
          <w:rFonts w:hint="eastAsia" w:ascii="仿宋_GB2312" w:hAnsi="仿宋_GB2312" w:eastAsia="仿宋_GB2312" w:cs="仿宋_GB2312"/>
          <w:sz w:val="32"/>
          <w:szCs w:val="32"/>
          <w:lang w:val="en-US" w:eastAsia="zh-CN"/>
        </w:rPr>
        <w:t>。</w:t>
      </w:r>
    </w:p>
    <w:p>
      <w:pPr>
        <w:pStyle w:val="6"/>
        <w:rPr>
          <w:rFonts w:hint="default"/>
          <w:lang w:val="en-US" w:eastAsia="zh-CN"/>
        </w:rPr>
      </w:pPr>
      <w:r>
        <w:rPr>
          <w:rFonts w:hint="default"/>
          <w:lang w:val="en-US" w:eastAsia="zh-CN"/>
        </w:rPr>
        <w:drawing>
          <wp:inline distT="0" distB="0" distL="114300" distR="114300">
            <wp:extent cx="2597785" cy="2255520"/>
            <wp:effectExtent l="0" t="0" r="12065" b="11430"/>
            <wp:docPr id="1" name="图片 1" descr="eacedb6fd025cd8054b53489fa73a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acedb6fd025cd8054b53489fa73ac5"/>
                    <pic:cNvPicPr>
                      <a:picLocks noChangeAspect="1"/>
                    </pic:cNvPicPr>
                  </pic:nvPicPr>
                  <pic:blipFill>
                    <a:blip r:embed="rId12"/>
                    <a:stretch>
                      <a:fillRect/>
                    </a:stretch>
                  </pic:blipFill>
                  <pic:spPr>
                    <a:xfrm>
                      <a:off x="0" y="0"/>
                      <a:ext cx="2597785" cy="2255520"/>
                    </a:xfrm>
                    <a:prstGeom prst="rect">
                      <a:avLst/>
                    </a:prstGeom>
                  </pic:spPr>
                </pic:pic>
              </a:graphicData>
            </a:graphic>
          </wp:inline>
        </w:drawing>
      </w:r>
      <w:r>
        <w:rPr>
          <w:rFonts w:hint="eastAsia"/>
          <w:lang w:val="en-US" w:eastAsia="zh-CN"/>
        </w:rPr>
        <w:t xml:space="preserve"> </w:t>
      </w:r>
      <w:r>
        <w:rPr>
          <w:rFonts w:hint="default"/>
          <w:lang w:val="en-US" w:eastAsia="zh-CN"/>
        </w:rPr>
        <w:drawing>
          <wp:inline distT="0" distB="0" distL="114300" distR="114300">
            <wp:extent cx="2541905" cy="2253615"/>
            <wp:effectExtent l="0" t="0" r="10795" b="13335"/>
            <wp:docPr id="9" name="图片 9" descr="406ef75a90302aa3d6944b3c18c0b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406ef75a90302aa3d6944b3c18c0b04"/>
                    <pic:cNvPicPr>
                      <a:picLocks noChangeAspect="1"/>
                    </pic:cNvPicPr>
                  </pic:nvPicPr>
                  <pic:blipFill>
                    <a:blip r:embed="rId13"/>
                    <a:stretch>
                      <a:fillRect/>
                    </a:stretch>
                  </pic:blipFill>
                  <pic:spPr>
                    <a:xfrm>
                      <a:off x="0" y="0"/>
                      <a:ext cx="2541905" cy="2253615"/>
                    </a:xfrm>
                    <a:prstGeom prst="rect">
                      <a:avLst/>
                    </a:prstGeom>
                  </pic:spPr>
                </pic:pic>
              </a:graphicData>
            </a:graphic>
          </wp:inline>
        </w:drawing>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firstLine="643" w:firstLineChars="200"/>
        <w:textAlignment w:val="auto"/>
        <w:outlineLvl w:val="1"/>
        <w:rPr>
          <w:rFonts w:hint="eastAsia" w:ascii="仿宋_GB2312" w:hAnsi="仿宋_GB2312" w:eastAsia="仿宋_GB2312" w:cs="仿宋_GB2312"/>
          <w:b/>
          <w:bCs/>
          <w:color w:val="auto"/>
          <w:sz w:val="32"/>
          <w:szCs w:val="32"/>
        </w:rPr>
      </w:pPr>
      <w:bookmarkStart w:id="42" w:name="_Toc14161"/>
      <w:bookmarkStart w:id="43" w:name="_Toc74939789"/>
      <w:r>
        <w:rPr>
          <w:rFonts w:hint="eastAsia" w:ascii="仿宋_GB2312" w:hAnsi="仿宋_GB2312" w:eastAsia="仿宋_GB2312" w:cs="仿宋_GB2312"/>
          <w:b/>
          <w:bCs/>
          <w:color w:val="auto"/>
          <w:sz w:val="32"/>
          <w:szCs w:val="32"/>
        </w:rPr>
        <w:t>项目效益情况</w:t>
      </w:r>
      <w:bookmarkEnd w:id="42"/>
      <w:bookmarkEnd w:id="43"/>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kern w:val="2"/>
          <w:sz w:val="32"/>
          <w:szCs w:val="32"/>
          <w:lang w:eastAsia="zh-CN"/>
        </w:rPr>
      </w:pPr>
      <w:r>
        <w:rPr>
          <w:rFonts w:hint="eastAsia" w:ascii="仿宋_GB2312" w:hAnsi="仿宋_GB2312" w:eastAsia="仿宋_GB2312" w:cs="仿宋_GB2312"/>
          <w:color w:val="auto"/>
          <w:kern w:val="2"/>
          <w:sz w:val="32"/>
          <w:szCs w:val="32"/>
        </w:rPr>
        <w:t>项目效益主要从经济效益、社会效益、可持续影响、服务对象满意度四个方面进行评价。该部分指标总分</w:t>
      </w:r>
      <w:r>
        <w:rPr>
          <w:rFonts w:hint="eastAsia" w:ascii="仿宋_GB2312" w:hAnsi="仿宋_GB2312" w:eastAsia="仿宋_GB2312" w:cs="仿宋_GB2312"/>
          <w:color w:val="auto"/>
          <w:kern w:val="2"/>
          <w:sz w:val="32"/>
          <w:szCs w:val="32"/>
          <w:lang w:val="en-US" w:eastAsia="zh-CN"/>
        </w:rPr>
        <w:t>24.00</w:t>
      </w:r>
      <w:r>
        <w:rPr>
          <w:rFonts w:hint="eastAsia" w:ascii="仿宋_GB2312" w:hAnsi="仿宋_GB2312" w:eastAsia="仿宋_GB2312" w:cs="仿宋_GB2312"/>
          <w:color w:val="auto"/>
          <w:kern w:val="2"/>
          <w:sz w:val="32"/>
          <w:szCs w:val="32"/>
        </w:rPr>
        <w:t>分，</w:t>
      </w:r>
      <w:r>
        <w:rPr>
          <w:rFonts w:hint="eastAsia" w:ascii="仿宋_GB2312" w:hAnsi="仿宋_GB2312" w:eastAsia="仿宋_GB2312" w:cs="仿宋_GB2312"/>
          <w:color w:val="auto"/>
          <w:kern w:val="2"/>
          <w:sz w:val="32"/>
          <w:szCs w:val="32"/>
          <w:lang w:eastAsia="zh-CN"/>
        </w:rPr>
        <w:t>实际</w:t>
      </w:r>
      <w:r>
        <w:rPr>
          <w:rFonts w:hint="eastAsia" w:ascii="仿宋_GB2312" w:hAnsi="仿宋_GB2312" w:eastAsia="仿宋_GB2312" w:cs="仿宋_GB2312"/>
          <w:color w:val="auto"/>
          <w:kern w:val="2"/>
          <w:sz w:val="32"/>
          <w:szCs w:val="32"/>
        </w:rPr>
        <w:t>得2</w:t>
      </w:r>
      <w:r>
        <w:rPr>
          <w:rFonts w:hint="eastAsia" w:ascii="仿宋_GB2312" w:hAnsi="仿宋_GB2312" w:eastAsia="仿宋_GB2312" w:cs="仿宋_GB2312"/>
          <w:color w:val="auto"/>
          <w:kern w:val="2"/>
          <w:sz w:val="32"/>
          <w:szCs w:val="32"/>
          <w:lang w:val="en-US" w:eastAsia="zh-CN"/>
        </w:rPr>
        <w:t>3.00</w:t>
      </w:r>
      <w:r>
        <w:rPr>
          <w:rFonts w:hint="eastAsia" w:ascii="仿宋_GB2312" w:hAnsi="仿宋_GB2312" w:eastAsia="仿宋_GB2312" w:cs="仿宋_GB2312"/>
          <w:color w:val="auto"/>
          <w:kern w:val="2"/>
          <w:sz w:val="32"/>
          <w:szCs w:val="32"/>
        </w:rPr>
        <w:t>分，得分率</w:t>
      </w:r>
      <w:r>
        <w:rPr>
          <w:rFonts w:hint="eastAsia" w:ascii="仿宋_GB2312" w:hAnsi="仿宋_GB2312" w:eastAsia="仿宋_GB2312" w:cs="仿宋_GB2312"/>
          <w:color w:val="auto"/>
          <w:kern w:val="2"/>
          <w:sz w:val="32"/>
          <w:szCs w:val="32"/>
          <w:lang w:val="en-US" w:eastAsia="zh-CN"/>
        </w:rPr>
        <w:t>95.83</w:t>
      </w:r>
      <w:r>
        <w:rPr>
          <w:rFonts w:hint="eastAsia" w:ascii="仿宋_GB2312" w:hAnsi="仿宋_GB2312" w:eastAsia="仿宋_GB2312" w:cs="仿宋_GB2312"/>
          <w:color w:val="auto"/>
          <w:kern w:val="2"/>
          <w:sz w:val="32"/>
          <w:szCs w:val="32"/>
        </w:rPr>
        <w:t>%。</w:t>
      </w:r>
      <w:r>
        <w:rPr>
          <w:rFonts w:hint="eastAsia" w:ascii="仿宋_GB2312" w:hAnsi="仿宋_GB2312" w:eastAsia="仿宋_GB2312" w:cs="仿宋_GB2312"/>
          <w:color w:val="auto"/>
          <w:kern w:val="2"/>
          <w:sz w:val="32"/>
          <w:szCs w:val="32"/>
          <w:lang w:eastAsia="zh-CN"/>
        </w:rPr>
        <w:t>通过创建森林绿化建设项目活动的开展，有利于合理利用剩余劳动力，扩大居民的就业机会。调整产业结构，改变当地人民的生产、生活方式，增加经济收入。吸收更多的劳动力就业，经济效益比较明显</w:t>
      </w:r>
      <w:r>
        <w:rPr>
          <w:rFonts w:hint="eastAsia" w:ascii="仿宋_GB2312" w:hAnsi="仿宋_GB2312" w:eastAsia="仿宋_GB2312" w:cs="仿宋_GB2312"/>
          <w:color w:val="auto"/>
          <w:kern w:val="2"/>
          <w:sz w:val="32"/>
          <w:szCs w:val="32"/>
        </w:rPr>
        <w:t>；通过“创建森林绿化建设”改善了当地的环境状况，有助于提升城市景观形成，完善了城市功能，对进一步发展安阳县城市经济起到了应有的保障作用。同时，带动了旅游业的发展，将会吸引更多的人士观光旅游。社会效益比较明显；</w:t>
      </w:r>
      <w:r>
        <w:rPr>
          <w:rFonts w:hint="eastAsia" w:ascii="仿宋_GB2312" w:hAnsi="仿宋_GB2312" w:eastAsia="仿宋_GB2312" w:cs="仿宋_GB2312"/>
          <w:color w:val="auto"/>
          <w:kern w:val="2"/>
          <w:sz w:val="32"/>
          <w:szCs w:val="32"/>
          <w:lang w:eastAsia="zh-CN"/>
        </w:rPr>
        <w:t>社会效益比较明显；森林绿化建设项目创建城乡宜居环境，大力发展道路绿化，使区域生态环境得到可持续发展的保障，生态效益得到提升；群众的不满情绪降低了满意度得分。</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FFFFFF" w:themeColor="background1"/>
          <w:kern w:val="2"/>
          <w:sz w:val="32"/>
          <w:szCs w:val="32"/>
          <w:highlight w:val="none"/>
          <w14:textFill>
            <w14:solidFill>
              <w14:schemeClr w14:val="bg1"/>
            </w14:solidFill>
          </w14:textFill>
        </w:rPr>
      </w:pPr>
      <w:r>
        <w:rPr>
          <w:rFonts w:hint="eastAsia" w:ascii="仿宋_GB2312" w:hAnsi="仿宋_GB2312" w:eastAsia="仿宋_GB2312" w:cs="仿宋_GB2312"/>
          <w:color w:val="auto"/>
          <w:kern w:val="2"/>
          <w:sz w:val="32"/>
          <w:szCs w:val="32"/>
          <w:highlight w:val="none"/>
        </w:rPr>
        <w:t>根据问卷调查结果，经评价组核查：本次满意度调查问卷对象为群众满意程度，调查问卷满意度共发放调查问卷30份，收回30份。每份问卷共10个问题，每道题满分10分，总分100分，具体分值为：选A得10分、选B得7分、选C得3分，选D不得分。根据问卷调查结果30份得分情况为：15份100分、9份85分、6份89分；其中失分项集中在第2题“您支持安阳县创建国家森林城市吗”有6人持“不太支持”态度；第3题“您支持安阳县创建国家森林城市吗”有6人持“不太支持”态度；第6题“您对古树名木的保护、对城市公共绿地实行更加严厉的保护措施是否支持”有6人持“基本支持”态度；依据评分标准，满意度≧95%的得满分，群众对整体评价的满意程度为93%</w:t>
      </w:r>
      <w:r>
        <w:rPr>
          <w:rFonts w:hint="eastAsia" w:ascii="仿宋_GB2312" w:hAnsi="仿宋_GB2312" w:eastAsia="仿宋_GB2312" w:cs="仿宋_GB2312"/>
          <w:color w:val="auto"/>
          <w:kern w:val="2"/>
          <w:sz w:val="32"/>
          <w:szCs w:val="32"/>
          <w:highlight w:val="none"/>
          <w:lang w:eastAsia="zh-CN"/>
        </w:rPr>
        <w:t>以上</w:t>
      </w:r>
      <w:r>
        <w:rPr>
          <w:rFonts w:hint="eastAsia" w:ascii="仿宋_GB2312" w:hAnsi="仿宋_GB2312" w:eastAsia="仿宋_GB2312" w:cs="仿宋_GB2312"/>
          <w:color w:val="auto"/>
          <w:kern w:val="2"/>
          <w:sz w:val="32"/>
          <w:szCs w:val="32"/>
          <w:highlight w:val="none"/>
        </w:rPr>
        <w:t>。</w:t>
      </w:r>
    </w:p>
    <w:p>
      <w:pPr>
        <w:keepNext w:val="0"/>
        <w:keepLines w:val="0"/>
        <w:pageBreakBefore w:val="0"/>
        <w:widowControl/>
        <w:kinsoku/>
        <w:wordWrap/>
        <w:overflowPunct/>
        <w:topLinePunct w:val="0"/>
        <w:autoSpaceDE/>
        <w:autoSpaceDN/>
        <w:bidi w:val="0"/>
        <w:spacing w:line="360" w:lineRule="auto"/>
        <w:ind w:firstLine="321" w:firstLineChars="100"/>
        <w:jc w:val="both"/>
        <w:textAlignment w:val="auto"/>
        <w:outlineLvl w:val="0"/>
        <w:rPr>
          <w:rFonts w:hint="eastAsia" w:ascii="仿宋_GB2312" w:hAnsi="仿宋_GB2312" w:eastAsia="仿宋_GB2312" w:cs="仿宋_GB2312"/>
          <w:b/>
          <w:bCs/>
          <w:color w:val="auto"/>
          <w:sz w:val="32"/>
          <w:szCs w:val="32"/>
          <w:highlight w:val="none"/>
        </w:rPr>
      </w:pPr>
      <w:bookmarkStart w:id="44" w:name="_Toc74939790"/>
      <w:bookmarkStart w:id="45" w:name="_Toc27052"/>
      <w:r>
        <w:rPr>
          <w:rFonts w:hint="eastAsia" w:ascii="仿宋_GB2312" w:hAnsi="仿宋_GB2312" w:eastAsia="仿宋_GB2312" w:cs="仿宋_GB2312"/>
          <w:b/>
          <w:bCs/>
          <w:color w:val="auto"/>
          <w:sz w:val="32"/>
          <w:szCs w:val="32"/>
          <w:highlight w:val="none"/>
        </w:rPr>
        <w:t>五、主要成效和做法</w:t>
      </w:r>
      <w:bookmarkEnd w:id="44"/>
      <w:bookmarkEnd w:id="45"/>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仿宋_GB2312" w:eastAsia="仿宋_GB2312" w:cs="仿宋_GB2312"/>
          <w:color w:val="auto"/>
          <w:kern w:val="2"/>
          <w:sz w:val="32"/>
          <w:szCs w:val="32"/>
          <w:lang w:eastAsia="zh-CN"/>
        </w:rPr>
      </w:pPr>
      <w:r>
        <w:rPr>
          <w:rFonts w:hint="eastAsia" w:ascii="仿宋_GB2312" w:hAnsi="仿宋_GB2312" w:eastAsia="仿宋_GB2312" w:cs="仿宋_GB2312"/>
          <w:color w:val="auto"/>
          <w:kern w:val="2"/>
          <w:sz w:val="32"/>
          <w:szCs w:val="32"/>
          <w:lang w:eastAsia="zh-CN"/>
        </w:rPr>
        <w:t>一是成立专门领导小组，工作协调推进机制健全。在县级层面成立创建森林绿化建设领导小组办公室，负责绿化建设项目工作的组织协调、任务落实、工作推进、督导检查、等组织管理，全面推进工作；二是改善了当地城市交通环境，提高了群众的生活水平；三项目建设符合国家、省市相关政策要求，具有良好的政策环境，同时受到相关部门及广大群众的支持，具有良好的社会互适性。</w:t>
      </w:r>
    </w:p>
    <w:p>
      <w:pPr>
        <w:keepNext w:val="0"/>
        <w:keepLines w:val="0"/>
        <w:pageBreakBefore w:val="0"/>
        <w:widowControl w:val="0"/>
        <w:kinsoku/>
        <w:wordWrap/>
        <w:overflowPunct/>
        <w:topLinePunct w:val="0"/>
        <w:autoSpaceDE/>
        <w:autoSpaceDN/>
        <w:bidi w:val="0"/>
        <w:adjustRightInd w:val="0"/>
        <w:snapToGrid w:val="0"/>
        <w:spacing w:line="360" w:lineRule="auto"/>
        <w:ind w:firstLine="320" w:firstLineChars="100"/>
        <w:jc w:val="both"/>
        <w:textAlignment w:val="auto"/>
        <w:outlineLvl w:val="0"/>
        <w:rPr>
          <w:rFonts w:hint="eastAsia" w:ascii="仿宋_GB2312" w:hAnsi="仿宋_GB2312" w:eastAsia="仿宋_GB2312" w:cs="仿宋_GB2312"/>
          <w:color w:val="auto"/>
          <w:sz w:val="32"/>
          <w:szCs w:val="32"/>
        </w:rPr>
      </w:pPr>
      <w:bookmarkStart w:id="46" w:name="_Toc25001"/>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b/>
          <w:bCs/>
          <w:color w:val="auto"/>
          <w:sz w:val="32"/>
          <w:szCs w:val="32"/>
        </w:rPr>
        <w:t>六、存在的问题及原因分析</w:t>
      </w:r>
      <w:bookmarkEnd w:id="46"/>
    </w:p>
    <w:p>
      <w:pPr>
        <w:keepNext w:val="0"/>
        <w:keepLines w:val="0"/>
        <w:pageBreakBefore w:val="0"/>
        <w:kinsoku/>
        <w:wordWrap/>
        <w:overflowPunct/>
        <w:topLinePunct w:val="0"/>
        <w:autoSpaceDE/>
        <w:autoSpaceDN/>
        <w:bidi w:val="0"/>
        <w:spacing w:line="360" w:lineRule="auto"/>
        <w:ind w:firstLine="643" w:firstLineChars="200"/>
        <w:jc w:val="both"/>
        <w:textAlignment w:val="auto"/>
        <w:outlineLvl w:val="1"/>
        <w:rPr>
          <w:rFonts w:hint="eastAsia" w:ascii="仿宋_GB2312" w:hAnsi="仿宋_GB2312" w:eastAsia="仿宋_GB2312" w:cs="仿宋_GB2312"/>
          <w:b/>
          <w:bCs/>
          <w:sz w:val="32"/>
          <w:szCs w:val="32"/>
        </w:rPr>
      </w:pPr>
      <w:bookmarkStart w:id="47" w:name="_Toc31926"/>
      <w:bookmarkStart w:id="48" w:name="_Toc74939799"/>
      <w:r>
        <w:rPr>
          <w:rFonts w:hint="eastAsia" w:ascii="仿宋_GB2312" w:hAnsi="仿宋_GB2312" w:eastAsia="仿宋_GB2312" w:cs="仿宋_GB2312"/>
          <w:b/>
          <w:bCs/>
          <w:sz w:val="32"/>
          <w:szCs w:val="32"/>
          <w:lang w:eastAsia="zh-CN"/>
        </w:rPr>
        <w:t>（一）</w:t>
      </w:r>
      <w:r>
        <w:rPr>
          <w:rFonts w:hint="eastAsia" w:ascii="仿宋_GB2312" w:hAnsi="仿宋_GB2312" w:eastAsia="仿宋_GB2312" w:cs="仿宋_GB2312"/>
          <w:b/>
          <w:bCs/>
          <w:sz w:val="32"/>
          <w:szCs w:val="32"/>
        </w:rPr>
        <w:t>是预算绩效管理意识薄弱，预算编制合理性不足，绩效目标设置科学性不足</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sz w:val="32"/>
          <w:szCs w:val="32"/>
        </w:rPr>
        <w:t>该项目</w:t>
      </w:r>
      <w:r>
        <w:rPr>
          <w:rFonts w:hint="eastAsia" w:ascii="仿宋_GB2312" w:hAnsi="仿宋_GB2312" w:eastAsia="仿宋_GB2312" w:cs="仿宋_GB2312"/>
          <w:sz w:val="32"/>
          <w:szCs w:val="32"/>
          <w:lang w:eastAsia="zh-CN"/>
        </w:rPr>
        <w:t>在编制预算申报书时，未经过必要的专家论证、风险评估。</w:t>
      </w:r>
      <w:r>
        <w:rPr>
          <w:rFonts w:hint="eastAsia" w:ascii="仿宋_GB2312" w:hAnsi="仿宋_GB2312" w:eastAsia="仿宋_GB2312" w:cs="仿宋_GB2312"/>
          <w:sz w:val="32"/>
          <w:szCs w:val="32"/>
        </w:rPr>
        <w:t>测算依据不充分，无法确定项目投入资金量与</w:t>
      </w:r>
      <w:r>
        <w:rPr>
          <w:rFonts w:hint="eastAsia" w:ascii="仿宋_GB2312" w:hAnsi="仿宋_GB2312" w:eastAsia="仿宋_GB2312" w:cs="仿宋_GB2312"/>
          <w:sz w:val="32"/>
          <w:szCs w:val="32"/>
          <w:lang w:eastAsia="zh-CN"/>
        </w:rPr>
        <w:t>绿化建设是</w:t>
      </w:r>
      <w:r>
        <w:rPr>
          <w:rFonts w:hint="eastAsia" w:ascii="仿宋_GB2312" w:hAnsi="仿宋_GB2312" w:eastAsia="仿宋_GB2312" w:cs="仿宋_GB2312"/>
          <w:sz w:val="32"/>
          <w:szCs w:val="32"/>
        </w:rPr>
        <w:t>否相匹配。绩效指标方面，存在部分指标设置不合理的现象，</w:t>
      </w:r>
      <w:bookmarkEnd w:id="47"/>
      <w:r>
        <w:rPr>
          <w:rFonts w:hint="eastAsia" w:ascii="仿宋_GB2312" w:hAnsi="仿宋_GB2312" w:eastAsia="仿宋_GB2312" w:cs="仿宋_GB2312"/>
          <w:color w:val="auto"/>
          <w:kern w:val="2"/>
          <w:sz w:val="32"/>
          <w:szCs w:val="32"/>
          <w:lang w:eastAsia="zh-CN"/>
        </w:rPr>
        <w:t>如数量指标目标值和实际完成数量存在偏差，效益指标指标值设置不合理</w:t>
      </w:r>
      <w:r>
        <w:rPr>
          <w:rFonts w:hint="eastAsia" w:ascii="仿宋_GB2312" w:hAnsi="仿宋_GB2312" w:eastAsia="仿宋_GB2312" w:cs="仿宋_GB2312"/>
          <w:b w:val="0"/>
          <w:bCs/>
          <w:sz w:val="32"/>
          <w:szCs w:val="32"/>
          <w:lang w:val="en-US" w:eastAsia="zh-CN"/>
        </w:rPr>
        <w:t>用100%表示无法衡量</w:t>
      </w:r>
      <w:r>
        <w:rPr>
          <w:rFonts w:hint="eastAsia" w:ascii="仿宋_GB2312" w:hAnsi="仿宋_GB2312" w:eastAsia="仿宋_GB2312" w:cs="仿宋_GB2312"/>
          <w:color w:val="auto"/>
          <w:kern w:val="2"/>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43" w:firstLineChars="200"/>
        <w:jc w:val="both"/>
        <w:textAlignment w:val="auto"/>
        <w:outlineLvl w:val="1"/>
        <w:rPr>
          <w:rFonts w:hint="eastAsia" w:ascii="仿宋_GB2312" w:hAnsi="仿宋_GB2312" w:eastAsia="仿宋_GB2312" w:cs="仿宋_GB2312"/>
          <w:b/>
          <w:bCs/>
          <w:color w:val="auto"/>
          <w:kern w:val="2"/>
          <w:sz w:val="32"/>
          <w:szCs w:val="32"/>
          <w:lang w:eastAsia="zh-CN"/>
        </w:rPr>
      </w:pPr>
      <w:bookmarkStart w:id="49" w:name="_Toc20976"/>
      <w:r>
        <w:rPr>
          <w:rFonts w:hint="eastAsia" w:ascii="仿宋_GB2312" w:hAnsi="仿宋_GB2312" w:eastAsia="仿宋_GB2312" w:cs="仿宋_GB2312"/>
          <w:b/>
          <w:bCs/>
          <w:color w:val="auto"/>
          <w:sz w:val="32"/>
          <w:szCs w:val="32"/>
        </w:rPr>
        <w:t>（</w:t>
      </w:r>
      <w:r>
        <w:rPr>
          <w:rFonts w:hint="eastAsia" w:ascii="仿宋_GB2312" w:hAnsi="仿宋_GB2312" w:eastAsia="仿宋_GB2312" w:cs="仿宋_GB2312"/>
          <w:b/>
          <w:bCs/>
          <w:color w:val="auto"/>
          <w:sz w:val="32"/>
          <w:szCs w:val="32"/>
          <w:lang w:eastAsia="zh-CN"/>
        </w:rPr>
        <w:t>二</w:t>
      </w:r>
      <w:r>
        <w:rPr>
          <w:rFonts w:hint="eastAsia" w:ascii="仿宋_GB2312" w:hAnsi="仿宋_GB2312" w:eastAsia="仿宋_GB2312" w:cs="仿宋_GB2312"/>
          <w:b/>
          <w:bCs/>
          <w:color w:val="auto"/>
          <w:sz w:val="32"/>
          <w:szCs w:val="32"/>
        </w:rPr>
        <w:t>）</w:t>
      </w:r>
      <w:bookmarkEnd w:id="49"/>
      <w:r>
        <w:rPr>
          <w:rFonts w:hint="eastAsia" w:ascii="仿宋_GB2312" w:hAnsi="仿宋_GB2312" w:eastAsia="仿宋_GB2312" w:cs="仿宋_GB2312"/>
          <w:b/>
          <w:bCs/>
          <w:color w:val="auto"/>
          <w:kern w:val="2"/>
          <w:sz w:val="32"/>
          <w:szCs w:val="32"/>
          <w:lang w:eastAsia="zh-CN"/>
        </w:rPr>
        <w:t>因财政资金紧张，未及时足额拨付到位</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仿宋_GB2312" w:eastAsia="仿宋_GB2312" w:cs="仿宋_GB2312"/>
          <w:b/>
          <w:bCs/>
          <w:color w:val="auto"/>
          <w:kern w:val="2"/>
          <w:sz w:val="32"/>
          <w:szCs w:val="32"/>
          <w:highlight w:val="none"/>
          <w:lang w:val="en-US" w:eastAsia="zh-CN"/>
        </w:rPr>
      </w:pPr>
      <w:r>
        <w:rPr>
          <w:rFonts w:hint="eastAsia" w:ascii="仿宋_GB2312" w:hAnsi="仿宋_GB2312" w:eastAsia="仿宋_GB2312" w:cs="仿宋_GB2312"/>
          <w:color w:val="auto"/>
          <w:kern w:val="2"/>
          <w:sz w:val="32"/>
          <w:szCs w:val="32"/>
          <w:highlight w:val="none"/>
          <w:lang w:eastAsia="zh-CN"/>
        </w:rPr>
        <w:t>创建森林绿化建设项目</w:t>
      </w:r>
      <w:r>
        <w:rPr>
          <w:rFonts w:hint="eastAsia" w:ascii="仿宋_GB2312" w:hAnsi="仿宋_GB2312" w:eastAsia="仿宋_GB2312" w:cs="仿宋_GB2312"/>
          <w:color w:val="auto"/>
          <w:kern w:val="2"/>
          <w:sz w:val="32"/>
          <w:szCs w:val="32"/>
          <w:highlight w:val="none"/>
        </w:rPr>
        <w:t>预算金额</w:t>
      </w:r>
      <w:r>
        <w:rPr>
          <w:rFonts w:hint="eastAsia" w:ascii="仿宋_GB2312" w:hAnsi="仿宋_GB2312" w:eastAsia="仿宋_GB2312" w:cs="仿宋_GB2312"/>
          <w:color w:val="auto"/>
          <w:kern w:val="2"/>
          <w:sz w:val="32"/>
          <w:szCs w:val="32"/>
          <w:highlight w:val="none"/>
          <w:lang w:val="en-US" w:eastAsia="zh-CN"/>
        </w:rPr>
        <w:t>1,650.00</w:t>
      </w:r>
      <w:r>
        <w:rPr>
          <w:rFonts w:hint="eastAsia" w:ascii="仿宋_GB2312" w:hAnsi="仿宋_GB2312" w:eastAsia="仿宋_GB2312" w:cs="仿宋_GB2312"/>
          <w:color w:val="auto"/>
          <w:kern w:val="2"/>
          <w:sz w:val="32"/>
          <w:szCs w:val="32"/>
          <w:highlight w:val="none"/>
        </w:rPr>
        <w:t>万元，实际拨付</w:t>
      </w:r>
      <w:r>
        <w:rPr>
          <w:rFonts w:hint="eastAsia" w:ascii="仿宋_GB2312" w:hAnsi="仿宋_GB2312" w:eastAsia="仿宋_GB2312" w:cs="仿宋_GB2312"/>
          <w:color w:val="auto"/>
          <w:kern w:val="2"/>
          <w:sz w:val="32"/>
          <w:szCs w:val="32"/>
          <w:highlight w:val="none"/>
          <w:lang w:val="en-US" w:eastAsia="zh-CN"/>
        </w:rPr>
        <w:t>953.00</w:t>
      </w:r>
      <w:r>
        <w:rPr>
          <w:rFonts w:hint="eastAsia" w:ascii="仿宋_GB2312" w:hAnsi="仿宋_GB2312" w:eastAsia="仿宋_GB2312" w:cs="仿宋_GB2312"/>
          <w:color w:val="auto"/>
          <w:kern w:val="2"/>
          <w:sz w:val="32"/>
          <w:szCs w:val="32"/>
          <w:highlight w:val="none"/>
        </w:rPr>
        <w:t>万元，预算执行率</w:t>
      </w:r>
      <w:r>
        <w:rPr>
          <w:rFonts w:hint="eastAsia" w:ascii="仿宋_GB2312" w:hAnsi="仿宋_GB2312" w:eastAsia="仿宋_GB2312" w:cs="仿宋_GB2312"/>
          <w:color w:val="auto"/>
          <w:kern w:val="2"/>
          <w:sz w:val="32"/>
          <w:szCs w:val="32"/>
          <w:highlight w:val="none"/>
          <w:lang w:val="en-US" w:eastAsia="zh-CN"/>
        </w:rPr>
        <w:t>57.76</w:t>
      </w:r>
      <w:r>
        <w:rPr>
          <w:rFonts w:hint="eastAsia" w:ascii="仿宋_GB2312" w:hAnsi="仿宋_GB2312" w:eastAsia="仿宋_GB2312" w:cs="仿宋_GB2312"/>
          <w:color w:val="auto"/>
          <w:kern w:val="2"/>
          <w:sz w:val="32"/>
          <w:szCs w:val="32"/>
          <w:highlight w:val="none"/>
        </w:rPr>
        <w:t>%</w:t>
      </w:r>
      <w:r>
        <w:rPr>
          <w:rFonts w:hint="eastAsia" w:ascii="仿宋_GB2312" w:hAnsi="仿宋_GB2312" w:eastAsia="仿宋_GB2312" w:cs="仿宋_GB2312"/>
          <w:color w:val="auto"/>
          <w:kern w:val="2"/>
          <w:sz w:val="32"/>
          <w:szCs w:val="32"/>
          <w:highlight w:val="none"/>
          <w:lang w:eastAsia="zh-CN"/>
        </w:rPr>
        <w:t>，资金未足额拨付到位。</w:t>
      </w:r>
    </w:p>
    <w:p>
      <w:pPr>
        <w:pStyle w:val="17"/>
        <w:keepNext w:val="0"/>
        <w:keepLines w:val="0"/>
        <w:pageBreakBefore w:val="0"/>
        <w:widowControl/>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color w:val="auto"/>
          <w:kern w:val="0"/>
          <w:sz w:val="32"/>
          <w:szCs w:val="32"/>
          <w:lang w:val="en-US" w:eastAsia="zh-CN" w:bidi="ar-SA"/>
        </w:rPr>
        <w:t>（三）项</w:t>
      </w:r>
      <w:r>
        <w:rPr>
          <w:rFonts w:hint="eastAsia" w:ascii="仿宋_GB2312" w:hAnsi="仿宋_GB2312" w:eastAsia="仿宋_GB2312" w:cs="仿宋_GB2312"/>
          <w:b/>
          <w:bCs/>
          <w:sz w:val="32"/>
          <w:szCs w:val="32"/>
        </w:rPr>
        <w:t>目管理制度不健全，制度执行有效性有待进一步加强</w:t>
      </w:r>
    </w:p>
    <w:p>
      <w:pPr>
        <w:pStyle w:val="17"/>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color w:val="auto"/>
          <w:kern w:val="2"/>
          <w:sz w:val="32"/>
          <w:szCs w:val="32"/>
          <w:lang w:eastAsia="zh-CN"/>
        </w:rPr>
        <w:t>创建森林城市绿化建设京港澳高速城区段绿化项目（一园）</w:t>
      </w:r>
      <w:r>
        <w:rPr>
          <w:rFonts w:hint="eastAsia" w:ascii="仿宋_GB2312" w:hAnsi="仿宋_GB2312" w:eastAsia="仿宋_GB2312" w:cs="仿宋_GB2312"/>
          <w:sz w:val="32"/>
          <w:szCs w:val="32"/>
        </w:rPr>
        <w:t>项目未制定具体项目管理制度及长效管理机制，</w:t>
      </w:r>
      <w:r>
        <w:rPr>
          <w:rFonts w:hint="eastAsia" w:ascii="仿宋_GB2312" w:hAnsi="仿宋_GB2312" w:eastAsia="仿宋_GB2312" w:cs="仿宋_GB2312"/>
          <w:sz w:val="32"/>
          <w:szCs w:val="32"/>
          <w:lang w:eastAsia="zh-CN"/>
        </w:rPr>
        <w:t>导致项目未在计划的竣工日期内完成。</w:t>
      </w:r>
      <w:r>
        <w:rPr>
          <w:rFonts w:hint="eastAsia" w:ascii="仿宋_GB2312" w:hAnsi="仿宋_GB2312" w:eastAsia="仿宋_GB2312" w:cs="仿宋_GB2312"/>
          <w:sz w:val="32"/>
          <w:szCs w:val="32"/>
        </w:rPr>
        <w:t>在项目实施过程中，缺乏规范的制度管理作为依据，不利于该项目的高效开展。</w:t>
      </w:r>
    </w:p>
    <w:p>
      <w:pPr>
        <w:keepNext w:val="0"/>
        <w:keepLines w:val="0"/>
        <w:pageBreakBefore w:val="0"/>
        <w:widowControl w:val="0"/>
        <w:kinsoku/>
        <w:wordWrap/>
        <w:overflowPunct/>
        <w:topLinePunct w:val="0"/>
        <w:autoSpaceDE/>
        <w:autoSpaceDN/>
        <w:bidi w:val="0"/>
        <w:adjustRightInd w:val="0"/>
        <w:snapToGrid w:val="0"/>
        <w:spacing w:line="360" w:lineRule="auto"/>
        <w:ind w:firstLine="643" w:firstLineChars="200"/>
        <w:jc w:val="both"/>
        <w:textAlignment w:val="auto"/>
        <w:outlineLvl w:val="0"/>
        <w:rPr>
          <w:rFonts w:hint="eastAsia" w:ascii="仿宋_GB2312" w:hAnsi="仿宋_GB2312" w:eastAsia="仿宋_GB2312" w:cs="仿宋_GB2312"/>
          <w:b/>
          <w:bCs/>
          <w:color w:val="auto"/>
          <w:sz w:val="32"/>
          <w:szCs w:val="32"/>
        </w:rPr>
      </w:pPr>
      <w:bookmarkStart w:id="50" w:name="_Toc4304"/>
      <w:r>
        <w:rPr>
          <w:rFonts w:hint="eastAsia" w:ascii="仿宋_GB2312" w:hAnsi="仿宋_GB2312" w:eastAsia="仿宋_GB2312" w:cs="仿宋_GB2312"/>
          <w:b/>
          <w:bCs/>
          <w:color w:val="auto"/>
          <w:sz w:val="32"/>
          <w:szCs w:val="32"/>
        </w:rPr>
        <w:t>七、有关建议</w:t>
      </w:r>
      <w:bookmarkEnd w:id="48"/>
      <w:bookmarkEnd w:id="50"/>
    </w:p>
    <w:p>
      <w:pPr>
        <w:keepNext w:val="0"/>
        <w:keepLines w:val="0"/>
        <w:pageBreakBefore w:val="0"/>
        <w:kinsoku/>
        <w:wordWrap/>
        <w:overflowPunct/>
        <w:topLinePunct w:val="0"/>
        <w:autoSpaceDE/>
        <w:autoSpaceDN/>
        <w:bidi w:val="0"/>
        <w:spacing w:line="360" w:lineRule="auto"/>
        <w:ind w:firstLine="321" w:firstLineChars="100"/>
        <w:jc w:val="both"/>
        <w:textAlignment w:val="auto"/>
        <w:outlineLvl w:val="1"/>
        <w:rPr>
          <w:rFonts w:hint="eastAsia" w:ascii="仿宋_GB2312" w:hAnsi="仿宋_GB2312" w:eastAsia="仿宋_GB2312" w:cs="仿宋_GB2312"/>
          <w:b/>
          <w:bCs/>
          <w:color w:val="auto"/>
          <w:sz w:val="32"/>
          <w:szCs w:val="32"/>
        </w:rPr>
      </w:pPr>
      <w:bookmarkStart w:id="51" w:name="_Toc26961"/>
      <w:bookmarkStart w:id="52" w:name="_Toc22565"/>
      <w:bookmarkStart w:id="53" w:name="_Toc30613"/>
      <w:bookmarkStart w:id="54" w:name="_Toc17270"/>
      <w:r>
        <w:rPr>
          <w:rFonts w:hint="eastAsia" w:ascii="仿宋_GB2312" w:hAnsi="仿宋_GB2312" w:eastAsia="仿宋_GB2312" w:cs="仿宋_GB2312"/>
          <w:b/>
          <w:bCs/>
          <w:color w:val="auto"/>
          <w:sz w:val="32"/>
          <w:szCs w:val="32"/>
        </w:rPr>
        <w:t>（</w:t>
      </w:r>
      <w:r>
        <w:rPr>
          <w:rFonts w:hint="eastAsia" w:ascii="仿宋_GB2312" w:hAnsi="仿宋_GB2312" w:eastAsia="仿宋_GB2312" w:cs="仿宋_GB2312"/>
          <w:b/>
          <w:bCs/>
          <w:color w:val="auto"/>
          <w:sz w:val="32"/>
          <w:szCs w:val="32"/>
          <w:lang w:eastAsia="zh-CN"/>
        </w:rPr>
        <w:t>一</w:t>
      </w:r>
      <w:r>
        <w:rPr>
          <w:rFonts w:hint="eastAsia" w:ascii="仿宋_GB2312" w:hAnsi="仿宋_GB2312" w:eastAsia="仿宋_GB2312" w:cs="仿宋_GB2312"/>
          <w:b/>
          <w:bCs/>
          <w:color w:val="auto"/>
          <w:sz w:val="32"/>
          <w:szCs w:val="32"/>
        </w:rPr>
        <w:t>）强化绩效管理意识，合理设置绩效目标。</w:t>
      </w:r>
      <w:bookmarkEnd w:id="51"/>
      <w:bookmarkEnd w:id="52"/>
      <w:bookmarkEnd w:id="53"/>
      <w:bookmarkEnd w:id="54"/>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color w:val="auto"/>
          <w:kern w:val="2"/>
          <w:sz w:val="32"/>
          <w:szCs w:val="32"/>
        </w:rPr>
        <w:t>建议加强预算绩效管理意识，高度重视绩效目标编制论证工作，切实提高绩效目标的科学性、合理性。</w:t>
      </w:r>
      <w:r>
        <w:rPr>
          <w:rFonts w:hint="eastAsia" w:ascii="仿宋_GB2312" w:hAnsi="仿宋_GB2312" w:eastAsia="仿宋_GB2312" w:cs="仿宋_GB2312"/>
          <w:color w:val="auto"/>
          <w:kern w:val="2"/>
          <w:sz w:val="32"/>
          <w:szCs w:val="32"/>
          <w:lang w:eastAsia="zh-CN"/>
        </w:rPr>
        <w:t>结合项目特点，合理设置绩效指标。</w:t>
      </w:r>
    </w:p>
    <w:p>
      <w:pPr>
        <w:keepNext w:val="0"/>
        <w:keepLines w:val="0"/>
        <w:pageBreakBefore w:val="0"/>
        <w:widowControl w:val="0"/>
        <w:kinsoku/>
        <w:wordWrap/>
        <w:overflowPunct/>
        <w:topLinePunct w:val="0"/>
        <w:autoSpaceDE/>
        <w:autoSpaceDN/>
        <w:bidi w:val="0"/>
        <w:adjustRightInd w:val="0"/>
        <w:snapToGrid w:val="0"/>
        <w:spacing w:line="360" w:lineRule="auto"/>
        <w:ind w:firstLine="321" w:firstLineChars="100"/>
        <w:jc w:val="both"/>
        <w:textAlignment w:val="auto"/>
        <w:outlineLvl w:val="1"/>
        <w:rPr>
          <w:rFonts w:hint="eastAsia" w:ascii="仿宋_GB2312" w:hAnsi="仿宋_GB2312" w:eastAsia="仿宋_GB2312" w:cs="仿宋_GB2312"/>
          <w:b/>
          <w:bCs/>
          <w:color w:val="auto"/>
          <w:sz w:val="32"/>
          <w:szCs w:val="32"/>
          <w:lang w:eastAsia="zh-CN"/>
        </w:rPr>
      </w:pPr>
      <w:bookmarkStart w:id="55" w:name="_Toc11958"/>
      <w:bookmarkStart w:id="56" w:name="_Toc4537"/>
      <w:bookmarkStart w:id="57" w:name="_Toc20332"/>
      <w:bookmarkStart w:id="58" w:name="_Toc7395"/>
      <w:r>
        <w:rPr>
          <w:rFonts w:hint="eastAsia" w:ascii="仿宋_GB2312" w:hAnsi="仿宋_GB2312" w:eastAsia="仿宋_GB2312" w:cs="仿宋_GB2312"/>
          <w:b/>
          <w:bCs/>
          <w:color w:val="auto"/>
          <w:sz w:val="32"/>
          <w:szCs w:val="32"/>
        </w:rPr>
        <w:t>（二）</w:t>
      </w:r>
      <w:bookmarkEnd w:id="55"/>
      <w:bookmarkEnd w:id="56"/>
      <w:bookmarkEnd w:id="57"/>
      <w:bookmarkStart w:id="59" w:name="_Toc27168"/>
      <w:r>
        <w:rPr>
          <w:rFonts w:hint="eastAsia" w:ascii="仿宋_GB2312" w:hAnsi="仿宋_GB2312" w:eastAsia="仿宋_GB2312" w:cs="仿宋_GB2312"/>
          <w:b/>
          <w:bCs/>
          <w:color w:val="auto"/>
          <w:sz w:val="32"/>
          <w:szCs w:val="32"/>
        </w:rPr>
        <w:t>加</w:t>
      </w:r>
      <w:bookmarkEnd w:id="58"/>
      <w:bookmarkEnd w:id="59"/>
      <w:r>
        <w:rPr>
          <w:rFonts w:hint="eastAsia" w:ascii="仿宋_GB2312" w:hAnsi="仿宋_GB2312" w:eastAsia="仿宋_GB2312" w:cs="仿宋_GB2312"/>
          <w:b/>
          <w:bCs/>
          <w:color w:val="auto"/>
          <w:sz w:val="32"/>
          <w:szCs w:val="32"/>
          <w:lang w:eastAsia="zh-CN"/>
        </w:rPr>
        <w:t>大专项资金支持力度，严格规范使用资金</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eastAsia="zh-CN"/>
        </w:rPr>
        <w:t>建议县级财政加大对资金的支持力度，提高专项资金的使用率、及时</w:t>
      </w:r>
      <w:r>
        <w:rPr>
          <w:rFonts w:hint="eastAsia" w:ascii="仿宋_GB2312" w:hAnsi="仿宋_GB2312" w:eastAsia="仿宋_GB2312" w:cs="仿宋_GB2312"/>
          <w:color w:val="auto"/>
          <w:kern w:val="2"/>
          <w:sz w:val="32"/>
          <w:szCs w:val="32"/>
          <w:lang w:val="en-US" w:eastAsia="zh-CN"/>
        </w:rPr>
        <w:t>资金</w:t>
      </w:r>
      <w:r>
        <w:rPr>
          <w:rFonts w:hint="eastAsia" w:ascii="仿宋_GB2312" w:hAnsi="仿宋_GB2312" w:eastAsia="仿宋_GB2312" w:cs="仿宋_GB2312"/>
          <w:color w:val="auto"/>
          <w:kern w:val="2"/>
          <w:sz w:val="32"/>
          <w:szCs w:val="32"/>
        </w:rPr>
        <w:t>，为提升</w:t>
      </w:r>
      <w:r>
        <w:rPr>
          <w:rFonts w:hint="eastAsia" w:ascii="仿宋_GB2312" w:hAnsi="仿宋_GB2312" w:eastAsia="仿宋_GB2312" w:cs="仿宋_GB2312"/>
          <w:color w:val="auto"/>
          <w:kern w:val="2"/>
          <w:sz w:val="32"/>
          <w:szCs w:val="32"/>
          <w:lang w:eastAsia="zh-CN"/>
        </w:rPr>
        <w:t>创建森林城市</w:t>
      </w:r>
      <w:r>
        <w:rPr>
          <w:rFonts w:hint="eastAsia" w:ascii="仿宋_GB2312" w:hAnsi="仿宋_GB2312" w:eastAsia="仿宋_GB2312" w:cs="仿宋_GB2312"/>
          <w:color w:val="auto"/>
          <w:kern w:val="2"/>
          <w:sz w:val="32"/>
          <w:szCs w:val="32"/>
        </w:rPr>
        <w:t>整体建设提供保障。</w:t>
      </w:r>
    </w:p>
    <w:p>
      <w:pPr>
        <w:keepNext w:val="0"/>
        <w:keepLines w:val="0"/>
        <w:pageBreakBefore w:val="0"/>
        <w:numPr>
          <w:ilvl w:val="0"/>
          <w:numId w:val="0"/>
        </w:numPr>
        <w:kinsoku/>
        <w:wordWrap/>
        <w:overflowPunct/>
        <w:topLinePunct w:val="0"/>
        <w:autoSpaceDE/>
        <w:autoSpaceDN/>
        <w:bidi w:val="0"/>
        <w:spacing w:line="360" w:lineRule="auto"/>
        <w:ind w:leftChars="200"/>
        <w:jc w:val="both"/>
        <w:textAlignment w:val="auto"/>
        <w:outlineLvl w:val="1"/>
        <w:rPr>
          <w:rFonts w:hint="eastAsia" w:ascii="仿宋_GB2312" w:hAnsi="仿宋_GB2312" w:eastAsia="仿宋_GB2312" w:cs="仿宋_GB2312"/>
          <w:b/>
          <w:bCs/>
          <w:color w:val="auto"/>
          <w:sz w:val="32"/>
          <w:szCs w:val="32"/>
          <w:lang w:eastAsia="zh-CN"/>
        </w:rPr>
      </w:pPr>
      <w:bookmarkStart w:id="60" w:name="_Toc16114"/>
      <w:r>
        <w:rPr>
          <w:rFonts w:hint="eastAsia" w:ascii="仿宋_GB2312" w:hAnsi="仿宋_GB2312" w:eastAsia="仿宋_GB2312" w:cs="仿宋_GB2312"/>
          <w:b/>
          <w:bCs/>
          <w:color w:val="auto"/>
          <w:sz w:val="32"/>
          <w:szCs w:val="32"/>
          <w:lang w:eastAsia="zh-CN"/>
        </w:rPr>
        <w:t>（三）</w:t>
      </w:r>
      <w:bookmarkEnd w:id="60"/>
      <w:r>
        <w:rPr>
          <w:rFonts w:hint="eastAsia" w:ascii="仿宋_GB2312" w:hAnsi="仿宋_GB2312" w:eastAsia="仿宋_GB2312" w:cs="仿宋_GB2312"/>
          <w:b/>
          <w:bCs/>
          <w:color w:val="auto"/>
          <w:sz w:val="32"/>
          <w:szCs w:val="32"/>
          <w:lang w:eastAsia="zh-CN"/>
        </w:rPr>
        <w:t>进一步完善项目管理制度，加强制度建设</w:t>
      </w:r>
    </w:p>
    <w:p>
      <w:pPr>
        <w:keepNext w:val="0"/>
        <w:keepLines w:val="0"/>
        <w:pageBreakBefore w:val="0"/>
        <w:kinsoku/>
        <w:wordWrap/>
        <w:overflowPunct/>
        <w:topLinePunct w:val="0"/>
        <w:autoSpaceDE/>
        <w:autoSpaceDN/>
        <w:bidi w:val="0"/>
        <w:spacing w:line="360" w:lineRule="auto"/>
        <w:ind w:firstLine="640" w:firstLineChars="200"/>
        <w:contextualSpacing/>
        <w:jc w:val="both"/>
        <w:textAlignment w:val="auto"/>
        <w:rPr>
          <w:rFonts w:hint="eastAsia" w:ascii="Times New Roman" w:hAnsi="Times New Roman" w:eastAsia="仿宋_GB2312" w:cs="Times New Roman"/>
          <w:kern w:val="0"/>
          <w:sz w:val="32"/>
          <w:szCs w:val="32"/>
        </w:rPr>
      </w:pPr>
      <w:bookmarkStart w:id="61" w:name="_Toc1648"/>
      <w:r>
        <w:rPr>
          <w:rFonts w:hint="eastAsia" w:ascii="Times New Roman" w:hAnsi="Times New Roman" w:eastAsia="仿宋_GB2312" w:cs="Times New Roman"/>
          <w:kern w:val="0"/>
          <w:sz w:val="32"/>
          <w:szCs w:val="32"/>
        </w:rPr>
        <w:t>为了更好地开展工作，确保各项工作高效、协调、规范、有序运转，建议</w:t>
      </w:r>
      <w:r>
        <w:rPr>
          <w:rFonts w:hint="eastAsia" w:ascii="Times New Roman" w:hAnsi="Times New Roman" w:eastAsia="仿宋_GB2312" w:cs="Times New Roman"/>
          <w:kern w:val="0"/>
          <w:sz w:val="32"/>
          <w:szCs w:val="32"/>
          <w:lang w:eastAsia="zh-CN"/>
        </w:rPr>
        <w:t>安阳县自然资源局</w:t>
      </w:r>
      <w:r>
        <w:rPr>
          <w:rFonts w:hint="eastAsia" w:ascii="Times New Roman" w:hAnsi="Times New Roman" w:eastAsia="仿宋_GB2312" w:cs="Times New Roman"/>
          <w:kern w:val="0"/>
          <w:sz w:val="32"/>
          <w:szCs w:val="32"/>
        </w:rPr>
        <w:t>对项目</w:t>
      </w:r>
      <w:r>
        <w:rPr>
          <w:rFonts w:hint="eastAsia" w:ascii="Times New Roman" w:hAnsi="Times New Roman" w:eastAsia="仿宋_GB2312" w:cs="Times New Roman"/>
          <w:kern w:val="0"/>
          <w:sz w:val="32"/>
          <w:szCs w:val="32"/>
          <w:lang w:eastAsia="zh-CN"/>
        </w:rPr>
        <w:t>财务制度、</w:t>
      </w:r>
      <w:r>
        <w:rPr>
          <w:rFonts w:hint="eastAsia" w:ascii="Times New Roman" w:hAnsi="Times New Roman" w:eastAsia="仿宋_GB2312" w:cs="Times New Roman"/>
          <w:kern w:val="0"/>
          <w:sz w:val="32"/>
          <w:szCs w:val="32"/>
        </w:rPr>
        <w:t>管理制度</w:t>
      </w:r>
      <w:r>
        <w:rPr>
          <w:rFonts w:hint="eastAsia" w:ascii="Times New Roman" w:hAnsi="Times New Roman" w:eastAsia="仿宋_GB2312" w:cs="Times New Roman"/>
          <w:kern w:val="0"/>
          <w:sz w:val="32"/>
          <w:szCs w:val="32"/>
          <w:lang w:eastAsia="zh-CN"/>
        </w:rPr>
        <w:t>及</w:t>
      </w:r>
      <w:r>
        <w:rPr>
          <w:rFonts w:hint="eastAsia" w:ascii="Times New Roman" w:hAnsi="Times New Roman" w:eastAsia="仿宋_GB2312" w:cs="Times New Roman"/>
          <w:kern w:val="0"/>
          <w:sz w:val="32"/>
          <w:szCs w:val="32"/>
        </w:rPr>
        <w:t>时修订和完善。</w:t>
      </w:r>
      <w:r>
        <w:rPr>
          <w:rFonts w:hint="eastAsia" w:ascii="Times New Roman" w:hAnsi="Times New Roman" w:eastAsia="仿宋_GB2312" w:cs="Times New Roman"/>
          <w:kern w:val="0"/>
          <w:sz w:val="32"/>
          <w:szCs w:val="32"/>
          <w:lang w:eastAsia="zh-CN"/>
        </w:rPr>
        <w:t>严格按照规章制度执行，保障项目顺利实施</w:t>
      </w:r>
      <w:r>
        <w:rPr>
          <w:rFonts w:hint="eastAsia" w:ascii="Times New Roman" w:hAnsi="Times New Roman" w:eastAsia="仿宋_GB2312" w:cs="Times New Roman"/>
          <w:kern w:val="0"/>
          <w:sz w:val="32"/>
          <w:szCs w:val="32"/>
        </w:rPr>
        <w:t>。</w:t>
      </w:r>
    </w:p>
    <w:p>
      <w:pPr>
        <w:pStyle w:val="6"/>
        <w:rPr>
          <w:rFonts w:hint="eastAsia"/>
          <w:lang w:eastAsia="zh-CN"/>
        </w:rPr>
      </w:pP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0"/>
        <w:rPr>
          <w:rFonts w:hint="eastAsia"/>
          <w:b/>
          <w:bCs/>
          <w:lang w:val="en-US" w:eastAsia="zh-CN"/>
        </w:rPr>
      </w:pPr>
      <w:r>
        <w:rPr>
          <w:rFonts w:hint="eastAsia" w:ascii="仿宋_GB2312" w:hAnsi="仿宋_GB2312" w:eastAsia="仿宋_GB2312" w:cs="仿宋_GB2312"/>
          <w:b/>
          <w:bCs/>
          <w:color w:val="auto"/>
          <w:kern w:val="2"/>
          <w:sz w:val="32"/>
          <w:szCs w:val="36"/>
        </w:rPr>
        <w:t>附件</w:t>
      </w:r>
      <w:r>
        <w:rPr>
          <w:rFonts w:hint="eastAsia" w:ascii="仿宋_GB2312" w:hAnsi="仿宋_GB2312" w:eastAsia="仿宋_GB2312" w:cs="仿宋_GB2312"/>
          <w:b/>
          <w:bCs/>
          <w:color w:val="auto"/>
          <w:kern w:val="2"/>
          <w:sz w:val="32"/>
          <w:szCs w:val="36"/>
          <w:lang w:val="en-US" w:eastAsia="zh-CN"/>
        </w:rPr>
        <w:t>1</w:t>
      </w:r>
      <w:r>
        <w:rPr>
          <w:rFonts w:hint="eastAsia" w:ascii="仿宋_GB2312" w:hAnsi="仿宋_GB2312" w:eastAsia="仿宋_GB2312" w:cs="仿宋_GB2312"/>
          <w:b/>
          <w:bCs/>
          <w:color w:val="auto"/>
          <w:kern w:val="2"/>
          <w:sz w:val="32"/>
          <w:szCs w:val="36"/>
        </w:rPr>
        <w:t>：</w:t>
      </w:r>
      <w:bookmarkEnd w:id="61"/>
      <w:r>
        <w:rPr>
          <w:rFonts w:hint="eastAsia" w:ascii="仿宋_GB2312" w:hAnsi="仿宋_GB2312" w:eastAsia="仿宋_GB2312" w:cs="仿宋_GB2312"/>
          <w:b/>
          <w:bCs/>
          <w:color w:val="auto"/>
          <w:kern w:val="2"/>
          <w:sz w:val="32"/>
          <w:szCs w:val="36"/>
        </w:rPr>
        <w:t>202</w:t>
      </w:r>
      <w:r>
        <w:rPr>
          <w:rFonts w:hint="eastAsia" w:ascii="仿宋_GB2312" w:hAnsi="仿宋_GB2312" w:eastAsia="仿宋_GB2312" w:cs="仿宋_GB2312"/>
          <w:b/>
          <w:bCs/>
          <w:color w:val="auto"/>
          <w:kern w:val="2"/>
          <w:sz w:val="32"/>
          <w:szCs w:val="36"/>
          <w:lang w:val="en-US" w:eastAsia="zh-CN"/>
        </w:rPr>
        <w:t>1</w:t>
      </w:r>
      <w:r>
        <w:rPr>
          <w:rFonts w:hint="eastAsia" w:ascii="仿宋_GB2312" w:hAnsi="仿宋_GB2312" w:eastAsia="仿宋_GB2312" w:cs="仿宋_GB2312"/>
          <w:b/>
          <w:bCs/>
          <w:color w:val="auto"/>
          <w:kern w:val="2"/>
          <w:sz w:val="32"/>
          <w:szCs w:val="36"/>
        </w:rPr>
        <w:t>年</w:t>
      </w:r>
      <w:r>
        <w:rPr>
          <w:rFonts w:hint="eastAsia" w:ascii="仿宋_GB2312" w:hAnsi="仿宋_GB2312" w:eastAsia="仿宋_GB2312" w:cs="仿宋_GB2312"/>
          <w:b/>
          <w:bCs/>
          <w:color w:val="auto"/>
          <w:kern w:val="2"/>
          <w:sz w:val="32"/>
          <w:szCs w:val="36"/>
          <w:lang w:eastAsia="zh-CN"/>
        </w:rPr>
        <w:t>安阳县自然资源局创建森林城市绿化建设京港澳高速城区段绿化项目（一园）</w:t>
      </w:r>
      <w:r>
        <w:rPr>
          <w:rFonts w:hint="eastAsia" w:ascii="仿宋_GB2312" w:hAnsi="仿宋_GB2312" w:eastAsia="仿宋_GB2312" w:cs="仿宋_GB2312"/>
          <w:b/>
          <w:bCs/>
          <w:color w:val="auto"/>
          <w:kern w:val="2"/>
          <w:sz w:val="32"/>
          <w:szCs w:val="36"/>
        </w:rPr>
        <w:t>绩效评价</w:t>
      </w:r>
      <w:r>
        <w:rPr>
          <w:rFonts w:hint="eastAsia" w:ascii="仿宋_GB2312" w:hAnsi="仿宋_GB2312" w:eastAsia="仿宋_GB2312" w:cs="仿宋_GB2312"/>
          <w:b/>
          <w:bCs/>
          <w:color w:val="auto"/>
          <w:kern w:val="2"/>
          <w:sz w:val="32"/>
          <w:szCs w:val="36"/>
          <w:lang w:eastAsia="zh-CN"/>
        </w:rPr>
        <w:t>评分表</w:t>
      </w: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0"/>
        <w:rPr>
          <w:rFonts w:hint="eastAsia" w:ascii="仿宋_GB2312" w:hAnsi="仿宋_GB2312" w:eastAsia="仿宋_GB2312" w:cs="仿宋_GB2312"/>
          <w:b/>
          <w:bCs/>
          <w:color w:val="auto"/>
          <w:kern w:val="2"/>
          <w:sz w:val="32"/>
          <w:szCs w:val="36"/>
          <w:lang w:val="en-US" w:eastAsia="zh-CN"/>
        </w:rPr>
      </w:pPr>
      <w:r>
        <w:rPr>
          <w:rFonts w:hint="eastAsia" w:ascii="仿宋_GB2312" w:hAnsi="仿宋_GB2312" w:eastAsia="仿宋_GB2312" w:cs="仿宋_GB2312"/>
          <w:b/>
          <w:bCs/>
          <w:color w:val="auto"/>
          <w:kern w:val="2"/>
          <w:sz w:val="32"/>
          <w:szCs w:val="36"/>
          <w:lang w:val="en-US" w:eastAsia="zh-CN"/>
        </w:rPr>
        <w:t>附件2：</w:t>
      </w:r>
      <w:r>
        <w:rPr>
          <w:rFonts w:hint="eastAsia" w:ascii="仿宋_GB2312" w:hAnsi="仿宋_GB2312" w:eastAsia="仿宋_GB2312" w:cs="仿宋_GB2312"/>
          <w:b/>
          <w:bCs/>
          <w:color w:val="auto"/>
          <w:kern w:val="2"/>
          <w:sz w:val="32"/>
          <w:szCs w:val="36"/>
        </w:rPr>
        <w:t>202</w:t>
      </w:r>
      <w:r>
        <w:rPr>
          <w:rFonts w:hint="eastAsia" w:ascii="仿宋_GB2312" w:hAnsi="仿宋_GB2312" w:eastAsia="仿宋_GB2312" w:cs="仿宋_GB2312"/>
          <w:b/>
          <w:bCs/>
          <w:color w:val="auto"/>
          <w:kern w:val="2"/>
          <w:sz w:val="32"/>
          <w:szCs w:val="36"/>
          <w:lang w:val="en-US" w:eastAsia="zh-CN"/>
        </w:rPr>
        <w:t>1</w:t>
      </w:r>
      <w:r>
        <w:rPr>
          <w:rFonts w:hint="eastAsia" w:ascii="仿宋_GB2312" w:hAnsi="仿宋_GB2312" w:eastAsia="仿宋_GB2312" w:cs="仿宋_GB2312"/>
          <w:b/>
          <w:bCs/>
          <w:color w:val="auto"/>
          <w:kern w:val="2"/>
          <w:sz w:val="32"/>
          <w:szCs w:val="36"/>
        </w:rPr>
        <w:t>年</w:t>
      </w:r>
      <w:r>
        <w:rPr>
          <w:rFonts w:hint="eastAsia" w:ascii="仿宋_GB2312" w:hAnsi="仿宋_GB2312" w:eastAsia="仿宋_GB2312" w:cs="仿宋_GB2312"/>
          <w:b/>
          <w:bCs/>
          <w:color w:val="auto"/>
          <w:kern w:val="2"/>
          <w:sz w:val="32"/>
          <w:szCs w:val="36"/>
          <w:lang w:eastAsia="zh-CN"/>
        </w:rPr>
        <w:t>安阳县自然资源局创建森林城市绿化建设京港澳高速城区段绿化项目（一园）</w:t>
      </w:r>
      <w:r>
        <w:rPr>
          <w:rFonts w:hint="eastAsia" w:ascii="仿宋_GB2312" w:hAnsi="仿宋_GB2312" w:eastAsia="仿宋_GB2312" w:cs="仿宋_GB2312"/>
          <w:b/>
          <w:bCs/>
          <w:color w:val="auto"/>
          <w:kern w:val="2"/>
          <w:sz w:val="32"/>
          <w:szCs w:val="36"/>
          <w:lang w:val="en-US" w:eastAsia="zh-CN"/>
        </w:rPr>
        <w:t>工作底稿</w:t>
      </w:r>
    </w:p>
    <w:p>
      <w:pPr>
        <w:pStyle w:val="17"/>
        <w:rPr>
          <w:rFonts w:hint="eastAsia" w:ascii="仿宋_GB2312" w:hAnsi="仿宋_GB2312" w:eastAsia="仿宋_GB2312" w:cs="仿宋_GB2312"/>
          <w:b/>
          <w:bCs/>
          <w:color w:val="auto"/>
          <w:kern w:val="2"/>
          <w:sz w:val="32"/>
          <w:szCs w:val="36"/>
          <w:lang w:val="en-US" w:eastAsia="zh-CN"/>
        </w:rPr>
      </w:pPr>
    </w:p>
    <w:p>
      <w:pPr>
        <w:pStyle w:val="7"/>
        <w:numPr>
          <w:ilvl w:val="0"/>
          <w:numId w:val="0"/>
        </w:numPr>
        <w:rPr>
          <w:rFonts w:hint="default"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color w:val="auto"/>
          <w:kern w:val="2"/>
          <w:sz w:val="32"/>
          <w:szCs w:val="32"/>
          <w:lang w:val="en-US" w:eastAsia="zh-CN"/>
        </w:rPr>
        <w:t>河南昌盛会计师事务所                  主评人：</w:t>
      </w:r>
    </w:p>
    <w:p>
      <w:pPr>
        <w:pStyle w:val="7"/>
        <w:numPr>
          <w:ilvl w:val="0"/>
          <w:numId w:val="0"/>
        </w:numPr>
        <w:ind w:firstLine="640" w:firstLineChars="200"/>
        <w:rPr>
          <w:rFonts w:hint="eastAsia"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color w:val="auto"/>
          <w:kern w:val="2"/>
          <w:sz w:val="32"/>
          <w:szCs w:val="32"/>
          <w:lang w:val="en-US" w:eastAsia="zh-CN"/>
        </w:rPr>
        <w:t xml:space="preserve">（普通合伙）       </w:t>
      </w:r>
    </w:p>
    <w:p>
      <w:pPr>
        <w:pStyle w:val="7"/>
        <w:numPr>
          <w:ilvl w:val="0"/>
          <w:numId w:val="0"/>
        </w:numPr>
        <w:ind w:firstLine="640" w:firstLineChars="200"/>
        <w:rPr>
          <w:rFonts w:hint="eastAsia" w:ascii="仿宋_GB2312" w:hAnsi="仿宋_GB2312" w:eastAsia="仿宋_GB2312" w:cs="仿宋_GB2312"/>
          <w:color w:val="auto"/>
          <w:kern w:val="2"/>
          <w:sz w:val="32"/>
          <w:szCs w:val="32"/>
          <w:lang w:val="en-US" w:eastAsia="zh-CN"/>
        </w:rPr>
      </w:pPr>
    </w:p>
    <w:p>
      <w:pPr>
        <w:pStyle w:val="7"/>
        <w:numPr>
          <w:ilvl w:val="0"/>
          <w:numId w:val="0"/>
        </w:numPr>
        <w:ind w:firstLine="640" w:firstLineChars="200"/>
        <w:rPr>
          <w:rFonts w:hint="eastAsia"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color w:val="auto"/>
          <w:kern w:val="2"/>
          <w:sz w:val="32"/>
          <w:szCs w:val="32"/>
          <w:lang w:val="en-US" w:eastAsia="zh-CN"/>
        </w:rPr>
        <w:t xml:space="preserve"> </w:t>
      </w:r>
    </w:p>
    <w:p>
      <w:pPr>
        <w:pStyle w:val="7"/>
        <w:numPr>
          <w:ilvl w:val="0"/>
          <w:numId w:val="0"/>
        </w:numPr>
        <w:ind w:firstLine="640" w:firstLineChars="200"/>
        <w:rPr>
          <w:rFonts w:hint="default"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color w:val="auto"/>
          <w:kern w:val="2"/>
          <w:sz w:val="32"/>
          <w:szCs w:val="32"/>
          <w:lang w:val="en-US" w:eastAsia="zh-CN"/>
        </w:rPr>
        <w:t>中国安阳市                      2022年9月28日</w:t>
      </w:r>
    </w:p>
    <w:p>
      <w:pPr>
        <w:pStyle w:val="7"/>
        <w:numPr>
          <w:ilvl w:val="0"/>
          <w:numId w:val="0"/>
        </w:numPr>
        <w:ind w:firstLine="640" w:firstLineChars="200"/>
        <w:rPr>
          <w:rFonts w:hint="eastAsia" w:ascii="仿宋_GB2312" w:hAnsi="仿宋_GB2312" w:eastAsia="仿宋_GB2312" w:cs="仿宋_GB2312"/>
          <w:color w:val="auto"/>
          <w:kern w:val="2"/>
          <w:sz w:val="32"/>
          <w:szCs w:val="32"/>
          <w:lang w:val="en-US" w:eastAsia="zh-CN"/>
        </w:rPr>
        <w:sectPr>
          <w:footerReference r:id="rId8" w:type="default"/>
          <w:pgSz w:w="11906" w:h="16838"/>
          <w:pgMar w:top="1440" w:right="1797" w:bottom="1440" w:left="1797" w:header="851" w:footer="992" w:gutter="0"/>
          <w:pgBorders>
            <w:top w:val="none" w:sz="0" w:space="0"/>
            <w:left w:val="none" w:sz="0" w:space="0"/>
            <w:bottom w:val="none" w:sz="0" w:space="0"/>
            <w:right w:val="none" w:sz="0" w:space="0"/>
          </w:pgBorders>
          <w:pgNumType w:fmt="decimal" w:start="1"/>
          <w:cols w:space="425" w:num="1"/>
          <w:docGrid w:type="lines" w:linePitch="326" w:charSpace="0"/>
        </w:sectPr>
      </w:pPr>
    </w:p>
    <w:p>
      <w:pPr>
        <w:rPr>
          <w:rFonts w:hint="eastAsia" w:ascii="仿宋_GB2312" w:hAnsi="仿宋_GB2312" w:eastAsia="仿宋_GB2312" w:cs="仿宋_GB2312"/>
          <w:color w:val="auto"/>
          <w:kern w:val="2"/>
        </w:rPr>
      </w:pPr>
      <w:bookmarkStart w:id="62" w:name="_Toc17515"/>
      <w:r>
        <w:rPr>
          <w:rFonts w:hint="eastAsia" w:ascii="仿宋_GB2312" w:hAnsi="仿宋_GB2312" w:eastAsia="仿宋_GB2312" w:cs="仿宋_GB2312"/>
          <w:bCs/>
          <w:color w:val="auto"/>
          <w:kern w:val="36"/>
          <w:sz w:val="28"/>
          <w:szCs w:val="28"/>
        </w:rPr>
        <w:t>附件</w:t>
      </w:r>
      <w:bookmarkEnd w:id="62"/>
      <w:r>
        <w:rPr>
          <w:rFonts w:hint="eastAsia" w:ascii="仿宋_GB2312" w:hAnsi="仿宋_GB2312" w:eastAsia="仿宋_GB2312" w:cs="仿宋_GB2312"/>
          <w:bCs/>
          <w:color w:val="auto"/>
          <w:kern w:val="36"/>
          <w:sz w:val="28"/>
          <w:szCs w:val="28"/>
          <w:lang w:val="en-US" w:eastAsia="zh-CN"/>
        </w:rPr>
        <w:t>1</w:t>
      </w:r>
      <w:r>
        <w:rPr>
          <w:rFonts w:hint="eastAsia" w:ascii="仿宋_GB2312" w:hAnsi="仿宋_GB2312" w:eastAsia="仿宋_GB2312" w:cs="仿宋_GB2312"/>
          <w:bCs/>
          <w:color w:val="auto"/>
          <w:kern w:val="36"/>
          <w:sz w:val="28"/>
          <w:szCs w:val="28"/>
        </w:rPr>
        <w:t>：</w:t>
      </w:r>
    </w:p>
    <w:p>
      <w:pPr>
        <w:widowControl w:val="0"/>
        <w:adjustRightInd w:val="0"/>
        <w:snapToGrid w:val="0"/>
        <w:jc w:val="center"/>
        <w:rPr>
          <w:rFonts w:hint="eastAsia" w:ascii="仿宋_GB2312" w:hAnsi="仿宋_GB2312" w:eastAsia="仿宋_GB2312" w:cs="仿宋_GB2312"/>
          <w:color w:val="auto"/>
          <w:kern w:val="2"/>
          <w:sz w:val="28"/>
          <w:szCs w:val="28"/>
          <w:lang w:eastAsia="zh-CN"/>
        </w:rPr>
      </w:pPr>
      <w:r>
        <w:rPr>
          <w:rFonts w:hint="eastAsia" w:ascii="仿宋_GB2312" w:hAnsi="仿宋_GB2312" w:eastAsia="仿宋_GB2312" w:cs="仿宋_GB2312"/>
          <w:b/>
          <w:bCs/>
          <w:color w:val="auto"/>
          <w:kern w:val="2"/>
          <w:sz w:val="28"/>
          <w:szCs w:val="28"/>
        </w:rPr>
        <w:t>202</w:t>
      </w:r>
      <w:r>
        <w:rPr>
          <w:rFonts w:hint="eastAsia" w:ascii="仿宋_GB2312" w:hAnsi="仿宋_GB2312" w:eastAsia="仿宋_GB2312" w:cs="仿宋_GB2312"/>
          <w:b/>
          <w:bCs/>
          <w:color w:val="auto"/>
          <w:kern w:val="2"/>
          <w:sz w:val="28"/>
          <w:szCs w:val="28"/>
          <w:lang w:val="en-US" w:eastAsia="zh-CN"/>
        </w:rPr>
        <w:t>1</w:t>
      </w:r>
      <w:r>
        <w:rPr>
          <w:rFonts w:hint="eastAsia" w:ascii="仿宋_GB2312" w:hAnsi="仿宋_GB2312" w:eastAsia="仿宋_GB2312" w:cs="仿宋_GB2312"/>
          <w:b/>
          <w:bCs/>
          <w:color w:val="auto"/>
          <w:kern w:val="2"/>
          <w:sz w:val="28"/>
          <w:szCs w:val="28"/>
        </w:rPr>
        <w:t>年</w:t>
      </w:r>
      <w:r>
        <w:rPr>
          <w:rFonts w:hint="eastAsia" w:ascii="仿宋_GB2312" w:hAnsi="仿宋_GB2312" w:eastAsia="仿宋_GB2312" w:cs="仿宋_GB2312"/>
          <w:b/>
          <w:bCs/>
          <w:color w:val="auto"/>
          <w:kern w:val="2"/>
          <w:sz w:val="28"/>
          <w:szCs w:val="28"/>
          <w:lang w:eastAsia="zh-CN"/>
        </w:rPr>
        <w:t>安阳县自然资源局创建森林城市绿化建设京港澳高速城区段绿化项目（一园）</w:t>
      </w:r>
      <w:r>
        <w:rPr>
          <w:rFonts w:hint="eastAsia" w:ascii="仿宋_GB2312" w:hAnsi="仿宋_GB2312" w:eastAsia="仿宋_GB2312" w:cs="仿宋_GB2312"/>
          <w:b/>
          <w:bCs/>
          <w:color w:val="auto"/>
          <w:kern w:val="2"/>
          <w:sz w:val="28"/>
          <w:szCs w:val="28"/>
        </w:rPr>
        <w:t>绩效评价</w:t>
      </w:r>
      <w:r>
        <w:rPr>
          <w:rFonts w:hint="eastAsia" w:ascii="仿宋_GB2312" w:hAnsi="仿宋_GB2312" w:eastAsia="仿宋_GB2312" w:cs="仿宋_GB2312"/>
          <w:b/>
          <w:bCs/>
          <w:color w:val="auto"/>
          <w:kern w:val="2"/>
          <w:sz w:val="28"/>
          <w:szCs w:val="28"/>
          <w:lang w:eastAsia="zh-CN"/>
        </w:rPr>
        <w:t>评分表</w:t>
      </w:r>
    </w:p>
    <w:p>
      <w:pPr>
        <w:pStyle w:val="7"/>
        <w:rPr>
          <w:rFonts w:hint="eastAsia" w:ascii="仿宋" w:hAnsi="仿宋" w:eastAsia="仿宋" w:cs="仿宋"/>
          <w:color w:val="auto"/>
        </w:rPr>
      </w:pPr>
    </w:p>
    <w:tbl>
      <w:tblPr>
        <w:tblStyle w:val="18"/>
        <w:tblW w:w="141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8"/>
        <w:gridCol w:w="5"/>
        <w:gridCol w:w="1238"/>
        <w:gridCol w:w="5"/>
        <w:gridCol w:w="1649"/>
        <w:gridCol w:w="5"/>
        <w:gridCol w:w="851"/>
        <w:gridCol w:w="5"/>
        <w:gridCol w:w="695"/>
        <w:gridCol w:w="5"/>
        <w:gridCol w:w="3335"/>
        <w:gridCol w:w="4270"/>
        <w:gridCol w:w="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jc w:val="center"/>
        </w:trPr>
        <w:tc>
          <w:tcPr>
            <w:tcW w:w="1273" w:type="dxa"/>
            <w:gridSpan w:val="2"/>
            <w:vAlign w:val="center"/>
          </w:tcPr>
          <w:p>
            <w:pPr>
              <w:adjustRightInd w:val="0"/>
              <w:snapToGrid w:val="0"/>
              <w:jc w:val="center"/>
              <w:rPr>
                <w:rFonts w:hint="eastAsia" w:ascii="仿宋_GB2312" w:hAnsi="仿宋_GB2312" w:eastAsia="仿宋_GB2312" w:cs="仿宋_GB2312"/>
                <w:b/>
                <w:color w:val="auto"/>
                <w:sz w:val="22"/>
                <w:szCs w:val="22"/>
              </w:rPr>
            </w:pPr>
            <w:r>
              <w:rPr>
                <w:rFonts w:hint="eastAsia" w:ascii="仿宋_GB2312" w:hAnsi="仿宋_GB2312" w:eastAsia="仿宋_GB2312" w:cs="仿宋_GB2312"/>
                <w:b/>
                <w:color w:val="auto"/>
                <w:sz w:val="22"/>
                <w:szCs w:val="22"/>
              </w:rPr>
              <w:t>一级指标</w:t>
            </w:r>
          </w:p>
        </w:tc>
        <w:tc>
          <w:tcPr>
            <w:tcW w:w="1243" w:type="dxa"/>
            <w:gridSpan w:val="2"/>
            <w:vAlign w:val="center"/>
          </w:tcPr>
          <w:p>
            <w:pPr>
              <w:adjustRightInd w:val="0"/>
              <w:snapToGrid w:val="0"/>
              <w:jc w:val="center"/>
              <w:rPr>
                <w:rFonts w:hint="eastAsia" w:ascii="仿宋_GB2312" w:hAnsi="仿宋_GB2312" w:eastAsia="仿宋_GB2312" w:cs="仿宋_GB2312"/>
                <w:b/>
                <w:color w:val="auto"/>
                <w:sz w:val="22"/>
                <w:szCs w:val="22"/>
              </w:rPr>
            </w:pPr>
            <w:r>
              <w:rPr>
                <w:rFonts w:hint="eastAsia" w:ascii="仿宋_GB2312" w:hAnsi="仿宋_GB2312" w:eastAsia="仿宋_GB2312" w:cs="仿宋_GB2312"/>
                <w:b/>
                <w:color w:val="auto"/>
                <w:sz w:val="22"/>
                <w:szCs w:val="22"/>
              </w:rPr>
              <w:t>二级指标</w:t>
            </w:r>
          </w:p>
        </w:tc>
        <w:tc>
          <w:tcPr>
            <w:tcW w:w="1654" w:type="dxa"/>
            <w:gridSpan w:val="2"/>
            <w:vAlign w:val="center"/>
          </w:tcPr>
          <w:p>
            <w:pPr>
              <w:adjustRightInd w:val="0"/>
              <w:snapToGrid w:val="0"/>
              <w:jc w:val="center"/>
              <w:rPr>
                <w:rFonts w:hint="eastAsia" w:ascii="仿宋_GB2312" w:hAnsi="仿宋_GB2312" w:eastAsia="仿宋_GB2312" w:cs="仿宋_GB2312"/>
                <w:b/>
                <w:color w:val="auto"/>
                <w:sz w:val="22"/>
                <w:szCs w:val="22"/>
              </w:rPr>
            </w:pPr>
            <w:r>
              <w:rPr>
                <w:rFonts w:hint="eastAsia" w:ascii="仿宋_GB2312" w:hAnsi="仿宋_GB2312" w:eastAsia="仿宋_GB2312" w:cs="仿宋_GB2312"/>
                <w:b/>
                <w:color w:val="auto"/>
                <w:sz w:val="22"/>
                <w:szCs w:val="22"/>
              </w:rPr>
              <w:t>三级指标</w:t>
            </w:r>
          </w:p>
        </w:tc>
        <w:tc>
          <w:tcPr>
            <w:tcW w:w="856" w:type="dxa"/>
            <w:gridSpan w:val="2"/>
            <w:vAlign w:val="center"/>
          </w:tcPr>
          <w:p>
            <w:pPr>
              <w:adjustRightInd w:val="0"/>
              <w:snapToGrid w:val="0"/>
              <w:jc w:val="center"/>
              <w:rPr>
                <w:rFonts w:hint="eastAsia" w:ascii="仿宋_GB2312" w:hAnsi="仿宋_GB2312" w:eastAsia="仿宋_GB2312" w:cs="仿宋_GB2312"/>
                <w:b/>
                <w:color w:val="auto"/>
                <w:sz w:val="22"/>
                <w:szCs w:val="22"/>
              </w:rPr>
            </w:pPr>
            <w:r>
              <w:rPr>
                <w:rFonts w:hint="eastAsia" w:ascii="仿宋_GB2312" w:hAnsi="仿宋_GB2312" w:eastAsia="仿宋_GB2312" w:cs="仿宋_GB2312"/>
                <w:b/>
                <w:color w:val="auto"/>
                <w:sz w:val="22"/>
                <w:szCs w:val="22"/>
              </w:rPr>
              <w:t>目标值</w:t>
            </w:r>
          </w:p>
        </w:tc>
        <w:tc>
          <w:tcPr>
            <w:tcW w:w="700" w:type="dxa"/>
            <w:gridSpan w:val="2"/>
            <w:vAlign w:val="center"/>
          </w:tcPr>
          <w:p>
            <w:pPr>
              <w:adjustRightInd w:val="0"/>
              <w:snapToGrid w:val="0"/>
              <w:jc w:val="center"/>
              <w:rPr>
                <w:rFonts w:hint="eastAsia" w:ascii="仿宋_GB2312" w:hAnsi="仿宋_GB2312" w:eastAsia="仿宋_GB2312" w:cs="仿宋_GB2312"/>
                <w:b/>
                <w:color w:val="auto"/>
                <w:sz w:val="22"/>
                <w:szCs w:val="22"/>
              </w:rPr>
            </w:pPr>
            <w:r>
              <w:rPr>
                <w:rFonts w:hint="eastAsia" w:ascii="仿宋_GB2312" w:hAnsi="仿宋_GB2312" w:eastAsia="仿宋_GB2312" w:cs="仿宋_GB2312"/>
                <w:b/>
                <w:color w:val="auto"/>
                <w:sz w:val="22"/>
                <w:szCs w:val="22"/>
              </w:rPr>
              <w:t>分值</w:t>
            </w:r>
          </w:p>
        </w:tc>
        <w:tc>
          <w:tcPr>
            <w:tcW w:w="3335" w:type="dxa"/>
            <w:vAlign w:val="center"/>
          </w:tcPr>
          <w:p>
            <w:pPr>
              <w:adjustRightInd w:val="0"/>
              <w:snapToGrid w:val="0"/>
              <w:jc w:val="center"/>
              <w:rPr>
                <w:rFonts w:hint="eastAsia" w:ascii="仿宋_GB2312" w:hAnsi="仿宋_GB2312" w:eastAsia="仿宋_GB2312" w:cs="仿宋_GB2312"/>
                <w:b/>
                <w:color w:val="auto"/>
                <w:sz w:val="22"/>
                <w:szCs w:val="22"/>
              </w:rPr>
            </w:pPr>
            <w:r>
              <w:rPr>
                <w:rFonts w:hint="eastAsia" w:ascii="仿宋_GB2312" w:hAnsi="仿宋_GB2312" w:eastAsia="仿宋_GB2312" w:cs="仿宋_GB2312"/>
                <w:b/>
                <w:color w:val="auto"/>
                <w:sz w:val="22"/>
                <w:szCs w:val="22"/>
              </w:rPr>
              <w:t>评价标准</w:t>
            </w:r>
          </w:p>
        </w:tc>
        <w:tc>
          <w:tcPr>
            <w:tcW w:w="4270" w:type="dxa"/>
            <w:vAlign w:val="center"/>
          </w:tcPr>
          <w:p>
            <w:pPr>
              <w:adjustRightInd w:val="0"/>
              <w:snapToGrid w:val="0"/>
              <w:jc w:val="center"/>
              <w:rPr>
                <w:rFonts w:hint="eastAsia" w:ascii="仿宋_GB2312" w:hAnsi="仿宋_GB2312" w:eastAsia="仿宋_GB2312" w:cs="仿宋_GB2312"/>
                <w:b/>
                <w:color w:val="auto"/>
                <w:sz w:val="22"/>
                <w:szCs w:val="22"/>
              </w:rPr>
            </w:pPr>
            <w:r>
              <w:rPr>
                <w:rFonts w:hint="eastAsia" w:ascii="仿宋_GB2312" w:hAnsi="仿宋_GB2312" w:eastAsia="仿宋_GB2312" w:cs="仿宋_GB2312"/>
                <w:b/>
                <w:color w:val="auto"/>
                <w:sz w:val="22"/>
                <w:szCs w:val="22"/>
              </w:rPr>
              <w:t>评价过程</w:t>
            </w:r>
          </w:p>
        </w:tc>
        <w:tc>
          <w:tcPr>
            <w:tcW w:w="833" w:type="dxa"/>
            <w:vAlign w:val="center"/>
          </w:tcPr>
          <w:p>
            <w:pPr>
              <w:adjustRightInd w:val="0"/>
              <w:snapToGrid w:val="0"/>
              <w:jc w:val="center"/>
              <w:rPr>
                <w:rFonts w:hint="eastAsia" w:ascii="仿宋_GB2312" w:hAnsi="仿宋_GB2312" w:eastAsia="仿宋_GB2312" w:cs="仿宋_GB2312"/>
                <w:b/>
                <w:color w:val="auto"/>
                <w:sz w:val="22"/>
                <w:szCs w:val="22"/>
              </w:rPr>
            </w:pPr>
            <w:r>
              <w:rPr>
                <w:rFonts w:hint="eastAsia" w:ascii="仿宋_GB2312" w:hAnsi="仿宋_GB2312" w:eastAsia="仿宋_GB2312" w:cs="仿宋_GB2312"/>
                <w:b/>
                <w:color w:val="auto"/>
                <w:sz w:val="22"/>
                <w:szCs w:val="22"/>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0" w:hRule="atLeast"/>
          <w:jc w:val="center"/>
        </w:trPr>
        <w:tc>
          <w:tcPr>
            <w:tcW w:w="1273" w:type="dxa"/>
            <w:gridSpan w:val="2"/>
            <w:vMerge w:val="restart"/>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项目决策</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A</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w:t>
            </w:r>
            <w:r>
              <w:rPr>
                <w:rFonts w:hint="eastAsia" w:ascii="仿宋_GB2312" w:hAnsi="仿宋_GB2312" w:eastAsia="仿宋_GB2312" w:cs="仿宋_GB2312"/>
                <w:color w:val="auto"/>
                <w:sz w:val="22"/>
                <w:szCs w:val="22"/>
                <w:lang w:val="en-US" w:eastAsia="zh-CN"/>
              </w:rPr>
              <w:t>18</w:t>
            </w:r>
            <w:r>
              <w:rPr>
                <w:rFonts w:hint="eastAsia" w:ascii="仿宋_GB2312" w:hAnsi="仿宋_GB2312" w:eastAsia="仿宋_GB2312" w:cs="仿宋_GB2312"/>
                <w:color w:val="auto"/>
                <w:sz w:val="22"/>
                <w:szCs w:val="22"/>
              </w:rPr>
              <w:t>分）</w:t>
            </w:r>
          </w:p>
        </w:tc>
        <w:tc>
          <w:tcPr>
            <w:tcW w:w="1243" w:type="dxa"/>
            <w:gridSpan w:val="2"/>
            <w:vMerge w:val="restart"/>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项目立项A</w:t>
            </w:r>
            <w:r>
              <w:rPr>
                <w:rFonts w:hint="eastAsia" w:ascii="仿宋_GB2312" w:hAnsi="仿宋_GB2312" w:eastAsia="仿宋_GB2312" w:cs="仿宋_GB2312"/>
                <w:color w:val="auto"/>
                <w:sz w:val="22"/>
                <w:szCs w:val="22"/>
                <w:vertAlign w:val="subscript"/>
              </w:rPr>
              <w:t>1</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（4分）</w:t>
            </w: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立项依据充分性</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A</w:t>
            </w:r>
            <w:r>
              <w:rPr>
                <w:rFonts w:hint="eastAsia" w:ascii="仿宋_GB2312" w:hAnsi="仿宋_GB2312" w:eastAsia="仿宋_GB2312" w:cs="仿宋_GB2312"/>
                <w:color w:val="auto"/>
                <w:sz w:val="22"/>
                <w:szCs w:val="22"/>
                <w:vertAlign w:val="subscript"/>
              </w:rPr>
              <w:t>11</w:t>
            </w:r>
          </w:p>
        </w:tc>
        <w:tc>
          <w:tcPr>
            <w:tcW w:w="856"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充分</w:t>
            </w:r>
          </w:p>
        </w:tc>
        <w:tc>
          <w:tcPr>
            <w:tcW w:w="700"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2</w:t>
            </w:r>
          </w:p>
        </w:tc>
        <w:tc>
          <w:tcPr>
            <w:tcW w:w="3335" w:type="dxa"/>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单个方向评价：</w:t>
            </w:r>
            <w:r>
              <w:rPr>
                <w:rFonts w:hint="eastAsia" w:ascii="仿宋_GB2312" w:hAnsi="仿宋_GB2312" w:eastAsia="仿宋_GB2312" w:cs="仿宋_GB2312"/>
                <w:color w:val="auto"/>
                <w:sz w:val="22"/>
                <w:szCs w:val="22"/>
              </w:rPr>
              <w:t>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⑤项目是否与相关部门同类项目或部门内部相关项目重复。以上要素各占1/5权重分，符合相关要素得满分,否则对应要素不得分。</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汇总评价：</w:t>
            </w:r>
            <w:r>
              <w:rPr>
                <w:rFonts w:hint="eastAsia" w:ascii="仿宋_GB2312" w:hAnsi="仿宋_GB2312" w:eastAsia="仿宋_GB2312" w:cs="仿宋_GB2312"/>
                <w:color w:val="auto"/>
                <w:sz w:val="22"/>
                <w:szCs w:val="22"/>
              </w:rPr>
              <w:t>按照单个方向得分情况，以各方向资金为权重加权求和。</w:t>
            </w:r>
          </w:p>
        </w:tc>
        <w:tc>
          <w:tcPr>
            <w:tcW w:w="4270" w:type="dxa"/>
            <w:vAlign w:val="center"/>
          </w:tcPr>
          <w:p>
            <w:pPr>
              <w:adjustRightInd w:val="0"/>
              <w:snapToGrid w:val="0"/>
              <w:textAlignment w:val="center"/>
              <w:rPr>
                <w:rFonts w:hint="eastAsia" w:ascii="仿宋_GB2312" w:hAnsi="仿宋_GB2312" w:eastAsia="仿宋_GB2312" w:cs="仿宋_GB2312"/>
                <w:b/>
                <w:bCs/>
                <w:color w:val="auto"/>
                <w:sz w:val="22"/>
                <w:szCs w:val="22"/>
              </w:rPr>
            </w:pPr>
            <w:r>
              <w:rPr>
                <w:rFonts w:hint="eastAsia" w:ascii="仿宋_GB2312" w:hAnsi="仿宋_GB2312" w:eastAsia="仿宋_GB2312" w:cs="仿宋_GB2312"/>
                <w:color w:val="auto"/>
                <w:sz w:val="22"/>
                <w:szCs w:val="22"/>
              </w:rPr>
              <w:t>经评价组核查：①</w:t>
            </w:r>
            <w:r>
              <w:rPr>
                <w:rFonts w:hint="eastAsia" w:ascii="仿宋_GB2312" w:hAnsi="仿宋_GB2312" w:eastAsia="仿宋_GB2312" w:cs="仿宋_GB2312"/>
                <w:color w:val="auto"/>
                <w:sz w:val="22"/>
                <w:szCs w:val="22"/>
                <w:lang w:eastAsia="zh-CN"/>
              </w:rPr>
              <w:t>安阳县自然资源局创建森林城市绿化建设京港澳高速城区段绿化项目（一园）设立符合安阳县县委、县政府的重要指示精神及《河南省城市绿化实施办法》、《安阳市城市绿化条例》相关要</w:t>
            </w:r>
            <w:r>
              <w:rPr>
                <w:rFonts w:hint="eastAsia" w:ascii="仿宋_GB2312" w:hAnsi="仿宋_GB2312" w:eastAsia="仿宋_GB2312" w:cs="仿宋_GB2312"/>
                <w:color w:val="auto"/>
                <w:sz w:val="22"/>
                <w:szCs w:val="22"/>
              </w:rPr>
              <w:t>求；②</w:t>
            </w:r>
            <w:r>
              <w:rPr>
                <w:rFonts w:hint="eastAsia" w:ascii="仿宋_GB2312" w:hAnsi="仿宋_GB2312" w:eastAsia="仿宋_GB2312" w:cs="仿宋_GB2312"/>
                <w:color w:val="auto"/>
                <w:sz w:val="22"/>
                <w:szCs w:val="22"/>
                <w:lang w:eastAsia="zh-CN"/>
              </w:rPr>
              <w:t>安阳县自然资源局创建森林城市绿化建设京港澳高速城区段绿化项目（一园）</w:t>
            </w:r>
            <w:r>
              <w:rPr>
                <w:rFonts w:hint="eastAsia" w:ascii="仿宋_GB2312" w:hAnsi="仿宋_GB2312" w:eastAsia="仿宋_GB2312" w:cs="仿宋_GB2312"/>
                <w:color w:val="auto"/>
                <w:sz w:val="22"/>
                <w:szCs w:val="22"/>
                <w:highlight w:val="none"/>
              </w:rPr>
              <w:t>设立符合</w:t>
            </w:r>
            <w:r>
              <w:rPr>
                <w:rFonts w:hint="eastAsia" w:ascii="仿宋_GB2312" w:hAnsi="仿宋_GB2312" w:eastAsia="仿宋_GB2312" w:cs="仿宋_GB2312"/>
                <w:color w:val="auto"/>
                <w:sz w:val="22"/>
                <w:szCs w:val="22"/>
                <w:highlight w:val="none"/>
                <w:lang w:eastAsia="zh-CN"/>
              </w:rPr>
              <w:t>安阳县</w:t>
            </w:r>
            <w:r>
              <w:rPr>
                <w:rFonts w:hint="eastAsia" w:ascii="仿宋_GB2312" w:hAnsi="仿宋_GB2312" w:eastAsia="仿宋_GB2312" w:cs="仿宋_GB2312"/>
                <w:color w:val="auto"/>
                <w:sz w:val="22"/>
                <w:szCs w:val="22"/>
                <w:highlight w:val="none"/>
              </w:rPr>
              <w:t>创新驱动发展战略规划，符合</w:t>
            </w:r>
            <w:r>
              <w:rPr>
                <w:rFonts w:hint="eastAsia" w:ascii="仿宋_GB2312" w:hAnsi="仿宋_GB2312" w:eastAsia="仿宋_GB2312" w:cs="仿宋_GB2312"/>
                <w:color w:val="auto"/>
                <w:sz w:val="22"/>
                <w:szCs w:val="22"/>
                <w:lang w:eastAsia="zh-CN"/>
              </w:rPr>
              <w:t>《安阳市城市绿化条例》</w:t>
            </w:r>
            <w:r>
              <w:rPr>
                <w:rFonts w:hint="eastAsia" w:ascii="仿宋_GB2312" w:hAnsi="仿宋_GB2312" w:eastAsia="仿宋_GB2312" w:cs="仿宋_GB2312"/>
                <w:color w:val="auto"/>
                <w:sz w:val="22"/>
                <w:szCs w:val="22"/>
                <w:highlight w:val="none"/>
              </w:rPr>
              <w:t>中</w:t>
            </w:r>
            <w:r>
              <w:rPr>
                <w:rFonts w:hint="eastAsia" w:ascii="仿宋_GB2312" w:hAnsi="仿宋_GB2312" w:eastAsia="仿宋_GB2312" w:cs="仿宋_GB2312"/>
                <w:color w:val="auto"/>
                <w:sz w:val="22"/>
                <w:szCs w:val="22"/>
              </w:rPr>
              <w:t>的相关要求；③</w:t>
            </w:r>
            <w:r>
              <w:rPr>
                <w:rFonts w:hint="eastAsia" w:ascii="仿宋_GB2312" w:hAnsi="仿宋_GB2312" w:eastAsia="仿宋_GB2312" w:cs="仿宋_GB2312"/>
                <w:color w:val="auto"/>
                <w:sz w:val="22"/>
                <w:szCs w:val="22"/>
                <w:lang w:eastAsia="zh-CN"/>
              </w:rPr>
              <w:t>安阳县自然资源局创建森林城市绿化建设京港澳高速城区段绿化项目（一园）</w:t>
            </w:r>
            <w:r>
              <w:rPr>
                <w:rFonts w:hint="eastAsia" w:ascii="仿宋_GB2312" w:hAnsi="仿宋_GB2312" w:eastAsia="仿宋_GB2312" w:cs="仿宋_GB2312"/>
                <w:color w:val="auto"/>
                <w:sz w:val="22"/>
                <w:szCs w:val="22"/>
              </w:rPr>
              <w:t>设立与</w:t>
            </w:r>
            <w:r>
              <w:rPr>
                <w:rFonts w:hint="eastAsia" w:ascii="仿宋_GB2312" w:hAnsi="仿宋_GB2312" w:eastAsia="仿宋_GB2312" w:cs="仿宋_GB2312"/>
                <w:color w:val="auto"/>
                <w:sz w:val="22"/>
                <w:szCs w:val="22"/>
                <w:lang w:eastAsia="zh-CN"/>
              </w:rPr>
              <w:t>安阳县自然资源局</w:t>
            </w:r>
            <w:r>
              <w:rPr>
                <w:rFonts w:hint="eastAsia" w:ascii="仿宋_GB2312" w:hAnsi="仿宋_GB2312" w:eastAsia="仿宋_GB2312" w:cs="仿宋_GB2312"/>
                <w:color w:val="auto"/>
                <w:sz w:val="22"/>
                <w:szCs w:val="22"/>
              </w:rPr>
              <w:t>的部门职责范围相符合；④属于公共财政支持范围；⑤与相关部门同类项目或部门内部相关项目不重复。根据评分标准，该指标得满分。</w:t>
            </w:r>
          </w:p>
        </w:tc>
        <w:tc>
          <w:tcPr>
            <w:tcW w:w="833" w:type="dxa"/>
            <w:vAlign w:val="center"/>
          </w:tcPr>
          <w:p>
            <w:pPr>
              <w:adjustRightInd w:val="0"/>
              <w:snapToGrid w:val="0"/>
              <w:jc w:val="center"/>
              <w:textAlignment w:val="center"/>
              <w:rPr>
                <w:rFonts w:hint="eastAsia" w:ascii="仿宋_GB2312" w:hAnsi="仿宋_GB2312" w:eastAsia="仿宋_GB2312" w:cs="仿宋_GB2312"/>
                <w:b/>
                <w:bCs/>
                <w:color w:val="auto"/>
                <w:sz w:val="22"/>
                <w:szCs w:val="22"/>
              </w:rPr>
            </w:pPr>
            <w:r>
              <w:rPr>
                <w:rFonts w:hint="eastAsia" w:ascii="仿宋_GB2312" w:hAnsi="仿宋_GB2312" w:eastAsia="仿宋_GB2312" w:cs="仿宋_GB2312"/>
                <w:color w:val="auto"/>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7" w:hRule="atLeast"/>
          <w:jc w:val="center"/>
        </w:trPr>
        <w:tc>
          <w:tcPr>
            <w:tcW w:w="1273" w:type="dxa"/>
            <w:gridSpan w:val="2"/>
            <w:vMerge w:val="continue"/>
            <w:vAlign w:val="center"/>
          </w:tcPr>
          <w:p>
            <w:pPr>
              <w:adjustRightInd w:val="0"/>
              <w:snapToGrid w:val="0"/>
              <w:rPr>
                <w:rFonts w:hint="eastAsia" w:ascii="仿宋_GB2312" w:hAnsi="仿宋_GB2312" w:eastAsia="仿宋_GB2312" w:cs="仿宋_GB2312"/>
                <w:color w:val="auto"/>
                <w:sz w:val="22"/>
                <w:szCs w:val="22"/>
              </w:rPr>
            </w:pPr>
          </w:p>
        </w:tc>
        <w:tc>
          <w:tcPr>
            <w:tcW w:w="1243" w:type="dxa"/>
            <w:gridSpan w:val="2"/>
            <w:vMerge w:val="continue"/>
            <w:vAlign w:val="center"/>
          </w:tcPr>
          <w:p>
            <w:pPr>
              <w:adjustRightInd w:val="0"/>
              <w:snapToGrid w:val="0"/>
              <w:rPr>
                <w:rFonts w:hint="eastAsia" w:ascii="仿宋_GB2312" w:hAnsi="仿宋_GB2312" w:eastAsia="仿宋_GB2312" w:cs="仿宋_GB2312"/>
                <w:color w:val="auto"/>
                <w:sz w:val="22"/>
                <w:szCs w:val="22"/>
              </w:rPr>
            </w:pP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立项程序规范性</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A</w:t>
            </w:r>
            <w:r>
              <w:rPr>
                <w:rFonts w:hint="eastAsia" w:ascii="仿宋_GB2312" w:hAnsi="仿宋_GB2312" w:eastAsia="仿宋_GB2312" w:cs="仿宋_GB2312"/>
                <w:color w:val="auto"/>
                <w:sz w:val="22"/>
                <w:szCs w:val="22"/>
                <w:vertAlign w:val="subscript"/>
              </w:rPr>
              <w:t>12</w:t>
            </w:r>
          </w:p>
        </w:tc>
        <w:tc>
          <w:tcPr>
            <w:tcW w:w="856"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规范</w:t>
            </w:r>
          </w:p>
        </w:tc>
        <w:tc>
          <w:tcPr>
            <w:tcW w:w="700"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2</w:t>
            </w:r>
          </w:p>
        </w:tc>
        <w:tc>
          <w:tcPr>
            <w:tcW w:w="3335" w:type="dxa"/>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单个方向评价：</w:t>
            </w:r>
            <w:r>
              <w:rPr>
                <w:rFonts w:hint="eastAsia" w:ascii="仿宋_GB2312" w:hAnsi="仿宋_GB2312" w:eastAsia="仿宋_GB2312" w:cs="仿宋_GB2312"/>
                <w:color w:val="auto"/>
                <w:sz w:val="22"/>
                <w:szCs w:val="22"/>
              </w:rPr>
              <w:t>①</w:t>
            </w:r>
            <w:r>
              <w:rPr>
                <w:rFonts w:hint="eastAsia" w:ascii="仿宋_GB2312" w:hAnsi="仿宋_GB2312" w:eastAsia="仿宋_GB2312" w:cs="仿宋_GB2312"/>
                <w:color w:val="auto"/>
                <w:sz w:val="22"/>
                <w:szCs w:val="22"/>
                <w:lang w:eastAsia="zh-CN"/>
              </w:rPr>
              <w:t>县级</w:t>
            </w:r>
            <w:r>
              <w:rPr>
                <w:rFonts w:hint="eastAsia" w:ascii="仿宋_GB2312" w:hAnsi="仿宋_GB2312" w:eastAsia="仿宋_GB2312" w:cs="仿宋_GB2312"/>
                <w:color w:val="auto"/>
                <w:sz w:val="22"/>
                <w:szCs w:val="22"/>
              </w:rPr>
              <w:t>部门直接安排实施的项目；②项目是否按照规定的程序申请设立；③审批文件、材料是否符合相关要求；④事前是否已经过必要的可行性研究、专家论证、风险评估、绩效评估、集体决策。符合相关要素得满分，否则对应要素不得分。</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汇总评价：</w:t>
            </w:r>
            <w:r>
              <w:rPr>
                <w:rFonts w:hint="eastAsia" w:ascii="仿宋_GB2312" w:hAnsi="仿宋_GB2312" w:eastAsia="仿宋_GB2312" w:cs="仿宋_GB2312"/>
                <w:color w:val="auto"/>
                <w:sz w:val="22"/>
                <w:szCs w:val="22"/>
              </w:rPr>
              <w:t>按照单个方向得分情况，以各方向资金为权重加权求和。</w:t>
            </w:r>
          </w:p>
        </w:tc>
        <w:tc>
          <w:tcPr>
            <w:tcW w:w="4270" w:type="dxa"/>
            <w:vAlign w:val="center"/>
          </w:tcPr>
          <w:p>
            <w:pPr>
              <w:adjustRightInd w:val="0"/>
              <w:snapToGrid w:val="0"/>
              <w:textAlignment w:val="center"/>
              <w:rPr>
                <w:rFonts w:hint="eastAsia" w:ascii="仿宋_GB2312" w:hAnsi="仿宋_GB2312" w:eastAsia="仿宋_GB2312" w:cs="仿宋_GB2312"/>
                <w:b/>
                <w:bCs/>
                <w:color w:val="auto"/>
                <w:sz w:val="22"/>
                <w:szCs w:val="22"/>
              </w:rPr>
            </w:pPr>
            <w:r>
              <w:rPr>
                <w:rFonts w:hint="eastAsia" w:ascii="仿宋_GB2312" w:hAnsi="仿宋_GB2312" w:eastAsia="仿宋_GB2312" w:cs="仿宋_GB2312"/>
                <w:color w:val="auto"/>
                <w:sz w:val="22"/>
                <w:szCs w:val="22"/>
              </w:rPr>
              <w:t>经评价组</w:t>
            </w:r>
            <w:r>
              <w:rPr>
                <w:rFonts w:hint="eastAsia" w:ascii="仿宋_GB2312" w:hAnsi="仿宋_GB2312" w:eastAsia="仿宋_GB2312" w:cs="仿宋_GB2312"/>
                <w:color w:val="auto"/>
                <w:sz w:val="22"/>
                <w:szCs w:val="22"/>
                <w:highlight w:val="none"/>
              </w:rPr>
              <w:t>核查：①</w:t>
            </w:r>
            <w:r>
              <w:rPr>
                <w:rFonts w:hint="eastAsia" w:ascii="仿宋_GB2312" w:hAnsi="仿宋_GB2312" w:eastAsia="仿宋_GB2312" w:cs="仿宋_GB2312"/>
                <w:color w:val="auto"/>
                <w:sz w:val="22"/>
                <w:szCs w:val="22"/>
                <w:highlight w:val="none"/>
                <w:lang w:eastAsia="zh-CN"/>
              </w:rPr>
              <w:t>安阳县自然资源局</w:t>
            </w:r>
            <w:r>
              <w:rPr>
                <w:rFonts w:hint="eastAsia" w:ascii="仿宋_GB2312" w:hAnsi="仿宋_GB2312" w:eastAsia="仿宋_GB2312" w:cs="仿宋_GB2312"/>
                <w:color w:val="auto"/>
                <w:sz w:val="22"/>
                <w:szCs w:val="22"/>
                <w:highlight w:val="none"/>
              </w:rPr>
              <w:t>安排实施项目</w:t>
            </w:r>
            <w:r>
              <w:rPr>
                <w:rFonts w:hint="eastAsia" w:ascii="仿宋_GB2312" w:hAnsi="仿宋_GB2312" w:eastAsia="仿宋_GB2312" w:cs="仿宋_GB2312"/>
                <w:color w:val="auto"/>
                <w:sz w:val="22"/>
                <w:szCs w:val="22"/>
                <w:highlight w:val="none"/>
                <w:lang w:val="en-US" w:eastAsia="zh-CN"/>
              </w:rPr>
              <w:t>;</w:t>
            </w:r>
            <w:r>
              <w:rPr>
                <w:rFonts w:hint="eastAsia" w:ascii="仿宋_GB2312" w:hAnsi="仿宋_GB2312" w:eastAsia="仿宋_GB2312" w:cs="仿宋_GB2312"/>
                <w:color w:val="auto"/>
                <w:sz w:val="22"/>
                <w:szCs w:val="22"/>
                <w:highlight w:val="none"/>
              </w:rPr>
              <w:t>②</w:t>
            </w:r>
            <w:r>
              <w:rPr>
                <w:rFonts w:hint="eastAsia" w:ascii="仿宋_GB2312" w:hAnsi="仿宋_GB2312" w:eastAsia="仿宋_GB2312" w:cs="仿宋_GB2312"/>
                <w:color w:val="auto"/>
                <w:sz w:val="22"/>
                <w:szCs w:val="22"/>
                <w:highlight w:val="none"/>
                <w:lang w:eastAsia="zh-CN"/>
              </w:rPr>
              <w:t>安阳县自然资源局创建森林城市绿化建设京港澳高速城区段绿化项目（一园）</w:t>
            </w:r>
            <w:r>
              <w:rPr>
                <w:rFonts w:hint="eastAsia" w:ascii="仿宋_GB2312" w:hAnsi="仿宋_GB2312" w:eastAsia="仿宋_GB2312" w:cs="仿宋_GB2312"/>
                <w:color w:val="auto"/>
                <w:sz w:val="22"/>
                <w:szCs w:val="22"/>
              </w:rPr>
              <w:t>按照规定的程序申请设立，专项资金申报、审批等程序公平、公正；③审批文件、材料符合相关要求；④事前</w:t>
            </w:r>
            <w:r>
              <w:rPr>
                <w:rFonts w:hint="eastAsia" w:ascii="仿宋_GB2312" w:hAnsi="仿宋_GB2312" w:eastAsia="仿宋_GB2312" w:cs="仿宋_GB2312"/>
                <w:color w:val="auto"/>
                <w:sz w:val="22"/>
                <w:szCs w:val="22"/>
                <w:lang w:eastAsia="zh-CN"/>
              </w:rPr>
              <w:t>未经过</w:t>
            </w:r>
            <w:r>
              <w:rPr>
                <w:rFonts w:hint="eastAsia" w:ascii="仿宋_GB2312" w:hAnsi="仿宋_GB2312" w:eastAsia="仿宋_GB2312" w:cs="仿宋_GB2312"/>
                <w:color w:val="auto"/>
                <w:sz w:val="22"/>
                <w:szCs w:val="22"/>
              </w:rPr>
              <w:t>经过必要的专家论证、风险评估</w:t>
            </w:r>
            <w:r>
              <w:rPr>
                <w:rFonts w:hint="eastAsia" w:ascii="仿宋_GB2312" w:hAnsi="仿宋_GB2312" w:eastAsia="仿宋_GB2312" w:cs="仿宋_GB2312"/>
                <w:color w:val="auto"/>
                <w:sz w:val="22"/>
                <w:szCs w:val="22"/>
                <w:lang w:eastAsia="zh-CN"/>
              </w:rPr>
              <w:t>等</w:t>
            </w:r>
            <w:r>
              <w:rPr>
                <w:rFonts w:hint="eastAsia" w:ascii="仿宋_GB2312" w:hAnsi="仿宋_GB2312" w:eastAsia="仿宋_GB2312" w:cs="仿宋_GB2312"/>
                <w:color w:val="auto"/>
                <w:sz w:val="22"/>
                <w:szCs w:val="22"/>
              </w:rPr>
              <w:t>。根据评分标准，该指标得</w:t>
            </w:r>
            <w:r>
              <w:rPr>
                <w:rFonts w:hint="eastAsia" w:ascii="仿宋_GB2312" w:hAnsi="仿宋_GB2312" w:eastAsia="仿宋_GB2312" w:cs="仿宋_GB2312"/>
                <w:color w:val="auto"/>
                <w:sz w:val="22"/>
                <w:szCs w:val="22"/>
                <w:lang w:val="en-US" w:eastAsia="zh-CN"/>
              </w:rPr>
              <w:t>1.5</w:t>
            </w:r>
            <w:r>
              <w:rPr>
                <w:rFonts w:hint="eastAsia" w:ascii="仿宋_GB2312" w:hAnsi="仿宋_GB2312" w:eastAsia="仿宋_GB2312" w:cs="仿宋_GB2312"/>
                <w:color w:val="auto"/>
                <w:sz w:val="22"/>
                <w:szCs w:val="22"/>
              </w:rPr>
              <w:t>分。</w:t>
            </w:r>
          </w:p>
        </w:tc>
        <w:tc>
          <w:tcPr>
            <w:tcW w:w="833" w:type="dxa"/>
            <w:vAlign w:val="center"/>
          </w:tcPr>
          <w:p>
            <w:pPr>
              <w:adjustRightInd w:val="0"/>
              <w:snapToGrid w:val="0"/>
              <w:jc w:val="center"/>
              <w:textAlignment w:val="center"/>
              <w:rPr>
                <w:rFonts w:hint="eastAsia" w:ascii="仿宋_GB2312" w:hAnsi="仿宋_GB2312" w:eastAsia="仿宋_GB2312" w:cs="仿宋_GB2312"/>
                <w:b/>
                <w:bCs/>
                <w:color w:val="auto"/>
                <w:sz w:val="22"/>
                <w:szCs w:val="22"/>
              </w:rPr>
            </w:pPr>
            <w:r>
              <w:rPr>
                <w:rFonts w:hint="eastAsia" w:ascii="仿宋_GB2312" w:hAnsi="仿宋_GB2312" w:eastAsia="仿宋_GB2312" w:cs="仿宋_GB2312"/>
                <w:color w:val="auto"/>
                <w:sz w:val="22"/>
                <w:szCs w:val="22"/>
                <w:lang w:val="en-US" w:eastAsia="zh-CN"/>
              </w:rPr>
              <w:t>1</w:t>
            </w:r>
            <w:r>
              <w:rPr>
                <w:rFonts w:hint="eastAsia" w:ascii="仿宋_GB2312" w:hAnsi="仿宋_GB2312" w:eastAsia="仿宋_GB2312" w:cs="仿宋_GB2312"/>
                <w:color w:val="auto"/>
                <w:sz w:val="22"/>
                <w:szCs w:val="22"/>
              </w:rPr>
              <w:t>.</w:t>
            </w:r>
            <w:r>
              <w:rPr>
                <w:rFonts w:hint="eastAsia" w:ascii="仿宋_GB2312" w:hAnsi="仿宋_GB2312" w:eastAsia="仿宋_GB2312" w:cs="仿宋_GB2312"/>
                <w:color w:val="auto"/>
                <w:sz w:val="22"/>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5" w:hRule="atLeast"/>
          <w:jc w:val="center"/>
        </w:trPr>
        <w:tc>
          <w:tcPr>
            <w:tcW w:w="1273" w:type="dxa"/>
            <w:gridSpan w:val="2"/>
            <w:vMerge w:val="restart"/>
            <w:vAlign w:val="center"/>
          </w:tcPr>
          <w:p>
            <w:pPr>
              <w:adjustRightInd w:val="0"/>
              <w:snapToGrid w:val="0"/>
              <w:jc w:val="center"/>
              <w:rPr>
                <w:rFonts w:hint="eastAsia" w:ascii="仿宋_GB2312" w:hAnsi="仿宋_GB2312" w:eastAsia="仿宋_GB2312" w:cs="仿宋_GB2312"/>
                <w:color w:val="auto"/>
                <w:sz w:val="22"/>
                <w:szCs w:val="22"/>
              </w:rPr>
            </w:pP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项目决策</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A</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（1</w:t>
            </w:r>
            <w:r>
              <w:rPr>
                <w:rFonts w:hint="eastAsia" w:ascii="仿宋_GB2312" w:hAnsi="仿宋_GB2312" w:eastAsia="仿宋_GB2312" w:cs="仿宋_GB2312"/>
                <w:color w:val="auto"/>
                <w:sz w:val="22"/>
                <w:szCs w:val="22"/>
                <w:lang w:val="en-US" w:eastAsia="zh-CN"/>
              </w:rPr>
              <w:t>8</w:t>
            </w:r>
            <w:r>
              <w:rPr>
                <w:rFonts w:hint="eastAsia" w:ascii="仿宋_GB2312" w:hAnsi="仿宋_GB2312" w:eastAsia="仿宋_GB2312" w:cs="仿宋_GB2312"/>
                <w:color w:val="auto"/>
                <w:sz w:val="22"/>
                <w:szCs w:val="22"/>
              </w:rPr>
              <w:t>分）</w:t>
            </w:r>
          </w:p>
          <w:p>
            <w:pPr>
              <w:adjustRightInd w:val="0"/>
              <w:snapToGrid w:val="0"/>
              <w:jc w:val="center"/>
              <w:rPr>
                <w:rFonts w:hint="eastAsia" w:ascii="仿宋_GB2312" w:hAnsi="仿宋_GB2312" w:eastAsia="仿宋_GB2312" w:cs="仿宋_GB2312"/>
                <w:color w:val="auto"/>
                <w:sz w:val="22"/>
                <w:szCs w:val="22"/>
              </w:rPr>
            </w:pPr>
          </w:p>
        </w:tc>
        <w:tc>
          <w:tcPr>
            <w:tcW w:w="1243" w:type="dxa"/>
            <w:gridSpan w:val="2"/>
            <w:vMerge w:val="restart"/>
            <w:vAlign w:val="center"/>
          </w:tcPr>
          <w:p>
            <w:pPr>
              <w:adjustRightInd w:val="0"/>
              <w:snapToGrid w:val="0"/>
              <w:jc w:val="center"/>
              <w:rPr>
                <w:rFonts w:hint="eastAsia" w:ascii="仿宋_GB2312" w:hAnsi="仿宋_GB2312" w:eastAsia="仿宋_GB2312" w:cs="仿宋_GB2312"/>
                <w:color w:val="auto"/>
                <w:sz w:val="22"/>
                <w:szCs w:val="22"/>
              </w:rPr>
            </w:pP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绩效目标A</w:t>
            </w:r>
            <w:r>
              <w:rPr>
                <w:rFonts w:hint="eastAsia" w:ascii="仿宋_GB2312" w:hAnsi="仿宋_GB2312" w:eastAsia="仿宋_GB2312" w:cs="仿宋_GB2312"/>
                <w:color w:val="auto"/>
                <w:sz w:val="22"/>
                <w:szCs w:val="22"/>
                <w:vertAlign w:val="subscript"/>
              </w:rPr>
              <w:t>2</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（8分）</w:t>
            </w:r>
          </w:p>
          <w:p>
            <w:pPr>
              <w:adjustRightInd w:val="0"/>
              <w:snapToGrid w:val="0"/>
              <w:jc w:val="center"/>
              <w:rPr>
                <w:rFonts w:hint="eastAsia" w:ascii="仿宋_GB2312" w:hAnsi="仿宋_GB2312" w:eastAsia="仿宋_GB2312" w:cs="仿宋_GB2312"/>
                <w:color w:val="auto"/>
                <w:sz w:val="22"/>
                <w:szCs w:val="22"/>
              </w:rPr>
            </w:pP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绩效目标合理性</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A</w:t>
            </w:r>
            <w:r>
              <w:rPr>
                <w:rFonts w:hint="eastAsia" w:ascii="仿宋_GB2312" w:hAnsi="仿宋_GB2312" w:eastAsia="仿宋_GB2312" w:cs="仿宋_GB2312"/>
                <w:color w:val="auto"/>
                <w:sz w:val="22"/>
                <w:szCs w:val="22"/>
                <w:vertAlign w:val="subscript"/>
              </w:rPr>
              <w:t>21</w:t>
            </w:r>
          </w:p>
        </w:tc>
        <w:tc>
          <w:tcPr>
            <w:tcW w:w="856"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合理</w:t>
            </w:r>
          </w:p>
        </w:tc>
        <w:tc>
          <w:tcPr>
            <w:tcW w:w="700"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4</w:t>
            </w:r>
          </w:p>
        </w:tc>
        <w:tc>
          <w:tcPr>
            <w:tcW w:w="3335" w:type="dxa"/>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单个方向评价：</w:t>
            </w:r>
            <w:r>
              <w:rPr>
                <w:rFonts w:hint="eastAsia" w:ascii="仿宋_GB2312" w:hAnsi="仿宋_GB2312" w:eastAsia="仿宋_GB2312" w:cs="仿宋_GB2312"/>
                <w:color w:val="auto"/>
                <w:sz w:val="22"/>
                <w:szCs w:val="22"/>
              </w:rPr>
              <w:t>①项目具有绩效目标；②项目绩效目标与实际工作内容是否具有相关性；③项目预期产出效益和效果是否符合正常的业绩水平；④是否与预算确定的项目投资额或资金量相匹配。符合要素①时，则要素①②③④各占1/4权重分，符合相关要素得满分，否则对应要素不得分；当要素①不符合时，该项指标不得分。</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汇总评价：</w:t>
            </w:r>
            <w:r>
              <w:rPr>
                <w:rFonts w:hint="eastAsia" w:ascii="仿宋_GB2312" w:hAnsi="仿宋_GB2312" w:eastAsia="仿宋_GB2312" w:cs="仿宋_GB2312"/>
                <w:color w:val="auto"/>
                <w:sz w:val="22"/>
                <w:szCs w:val="22"/>
              </w:rPr>
              <w:t>按照单个方向得分情况，以各方向资金为权重加权求和。</w:t>
            </w:r>
          </w:p>
        </w:tc>
        <w:tc>
          <w:tcPr>
            <w:tcW w:w="4270" w:type="dxa"/>
            <w:vAlign w:val="center"/>
          </w:tcPr>
          <w:p>
            <w:pPr>
              <w:adjustRightInd w:val="0"/>
              <w:snapToGrid w:val="0"/>
              <w:textAlignment w:val="center"/>
              <w:rPr>
                <w:rFonts w:hint="eastAsia" w:ascii="仿宋_GB2312" w:hAnsi="仿宋_GB2312" w:eastAsia="仿宋_GB2312" w:cs="仿宋_GB2312"/>
                <w:b/>
                <w:bCs/>
                <w:color w:val="auto"/>
                <w:sz w:val="22"/>
                <w:szCs w:val="22"/>
              </w:rPr>
            </w:pPr>
            <w:r>
              <w:rPr>
                <w:rFonts w:hint="eastAsia" w:ascii="仿宋_GB2312" w:hAnsi="仿宋_GB2312" w:eastAsia="仿宋_GB2312" w:cs="仿宋_GB2312"/>
                <w:color w:val="auto"/>
                <w:sz w:val="22"/>
                <w:szCs w:val="22"/>
              </w:rPr>
              <w:t>根据</w:t>
            </w:r>
            <w:r>
              <w:rPr>
                <w:rFonts w:hint="eastAsia" w:ascii="仿宋_GB2312" w:hAnsi="仿宋_GB2312" w:eastAsia="仿宋_GB2312" w:cs="仿宋_GB2312"/>
                <w:color w:val="auto"/>
                <w:sz w:val="22"/>
                <w:szCs w:val="22"/>
                <w:lang w:eastAsia="zh-CN"/>
              </w:rPr>
              <w:t>安阳县自然资源局</w:t>
            </w:r>
            <w:r>
              <w:rPr>
                <w:rFonts w:hint="eastAsia" w:ascii="仿宋_GB2312" w:hAnsi="仿宋_GB2312" w:eastAsia="仿宋_GB2312" w:cs="仿宋_GB2312"/>
                <w:color w:val="auto"/>
                <w:sz w:val="22"/>
                <w:szCs w:val="22"/>
              </w:rPr>
              <w:t>提供的《</w:t>
            </w:r>
            <w:r>
              <w:rPr>
                <w:rFonts w:hint="eastAsia" w:ascii="仿宋_GB2312" w:hAnsi="仿宋_GB2312" w:eastAsia="仿宋_GB2312" w:cs="仿宋_GB2312"/>
                <w:color w:val="auto"/>
                <w:sz w:val="22"/>
                <w:szCs w:val="22"/>
                <w:lang w:eastAsia="zh-CN"/>
              </w:rPr>
              <w:t>总承包合同</w:t>
            </w:r>
            <w:r>
              <w:rPr>
                <w:rFonts w:hint="eastAsia" w:ascii="仿宋_GB2312" w:hAnsi="仿宋_GB2312" w:eastAsia="仿宋_GB2312" w:cs="仿宋_GB2312"/>
                <w:color w:val="auto"/>
                <w:sz w:val="22"/>
                <w:szCs w:val="22"/>
              </w:rPr>
              <w:t>》</w:t>
            </w:r>
            <w:r>
              <w:rPr>
                <w:rFonts w:hint="eastAsia" w:ascii="仿宋_GB2312" w:hAnsi="仿宋_GB2312" w:eastAsia="仿宋_GB2312" w:cs="仿宋_GB2312"/>
                <w:color w:val="auto"/>
                <w:sz w:val="22"/>
                <w:szCs w:val="22"/>
                <w:lang w:eastAsia="zh-CN"/>
              </w:rPr>
              <w:t>、《可行性研究报告》</w:t>
            </w:r>
            <w:r>
              <w:rPr>
                <w:rFonts w:hint="eastAsia" w:ascii="仿宋_GB2312" w:hAnsi="仿宋_GB2312" w:eastAsia="仿宋_GB2312" w:cs="仿宋_GB2312"/>
                <w:color w:val="auto"/>
                <w:sz w:val="22"/>
                <w:szCs w:val="22"/>
              </w:rPr>
              <w:t>及工作要点，经评价组核查：①</w:t>
            </w:r>
            <w:r>
              <w:rPr>
                <w:rFonts w:hint="eastAsia" w:ascii="仿宋_GB2312" w:hAnsi="仿宋_GB2312" w:eastAsia="仿宋_GB2312" w:cs="仿宋_GB2312"/>
                <w:color w:val="auto"/>
                <w:sz w:val="22"/>
                <w:szCs w:val="22"/>
                <w:lang w:eastAsia="zh-CN"/>
              </w:rPr>
              <w:t>安阳县自然资源局创建森林城市绿化建设京港澳高速城区段绿化项目（一园）有绩效目标</w:t>
            </w:r>
            <w:r>
              <w:rPr>
                <w:rFonts w:hint="eastAsia" w:ascii="仿宋_GB2312" w:hAnsi="仿宋_GB2312" w:eastAsia="仿宋_GB2312" w:cs="仿宋_GB2312"/>
                <w:color w:val="auto"/>
                <w:sz w:val="22"/>
                <w:szCs w:val="22"/>
              </w:rPr>
              <w:t>；②</w:t>
            </w:r>
            <w:r>
              <w:rPr>
                <w:rFonts w:hint="eastAsia" w:ascii="仿宋_GB2312" w:hAnsi="仿宋_GB2312" w:eastAsia="仿宋_GB2312" w:cs="仿宋_GB2312"/>
                <w:color w:val="auto"/>
                <w:sz w:val="22"/>
                <w:szCs w:val="22"/>
                <w:lang w:eastAsia="zh-CN"/>
              </w:rPr>
              <w:t>安阳县自然资源局创建森林城市绿化建设京港澳高速城区段绿化项目（一园）</w:t>
            </w:r>
            <w:r>
              <w:rPr>
                <w:rFonts w:hint="eastAsia" w:ascii="仿宋_GB2312" w:hAnsi="仿宋_GB2312" w:eastAsia="仿宋_GB2312" w:cs="仿宋_GB2312"/>
                <w:color w:val="auto"/>
                <w:sz w:val="22"/>
                <w:szCs w:val="22"/>
              </w:rPr>
              <w:t>绩效目标与实际工作内</w:t>
            </w:r>
            <w:r>
              <w:rPr>
                <w:rFonts w:hint="eastAsia" w:ascii="仿宋_GB2312" w:hAnsi="仿宋_GB2312" w:eastAsia="仿宋_GB2312" w:cs="仿宋_GB2312"/>
                <w:color w:val="auto"/>
                <w:sz w:val="22"/>
                <w:szCs w:val="22"/>
                <w:lang w:eastAsia="zh-CN"/>
              </w:rPr>
              <w:t>容</w:t>
            </w:r>
            <w:r>
              <w:rPr>
                <w:rFonts w:hint="eastAsia" w:ascii="仿宋_GB2312" w:hAnsi="仿宋_GB2312" w:eastAsia="仿宋_GB2312" w:cs="仿宋_GB2312"/>
                <w:color w:val="auto"/>
                <w:sz w:val="22"/>
                <w:szCs w:val="22"/>
              </w:rPr>
              <w:t>相关；③</w:t>
            </w:r>
            <w:r>
              <w:rPr>
                <w:rFonts w:hint="eastAsia" w:ascii="仿宋_GB2312" w:hAnsi="仿宋_GB2312" w:eastAsia="仿宋_GB2312" w:cs="仿宋_GB2312"/>
                <w:color w:val="auto"/>
                <w:sz w:val="22"/>
                <w:szCs w:val="22"/>
                <w:lang w:eastAsia="zh-CN"/>
              </w:rPr>
              <w:t>安阳县自然资源局创建森林城市绿化建设京港澳高速城区段绿化项目（一园）</w:t>
            </w:r>
            <w:r>
              <w:rPr>
                <w:rFonts w:hint="eastAsia" w:ascii="仿宋_GB2312" w:hAnsi="仿宋_GB2312" w:eastAsia="仿宋_GB2312" w:cs="仿宋_GB2312"/>
                <w:color w:val="auto"/>
                <w:sz w:val="22"/>
                <w:szCs w:val="22"/>
                <w:highlight w:val="none"/>
              </w:rPr>
              <w:t>预期产出和效果符合国家和</w:t>
            </w:r>
            <w:r>
              <w:rPr>
                <w:rFonts w:hint="eastAsia" w:ascii="仿宋_GB2312" w:hAnsi="仿宋_GB2312" w:eastAsia="仿宋_GB2312" w:cs="仿宋_GB2312"/>
                <w:color w:val="auto"/>
                <w:sz w:val="22"/>
                <w:szCs w:val="22"/>
                <w:highlight w:val="none"/>
                <w:lang w:eastAsia="zh-CN"/>
              </w:rPr>
              <w:t>安阳县</w:t>
            </w:r>
            <w:r>
              <w:rPr>
                <w:rFonts w:hint="eastAsia" w:ascii="仿宋_GB2312" w:hAnsi="仿宋_GB2312" w:eastAsia="仿宋_GB2312" w:cs="仿宋_GB2312"/>
                <w:color w:val="auto"/>
                <w:sz w:val="22"/>
                <w:szCs w:val="22"/>
                <w:highlight w:val="none"/>
              </w:rPr>
              <w:t>对“</w:t>
            </w:r>
            <w:r>
              <w:rPr>
                <w:rFonts w:hint="eastAsia" w:ascii="仿宋_GB2312" w:hAnsi="仿宋_GB2312" w:eastAsia="仿宋_GB2312" w:cs="仿宋_GB2312"/>
                <w:color w:val="auto"/>
                <w:sz w:val="22"/>
                <w:szCs w:val="22"/>
                <w:highlight w:val="none"/>
                <w:lang w:eastAsia="zh-CN"/>
              </w:rPr>
              <w:t>创建森林城市绿化建设京港澳高速城区段绿化项目（一园）</w:t>
            </w:r>
            <w:r>
              <w:rPr>
                <w:rFonts w:hint="eastAsia" w:ascii="仿宋_GB2312" w:hAnsi="仿宋_GB2312" w:eastAsia="仿宋_GB2312" w:cs="仿宋_GB2312"/>
                <w:color w:val="auto"/>
                <w:sz w:val="22"/>
                <w:szCs w:val="22"/>
                <w:highlight w:val="none"/>
              </w:rPr>
              <w:t>”定位要求，但部分绩效目标</w:t>
            </w:r>
            <w:r>
              <w:rPr>
                <w:rFonts w:hint="eastAsia" w:ascii="仿宋_GB2312" w:hAnsi="仿宋_GB2312" w:eastAsia="仿宋_GB2312" w:cs="仿宋_GB2312"/>
                <w:color w:val="auto"/>
                <w:sz w:val="22"/>
                <w:szCs w:val="22"/>
                <w:highlight w:val="none"/>
                <w:lang w:eastAsia="zh-CN"/>
              </w:rPr>
              <w:t>指标值</w:t>
            </w:r>
            <w:r>
              <w:rPr>
                <w:rFonts w:hint="eastAsia" w:ascii="仿宋_GB2312" w:hAnsi="仿宋_GB2312" w:eastAsia="仿宋_GB2312" w:cs="仿宋_GB2312"/>
                <w:color w:val="auto"/>
                <w:sz w:val="22"/>
                <w:szCs w:val="22"/>
                <w:highlight w:val="none"/>
              </w:rPr>
              <w:t>设置</w:t>
            </w:r>
            <w:r>
              <w:rPr>
                <w:rFonts w:hint="eastAsia" w:ascii="仿宋_GB2312" w:hAnsi="仿宋_GB2312" w:eastAsia="仿宋_GB2312" w:cs="仿宋_GB2312"/>
                <w:color w:val="auto"/>
                <w:sz w:val="22"/>
                <w:szCs w:val="22"/>
                <w:highlight w:val="none"/>
                <w:lang w:eastAsia="zh-CN"/>
              </w:rPr>
              <w:t>不合理</w:t>
            </w:r>
            <w:r>
              <w:rPr>
                <w:rFonts w:hint="eastAsia" w:ascii="仿宋_GB2312" w:hAnsi="仿宋_GB2312" w:eastAsia="仿宋_GB2312" w:cs="仿宋_GB2312"/>
                <w:color w:val="auto"/>
                <w:sz w:val="22"/>
                <w:szCs w:val="22"/>
                <w:highlight w:val="none"/>
              </w:rPr>
              <w:t>。如</w:t>
            </w:r>
            <w:r>
              <w:rPr>
                <w:rFonts w:hint="eastAsia" w:ascii="仿宋_GB2312" w:hAnsi="仿宋_GB2312" w:eastAsia="仿宋_GB2312" w:cs="仿宋_GB2312"/>
                <w:color w:val="auto"/>
                <w:sz w:val="22"/>
                <w:szCs w:val="22"/>
                <w:highlight w:val="none"/>
                <w:lang w:eastAsia="zh-CN"/>
              </w:rPr>
              <w:t>效益指标指标值设置不合理</w:t>
            </w:r>
            <w:r>
              <w:rPr>
                <w:rFonts w:hint="eastAsia" w:ascii="仿宋_GB2312" w:hAnsi="仿宋_GB2312" w:eastAsia="仿宋_GB2312" w:cs="仿宋_GB2312"/>
                <w:color w:val="auto"/>
                <w:sz w:val="22"/>
                <w:szCs w:val="22"/>
              </w:rPr>
              <w:t>。④与预算确定的项目投资额或资金量相匹配</w:t>
            </w:r>
            <w:r>
              <w:rPr>
                <w:rFonts w:hint="eastAsia" w:ascii="仿宋_GB2312" w:hAnsi="仿宋_GB2312" w:eastAsia="仿宋_GB2312" w:cs="仿宋_GB2312"/>
                <w:color w:val="auto"/>
                <w:sz w:val="22"/>
                <w:szCs w:val="22"/>
                <w:lang w:val="en-US" w:eastAsia="zh-CN"/>
              </w:rPr>
              <w:t>;</w:t>
            </w:r>
            <w:r>
              <w:rPr>
                <w:rFonts w:hint="eastAsia" w:ascii="仿宋_GB2312" w:hAnsi="仿宋_GB2312" w:eastAsia="仿宋_GB2312" w:cs="仿宋_GB2312"/>
                <w:color w:val="auto"/>
                <w:sz w:val="22"/>
                <w:szCs w:val="22"/>
              </w:rPr>
              <w:t>根据评分标准</w:t>
            </w:r>
            <w:r>
              <w:rPr>
                <w:rFonts w:hint="eastAsia" w:ascii="仿宋_GB2312" w:hAnsi="仿宋_GB2312" w:eastAsia="仿宋_GB2312" w:cs="仿宋_GB2312"/>
                <w:color w:val="auto"/>
                <w:sz w:val="22"/>
                <w:szCs w:val="22"/>
                <w:lang w:eastAsia="zh-CN"/>
              </w:rPr>
              <w:t>，</w:t>
            </w:r>
            <w:r>
              <w:rPr>
                <w:rFonts w:hint="eastAsia" w:ascii="仿宋_GB2312" w:hAnsi="仿宋_GB2312" w:eastAsia="仿宋_GB2312" w:cs="仿宋_GB2312"/>
                <w:color w:val="auto"/>
                <w:sz w:val="22"/>
                <w:szCs w:val="22"/>
              </w:rPr>
              <w:t>①②④得对应权重分满分，③不得分，综上，该指标得</w:t>
            </w:r>
            <w:r>
              <w:rPr>
                <w:rFonts w:hint="eastAsia" w:ascii="仿宋_GB2312" w:hAnsi="仿宋_GB2312" w:eastAsia="仿宋_GB2312" w:cs="仿宋_GB2312"/>
                <w:color w:val="auto"/>
                <w:sz w:val="22"/>
                <w:szCs w:val="22"/>
                <w:lang w:val="en-US" w:eastAsia="zh-CN"/>
              </w:rPr>
              <w:t>3</w:t>
            </w:r>
            <w:r>
              <w:rPr>
                <w:rFonts w:hint="eastAsia" w:ascii="仿宋_GB2312" w:hAnsi="仿宋_GB2312" w:eastAsia="仿宋_GB2312" w:cs="仿宋_GB2312"/>
                <w:color w:val="auto"/>
                <w:sz w:val="22"/>
                <w:szCs w:val="22"/>
              </w:rPr>
              <w:t>分。</w:t>
            </w:r>
          </w:p>
        </w:tc>
        <w:tc>
          <w:tcPr>
            <w:tcW w:w="833" w:type="dxa"/>
            <w:vAlign w:val="center"/>
          </w:tcPr>
          <w:p>
            <w:pPr>
              <w:adjustRightInd w:val="0"/>
              <w:snapToGrid w:val="0"/>
              <w:jc w:val="center"/>
              <w:textAlignment w:val="center"/>
              <w:rPr>
                <w:rFonts w:hint="eastAsia" w:ascii="仿宋_GB2312" w:hAnsi="仿宋_GB2312" w:eastAsia="仿宋_GB2312" w:cs="仿宋_GB2312"/>
                <w:b/>
                <w:bCs/>
                <w:color w:val="auto"/>
                <w:sz w:val="22"/>
                <w:szCs w:val="22"/>
                <w:lang w:val="en-US" w:eastAsia="zh-CN"/>
              </w:rPr>
            </w:pPr>
            <w:r>
              <w:rPr>
                <w:rFonts w:hint="eastAsia" w:ascii="仿宋_GB2312" w:hAnsi="仿宋_GB2312" w:eastAsia="仿宋_GB2312" w:cs="仿宋_GB2312"/>
                <w:color w:val="auto"/>
                <w:sz w:val="22"/>
                <w:szCs w:val="2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9" w:hRule="atLeast"/>
          <w:jc w:val="center"/>
        </w:trPr>
        <w:tc>
          <w:tcPr>
            <w:tcW w:w="1273" w:type="dxa"/>
            <w:gridSpan w:val="2"/>
            <w:vMerge w:val="continue"/>
            <w:vAlign w:val="center"/>
          </w:tcPr>
          <w:p>
            <w:pPr>
              <w:adjustRightInd w:val="0"/>
              <w:snapToGrid w:val="0"/>
              <w:jc w:val="center"/>
              <w:rPr>
                <w:rFonts w:hint="eastAsia" w:ascii="仿宋_GB2312" w:hAnsi="仿宋_GB2312" w:eastAsia="仿宋_GB2312" w:cs="仿宋_GB2312"/>
                <w:color w:val="auto"/>
                <w:sz w:val="22"/>
                <w:szCs w:val="22"/>
              </w:rPr>
            </w:pPr>
          </w:p>
        </w:tc>
        <w:tc>
          <w:tcPr>
            <w:tcW w:w="1243" w:type="dxa"/>
            <w:gridSpan w:val="2"/>
            <w:vMerge w:val="continue"/>
            <w:vAlign w:val="center"/>
          </w:tcPr>
          <w:p>
            <w:pPr>
              <w:adjustRightInd w:val="0"/>
              <w:snapToGrid w:val="0"/>
              <w:jc w:val="center"/>
              <w:rPr>
                <w:rFonts w:hint="eastAsia" w:ascii="仿宋_GB2312" w:hAnsi="仿宋_GB2312" w:eastAsia="仿宋_GB2312" w:cs="仿宋_GB2312"/>
                <w:color w:val="auto"/>
                <w:sz w:val="22"/>
                <w:szCs w:val="22"/>
              </w:rPr>
            </w:pP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绩效指标明确性</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A</w:t>
            </w:r>
            <w:r>
              <w:rPr>
                <w:rFonts w:hint="eastAsia" w:ascii="仿宋_GB2312" w:hAnsi="仿宋_GB2312" w:eastAsia="仿宋_GB2312" w:cs="仿宋_GB2312"/>
                <w:color w:val="auto"/>
                <w:sz w:val="22"/>
                <w:szCs w:val="22"/>
                <w:vertAlign w:val="subscript"/>
              </w:rPr>
              <w:t>22</w:t>
            </w:r>
          </w:p>
        </w:tc>
        <w:tc>
          <w:tcPr>
            <w:tcW w:w="856"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明确</w:t>
            </w:r>
          </w:p>
        </w:tc>
        <w:tc>
          <w:tcPr>
            <w:tcW w:w="700"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4</w:t>
            </w:r>
          </w:p>
        </w:tc>
        <w:tc>
          <w:tcPr>
            <w:tcW w:w="3335" w:type="dxa"/>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单个方向评价：</w:t>
            </w:r>
            <w:r>
              <w:rPr>
                <w:rFonts w:hint="eastAsia" w:ascii="仿宋_GB2312" w:hAnsi="仿宋_GB2312" w:eastAsia="仿宋_GB2312" w:cs="仿宋_GB2312"/>
                <w:color w:val="auto"/>
                <w:sz w:val="22"/>
                <w:szCs w:val="22"/>
              </w:rPr>
              <w:t>①是否将项目绩效目标细化分解为具体的绩效指标；②是否通过清晰、可衡量的指标值予以体现；③是否与项目目标任务数或计划数相对应。</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汇总评价：</w:t>
            </w:r>
            <w:r>
              <w:rPr>
                <w:rFonts w:hint="eastAsia" w:ascii="仿宋_GB2312" w:hAnsi="仿宋_GB2312" w:eastAsia="仿宋_GB2312" w:cs="仿宋_GB2312"/>
                <w:color w:val="auto"/>
                <w:sz w:val="22"/>
                <w:szCs w:val="22"/>
              </w:rPr>
              <w:t>按照单个方向得分情况，以各方向资金为权重加权求和。</w:t>
            </w:r>
          </w:p>
        </w:tc>
        <w:tc>
          <w:tcPr>
            <w:tcW w:w="4270" w:type="dxa"/>
            <w:vAlign w:val="center"/>
          </w:tcPr>
          <w:p>
            <w:pPr>
              <w:adjustRightInd w:val="0"/>
              <w:snapToGrid w:val="0"/>
              <w:textAlignment w:val="center"/>
              <w:rPr>
                <w:rFonts w:hint="eastAsia" w:ascii="仿宋_GB2312" w:hAnsi="仿宋_GB2312" w:eastAsia="仿宋_GB2312" w:cs="仿宋_GB2312"/>
                <w:b/>
                <w:bCs/>
                <w:color w:val="auto"/>
                <w:sz w:val="22"/>
                <w:szCs w:val="22"/>
                <w:lang w:val="en-US" w:eastAsia="zh-CN"/>
              </w:rPr>
            </w:pPr>
            <w:r>
              <w:rPr>
                <w:rFonts w:hint="eastAsia" w:ascii="仿宋_GB2312" w:hAnsi="仿宋_GB2312" w:eastAsia="仿宋_GB2312" w:cs="仿宋_GB2312"/>
                <w:color w:val="auto"/>
                <w:sz w:val="22"/>
                <w:szCs w:val="22"/>
              </w:rPr>
              <w:t>经评价组核查：①</w:t>
            </w:r>
            <w:r>
              <w:rPr>
                <w:rFonts w:hint="eastAsia" w:ascii="仿宋_GB2312" w:hAnsi="仿宋_GB2312" w:eastAsia="仿宋_GB2312" w:cs="仿宋_GB2312"/>
                <w:color w:val="auto"/>
                <w:sz w:val="22"/>
                <w:szCs w:val="22"/>
                <w:lang w:eastAsia="zh-CN"/>
              </w:rPr>
              <w:t>安阳县自然资源局创建森林城市绿化建设京港澳高速城区段绿化项目（一园）</w:t>
            </w:r>
            <w:r>
              <w:rPr>
                <w:rFonts w:hint="eastAsia" w:ascii="仿宋_GB2312" w:hAnsi="仿宋_GB2312" w:eastAsia="仿宋_GB2312" w:cs="仿宋_GB2312"/>
                <w:color w:val="auto"/>
                <w:sz w:val="22"/>
                <w:szCs w:val="22"/>
              </w:rPr>
              <w:t>绩效目标细化分解为具体的绩效指标；</w:t>
            </w:r>
            <w:r>
              <w:rPr>
                <w:rFonts w:hint="eastAsia" w:ascii="仿宋_GB2312" w:hAnsi="仿宋_GB2312" w:eastAsia="仿宋_GB2312" w:cs="仿宋_GB2312"/>
                <w:color w:val="auto"/>
                <w:sz w:val="22"/>
                <w:szCs w:val="22"/>
                <w:lang w:eastAsia="zh-CN"/>
              </w:rPr>
              <w:t>符合要素的得</w:t>
            </w:r>
            <w:r>
              <w:rPr>
                <w:rFonts w:hint="eastAsia" w:ascii="仿宋_GB2312" w:hAnsi="仿宋_GB2312" w:eastAsia="仿宋_GB2312" w:cs="仿宋_GB2312"/>
                <w:color w:val="auto"/>
                <w:sz w:val="22"/>
                <w:szCs w:val="22"/>
                <w:lang w:val="en-US" w:eastAsia="zh-CN"/>
              </w:rPr>
              <w:t>1分，否则不得分。</w:t>
            </w:r>
            <w:r>
              <w:rPr>
                <w:rFonts w:hint="eastAsia" w:ascii="仿宋_GB2312" w:hAnsi="仿宋_GB2312" w:eastAsia="仿宋_GB2312" w:cs="仿宋_GB2312"/>
                <w:color w:val="auto"/>
                <w:sz w:val="22"/>
                <w:szCs w:val="22"/>
              </w:rPr>
              <w:t>②</w:t>
            </w:r>
            <w:r>
              <w:rPr>
                <w:rFonts w:hint="eastAsia" w:ascii="仿宋_GB2312" w:hAnsi="仿宋_GB2312" w:eastAsia="仿宋_GB2312" w:cs="仿宋_GB2312"/>
                <w:color w:val="auto"/>
                <w:sz w:val="22"/>
                <w:szCs w:val="22"/>
                <w:highlight w:val="none"/>
              </w:rPr>
              <w:t>绩效指标可</w:t>
            </w:r>
            <w:r>
              <w:rPr>
                <w:rFonts w:hint="eastAsia" w:ascii="仿宋_GB2312" w:hAnsi="仿宋_GB2312" w:eastAsia="仿宋_GB2312" w:cs="仿宋_GB2312"/>
                <w:color w:val="auto"/>
                <w:sz w:val="22"/>
                <w:szCs w:val="22"/>
              </w:rPr>
              <w:t>以通过清晰、可衡量的指标值予以体现；</w:t>
            </w:r>
            <w:r>
              <w:rPr>
                <w:rFonts w:hint="eastAsia" w:ascii="仿宋_GB2312" w:hAnsi="仿宋_GB2312" w:eastAsia="仿宋_GB2312" w:cs="仿宋_GB2312"/>
                <w:color w:val="auto"/>
                <w:sz w:val="22"/>
                <w:szCs w:val="22"/>
                <w:lang w:eastAsia="zh-CN"/>
              </w:rPr>
              <w:t>符合要素的得</w:t>
            </w:r>
            <w:r>
              <w:rPr>
                <w:rFonts w:hint="eastAsia" w:ascii="仿宋_GB2312" w:hAnsi="仿宋_GB2312" w:eastAsia="仿宋_GB2312" w:cs="仿宋_GB2312"/>
                <w:color w:val="auto"/>
                <w:sz w:val="22"/>
                <w:szCs w:val="22"/>
                <w:lang w:val="en-US" w:eastAsia="zh-CN"/>
              </w:rPr>
              <w:t>1分，否则不得分。</w:t>
            </w:r>
            <w:r>
              <w:rPr>
                <w:rFonts w:hint="eastAsia" w:ascii="仿宋_GB2312" w:hAnsi="仿宋_GB2312" w:eastAsia="仿宋_GB2312" w:cs="仿宋_GB2312"/>
                <w:color w:val="auto"/>
                <w:sz w:val="22"/>
                <w:szCs w:val="22"/>
              </w:rPr>
              <w:t>③绩效指标目标任务数或计划数相对应</w:t>
            </w:r>
            <w:r>
              <w:rPr>
                <w:rFonts w:hint="eastAsia" w:ascii="仿宋_GB2312" w:hAnsi="仿宋_GB2312" w:eastAsia="仿宋_GB2312" w:cs="仿宋_GB2312"/>
                <w:color w:val="auto"/>
                <w:sz w:val="22"/>
                <w:szCs w:val="22"/>
                <w:lang w:eastAsia="zh-CN"/>
              </w:rPr>
              <w:t>，符合要素的得</w:t>
            </w:r>
            <w:r>
              <w:rPr>
                <w:rFonts w:hint="eastAsia" w:ascii="仿宋_GB2312" w:hAnsi="仿宋_GB2312" w:eastAsia="仿宋_GB2312" w:cs="仿宋_GB2312"/>
                <w:color w:val="auto"/>
                <w:sz w:val="22"/>
                <w:szCs w:val="22"/>
                <w:lang w:val="en-US" w:eastAsia="zh-CN"/>
              </w:rPr>
              <w:t>2分，否则不得分</w:t>
            </w:r>
            <w:r>
              <w:rPr>
                <w:rFonts w:hint="eastAsia" w:ascii="仿宋_GB2312" w:hAnsi="仿宋_GB2312" w:eastAsia="仿宋_GB2312" w:cs="仿宋_GB2312"/>
                <w:color w:val="auto"/>
                <w:sz w:val="22"/>
                <w:szCs w:val="22"/>
              </w:rPr>
              <w:t>。①</w:t>
            </w:r>
            <w:r>
              <w:rPr>
                <w:rFonts w:hint="eastAsia" w:ascii="仿宋_GB2312" w:hAnsi="仿宋_GB2312" w:eastAsia="仿宋_GB2312" w:cs="仿宋_GB2312"/>
                <w:color w:val="auto"/>
                <w:sz w:val="22"/>
                <w:szCs w:val="22"/>
                <w:lang w:eastAsia="zh-CN"/>
              </w:rPr>
              <w:t>不</w:t>
            </w:r>
            <w:r>
              <w:rPr>
                <w:rFonts w:hint="eastAsia" w:ascii="仿宋_GB2312" w:hAnsi="仿宋_GB2312" w:eastAsia="仿宋_GB2312" w:cs="仿宋_GB2312"/>
                <w:color w:val="auto"/>
                <w:sz w:val="22"/>
                <w:szCs w:val="22"/>
              </w:rPr>
              <w:t>得分</w:t>
            </w:r>
            <w:r>
              <w:rPr>
                <w:rFonts w:hint="eastAsia" w:ascii="仿宋_GB2312" w:hAnsi="仿宋_GB2312" w:eastAsia="仿宋_GB2312" w:cs="仿宋_GB2312"/>
                <w:color w:val="auto"/>
                <w:sz w:val="22"/>
                <w:szCs w:val="22"/>
                <w:lang w:eastAsia="zh-CN"/>
              </w:rPr>
              <w:t>，</w:t>
            </w:r>
            <w:r>
              <w:rPr>
                <w:rFonts w:hint="eastAsia" w:ascii="仿宋_GB2312" w:hAnsi="仿宋_GB2312" w:eastAsia="仿宋_GB2312" w:cs="仿宋_GB2312"/>
                <w:color w:val="auto"/>
                <w:sz w:val="22"/>
                <w:szCs w:val="22"/>
              </w:rPr>
              <w:t>②</w:t>
            </w:r>
            <w:r>
              <w:rPr>
                <w:rFonts w:hint="eastAsia" w:ascii="仿宋_GB2312" w:hAnsi="仿宋_GB2312" w:eastAsia="仿宋_GB2312" w:cs="仿宋_GB2312"/>
                <w:color w:val="auto"/>
                <w:sz w:val="22"/>
                <w:szCs w:val="22"/>
                <w:lang w:eastAsia="zh-CN"/>
              </w:rPr>
              <w:t>不得分，</w:t>
            </w:r>
            <w:r>
              <w:rPr>
                <w:rFonts w:hint="eastAsia" w:ascii="仿宋_GB2312" w:hAnsi="仿宋_GB2312" w:eastAsia="仿宋_GB2312" w:cs="仿宋_GB2312"/>
                <w:color w:val="auto"/>
                <w:sz w:val="22"/>
                <w:szCs w:val="22"/>
              </w:rPr>
              <w:t>③</w:t>
            </w:r>
            <w:r>
              <w:rPr>
                <w:rFonts w:hint="eastAsia" w:ascii="仿宋_GB2312" w:hAnsi="仿宋_GB2312" w:eastAsia="仿宋_GB2312" w:cs="仿宋_GB2312"/>
                <w:color w:val="auto"/>
                <w:sz w:val="22"/>
                <w:szCs w:val="22"/>
                <w:lang w:eastAsia="zh-CN"/>
              </w:rPr>
              <w:t>得</w:t>
            </w:r>
            <w:r>
              <w:rPr>
                <w:rFonts w:hint="eastAsia" w:ascii="仿宋_GB2312" w:hAnsi="仿宋_GB2312" w:eastAsia="仿宋_GB2312" w:cs="仿宋_GB2312"/>
                <w:color w:val="auto"/>
                <w:sz w:val="22"/>
                <w:szCs w:val="22"/>
                <w:lang w:val="en-US" w:eastAsia="zh-CN"/>
              </w:rPr>
              <w:t>2分</w:t>
            </w:r>
            <w:r>
              <w:rPr>
                <w:rFonts w:hint="eastAsia" w:ascii="仿宋_GB2312" w:hAnsi="仿宋_GB2312" w:eastAsia="仿宋_GB2312" w:cs="仿宋_GB2312"/>
                <w:color w:val="auto"/>
                <w:sz w:val="22"/>
                <w:szCs w:val="22"/>
                <w:lang w:eastAsia="zh-CN"/>
              </w:rPr>
              <w:t>。</w:t>
            </w:r>
            <w:r>
              <w:rPr>
                <w:rFonts w:hint="eastAsia" w:ascii="仿宋_GB2312" w:hAnsi="仿宋_GB2312" w:eastAsia="仿宋_GB2312" w:cs="仿宋_GB2312"/>
                <w:color w:val="auto"/>
                <w:sz w:val="22"/>
                <w:szCs w:val="22"/>
              </w:rPr>
              <w:t>综上，该指标得</w:t>
            </w:r>
            <w:r>
              <w:rPr>
                <w:rFonts w:hint="eastAsia" w:ascii="仿宋_GB2312" w:hAnsi="仿宋_GB2312" w:eastAsia="仿宋_GB2312" w:cs="仿宋_GB2312"/>
                <w:color w:val="auto"/>
                <w:sz w:val="22"/>
                <w:szCs w:val="22"/>
                <w:lang w:val="en-US" w:eastAsia="zh-CN"/>
              </w:rPr>
              <w:t>2</w:t>
            </w:r>
            <w:r>
              <w:rPr>
                <w:rFonts w:hint="eastAsia" w:ascii="仿宋_GB2312" w:hAnsi="仿宋_GB2312" w:eastAsia="仿宋_GB2312" w:cs="仿宋_GB2312"/>
                <w:color w:val="auto"/>
                <w:sz w:val="22"/>
                <w:szCs w:val="22"/>
              </w:rPr>
              <w:t>分。</w:t>
            </w:r>
          </w:p>
        </w:tc>
        <w:tc>
          <w:tcPr>
            <w:tcW w:w="833" w:type="dxa"/>
            <w:vAlign w:val="center"/>
          </w:tcPr>
          <w:p>
            <w:pPr>
              <w:adjustRightInd w:val="0"/>
              <w:snapToGrid w:val="0"/>
              <w:jc w:val="center"/>
              <w:textAlignment w:val="center"/>
              <w:rPr>
                <w:rFonts w:hint="eastAsia" w:ascii="仿宋_GB2312" w:hAnsi="仿宋_GB2312" w:eastAsia="仿宋_GB2312" w:cs="仿宋_GB2312"/>
                <w:b/>
                <w:bCs/>
                <w:color w:val="auto"/>
                <w:sz w:val="22"/>
                <w:szCs w:val="22"/>
                <w:lang w:val="en-US" w:eastAsia="zh-CN"/>
              </w:rPr>
            </w:pPr>
            <w:r>
              <w:rPr>
                <w:rFonts w:hint="eastAsia" w:ascii="仿宋_GB2312" w:hAnsi="仿宋_GB2312" w:eastAsia="仿宋_GB2312" w:cs="仿宋_GB2312"/>
                <w:b w:val="0"/>
                <w:bCs w:val="0"/>
                <w:color w:val="auto"/>
                <w:sz w:val="22"/>
                <w:szCs w:val="22"/>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8" w:hRule="atLeast"/>
          <w:jc w:val="center"/>
        </w:trPr>
        <w:tc>
          <w:tcPr>
            <w:tcW w:w="1273" w:type="dxa"/>
            <w:gridSpan w:val="2"/>
            <w:vMerge w:val="continue"/>
            <w:vAlign w:val="center"/>
          </w:tcPr>
          <w:p>
            <w:pPr>
              <w:adjustRightInd w:val="0"/>
              <w:snapToGrid w:val="0"/>
              <w:jc w:val="center"/>
              <w:rPr>
                <w:rFonts w:hint="eastAsia" w:ascii="仿宋_GB2312" w:hAnsi="仿宋_GB2312" w:eastAsia="仿宋_GB2312" w:cs="仿宋_GB2312"/>
                <w:color w:val="auto"/>
                <w:sz w:val="22"/>
                <w:szCs w:val="22"/>
              </w:rPr>
            </w:pPr>
          </w:p>
        </w:tc>
        <w:tc>
          <w:tcPr>
            <w:tcW w:w="1243" w:type="dxa"/>
            <w:gridSpan w:val="2"/>
            <w:vMerge w:val="restart"/>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资金投入A</w:t>
            </w:r>
            <w:r>
              <w:rPr>
                <w:rFonts w:hint="eastAsia" w:ascii="仿宋_GB2312" w:hAnsi="仿宋_GB2312" w:eastAsia="仿宋_GB2312" w:cs="仿宋_GB2312"/>
                <w:color w:val="auto"/>
                <w:sz w:val="22"/>
                <w:szCs w:val="22"/>
                <w:vertAlign w:val="subscript"/>
              </w:rPr>
              <w:t>3</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w:t>
            </w:r>
            <w:r>
              <w:rPr>
                <w:rFonts w:hint="eastAsia" w:ascii="仿宋_GB2312" w:hAnsi="仿宋_GB2312" w:eastAsia="仿宋_GB2312" w:cs="仿宋_GB2312"/>
                <w:color w:val="auto"/>
                <w:sz w:val="22"/>
                <w:szCs w:val="22"/>
                <w:lang w:val="en-US" w:eastAsia="zh-CN"/>
              </w:rPr>
              <w:t>6</w:t>
            </w:r>
            <w:r>
              <w:rPr>
                <w:rFonts w:hint="eastAsia" w:ascii="仿宋_GB2312" w:hAnsi="仿宋_GB2312" w:eastAsia="仿宋_GB2312" w:cs="仿宋_GB2312"/>
                <w:color w:val="auto"/>
                <w:sz w:val="22"/>
                <w:szCs w:val="22"/>
              </w:rPr>
              <w:t>分）</w:t>
            </w: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预算编制科学性</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A</w:t>
            </w:r>
            <w:r>
              <w:rPr>
                <w:rFonts w:hint="eastAsia" w:ascii="仿宋_GB2312" w:hAnsi="仿宋_GB2312" w:eastAsia="仿宋_GB2312" w:cs="仿宋_GB2312"/>
                <w:color w:val="auto"/>
                <w:sz w:val="22"/>
                <w:szCs w:val="22"/>
                <w:vertAlign w:val="subscript"/>
              </w:rPr>
              <w:t>31</w:t>
            </w:r>
          </w:p>
        </w:tc>
        <w:tc>
          <w:tcPr>
            <w:tcW w:w="856"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科学合理</w:t>
            </w:r>
          </w:p>
        </w:tc>
        <w:tc>
          <w:tcPr>
            <w:tcW w:w="700" w:type="dxa"/>
            <w:gridSpan w:val="2"/>
            <w:vAlign w:val="center"/>
          </w:tcPr>
          <w:p>
            <w:pPr>
              <w:adjustRightInd w:val="0"/>
              <w:snapToGrid w:val="0"/>
              <w:jc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4</w:t>
            </w:r>
          </w:p>
        </w:tc>
        <w:tc>
          <w:tcPr>
            <w:tcW w:w="3335" w:type="dxa"/>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单个方向评价：</w:t>
            </w:r>
            <w:r>
              <w:rPr>
                <w:rFonts w:hint="eastAsia" w:ascii="仿宋_GB2312" w:hAnsi="仿宋_GB2312" w:eastAsia="仿宋_GB2312" w:cs="仿宋_GB2312"/>
                <w:color w:val="auto"/>
                <w:sz w:val="22"/>
                <w:szCs w:val="22"/>
              </w:rPr>
              <w:t>①预算编制经过科学论证；②预算内容与项目内容相匹配；</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③预算额度测算依据充分，且按照标准编制；④预算确定的项目投资额或资金量与工作任务相匹配。符合相关要素得满分，否则对应要素不得分。</w:t>
            </w:r>
          </w:p>
          <w:p>
            <w:pPr>
              <w:adjustRightInd w:val="0"/>
              <w:snapToGrid w:val="0"/>
              <w:rPr>
                <w:rFonts w:hint="eastAsia" w:ascii="仿宋_GB2312" w:hAnsi="仿宋_GB2312" w:eastAsia="仿宋_GB2312" w:cs="仿宋_GB2312"/>
                <w:color w:val="auto"/>
                <w:sz w:val="22"/>
                <w:szCs w:val="22"/>
              </w:rPr>
            </w:pPr>
          </w:p>
        </w:tc>
        <w:tc>
          <w:tcPr>
            <w:tcW w:w="4270" w:type="dxa"/>
            <w:vAlign w:val="center"/>
          </w:tcPr>
          <w:p>
            <w:pPr>
              <w:adjustRightInd w:val="0"/>
              <w:snapToGrid w:val="0"/>
              <w:jc w:val="center"/>
              <w:textAlignment w:val="center"/>
              <w:rPr>
                <w:rFonts w:hint="eastAsia" w:ascii="仿宋_GB2312" w:hAnsi="仿宋_GB2312" w:eastAsia="仿宋_GB2312" w:cs="仿宋_GB2312"/>
                <w:b/>
                <w:bCs/>
                <w:color w:val="auto"/>
                <w:sz w:val="22"/>
                <w:szCs w:val="22"/>
              </w:rPr>
            </w:pPr>
            <w:r>
              <w:rPr>
                <w:rFonts w:hint="eastAsia" w:ascii="仿宋_GB2312" w:hAnsi="仿宋_GB2312" w:eastAsia="仿宋_GB2312" w:cs="仿宋_GB2312"/>
                <w:color w:val="auto"/>
                <w:sz w:val="22"/>
                <w:szCs w:val="22"/>
              </w:rPr>
              <w:t>根据调研获取的项目资料，经评价组核查，</w:t>
            </w:r>
            <w:r>
              <w:rPr>
                <w:rFonts w:hint="eastAsia" w:ascii="仿宋_GB2312" w:hAnsi="仿宋_GB2312" w:eastAsia="仿宋_GB2312" w:cs="仿宋_GB2312"/>
                <w:color w:val="auto"/>
                <w:sz w:val="22"/>
                <w:szCs w:val="22"/>
                <w:lang w:eastAsia="zh-CN"/>
              </w:rPr>
              <w:t>该</w:t>
            </w:r>
            <w:r>
              <w:rPr>
                <w:rFonts w:hint="eastAsia" w:ascii="仿宋_GB2312" w:hAnsi="仿宋_GB2312" w:eastAsia="仿宋_GB2312" w:cs="仿宋_GB2312"/>
                <w:color w:val="auto"/>
                <w:sz w:val="22"/>
                <w:szCs w:val="22"/>
              </w:rPr>
              <w:t>项目：</w:t>
            </w:r>
            <w:r>
              <w:rPr>
                <w:rFonts w:hint="eastAsia" w:ascii="仿宋_GB2312" w:hAnsi="仿宋_GB2312" w:eastAsia="仿宋_GB2312" w:cs="仿宋_GB2312"/>
                <w:color w:val="auto"/>
                <w:sz w:val="22"/>
                <w:szCs w:val="22"/>
                <w:highlight w:val="none"/>
              </w:rPr>
              <w:t>①立项时预算编制经过科学论证</w:t>
            </w:r>
            <w:r>
              <w:rPr>
                <w:rFonts w:hint="eastAsia" w:ascii="仿宋_GB2312" w:hAnsi="仿宋_GB2312" w:eastAsia="仿宋_GB2312" w:cs="仿宋_GB2312"/>
                <w:color w:val="auto"/>
                <w:sz w:val="22"/>
                <w:szCs w:val="22"/>
                <w:highlight w:val="none"/>
                <w:lang w:eastAsia="zh-CN"/>
              </w:rPr>
              <w:t>；</w:t>
            </w:r>
            <w:r>
              <w:rPr>
                <w:rFonts w:hint="eastAsia" w:ascii="仿宋_GB2312" w:hAnsi="仿宋_GB2312" w:eastAsia="仿宋_GB2312" w:cs="仿宋_GB2312"/>
                <w:color w:val="auto"/>
                <w:sz w:val="22"/>
                <w:szCs w:val="22"/>
                <w:highlight w:val="none"/>
              </w:rPr>
              <w:t>②预算</w:t>
            </w:r>
            <w:r>
              <w:rPr>
                <w:rFonts w:hint="eastAsia" w:ascii="仿宋_GB2312" w:hAnsi="仿宋_GB2312" w:eastAsia="仿宋_GB2312" w:cs="仿宋_GB2312"/>
                <w:color w:val="auto"/>
                <w:sz w:val="22"/>
                <w:szCs w:val="22"/>
                <w:highlight w:val="none"/>
                <w:lang w:eastAsia="zh-CN"/>
              </w:rPr>
              <w:t>内容</w:t>
            </w:r>
            <w:r>
              <w:rPr>
                <w:rFonts w:hint="eastAsia" w:ascii="仿宋_GB2312" w:hAnsi="仿宋_GB2312" w:eastAsia="仿宋_GB2312" w:cs="仿宋_GB2312"/>
                <w:color w:val="auto"/>
                <w:sz w:val="22"/>
                <w:szCs w:val="22"/>
                <w:highlight w:val="none"/>
              </w:rPr>
              <w:t>明确了支出范围，预算内容与项目内容匹配；③预算额度测算依据充分④</w:t>
            </w:r>
            <w:r>
              <w:rPr>
                <w:rFonts w:hint="eastAsia" w:ascii="仿宋_GB2312" w:hAnsi="仿宋_GB2312" w:eastAsia="仿宋_GB2312" w:cs="仿宋_GB2312"/>
                <w:color w:val="auto"/>
                <w:sz w:val="22"/>
                <w:szCs w:val="22"/>
              </w:rPr>
              <w:t>预算确定的</w:t>
            </w:r>
            <w:r>
              <w:rPr>
                <w:rFonts w:hint="eastAsia" w:ascii="仿宋_GB2312" w:hAnsi="仿宋_GB2312" w:eastAsia="仿宋_GB2312" w:cs="仿宋_GB2312"/>
                <w:color w:val="auto"/>
                <w:sz w:val="22"/>
                <w:szCs w:val="22"/>
                <w:lang w:eastAsia="zh-CN"/>
              </w:rPr>
              <w:t>项目</w:t>
            </w:r>
            <w:r>
              <w:rPr>
                <w:rFonts w:hint="eastAsia" w:ascii="仿宋_GB2312" w:hAnsi="仿宋_GB2312" w:eastAsia="仿宋_GB2312" w:cs="仿宋_GB2312"/>
                <w:color w:val="auto"/>
                <w:sz w:val="22"/>
                <w:szCs w:val="22"/>
              </w:rPr>
              <w:t>资金量与工作任务</w:t>
            </w:r>
            <w:r>
              <w:rPr>
                <w:rFonts w:hint="eastAsia" w:ascii="仿宋_GB2312" w:hAnsi="仿宋_GB2312" w:eastAsia="仿宋_GB2312" w:cs="仿宋_GB2312"/>
                <w:color w:val="auto"/>
                <w:sz w:val="22"/>
                <w:szCs w:val="22"/>
                <w:lang w:eastAsia="zh-CN"/>
              </w:rPr>
              <w:t>相</w:t>
            </w:r>
            <w:r>
              <w:rPr>
                <w:rFonts w:hint="eastAsia" w:ascii="仿宋_GB2312" w:hAnsi="仿宋_GB2312" w:eastAsia="仿宋_GB2312" w:cs="仿宋_GB2312"/>
                <w:color w:val="auto"/>
                <w:sz w:val="22"/>
                <w:szCs w:val="22"/>
              </w:rPr>
              <w:t>匹配</w:t>
            </w:r>
            <w:r>
              <w:rPr>
                <w:rFonts w:hint="eastAsia" w:ascii="仿宋_GB2312" w:hAnsi="仿宋_GB2312" w:eastAsia="仿宋_GB2312" w:cs="仿宋_GB2312"/>
                <w:color w:val="auto"/>
                <w:sz w:val="22"/>
                <w:szCs w:val="22"/>
                <w:lang w:eastAsia="zh-CN"/>
              </w:rPr>
              <w:t>；</w:t>
            </w:r>
            <w:r>
              <w:rPr>
                <w:rFonts w:hint="eastAsia" w:ascii="仿宋_GB2312" w:hAnsi="仿宋_GB2312" w:eastAsia="仿宋_GB2312" w:cs="仿宋_GB2312"/>
                <w:color w:val="auto"/>
                <w:sz w:val="22"/>
                <w:szCs w:val="22"/>
              </w:rPr>
              <w:t>根据评分标准，①②③④</w:t>
            </w:r>
            <w:r>
              <w:rPr>
                <w:rFonts w:hint="eastAsia" w:ascii="仿宋_GB2312" w:hAnsi="仿宋_GB2312" w:eastAsia="仿宋_GB2312" w:cs="仿宋_GB2312"/>
                <w:color w:val="auto"/>
                <w:sz w:val="22"/>
                <w:szCs w:val="22"/>
                <w:lang w:eastAsia="zh-CN"/>
              </w:rPr>
              <w:t>得满分，</w:t>
            </w:r>
            <w:r>
              <w:rPr>
                <w:rFonts w:hint="eastAsia" w:ascii="仿宋_GB2312" w:hAnsi="仿宋_GB2312" w:eastAsia="仿宋_GB2312" w:cs="仿宋_GB2312"/>
                <w:color w:val="auto"/>
                <w:sz w:val="22"/>
                <w:szCs w:val="22"/>
              </w:rPr>
              <w:t>该指标得</w:t>
            </w:r>
            <w:r>
              <w:rPr>
                <w:rFonts w:hint="eastAsia" w:ascii="仿宋_GB2312" w:hAnsi="仿宋_GB2312" w:eastAsia="仿宋_GB2312" w:cs="仿宋_GB2312"/>
                <w:color w:val="auto"/>
                <w:sz w:val="22"/>
                <w:szCs w:val="22"/>
                <w:lang w:val="en-US" w:eastAsia="zh-CN"/>
              </w:rPr>
              <w:t>4</w:t>
            </w:r>
            <w:r>
              <w:rPr>
                <w:rFonts w:hint="eastAsia" w:ascii="仿宋_GB2312" w:hAnsi="仿宋_GB2312" w:eastAsia="仿宋_GB2312" w:cs="仿宋_GB2312"/>
                <w:color w:val="auto"/>
                <w:sz w:val="22"/>
                <w:szCs w:val="22"/>
              </w:rPr>
              <w:t>分。</w:t>
            </w:r>
          </w:p>
        </w:tc>
        <w:tc>
          <w:tcPr>
            <w:tcW w:w="833" w:type="dxa"/>
            <w:vAlign w:val="center"/>
          </w:tcPr>
          <w:p>
            <w:pPr>
              <w:adjustRightInd w:val="0"/>
              <w:snapToGrid w:val="0"/>
              <w:jc w:val="center"/>
              <w:textAlignment w:val="center"/>
              <w:rPr>
                <w:rFonts w:hint="default" w:ascii="仿宋_GB2312" w:hAnsi="仿宋_GB2312" w:eastAsia="仿宋_GB2312" w:cs="仿宋_GB2312"/>
                <w:color w:val="auto"/>
                <w:sz w:val="22"/>
                <w:szCs w:val="22"/>
                <w:highlight w:val="none"/>
                <w:lang w:val="en-US" w:eastAsia="zh-CN"/>
              </w:rPr>
            </w:pPr>
            <w:r>
              <w:rPr>
                <w:rFonts w:hint="eastAsia" w:ascii="仿宋_GB2312" w:hAnsi="仿宋_GB2312" w:eastAsia="仿宋_GB2312" w:cs="仿宋_GB2312"/>
                <w:color w:val="auto"/>
                <w:sz w:val="22"/>
                <w:szCs w:val="22"/>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1" w:hRule="atLeast"/>
          <w:jc w:val="center"/>
        </w:trPr>
        <w:tc>
          <w:tcPr>
            <w:tcW w:w="1273" w:type="dxa"/>
            <w:gridSpan w:val="2"/>
            <w:vMerge w:val="continue"/>
            <w:vAlign w:val="center"/>
          </w:tcPr>
          <w:p>
            <w:pPr>
              <w:adjustRightInd w:val="0"/>
              <w:snapToGrid w:val="0"/>
              <w:rPr>
                <w:rFonts w:hint="eastAsia" w:ascii="仿宋_GB2312" w:hAnsi="仿宋_GB2312" w:eastAsia="仿宋_GB2312" w:cs="仿宋_GB2312"/>
                <w:color w:val="auto"/>
                <w:sz w:val="22"/>
                <w:szCs w:val="22"/>
              </w:rPr>
            </w:pPr>
          </w:p>
        </w:tc>
        <w:tc>
          <w:tcPr>
            <w:tcW w:w="1243" w:type="dxa"/>
            <w:gridSpan w:val="2"/>
            <w:vMerge w:val="continue"/>
            <w:vAlign w:val="center"/>
          </w:tcPr>
          <w:p>
            <w:pPr>
              <w:adjustRightInd w:val="0"/>
              <w:snapToGrid w:val="0"/>
              <w:rPr>
                <w:rFonts w:hint="eastAsia" w:ascii="仿宋_GB2312" w:hAnsi="仿宋_GB2312" w:eastAsia="仿宋_GB2312" w:cs="仿宋_GB2312"/>
                <w:color w:val="auto"/>
                <w:sz w:val="22"/>
                <w:szCs w:val="22"/>
              </w:rPr>
            </w:pP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资金分配合理性</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A</w:t>
            </w:r>
            <w:r>
              <w:rPr>
                <w:rFonts w:hint="eastAsia" w:ascii="仿宋_GB2312" w:hAnsi="仿宋_GB2312" w:eastAsia="仿宋_GB2312" w:cs="仿宋_GB2312"/>
                <w:color w:val="auto"/>
                <w:sz w:val="22"/>
                <w:szCs w:val="22"/>
                <w:vertAlign w:val="subscript"/>
              </w:rPr>
              <w:t>32</w:t>
            </w:r>
          </w:p>
        </w:tc>
        <w:tc>
          <w:tcPr>
            <w:tcW w:w="856"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科学合理</w:t>
            </w:r>
          </w:p>
        </w:tc>
        <w:tc>
          <w:tcPr>
            <w:tcW w:w="700" w:type="dxa"/>
            <w:gridSpan w:val="2"/>
            <w:vAlign w:val="center"/>
          </w:tcPr>
          <w:p>
            <w:pPr>
              <w:adjustRightInd w:val="0"/>
              <w:snapToGrid w:val="0"/>
              <w:jc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2</w:t>
            </w:r>
          </w:p>
        </w:tc>
        <w:tc>
          <w:tcPr>
            <w:tcW w:w="3335" w:type="dxa"/>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单个方向评价：</w:t>
            </w:r>
            <w:r>
              <w:rPr>
                <w:rFonts w:hint="eastAsia" w:ascii="仿宋_GB2312" w:hAnsi="仿宋_GB2312" w:eastAsia="仿宋_GB2312" w:cs="仿宋_GB2312"/>
                <w:color w:val="auto"/>
                <w:sz w:val="22"/>
                <w:szCs w:val="22"/>
              </w:rPr>
              <w:t>①预算资金分配依据是否充分；②资金分配额度是否合理，与项目单位或地方实际是否相适应。要素①②各占50%权重分，符合相关要素得满分，否则对应要素不得分。</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汇总评价：</w:t>
            </w:r>
            <w:r>
              <w:rPr>
                <w:rFonts w:hint="eastAsia" w:ascii="仿宋_GB2312" w:hAnsi="仿宋_GB2312" w:eastAsia="仿宋_GB2312" w:cs="仿宋_GB2312"/>
                <w:color w:val="auto"/>
                <w:sz w:val="22"/>
                <w:szCs w:val="22"/>
              </w:rPr>
              <w:t>按照单个方向得分情况，以各方向资金为权重加权求和。</w:t>
            </w:r>
          </w:p>
        </w:tc>
        <w:tc>
          <w:tcPr>
            <w:tcW w:w="4270" w:type="dxa"/>
            <w:vAlign w:val="center"/>
          </w:tcPr>
          <w:p>
            <w:pPr>
              <w:adjustRightInd w:val="0"/>
              <w:snapToGrid w:val="0"/>
              <w:textAlignment w:val="center"/>
              <w:rPr>
                <w:rFonts w:hint="eastAsia" w:ascii="仿宋_GB2312" w:hAnsi="仿宋_GB2312" w:eastAsia="仿宋_GB2312" w:cs="仿宋_GB2312"/>
                <w:b/>
                <w:bCs/>
                <w:color w:val="auto"/>
                <w:sz w:val="22"/>
                <w:szCs w:val="22"/>
              </w:rPr>
            </w:pPr>
            <w:r>
              <w:rPr>
                <w:rFonts w:hint="eastAsia" w:ascii="仿宋_GB2312" w:hAnsi="仿宋_GB2312" w:eastAsia="仿宋_GB2312" w:cs="仿宋_GB2312"/>
                <w:color w:val="auto"/>
                <w:sz w:val="22"/>
                <w:szCs w:val="22"/>
              </w:rPr>
              <w:t>根据</w:t>
            </w:r>
            <w:r>
              <w:rPr>
                <w:rFonts w:hint="eastAsia" w:ascii="仿宋_GB2312" w:hAnsi="仿宋_GB2312" w:eastAsia="仿宋_GB2312" w:cs="仿宋_GB2312"/>
                <w:color w:val="auto"/>
                <w:sz w:val="22"/>
                <w:szCs w:val="22"/>
                <w:lang w:eastAsia="zh-CN"/>
              </w:rPr>
              <w:t>自然资源局</w:t>
            </w:r>
            <w:r>
              <w:rPr>
                <w:rFonts w:hint="eastAsia" w:ascii="仿宋_GB2312" w:hAnsi="仿宋_GB2312" w:eastAsia="仿宋_GB2312" w:cs="仿宋_GB2312"/>
                <w:color w:val="auto"/>
                <w:sz w:val="22"/>
                <w:szCs w:val="22"/>
              </w:rPr>
              <w:t>提供的分配依据及测算过程材料，经评价组核查：①预算资金分配依据充分；②资金额度合理，与项目单位发展需求实际相适应。根据评分标准，该指标得</w:t>
            </w:r>
            <w:r>
              <w:rPr>
                <w:rFonts w:hint="eastAsia" w:ascii="仿宋_GB2312" w:hAnsi="仿宋_GB2312" w:eastAsia="仿宋_GB2312" w:cs="仿宋_GB2312"/>
                <w:color w:val="auto"/>
                <w:sz w:val="22"/>
                <w:szCs w:val="22"/>
                <w:lang w:val="en-US" w:eastAsia="zh-CN"/>
              </w:rPr>
              <w:t>2</w:t>
            </w:r>
            <w:r>
              <w:rPr>
                <w:rFonts w:hint="eastAsia" w:ascii="仿宋_GB2312" w:hAnsi="仿宋_GB2312" w:eastAsia="仿宋_GB2312" w:cs="仿宋_GB2312"/>
                <w:color w:val="auto"/>
                <w:sz w:val="22"/>
                <w:szCs w:val="22"/>
              </w:rPr>
              <w:t>分。</w:t>
            </w:r>
          </w:p>
        </w:tc>
        <w:tc>
          <w:tcPr>
            <w:tcW w:w="833" w:type="dxa"/>
            <w:vAlign w:val="center"/>
          </w:tcPr>
          <w:p>
            <w:pPr>
              <w:adjustRightInd w:val="0"/>
              <w:snapToGrid w:val="0"/>
              <w:jc w:val="center"/>
              <w:textAlignment w:val="center"/>
              <w:rPr>
                <w:rFonts w:hint="eastAsia" w:ascii="仿宋_GB2312" w:hAnsi="仿宋_GB2312" w:eastAsia="仿宋_GB2312" w:cs="仿宋_GB2312"/>
                <w:b/>
                <w:bCs/>
                <w:color w:val="auto"/>
                <w:sz w:val="22"/>
                <w:szCs w:val="22"/>
                <w:lang w:val="en-US" w:eastAsia="zh-CN"/>
              </w:rPr>
            </w:pPr>
            <w:r>
              <w:rPr>
                <w:rFonts w:hint="eastAsia" w:ascii="仿宋_GB2312" w:hAnsi="仿宋_GB2312" w:eastAsia="仿宋_GB2312" w:cs="仿宋_GB2312"/>
                <w:b w:val="0"/>
                <w:bCs w:val="0"/>
                <w:color w:val="auto"/>
                <w:sz w:val="22"/>
                <w:szCs w:val="22"/>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273" w:type="dxa"/>
            <w:gridSpan w:val="2"/>
            <w:vMerge w:val="restart"/>
            <w:vAlign w:val="center"/>
          </w:tcPr>
          <w:p>
            <w:pPr>
              <w:adjustRightInd w:val="0"/>
              <w:snapToGrid w:val="0"/>
              <w:jc w:val="center"/>
              <w:rPr>
                <w:rFonts w:hint="eastAsia" w:ascii="仿宋_GB2312" w:hAnsi="仿宋_GB2312" w:eastAsia="仿宋_GB2312" w:cs="仿宋_GB2312"/>
                <w:color w:val="auto"/>
                <w:sz w:val="22"/>
                <w:szCs w:val="22"/>
              </w:rPr>
            </w:pPr>
          </w:p>
          <w:p>
            <w:pPr>
              <w:adjustRightInd w:val="0"/>
              <w:snapToGrid w:val="0"/>
              <w:jc w:val="center"/>
              <w:rPr>
                <w:rFonts w:hint="eastAsia" w:ascii="仿宋_GB2312" w:hAnsi="仿宋_GB2312" w:eastAsia="仿宋_GB2312" w:cs="仿宋_GB2312"/>
                <w:color w:val="auto"/>
                <w:sz w:val="22"/>
                <w:szCs w:val="22"/>
              </w:rPr>
            </w:pP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项目过程</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B</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w:t>
            </w:r>
            <w:r>
              <w:rPr>
                <w:rFonts w:hint="eastAsia" w:ascii="仿宋_GB2312" w:hAnsi="仿宋_GB2312" w:eastAsia="仿宋_GB2312" w:cs="仿宋_GB2312"/>
                <w:color w:val="auto"/>
                <w:sz w:val="22"/>
                <w:szCs w:val="22"/>
                <w:lang w:val="en-US" w:eastAsia="zh-CN"/>
              </w:rPr>
              <w:t>18</w:t>
            </w:r>
            <w:r>
              <w:rPr>
                <w:rFonts w:hint="eastAsia" w:ascii="仿宋_GB2312" w:hAnsi="仿宋_GB2312" w:eastAsia="仿宋_GB2312" w:cs="仿宋_GB2312"/>
                <w:color w:val="auto"/>
                <w:sz w:val="22"/>
                <w:szCs w:val="22"/>
              </w:rPr>
              <w:t>分）</w:t>
            </w:r>
          </w:p>
          <w:p>
            <w:pPr>
              <w:adjustRightInd w:val="0"/>
              <w:snapToGrid w:val="0"/>
              <w:jc w:val="center"/>
              <w:rPr>
                <w:rFonts w:hint="eastAsia" w:ascii="仿宋_GB2312" w:hAnsi="仿宋_GB2312" w:eastAsia="仿宋_GB2312" w:cs="仿宋_GB2312"/>
                <w:color w:val="auto"/>
                <w:sz w:val="22"/>
                <w:szCs w:val="22"/>
              </w:rPr>
            </w:pPr>
          </w:p>
          <w:p>
            <w:pPr>
              <w:adjustRightInd w:val="0"/>
              <w:snapToGrid w:val="0"/>
              <w:jc w:val="both"/>
              <w:rPr>
                <w:rFonts w:hint="eastAsia" w:ascii="仿宋_GB2312" w:hAnsi="仿宋_GB2312" w:eastAsia="仿宋_GB2312" w:cs="仿宋_GB2312"/>
                <w:color w:val="auto"/>
                <w:sz w:val="22"/>
                <w:szCs w:val="22"/>
              </w:rPr>
            </w:pPr>
          </w:p>
        </w:tc>
        <w:tc>
          <w:tcPr>
            <w:tcW w:w="1243" w:type="dxa"/>
            <w:gridSpan w:val="2"/>
            <w:vAlign w:val="center"/>
          </w:tcPr>
          <w:p>
            <w:pPr>
              <w:adjustRightInd w:val="0"/>
              <w:snapToGrid w:val="0"/>
              <w:jc w:val="center"/>
              <w:rPr>
                <w:rFonts w:hint="eastAsia" w:ascii="仿宋_GB2312" w:hAnsi="仿宋_GB2312" w:eastAsia="仿宋_GB2312" w:cs="仿宋_GB2312"/>
                <w:color w:val="auto"/>
                <w:sz w:val="22"/>
                <w:szCs w:val="22"/>
                <w:vertAlign w:val="subscript"/>
              </w:rPr>
            </w:pPr>
            <w:r>
              <w:rPr>
                <w:rFonts w:hint="eastAsia" w:ascii="仿宋_GB2312" w:hAnsi="仿宋_GB2312" w:eastAsia="仿宋_GB2312" w:cs="仿宋_GB2312"/>
                <w:color w:val="auto"/>
                <w:sz w:val="22"/>
                <w:szCs w:val="22"/>
              </w:rPr>
              <w:t>预算执行B</w:t>
            </w:r>
            <w:r>
              <w:rPr>
                <w:rFonts w:hint="eastAsia" w:ascii="仿宋_GB2312" w:hAnsi="仿宋_GB2312" w:eastAsia="仿宋_GB2312" w:cs="仿宋_GB2312"/>
                <w:color w:val="auto"/>
                <w:sz w:val="22"/>
                <w:szCs w:val="22"/>
                <w:vertAlign w:val="subscript"/>
              </w:rPr>
              <w:t>1</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w:t>
            </w:r>
            <w:r>
              <w:rPr>
                <w:rFonts w:hint="eastAsia" w:ascii="仿宋_GB2312" w:hAnsi="仿宋_GB2312" w:eastAsia="仿宋_GB2312" w:cs="仿宋_GB2312"/>
                <w:color w:val="auto"/>
                <w:sz w:val="22"/>
                <w:szCs w:val="22"/>
                <w:lang w:val="en-US" w:eastAsia="zh-CN"/>
              </w:rPr>
              <w:t>5</w:t>
            </w:r>
            <w:r>
              <w:rPr>
                <w:rFonts w:hint="eastAsia" w:ascii="仿宋_GB2312" w:hAnsi="仿宋_GB2312" w:eastAsia="仿宋_GB2312" w:cs="仿宋_GB2312"/>
                <w:color w:val="auto"/>
                <w:sz w:val="22"/>
                <w:szCs w:val="22"/>
              </w:rPr>
              <w:t>分）</w:t>
            </w: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w w:val="105"/>
                <w:sz w:val="22"/>
                <w:szCs w:val="22"/>
              </w:rPr>
              <w:t>预算执行时效性</w:t>
            </w:r>
            <w:r>
              <w:rPr>
                <w:rFonts w:hint="eastAsia" w:ascii="仿宋_GB2312" w:hAnsi="仿宋_GB2312" w:eastAsia="仿宋_GB2312" w:cs="仿宋_GB2312"/>
                <w:color w:val="auto"/>
                <w:sz w:val="22"/>
                <w:szCs w:val="22"/>
              </w:rPr>
              <w:t>B</w:t>
            </w:r>
            <w:r>
              <w:rPr>
                <w:rFonts w:hint="eastAsia" w:ascii="仿宋_GB2312" w:hAnsi="仿宋_GB2312" w:eastAsia="仿宋_GB2312" w:cs="仿宋_GB2312"/>
                <w:color w:val="auto"/>
                <w:sz w:val="22"/>
                <w:szCs w:val="22"/>
                <w:vertAlign w:val="subscript"/>
              </w:rPr>
              <w:t>11</w:t>
            </w:r>
          </w:p>
        </w:tc>
        <w:tc>
          <w:tcPr>
            <w:tcW w:w="856"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w w:val="105"/>
                <w:sz w:val="22"/>
                <w:szCs w:val="22"/>
              </w:rPr>
              <w:t>符合预算法下达时间要求</w:t>
            </w:r>
          </w:p>
        </w:tc>
        <w:tc>
          <w:tcPr>
            <w:tcW w:w="700" w:type="dxa"/>
            <w:gridSpan w:val="2"/>
            <w:vAlign w:val="center"/>
          </w:tcPr>
          <w:p>
            <w:pPr>
              <w:adjustRightInd w:val="0"/>
              <w:snapToGrid w:val="0"/>
              <w:jc w:val="center"/>
              <w:rPr>
                <w:rFonts w:hint="eastAsia" w:ascii="仿宋_GB2312" w:hAnsi="仿宋_GB2312" w:eastAsia="仿宋_GB2312" w:cs="仿宋_GB2312"/>
                <w:color w:val="auto"/>
                <w:sz w:val="22"/>
                <w:szCs w:val="22"/>
                <w:lang w:eastAsia="zh-CN"/>
              </w:rPr>
            </w:pPr>
            <w:r>
              <w:rPr>
                <w:rFonts w:hint="eastAsia" w:ascii="仿宋_GB2312" w:hAnsi="仿宋_GB2312" w:eastAsia="仿宋_GB2312" w:cs="仿宋_GB2312"/>
                <w:color w:val="auto"/>
                <w:sz w:val="22"/>
                <w:szCs w:val="22"/>
                <w:lang w:val="en-US" w:eastAsia="zh-CN"/>
              </w:rPr>
              <w:t>5</w:t>
            </w:r>
          </w:p>
        </w:tc>
        <w:tc>
          <w:tcPr>
            <w:tcW w:w="3335" w:type="dxa"/>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单个方向评价：</w:t>
            </w:r>
            <w:r>
              <w:rPr>
                <w:rFonts w:hint="eastAsia" w:ascii="仿宋_GB2312" w:hAnsi="仿宋_GB2312" w:eastAsia="仿宋_GB2312" w:cs="仿宋_GB2312"/>
                <w:color w:val="auto"/>
                <w:sz w:val="22"/>
                <w:szCs w:val="22"/>
                <w:highlight w:val="none"/>
              </w:rPr>
              <w:t>专项执行率</w:t>
            </w:r>
            <w:r>
              <w:rPr>
                <w:rFonts w:hint="eastAsia" w:ascii="仿宋_GB2312" w:hAnsi="仿宋_GB2312" w:eastAsia="仿宋_GB2312" w:cs="仿宋_GB2312"/>
                <w:color w:val="auto"/>
                <w:sz w:val="22"/>
                <w:szCs w:val="22"/>
                <w:highlight w:val="none"/>
                <w:lang w:val="en-US" w:eastAsia="zh-CN"/>
              </w:rPr>
              <w:t>100</w:t>
            </w:r>
            <w:r>
              <w:rPr>
                <w:rFonts w:hint="eastAsia" w:ascii="仿宋_GB2312" w:hAnsi="仿宋_GB2312" w:eastAsia="仿宋_GB2312" w:cs="仿宋_GB2312"/>
                <w:color w:val="auto"/>
                <w:sz w:val="22"/>
                <w:szCs w:val="22"/>
                <w:highlight w:val="none"/>
              </w:rPr>
              <w:t>%</w:t>
            </w:r>
            <w:r>
              <w:rPr>
                <w:rFonts w:hint="eastAsia" w:ascii="仿宋_GB2312" w:hAnsi="仿宋_GB2312" w:eastAsia="仿宋_GB2312" w:cs="仿宋_GB2312"/>
                <w:color w:val="auto"/>
                <w:sz w:val="22"/>
                <w:szCs w:val="22"/>
                <w:highlight w:val="none"/>
                <w:lang w:eastAsia="zh-CN"/>
              </w:rPr>
              <w:t>得</w:t>
            </w:r>
            <w:r>
              <w:rPr>
                <w:rFonts w:hint="eastAsia" w:ascii="仿宋_GB2312" w:hAnsi="仿宋_GB2312" w:eastAsia="仿宋_GB2312" w:cs="仿宋_GB2312"/>
                <w:color w:val="auto"/>
                <w:sz w:val="22"/>
                <w:szCs w:val="22"/>
                <w:highlight w:val="none"/>
              </w:rPr>
              <w:t>8分，</w:t>
            </w:r>
            <w:r>
              <w:rPr>
                <w:rFonts w:hint="eastAsia" w:ascii="仿宋_GB2312" w:hAnsi="仿宋_GB2312" w:eastAsia="仿宋_GB2312" w:cs="仿宋_GB2312"/>
                <w:color w:val="auto"/>
                <w:sz w:val="22"/>
                <w:szCs w:val="22"/>
                <w:highlight w:val="none"/>
                <w:lang w:eastAsia="zh-CN"/>
              </w:rPr>
              <w:t>未达到</w:t>
            </w:r>
            <w:r>
              <w:rPr>
                <w:rFonts w:hint="eastAsia" w:ascii="仿宋_GB2312" w:hAnsi="仿宋_GB2312" w:eastAsia="仿宋_GB2312" w:cs="仿宋_GB2312"/>
                <w:color w:val="auto"/>
                <w:sz w:val="22"/>
                <w:szCs w:val="22"/>
                <w:highlight w:val="none"/>
                <w:lang w:val="en-US" w:eastAsia="zh-CN"/>
              </w:rPr>
              <w:t>100%的，按实际执行率乘以目标分值得分</w:t>
            </w:r>
            <w:r>
              <w:rPr>
                <w:rFonts w:hint="eastAsia" w:ascii="仿宋_GB2312" w:hAnsi="仿宋_GB2312" w:eastAsia="仿宋_GB2312" w:cs="仿宋_GB2312"/>
                <w:color w:val="auto"/>
                <w:sz w:val="22"/>
                <w:szCs w:val="22"/>
                <w:highlight w:val="none"/>
                <w:lang w:eastAsia="zh-CN"/>
              </w:rPr>
              <w:t>。</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汇总评价：</w:t>
            </w:r>
            <w:r>
              <w:rPr>
                <w:rFonts w:hint="eastAsia" w:ascii="仿宋_GB2312" w:hAnsi="仿宋_GB2312" w:eastAsia="仿宋_GB2312" w:cs="仿宋_GB2312"/>
                <w:color w:val="auto"/>
                <w:sz w:val="22"/>
                <w:szCs w:val="22"/>
              </w:rPr>
              <w:t>按照单个方向得分情况，以各方向资金为权重加权求和。</w:t>
            </w:r>
          </w:p>
        </w:tc>
        <w:tc>
          <w:tcPr>
            <w:tcW w:w="4270" w:type="dxa"/>
            <w:vAlign w:val="center"/>
          </w:tcPr>
          <w:p>
            <w:pPr>
              <w:adjustRightInd w:val="0"/>
              <w:snapToGrid w:val="0"/>
              <w:textAlignment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经评价组核查：</w:t>
            </w:r>
            <w:r>
              <w:rPr>
                <w:rFonts w:hint="eastAsia" w:ascii="仿宋_GB2312" w:hAnsi="仿宋_GB2312" w:eastAsia="仿宋_GB2312" w:cs="仿宋_GB2312"/>
                <w:color w:val="auto"/>
                <w:sz w:val="22"/>
                <w:szCs w:val="22"/>
                <w:lang w:eastAsia="zh-CN"/>
              </w:rPr>
              <w:t>自然资源局</w:t>
            </w:r>
            <w:r>
              <w:rPr>
                <w:rFonts w:hint="eastAsia" w:ascii="仿宋_GB2312" w:hAnsi="仿宋_GB2312" w:eastAsia="仿宋_GB2312" w:cs="仿宋_GB2312"/>
                <w:color w:val="auto"/>
                <w:sz w:val="22"/>
                <w:szCs w:val="22"/>
              </w:rPr>
              <w:t>已提前向</w:t>
            </w:r>
            <w:r>
              <w:rPr>
                <w:rFonts w:hint="eastAsia" w:ascii="仿宋_GB2312" w:hAnsi="仿宋_GB2312" w:eastAsia="仿宋_GB2312" w:cs="仿宋_GB2312"/>
                <w:color w:val="auto"/>
                <w:sz w:val="22"/>
                <w:szCs w:val="22"/>
                <w:lang w:eastAsia="zh-CN"/>
              </w:rPr>
              <w:t>县</w:t>
            </w:r>
            <w:r>
              <w:rPr>
                <w:rFonts w:hint="eastAsia" w:ascii="仿宋_GB2312" w:hAnsi="仿宋_GB2312" w:eastAsia="仿宋_GB2312" w:cs="仿宋_GB2312"/>
                <w:color w:val="auto"/>
                <w:sz w:val="22"/>
                <w:szCs w:val="22"/>
              </w:rPr>
              <w:t>财政</w:t>
            </w:r>
            <w:r>
              <w:rPr>
                <w:rFonts w:hint="eastAsia" w:ascii="仿宋_GB2312" w:hAnsi="仿宋_GB2312" w:eastAsia="仿宋_GB2312" w:cs="仿宋_GB2312"/>
                <w:color w:val="auto"/>
                <w:sz w:val="22"/>
                <w:szCs w:val="22"/>
                <w:lang w:eastAsia="zh-CN"/>
              </w:rPr>
              <w:t>局</w:t>
            </w:r>
            <w:r>
              <w:rPr>
                <w:rFonts w:hint="eastAsia" w:ascii="仿宋_GB2312" w:hAnsi="仿宋_GB2312" w:eastAsia="仿宋_GB2312" w:cs="仿宋_GB2312"/>
                <w:color w:val="auto"/>
                <w:sz w:val="22"/>
                <w:szCs w:val="22"/>
              </w:rPr>
              <w:t>提交了专项资金各</w:t>
            </w:r>
            <w:r>
              <w:rPr>
                <w:rFonts w:hint="eastAsia" w:ascii="仿宋_GB2312" w:hAnsi="仿宋_GB2312" w:eastAsia="仿宋_GB2312" w:cs="仿宋_GB2312"/>
                <w:color w:val="auto"/>
                <w:sz w:val="22"/>
                <w:szCs w:val="22"/>
                <w:lang w:eastAsia="zh-CN"/>
              </w:rPr>
              <w:t>补贴</w:t>
            </w:r>
            <w:r>
              <w:rPr>
                <w:rFonts w:hint="eastAsia" w:ascii="仿宋_GB2312" w:hAnsi="仿宋_GB2312" w:eastAsia="仿宋_GB2312" w:cs="仿宋_GB2312"/>
                <w:color w:val="auto"/>
                <w:sz w:val="22"/>
                <w:szCs w:val="22"/>
              </w:rPr>
              <w:t>方向预算资金分配建议。</w:t>
            </w:r>
            <w:r>
              <w:rPr>
                <w:rFonts w:hint="eastAsia" w:ascii="仿宋_GB2312" w:hAnsi="仿宋_GB2312" w:eastAsia="仿宋_GB2312" w:cs="仿宋_GB2312"/>
                <w:color w:val="auto"/>
                <w:sz w:val="22"/>
                <w:szCs w:val="22"/>
                <w:lang w:eastAsia="zh-CN"/>
              </w:rPr>
              <w:t>安阳县自然资源局创建森林城市绿化建设京港澳高速城区段绿化项目（一园）</w:t>
            </w:r>
            <w:r>
              <w:rPr>
                <w:rFonts w:hint="eastAsia" w:ascii="仿宋_GB2312" w:hAnsi="仿宋_GB2312" w:eastAsia="仿宋_GB2312" w:cs="仿宋_GB2312"/>
                <w:color w:val="auto"/>
                <w:sz w:val="22"/>
                <w:szCs w:val="22"/>
              </w:rPr>
              <w:t>全年预算数</w:t>
            </w:r>
            <w:r>
              <w:rPr>
                <w:rFonts w:hint="eastAsia" w:ascii="仿宋_GB2312" w:hAnsi="仿宋_GB2312" w:eastAsia="仿宋_GB2312" w:cs="仿宋_GB2312"/>
                <w:color w:val="auto"/>
                <w:sz w:val="22"/>
                <w:szCs w:val="22"/>
                <w:lang w:val="en-US" w:eastAsia="zh-CN"/>
              </w:rPr>
              <w:t>1650.00</w:t>
            </w:r>
            <w:r>
              <w:rPr>
                <w:rFonts w:hint="eastAsia" w:ascii="仿宋_GB2312" w:hAnsi="仿宋_GB2312" w:eastAsia="仿宋_GB2312" w:cs="仿宋_GB2312"/>
                <w:color w:val="auto"/>
                <w:sz w:val="22"/>
                <w:szCs w:val="22"/>
              </w:rPr>
              <w:t>万元，实际拨付</w:t>
            </w:r>
            <w:r>
              <w:rPr>
                <w:rFonts w:hint="eastAsia" w:ascii="仿宋_GB2312" w:hAnsi="仿宋_GB2312" w:eastAsia="仿宋_GB2312" w:cs="仿宋_GB2312"/>
                <w:color w:val="auto"/>
                <w:sz w:val="22"/>
                <w:szCs w:val="22"/>
                <w:lang w:val="en-US" w:eastAsia="zh-CN"/>
              </w:rPr>
              <w:t>953.00</w:t>
            </w:r>
            <w:r>
              <w:rPr>
                <w:rFonts w:hint="eastAsia" w:ascii="仿宋_GB2312" w:hAnsi="仿宋_GB2312" w:eastAsia="仿宋_GB2312" w:cs="仿宋_GB2312"/>
                <w:color w:val="auto"/>
                <w:sz w:val="22"/>
                <w:szCs w:val="22"/>
              </w:rPr>
              <w:t>万元，预算执行率</w:t>
            </w:r>
            <w:r>
              <w:rPr>
                <w:rFonts w:hint="eastAsia" w:ascii="仿宋_GB2312" w:hAnsi="仿宋_GB2312" w:eastAsia="仿宋_GB2312" w:cs="仿宋_GB2312"/>
                <w:color w:val="auto"/>
                <w:sz w:val="22"/>
                <w:szCs w:val="22"/>
                <w:lang w:val="en-US" w:eastAsia="zh-CN"/>
              </w:rPr>
              <w:t>57.76</w:t>
            </w:r>
            <w:r>
              <w:rPr>
                <w:rFonts w:hint="eastAsia" w:ascii="仿宋_GB2312" w:hAnsi="仿宋_GB2312" w:eastAsia="仿宋_GB2312" w:cs="仿宋_GB2312"/>
                <w:color w:val="auto"/>
                <w:sz w:val="22"/>
                <w:szCs w:val="22"/>
              </w:rPr>
              <w:t>%根据评分标准，该指标得</w:t>
            </w:r>
            <w:r>
              <w:rPr>
                <w:rFonts w:hint="eastAsia" w:ascii="仿宋_GB2312" w:hAnsi="仿宋_GB2312" w:eastAsia="仿宋_GB2312" w:cs="仿宋_GB2312"/>
                <w:color w:val="auto"/>
                <w:sz w:val="22"/>
                <w:szCs w:val="22"/>
                <w:lang w:val="en-US" w:eastAsia="zh-CN"/>
              </w:rPr>
              <w:t>3</w:t>
            </w:r>
            <w:r>
              <w:rPr>
                <w:rFonts w:hint="eastAsia" w:ascii="仿宋_GB2312" w:hAnsi="仿宋_GB2312" w:eastAsia="仿宋_GB2312" w:cs="仿宋_GB2312"/>
                <w:color w:val="auto"/>
                <w:sz w:val="22"/>
                <w:szCs w:val="22"/>
              </w:rPr>
              <w:t>分。</w:t>
            </w:r>
          </w:p>
        </w:tc>
        <w:tc>
          <w:tcPr>
            <w:tcW w:w="833" w:type="dxa"/>
            <w:vAlign w:val="center"/>
          </w:tcPr>
          <w:p>
            <w:pPr>
              <w:adjustRightInd w:val="0"/>
              <w:snapToGrid w:val="0"/>
              <w:jc w:val="center"/>
              <w:textAlignment w:val="center"/>
              <w:rPr>
                <w:rFonts w:hint="default" w:ascii="仿宋_GB2312" w:hAnsi="仿宋_GB2312" w:eastAsia="仿宋_GB2312" w:cs="仿宋_GB2312"/>
                <w:b/>
                <w:bCs/>
                <w:color w:val="auto"/>
                <w:sz w:val="22"/>
                <w:szCs w:val="22"/>
                <w:lang w:val="en-US" w:eastAsia="zh-CN"/>
              </w:rPr>
            </w:pPr>
            <w:r>
              <w:rPr>
                <w:rFonts w:hint="eastAsia" w:ascii="仿宋_GB2312" w:hAnsi="仿宋_GB2312" w:eastAsia="仿宋_GB2312" w:cs="仿宋_GB2312"/>
                <w:color w:val="auto"/>
                <w:sz w:val="22"/>
                <w:szCs w:val="22"/>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7" w:hRule="atLeast"/>
          <w:jc w:val="center"/>
        </w:trPr>
        <w:tc>
          <w:tcPr>
            <w:tcW w:w="1273" w:type="dxa"/>
            <w:gridSpan w:val="2"/>
            <w:vMerge w:val="continue"/>
            <w:vAlign w:val="center"/>
          </w:tcPr>
          <w:p>
            <w:pPr>
              <w:adjustRightInd w:val="0"/>
              <w:snapToGrid w:val="0"/>
              <w:jc w:val="center"/>
              <w:rPr>
                <w:rFonts w:hint="eastAsia" w:ascii="仿宋_GB2312" w:hAnsi="仿宋_GB2312" w:eastAsia="仿宋_GB2312" w:cs="仿宋_GB2312"/>
                <w:color w:val="auto"/>
                <w:sz w:val="22"/>
                <w:szCs w:val="22"/>
              </w:rPr>
            </w:pPr>
          </w:p>
        </w:tc>
        <w:tc>
          <w:tcPr>
            <w:tcW w:w="1243" w:type="dxa"/>
            <w:gridSpan w:val="2"/>
            <w:vMerge w:val="restart"/>
            <w:vAlign w:val="center"/>
          </w:tcPr>
          <w:p>
            <w:pPr>
              <w:adjustRightInd w:val="0"/>
              <w:snapToGrid w:val="0"/>
              <w:jc w:val="center"/>
              <w:rPr>
                <w:rFonts w:hint="eastAsia" w:ascii="仿宋_GB2312" w:hAnsi="仿宋_GB2312" w:eastAsia="仿宋_GB2312" w:cs="仿宋_GB2312"/>
                <w:color w:val="auto"/>
                <w:sz w:val="22"/>
                <w:szCs w:val="22"/>
              </w:rPr>
            </w:pPr>
          </w:p>
          <w:p>
            <w:pPr>
              <w:adjustRightInd w:val="0"/>
              <w:snapToGrid w:val="0"/>
              <w:jc w:val="center"/>
              <w:rPr>
                <w:rFonts w:hint="eastAsia" w:ascii="仿宋_GB2312" w:hAnsi="仿宋_GB2312" w:eastAsia="仿宋_GB2312" w:cs="仿宋_GB2312"/>
                <w:color w:val="auto"/>
                <w:sz w:val="22"/>
                <w:szCs w:val="22"/>
              </w:rPr>
            </w:pPr>
          </w:p>
          <w:p>
            <w:pPr>
              <w:adjustRightInd w:val="0"/>
              <w:snapToGrid w:val="0"/>
              <w:jc w:val="center"/>
              <w:rPr>
                <w:rFonts w:hint="eastAsia" w:ascii="仿宋_GB2312" w:hAnsi="仿宋_GB2312" w:eastAsia="仿宋_GB2312" w:cs="仿宋_GB2312"/>
                <w:color w:val="auto"/>
                <w:sz w:val="22"/>
                <w:szCs w:val="22"/>
              </w:rPr>
            </w:pPr>
          </w:p>
          <w:p>
            <w:pPr>
              <w:adjustRightInd w:val="0"/>
              <w:snapToGrid w:val="0"/>
              <w:jc w:val="center"/>
              <w:rPr>
                <w:rFonts w:hint="eastAsia" w:ascii="仿宋_GB2312" w:hAnsi="仿宋_GB2312" w:eastAsia="仿宋_GB2312" w:cs="仿宋_GB2312"/>
                <w:color w:val="auto"/>
                <w:sz w:val="22"/>
                <w:szCs w:val="22"/>
              </w:rPr>
            </w:pPr>
          </w:p>
          <w:p>
            <w:pPr>
              <w:adjustRightInd w:val="0"/>
              <w:snapToGrid w:val="0"/>
              <w:jc w:val="center"/>
              <w:rPr>
                <w:rFonts w:hint="eastAsia" w:ascii="仿宋_GB2312" w:hAnsi="仿宋_GB2312" w:eastAsia="仿宋_GB2312" w:cs="仿宋_GB2312"/>
                <w:color w:val="auto"/>
                <w:sz w:val="22"/>
                <w:szCs w:val="22"/>
              </w:rPr>
            </w:pPr>
          </w:p>
          <w:p>
            <w:pPr>
              <w:adjustRightInd w:val="0"/>
              <w:snapToGrid w:val="0"/>
              <w:jc w:val="center"/>
              <w:rPr>
                <w:rFonts w:hint="eastAsia" w:ascii="仿宋_GB2312" w:hAnsi="仿宋_GB2312" w:eastAsia="仿宋_GB2312" w:cs="仿宋_GB2312"/>
                <w:color w:val="auto"/>
                <w:sz w:val="22"/>
                <w:szCs w:val="22"/>
              </w:rPr>
            </w:pPr>
          </w:p>
          <w:p>
            <w:pPr>
              <w:adjustRightInd w:val="0"/>
              <w:snapToGrid w:val="0"/>
              <w:jc w:val="center"/>
              <w:rPr>
                <w:rFonts w:hint="eastAsia" w:ascii="仿宋_GB2312" w:hAnsi="仿宋_GB2312" w:eastAsia="仿宋_GB2312" w:cs="仿宋_GB2312"/>
                <w:color w:val="auto"/>
                <w:sz w:val="22"/>
                <w:szCs w:val="22"/>
              </w:rPr>
            </w:pPr>
          </w:p>
          <w:p>
            <w:pPr>
              <w:adjustRightInd w:val="0"/>
              <w:snapToGrid w:val="0"/>
              <w:jc w:val="center"/>
              <w:rPr>
                <w:rFonts w:hint="eastAsia" w:ascii="仿宋_GB2312" w:hAnsi="仿宋_GB2312" w:eastAsia="仿宋_GB2312" w:cs="仿宋_GB2312"/>
                <w:color w:val="auto"/>
                <w:sz w:val="22"/>
                <w:szCs w:val="22"/>
                <w:vertAlign w:val="subscript"/>
              </w:rPr>
            </w:pPr>
            <w:r>
              <w:rPr>
                <w:rFonts w:hint="eastAsia" w:ascii="仿宋_GB2312" w:hAnsi="仿宋_GB2312" w:eastAsia="仿宋_GB2312" w:cs="仿宋_GB2312"/>
                <w:color w:val="auto"/>
                <w:sz w:val="22"/>
                <w:szCs w:val="22"/>
              </w:rPr>
              <w:t>资金管理B</w:t>
            </w:r>
            <w:r>
              <w:rPr>
                <w:rFonts w:hint="eastAsia" w:ascii="仿宋_GB2312" w:hAnsi="仿宋_GB2312" w:eastAsia="仿宋_GB2312" w:cs="仿宋_GB2312"/>
                <w:color w:val="auto"/>
                <w:sz w:val="22"/>
                <w:szCs w:val="22"/>
                <w:vertAlign w:val="subscript"/>
              </w:rPr>
              <w:t>2</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w:t>
            </w:r>
            <w:r>
              <w:rPr>
                <w:rFonts w:hint="eastAsia" w:ascii="仿宋_GB2312" w:hAnsi="仿宋_GB2312" w:eastAsia="仿宋_GB2312" w:cs="仿宋_GB2312"/>
                <w:color w:val="auto"/>
                <w:sz w:val="22"/>
                <w:szCs w:val="22"/>
                <w:lang w:val="en-US" w:eastAsia="zh-CN"/>
              </w:rPr>
              <w:t>9</w:t>
            </w:r>
            <w:r>
              <w:rPr>
                <w:rFonts w:hint="eastAsia" w:ascii="仿宋_GB2312" w:hAnsi="仿宋_GB2312" w:eastAsia="仿宋_GB2312" w:cs="仿宋_GB2312"/>
                <w:color w:val="auto"/>
                <w:sz w:val="22"/>
                <w:szCs w:val="22"/>
              </w:rPr>
              <w:t>分）</w:t>
            </w:r>
          </w:p>
          <w:p>
            <w:pPr>
              <w:adjustRightInd w:val="0"/>
              <w:snapToGrid w:val="0"/>
              <w:jc w:val="center"/>
              <w:rPr>
                <w:rFonts w:hint="eastAsia" w:ascii="仿宋_GB2312" w:hAnsi="仿宋_GB2312" w:eastAsia="仿宋_GB2312" w:cs="仿宋_GB2312"/>
                <w:color w:val="auto"/>
                <w:sz w:val="22"/>
                <w:szCs w:val="22"/>
              </w:rPr>
            </w:pP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资金使用合规性</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B</w:t>
            </w:r>
            <w:r>
              <w:rPr>
                <w:rFonts w:hint="eastAsia" w:ascii="仿宋_GB2312" w:hAnsi="仿宋_GB2312" w:eastAsia="仿宋_GB2312" w:cs="仿宋_GB2312"/>
                <w:color w:val="auto"/>
                <w:sz w:val="22"/>
                <w:szCs w:val="22"/>
                <w:vertAlign w:val="subscript"/>
              </w:rPr>
              <w:t>21</w:t>
            </w:r>
          </w:p>
        </w:tc>
        <w:tc>
          <w:tcPr>
            <w:tcW w:w="856"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合规</w:t>
            </w:r>
          </w:p>
        </w:tc>
        <w:tc>
          <w:tcPr>
            <w:tcW w:w="700" w:type="dxa"/>
            <w:gridSpan w:val="2"/>
            <w:vAlign w:val="center"/>
          </w:tcPr>
          <w:p>
            <w:pPr>
              <w:adjustRightInd w:val="0"/>
              <w:snapToGrid w:val="0"/>
              <w:jc w:val="center"/>
              <w:rPr>
                <w:rFonts w:hint="eastAsia" w:ascii="仿宋_GB2312" w:hAnsi="仿宋_GB2312" w:eastAsia="仿宋_GB2312" w:cs="仿宋_GB2312"/>
                <w:color w:val="auto"/>
                <w:sz w:val="22"/>
                <w:szCs w:val="22"/>
                <w:lang w:eastAsia="zh-CN"/>
              </w:rPr>
            </w:pPr>
            <w:r>
              <w:rPr>
                <w:rFonts w:hint="eastAsia" w:ascii="仿宋_GB2312" w:hAnsi="仿宋_GB2312" w:eastAsia="仿宋_GB2312" w:cs="仿宋_GB2312"/>
                <w:color w:val="auto"/>
                <w:sz w:val="22"/>
                <w:szCs w:val="22"/>
                <w:lang w:val="en-US" w:eastAsia="zh-CN"/>
              </w:rPr>
              <w:t>2</w:t>
            </w:r>
          </w:p>
        </w:tc>
        <w:tc>
          <w:tcPr>
            <w:tcW w:w="3335" w:type="dxa"/>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rPr>
                <w:rFonts w:hint="eastAsia" w:ascii="仿宋_GB2312" w:hAnsi="仿宋_GB2312" w:eastAsia="仿宋_GB2312" w:cs="仿宋_GB2312"/>
                <w:color w:val="auto"/>
                <w:sz w:val="22"/>
                <w:szCs w:val="22"/>
                <w:lang w:eastAsia="zh-CN"/>
              </w:rPr>
            </w:pPr>
            <w:r>
              <w:rPr>
                <w:rFonts w:hint="eastAsia" w:ascii="仿宋_GB2312" w:hAnsi="仿宋_GB2312" w:eastAsia="仿宋_GB2312" w:cs="仿宋_GB2312"/>
                <w:b/>
                <w:color w:val="auto"/>
                <w:sz w:val="22"/>
                <w:szCs w:val="22"/>
              </w:rPr>
              <w:t>单个项目评价：</w:t>
            </w:r>
            <w:r>
              <w:rPr>
                <w:rFonts w:hint="eastAsia" w:ascii="仿宋_GB2312" w:hAnsi="仿宋_GB2312" w:eastAsia="仿宋_GB2312" w:cs="仿宋_GB2312"/>
                <w:color w:val="auto"/>
                <w:sz w:val="22"/>
                <w:szCs w:val="22"/>
              </w:rPr>
              <w:t>①符合项目预算批复或合同规定的用途，专款专用；②资金支出依据充分；③不存在截留、挤占、挪用、虚列支出等情况。符合相关要素得满分，否则不得分</w:t>
            </w:r>
            <w:r>
              <w:rPr>
                <w:rFonts w:hint="eastAsia" w:ascii="仿宋_GB2312" w:hAnsi="仿宋_GB2312" w:eastAsia="仿宋_GB2312" w:cs="仿宋_GB2312"/>
                <w:color w:val="auto"/>
                <w:sz w:val="22"/>
                <w:szCs w:val="22"/>
                <w:lang w:eastAsia="zh-CN"/>
              </w:rPr>
              <w:t>。</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汇总评价：</w:t>
            </w:r>
            <w:r>
              <w:rPr>
                <w:rFonts w:hint="eastAsia" w:ascii="仿宋_GB2312" w:hAnsi="仿宋_GB2312" w:eastAsia="仿宋_GB2312" w:cs="仿宋_GB2312"/>
                <w:color w:val="auto"/>
                <w:sz w:val="22"/>
                <w:szCs w:val="22"/>
              </w:rPr>
              <w:t>按照单个方向得分情况，以各方向资金为权重加权求和。</w:t>
            </w:r>
          </w:p>
        </w:tc>
        <w:tc>
          <w:tcPr>
            <w:tcW w:w="4270" w:type="dxa"/>
            <w:vAlign w:val="center"/>
          </w:tcPr>
          <w:p>
            <w:pPr>
              <w:adjustRightInd w:val="0"/>
              <w:snapToGrid w:val="0"/>
              <w:textAlignment w:val="center"/>
              <w:rPr>
                <w:rFonts w:hint="eastAsia" w:ascii="仿宋_GB2312" w:hAnsi="仿宋_GB2312" w:eastAsia="仿宋_GB2312" w:cs="仿宋_GB2312"/>
                <w:b/>
                <w:bCs/>
                <w:color w:val="auto"/>
                <w:sz w:val="22"/>
                <w:szCs w:val="22"/>
              </w:rPr>
            </w:pPr>
            <w:r>
              <w:rPr>
                <w:rFonts w:hint="eastAsia" w:ascii="仿宋_GB2312" w:hAnsi="仿宋_GB2312" w:eastAsia="仿宋_GB2312" w:cs="仿宋_GB2312"/>
                <w:color w:val="auto"/>
                <w:sz w:val="22"/>
                <w:szCs w:val="22"/>
              </w:rPr>
              <w:t>经评价组核查：①资金使用符合项目预算批复</w:t>
            </w:r>
            <w:r>
              <w:rPr>
                <w:rFonts w:hint="eastAsia" w:ascii="仿宋_GB2312" w:hAnsi="仿宋_GB2312" w:eastAsia="仿宋_GB2312" w:cs="仿宋_GB2312"/>
                <w:color w:val="auto"/>
                <w:sz w:val="22"/>
                <w:szCs w:val="22"/>
                <w:lang w:eastAsia="zh-CN"/>
              </w:rPr>
              <w:t>和</w:t>
            </w:r>
            <w:r>
              <w:rPr>
                <w:rFonts w:hint="eastAsia" w:ascii="仿宋_GB2312" w:hAnsi="仿宋_GB2312" w:eastAsia="仿宋_GB2312" w:cs="仿宋_GB2312"/>
                <w:color w:val="auto"/>
                <w:sz w:val="22"/>
                <w:szCs w:val="22"/>
              </w:rPr>
              <w:t>规定的用途，</w:t>
            </w:r>
            <w:r>
              <w:rPr>
                <w:rFonts w:hint="eastAsia" w:ascii="仿宋_GB2312" w:hAnsi="仿宋_GB2312" w:eastAsia="仿宋_GB2312" w:cs="仿宋_GB2312"/>
                <w:color w:val="auto"/>
                <w:sz w:val="22"/>
                <w:szCs w:val="22"/>
                <w:lang w:eastAsia="zh-CN"/>
              </w:rPr>
              <w:t>安阳县自然资源局创建森林城市绿化建设京港澳高速城区段绿化项目（一园）</w:t>
            </w:r>
            <w:r>
              <w:rPr>
                <w:rFonts w:hint="eastAsia" w:ascii="仿宋_GB2312" w:hAnsi="仿宋_GB2312" w:eastAsia="仿宋_GB2312" w:cs="仿宋_GB2312"/>
                <w:color w:val="auto"/>
                <w:sz w:val="22"/>
                <w:szCs w:val="22"/>
              </w:rPr>
              <w:t>资金使用单位</w:t>
            </w:r>
            <w:r>
              <w:rPr>
                <w:rFonts w:hint="eastAsia" w:ascii="仿宋_GB2312" w:hAnsi="仿宋_GB2312" w:eastAsia="仿宋_GB2312" w:cs="仿宋_GB2312"/>
                <w:color w:val="auto"/>
                <w:sz w:val="22"/>
                <w:szCs w:val="22"/>
                <w:highlight w:val="none"/>
              </w:rPr>
              <w:t>针对专项资金进行专账核算</w:t>
            </w:r>
            <w:r>
              <w:rPr>
                <w:rFonts w:hint="eastAsia" w:ascii="仿宋_GB2312" w:hAnsi="仿宋_GB2312" w:eastAsia="仿宋_GB2312" w:cs="仿宋_GB2312"/>
                <w:color w:val="auto"/>
                <w:sz w:val="22"/>
                <w:szCs w:val="22"/>
              </w:rPr>
              <w:t>；②资金的拨付有完整的审批程序和手续；③不存在截留、挤占、挪用、虚列支出等情况。根据评分标准，①②③得满分。综上，该指标得</w:t>
            </w:r>
            <w:r>
              <w:rPr>
                <w:rFonts w:hint="eastAsia" w:ascii="仿宋_GB2312" w:hAnsi="仿宋_GB2312" w:eastAsia="仿宋_GB2312" w:cs="仿宋_GB2312"/>
                <w:color w:val="auto"/>
                <w:sz w:val="22"/>
                <w:szCs w:val="22"/>
                <w:lang w:val="en-US" w:eastAsia="zh-CN"/>
              </w:rPr>
              <w:t>2</w:t>
            </w:r>
            <w:r>
              <w:rPr>
                <w:rFonts w:hint="eastAsia" w:ascii="仿宋_GB2312" w:hAnsi="仿宋_GB2312" w:eastAsia="仿宋_GB2312" w:cs="仿宋_GB2312"/>
                <w:color w:val="auto"/>
                <w:sz w:val="22"/>
                <w:szCs w:val="22"/>
              </w:rPr>
              <w:t>分。</w:t>
            </w:r>
          </w:p>
        </w:tc>
        <w:tc>
          <w:tcPr>
            <w:tcW w:w="833" w:type="dxa"/>
            <w:vAlign w:val="center"/>
          </w:tcPr>
          <w:p>
            <w:pPr>
              <w:adjustRightInd w:val="0"/>
              <w:snapToGrid w:val="0"/>
              <w:jc w:val="center"/>
              <w:textAlignment w:val="center"/>
              <w:rPr>
                <w:rFonts w:hint="eastAsia" w:ascii="仿宋_GB2312" w:hAnsi="仿宋_GB2312" w:eastAsia="仿宋_GB2312" w:cs="仿宋_GB2312"/>
                <w:b/>
                <w:bCs/>
                <w:color w:val="auto"/>
                <w:sz w:val="22"/>
                <w:szCs w:val="22"/>
                <w:lang w:val="en-US" w:eastAsia="zh-CN"/>
              </w:rPr>
            </w:pPr>
            <w:r>
              <w:rPr>
                <w:rFonts w:hint="eastAsia" w:ascii="仿宋_GB2312" w:hAnsi="仿宋_GB2312" w:eastAsia="仿宋_GB2312" w:cs="仿宋_GB2312"/>
                <w:color w:val="auto"/>
                <w:sz w:val="22"/>
                <w:szCs w:val="22"/>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6" w:hRule="atLeast"/>
          <w:jc w:val="center"/>
        </w:trPr>
        <w:tc>
          <w:tcPr>
            <w:tcW w:w="1273" w:type="dxa"/>
            <w:gridSpan w:val="2"/>
            <w:vMerge w:val="continue"/>
            <w:vAlign w:val="center"/>
          </w:tcPr>
          <w:p>
            <w:pPr>
              <w:adjustRightInd w:val="0"/>
              <w:snapToGrid w:val="0"/>
              <w:jc w:val="center"/>
              <w:rPr>
                <w:rFonts w:hint="eastAsia" w:ascii="仿宋_GB2312" w:hAnsi="仿宋_GB2312" w:eastAsia="仿宋_GB2312" w:cs="仿宋_GB2312"/>
                <w:color w:val="auto"/>
                <w:sz w:val="22"/>
                <w:szCs w:val="22"/>
              </w:rPr>
            </w:pPr>
          </w:p>
        </w:tc>
        <w:tc>
          <w:tcPr>
            <w:tcW w:w="1243" w:type="dxa"/>
            <w:gridSpan w:val="2"/>
            <w:vMerge w:val="continue"/>
            <w:vAlign w:val="center"/>
          </w:tcPr>
          <w:p>
            <w:pPr>
              <w:adjustRightInd w:val="0"/>
              <w:snapToGrid w:val="0"/>
              <w:jc w:val="center"/>
              <w:rPr>
                <w:rFonts w:hint="eastAsia" w:ascii="仿宋_GB2312" w:hAnsi="仿宋_GB2312" w:eastAsia="仿宋_GB2312" w:cs="仿宋_GB2312"/>
                <w:color w:val="auto"/>
                <w:sz w:val="22"/>
                <w:szCs w:val="22"/>
              </w:rPr>
            </w:pP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财务管理制度健全性B</w:t>
            </w:r>
            <w:r>
              <w:rPr>
                <w:rFonts w:hint="eastAsia" w:ascii="仿宋_GB2312" w:hAnsi="仿宋_GB2312" w:eastAsia="仿宋_GB2312" w:cs="仿宋_GB2312"/>
                <w:color w:val="auto"/>
                <w:sz w:val="22"/>
                <w:szCs w:val="22"/>
                <w:vertAlign w:val="subscript"/>
              </w:rPr>
              <w:t>22</w:t>
            </w:r>
          </w:p>
        </w:tc>
        <w:tc>
          <w:tcPr>
            <w:tcW w:w="856"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健全</w:t>
            </w:r>
          </w:p>
        </w:tc>
        <w:tc>
          <w:tcPr>
            <w:tcW w:w="700" w:type="dxa"/>
            <w:gridSpan w:val="2"/>
            <w:vAlign w:val="center"/>
          </w:tcPr>
          <w:p>
            <w:pPr>
              <w:adjustRightInd w:val="0"/>
              <w:snapToGrid w:val="0"/>
              <w:jc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2</w:t>
            </w:r>
          </w:p>
        </w:tc>
        <w:tc>
          <w:tcPr>
            <w:tcW w:w="3335" w:type="dxa"/>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单个方向评价：</w:t>
            </w:r>
            <w:r>
              <w:rPr>
                <w:rFonts w:hint="eastAsia" w:ascii="仿宋_GB2312" w:hAnsi="仿宋_GB2312" w:eastAsia="仿宋_GB2312" w:cs="仿宋_GB2312"/>
                <w:color w:val="auto"/>
                <w:sz w:val="22"/>
                <w:szCs w:val="22"/>
              </w:rPr>
              <w:t>项目已制定或具有专项资金管理制度</w:t>
            </w:r>
            <w:r>
              <w:rPr>
                <w:rFonts w:hint="eastAsia" w:ascii="仿宋_GB2312" w:hAnsi="仿宋_GB2312" w:eastAsia="仿宋_GB2312" w:cs="仿宋_GB2312"/>
                <w:color w:val="auto"/>
                <w:sz w:val="22"/>
                <w:szCs w:val="22"/>
                <w:lang w:eastAsia="zh-CN"/>
              </w:rPr>
              <w:t>，有专项制度得满分，否则酌情得分。</w:t>
            </w:r>
          </w:p>
          <w:p>
            <w:pPr>
              <w:adjustRightInd w:val="0"/>
              <w:snapToGrid w:val="0"/>
              <w:rPr>
                <w:rFonts w:hint="eastAsia" w:ascii="仿宋_GB2312" w:hAnsi="仿宋_GB2312" w:eastAsia="仿宋_GB2312" w:cs="仿宋_GB2312"/>
                <w:color w:val="auto"/>
                <w:sz w:val="22"/>
                <w:szCs w:val="22"/>
              </w:rPr>
            </w:pPr>
          </w:p>
        </w:tc>
        <w:tc>
          <w:tcPr>
            <w:tcW w:w="4270" w:type="dxa"/>
            <w:vAlign w:val="center"/>
          </w:tcPr>
          <w:p>
            <w:pPr>
              <w:adjustRightInd w:val="0"/>
              <w:snapToGrid w:val="0"/>
              <w:textAlignment w:val="center"/>
              <w:rPr>
                <w:rFonts w:hint="eastAsia" w:ascii="仿宋_GB2312" w:hAnsi="仿宋_GB2312" w:eastAsia="仿宋_GB2312" w:cs="仿宋_GB2312"/>
                <w:b/>
                <w:bCs/>
                <w:color w:val="auto"/>
                <w:sz w:val="22"/>
                <w:szCs w:val="22"/>
                <w:lang w:eastAsia="zh-CN"/>
              </w:rPr>
            </w:pPr>
            <w:r>
              <w:rPr>
                <w:rFonts w:hint="eastAsia" w:ascii="仿宋_GB2312" w:hAnsi="仿宋_GB2312" w:eastAsia="仿宋_GB2312" w:cs="仿宋_GB2312"/>
                <w:color w:val="auto"/>
                <w:sz w:val="22"/>
                <w:szCs w:val="22"/>
              </w:rPr>
              <w:t>经评价组核查：</w:t>
            </w:r>
            <w:r>
              <w:rPr>
                <w:rFonts w:hint="eastAsia" w:ascii="仿宋_GB2312" w:hAnsi="仿宋_GB2312" w:eastAsia="仿宋_GB2312" w:cs="仿宋_GB2312"/>
                <w:color w:val="auto"/>
                <w:sz w:val="22"/>
                <w:szCs w:val="22"/>
                <w:highlight w:val="none"/>
              </w:rPr>
              <w:t>该项目</w:t>
            </w:r>
            <w:r>
              <w:rPr>
                <w:rFonts w:hint="eastAsia" w:ascii="仿宋_GB2312" w:hAnsi="仿宋_GB2312" w:eastAsia="仿宋_GB2312" w:cs="仿宋_GB2312"/>
                <w:sz w:val="22"/>
                <w:szCs w:val="22"/>
              </w:rPr>
              <w:t>未制定具体项目管理制度及长效管理机制，在项目实施过程中，缺乏规范的制度管理作为依据，不利于该项目的高效开</w:t>
            </w:r>
            <w:r>
              <w:rPr>
                <w:rFonts w:hint="eastAsia" w:ascii="仿宋_GB2312" w:hAnsi="仿宋_GB2312" w:eastAsia="仿宋_GB2312" w:cs="仿宋_GB2312"/>
                <w:sz w:val="22"/>
                <w:szCs w:val="22"/>
                <w:lang w:eastAsia="zh-CN"/>
              </w:rPr>
              <w:t>展</w:t>
            </w:r>
            <w:r>
              <w:rPr>
                <w:rFonts w:hint="eastAsia" w:ascii="仿宋_GB2312" w:hAnsi="仿宋_GB2312" w:eastAsia="仿宋_GB2312" w:cs="仿宋_GB2312"/>
                <w:color w:val="auto"/>
                <w:sz w:val="22"/>
                <w:szCs w:val="22"/>
                <w:highlight w:val="none"/>
              </w:rPr>
              <w:t>；根据评分标准，该指标得</w:t>
            </w:r>
            <w:r>
              <w:rPr>
                <w:rFonts w:hint="eastAsia" w:ascii="仿宋_GB2312" w:hAnsi="仿宋_GB2312" w:eastAsia="仿宋_GB2312" w:cs="仿宋_GB2312"/>
                <w:color w:val="auto"/>
                <w:sz w:val="22"/>
                <w:szCs w:val="22"/>
                <w:highlight w:val="none"/>
                <w:lang w:val="en-US" w:eastAsia="zh-CN"/>
              </w:rPr>
              <w:t>1</w:t>
            </w:r>
            <w:r>
              <w:rPr>
                <w:rFonts w:hint="eastAsia" w:ascii="仿宋_GB2312" w:hAnsi="仿宋_GB2312" w:eastAsia="仿宋_GB2312" w:cs="仿宋_GB2312"/>
                <w:color w:val="auto"/>
                <w:sz w:val="22"/>
                <w:szCs w:val="22"/>
                <w:highlight w:val="none"/>
              </w:rPr>
              <w:t>分。</w:t>
            </w:r>
          </w:p>
        </w:tc>
        <w:tc>
          <w:tcPr>
            <w:tcW w:w="833" w:type="dxa"/>
            <w:vAlign w:val="center"/>
          </w:tcPr>
          <w:p>
            <w:pPr>
              <w:adjustRightInd w:val="0"/>
              <w:snapToGrid w:val="0"/>
              <w:jc w:val="center"/>
              <w:textAlignment w:val="center"/>
              <w:rPr>
                <w:rFonts w:hint="eastAsia" w:ascii="仿宋_GB2312" w:hAnsi="仿宋_GB2312" w:eastAsia="仿宋_GB2312" w:cs="仿宋_GB2312"/>
                <w:b/>
                <w:bCs/>
                <w:color w:val="auto"/>
                <w:sz w:val="22"/>
                <w:szCs w:val="22"/>
                <w:lang w:val="en-US" w:eastAsia="zh-CN"/>
              </w:rPr>
            </w:pPr>
            <w:r>
              <w:rPr>
                <w:rFonts w:hint="eastAsia" w:ascii="仿宋_GB2312" w:hAnsi="仿宋_GB2312" w:eastAsia="仿宋_GB2312" w:cs="仿宋_GB2312"/>
                <w:color w:val="auto"/>
                <w:sz w:val="22"/>
                <w:szCs w:val="2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6" w:hRule="atLeast"/>
          <w:jc w:val="center"/>
        </w:trPr>
        <w:tc>
          <w:tcPr>
            <w:tcW w:w="1273" w:type="dxa"/>
            <w:gridSpan w:val="2"/>
            <w:vMerge w:val="continue"/>
            <w:vAlign w:val="center"/>
          </w:tcPr>
          <w:p>
            <w:pPr>
              <w:adjustRightInd w:val="0"/>
              <w:snapToGrid w:val="0"/>
              <w:jc w:val="both"/>
              <w:rPr>
                <w:rFonts w:hint="eastAsia" w:ascii="仿宋_GB2312" w:hAnsi="仿宋_GB2312" w:eastAsia="仿宋_GB2312" w:cs="仿宋_GB2312"/>
                <w:color w:val="auto"/>
                <w:sz w:val="22"/>
                <w:szCs w:val="22"/>
              </w:rPr>
            </w:pPr>
          </w:p>
        </w:tc>
        <w:tc>
          <w:tcPr>
            <w:tcW w:w="1243" w:type="dxa"/>
            <w:gridSpan w:val="2"/>
            <w:vMerge w:val="continue"/>
            <w:vAlign w:val="center"/>
          </w:tcPr>
          <w:p>
            <w:pPr>
              <w:adjustRightInd w:val="0"/>
              <w:snapToGrid w:val="0"/>
              <w:jc w:val="center"/>
              <w:rPr>
                <w:rFonts w:hint="eastAsia" w:ascii="仿宋_GB2312" w:hAnsi="仿宋_GB2312" w:eastAsia="仿宋_GB2312" w:cs="仿宋_GB2312"/>
                <w:color w:val="auto"/>
                <w:sz w:val="22"/>
                <w:szCs w:val="22"/>
              </w:rPr>
            </w:pP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财务管理制度执行有效性B</w:t>
            </w:r>
            <w:r>
              <w:rPr>
                <w:rFonts w:hint="eastAsia" w:ascii="仿宋_GB2312" w:hAnsi="仿宋_GB2312" w:eastAsia="仿宋_GB2312" w:cs="仿宋_GB2312"/>
                <w:color w:val="auto"/>
                <w:sz w:val="22"/>
                <w:szCs w:val="22"/>
                <w:vertAlign w:val="subscript"/>
              </w:rPr>
              <w:t>23</w:t>
            </w:r>
          </w:p>
        </w:tc>
        <w:tc>
          <w:tcPr>
            <w:tcW w:w="856"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有效</w:t>
            </w:r>
          </w:p>
        </w:tc>
        <w:tc>
          <w:tcPr>
            <w:tcW w:w="700" w:type="dxa"/>
            <w:gridSpan w:val="2"/>
            <w:vAlign w:val="center"/>
          </w:tcPr>
          <w:p>
            <w:pPr>
              <w:adjustRightInd w:val="0"/>
              <w:snapToGrid w:val="0"/>
              <w:jc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2</w:t>
            </w:r>
          </w:p>
        </w:tc>
        <w:tc>
          <w:tcPr>
            <w:tcW w:w="3335" w:type="dxa"/>
            <w:vAlign w:val="center"/>
          </w:tcPr>
          <w:p>
            <w:pPr>
              <w:adjustRightInd w:val="0"/>
              <w:snapToGrid w:val="0"/>
              <w:rPr>
                <w:rFonts w:hint="eastAsia" w:ascii="仿宋_GB2312" w:hAnsi="仿宋_GB2312" w:eastAsia="仿宋_GB2312" w:cs="仿宋_GB2312"/>
                <w:b/>
                <w:color w:val="auto"/>
                <w:sz w:val="22"/>
                <w:szCs w:val="22"/>
              </w:rPr>
            </w:pPr>
            <w:r>
              <w:rPr>
                <w:rFonts w:hint="eastAsia" w:ascii="仿宋_GB2312" w:hAnsi="仿宋_GB2312" w:eastAsia="仿宋_GB2312" w:cs="仿宋_GB2312"/>
                <w:color w:val="auto"/>
                <w:sz w:val="22"/>
                <w:szCs w:val="22"/>
              </w:rPr>
              <w:t>评价要点：</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单个方向评价：</w:t>
            </w:r>
            <w:r>
              <w:rPr>
                <w:rFonts w:hint="eastAsia" w:ascii="仿宋_GB2312" w:hAnsi="仿宋_GB2312" w:eastAsia="仿宋_GB2312" w:cs="仿宋_GB2312"/>
                <w:color w:val="auto"/>
                <w:sz w:val="22"/>
                <w:szCs w:val="22"/>
              </w:rPr>
              <w:t>①遵守相关法律法规和相关管理规定；②项目资金支付手续完备；③项目资金分账（专账）管理；④项目财务人员是否落实到位。以上各要素各占25%权重分。</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汇总评价：</w:t>
            </w:r>
            <w:r>
              <w:rPr>
                <w:rFonts w:hint="eastAsia" w:ascii="仿宋_GB2312" w:hAnsi="仿宋_GB2312" w:eastAsia="仿宋_GB2312" w:cs="仿宋_GB2312"/>
                <w:color w:val="auto"/>
                <w:sz w:val="22"/>
                <w:szCs w:val="22"/>
              </w:rPr>
              <w:t>按照单个方向得分情况，以各方向资金为权重加权求和。</w:t>
            </w:r>
          </w:p>
        </w:tc>
        <w:tc>
          <w:tcPr>
            <w:tcW w:w="4270" w:type="dxa"/>
            <w:vAlign w:val="center"/>
          </w:tcPr>
          <w:p>
            <w:pPr>
              <w:adjustRightInd w:val="0"/>
              <w:snapToGrid w:val="0"/>
              <w:jc w:val="center"/>
              <w:textAlignment w:val="center"/>
              <w:rPr>
                <w:rFonts w:hint="eastAsia" w:ascii="仿宋_GB2312" w:hAnsi="仿宋_GB2312" w:eastAsia="仿宋_GB2312" w:cs="仿宋_GB2312"/>
                <w:b/>
                <w:bCs/>
                <w:color w:val="auto"/>
                <w:sz w:val="22"/>
                <w:szCs w:val="22"/>
                <w:lang w:eastAsia="zh-CN"/>
              </w:rPr>
            </w:pPr>
            <w:r>
              <w:rPr>
                <w:rFonts w:hint="eastAsia" w:ascii="仿宋_GB2312" w:hAnsi="仿宋_GB2312" w:eastAsia="仿宋_GB2312" w:cs="仿宋_GB2312"/>
                <w:color w:val="auto"/>
                <w:sz w:val="22"/>
                <w:szCs w:val="22"/>
              </w:rPr>
              <w:t>经评价组核查：①该项目遵守专项资金管理办法</w:t>
            </w:r>
            <w:r>
              <w:rPr>
                <w:rFonts w:hint="eastAsia" w:ascii="仿宋_GB2312" w:hAnsi="仿宋_GB2312" w:eastAsia="仿宋_GB2312" w:cs="仿宋_GB2312"/>
                <w:color w:val="auto"/>
                <w:sz w:val="22"/>
                <w:szCs w:val="22"/>
                <w:lang w:eastAsia="zh-CN"/>
              </w:rPr>
              <w:t>；</w:t>
            </w:r>
            <w:r>
              <w:rPr>
                <w:rFonts w:hint="eastAsia" w:ascii="仿宋_GB2312" w:hAnsi="仿宋_GB2312" w:eastAsia="仿宋_GB2312" w:cs="仿宋_GB2312"/>
                <w:color w:val="auto"/>
                <w:sz w:val="22"/>
                <w:szCs w:val="22"/>
              </w:rPr>
              <w:t>②项目资金支付手续完备；③项目资金</w:t>
            </w:r>
            <w:r>
              <w:rPr>
                <w:rFonts w:hint="eastAsia" w:ascii="仿宋_GB2312" w:hAnsi="仿宋_GB2312" w:eastAsia="仿宋_GB2312" w:cs="仿宋_GB2312"/>
                <w:color w:val="auto"/>
                <w:sz w:val="22"/>
                <w:szCs w:val="22"/>
                <w:lang w:eastAsia="zh-CN"/>
              </w:rPr>
              <w:t>实施</w:t>
            </w:r>
            <w:r>
              <w:rPr>
                <w:rFonts w:hint="eastAsia" w:ascii="仿宋_GB2312" w:hAnsi="仿宋_GB2312" w:eastAsia="仿宋_GB2312" w:cs="仿宋_GB2312"/>
                <w:color w:val="auto"/>
                <w:sz w:val="22"/>
                <w:szCs w:val="22"/>
              </w:rPr>
              <w:t>分账管理</w:t>
            </w:r>
            <w:r>
              <w:rPr>
                <w:rFonts w:hint="eastAsia" w:ascii="仿宋_GB2312" w:hAnsi="仿宋_GB2312" w:eastAsia="仿宋_GB2312" w:cs="仿宋_GB2312"/>
                <w:color w:val="auto"/>
                <w:sz w:val="22"/>
                <w:szCs w:val="22"/>
                <w:lang w:eastAsia="zh-CN"/>
              </w:rPr>
              <w:t>。</w:t>
            </w:r>
            <w:r>
              <w:rPr>
                <w:rFonts w:hint="eastAsia" w:ascii="仿宋_GB2312" w:hAnsi="仿宋_GB2312" w:eastAsia="仿宋_GB2312" w:cs="仿宋_GB2312"/>
                <w:color w:val="auto"/>
                <w:sz w:val="22"/>
                <w:szCs w:val="22"/>
              </w:rPr>
              <w:t>④项目财务人员落实到位。根据评分标准，①②③④得满分</w:t>
            </w:r>
            <w:r>
              <w:rPr>
                <w:rFonts w:hint="eastAsia" w:ascii="仿宋_GB2312" w:hAnsi="仿宋_GB2312" w:eastAsia="仿宋_GB2312" w:cs="仿宋_GB2312"/>
                <w:color w:val="auto"/>
                <w:sz w:val="22"/>
                <w:szCs w:val="22"/>
                <w:lang w:eastAsia="zh-CN"/>
              </w:rPr>
              <w:t>，</w:t>
            </w:r>
            <w:r>
              <w:rPr>
                <w:rFonts w:hint="eastAsia" w:ascii="仿宋_GB2312" w:hAnsi="仿宋_GB2312" w:eastAsia="仿宋_GB2312" w:cs="仿宋_GB2312"/>
                <w:color w:val="auto"/>
                <w:sz w:val="22"/>
                <w:szCs w:val="22"/>
              </w:rPr>
              <w:t>综上，该指标得</w:t>
            </w:r>
            <w:r>
              <w:rPr>
                <w:rFonts w:hint="eastAsia" w:ascii="仿宋_GB2312" w:hAnsi="仿宋_GB2312" w:eastAsia="仿宋_GB2312" w:cs="仿宋_GB2312"/>
                <w:color w:val="auto"/>
                <w:sz w:val="22"/>
                <w:szCs w:val="22"/>
                <w:lang w:val="en-US" w:eastAsia="zh-CN"/>
              </w:rPr>
              <w:t>2</w:t>
            </w:r>
            <w:r>
              <w:rPr>
                <w:rFonts w:hint="eastAsia" w:ascii="仿宋_GB2312" w:hAnsi="仿宋_GB2312" w:eastAsia="仿宋_GB2312" w:cs="仿宋_GB2312"/>
                <w:color w:val="auto"/>
                <w:sz w:val="22"/>
                <w:szCs w:val="22"/>
              </w:rPr>
              <w:t>分。</w:t>
            </w:r>
          </w:p>
        </w:tc>
        <w:tc>
          <w:tcPr>
            <w:tcW w:w="833" w:type="dxa"/>
            <w:vAlign w:val="center"/>
          </w:tcPr>
          <w:p>
            <w:pPr>
              <w:adjustRightInd w:val="0"/>
              <w:snapToGrid w:val="0"/>
              <w:jc w:val="center"/>
              <w:textAlignment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2" w:hRule="atLeast"/>
          <w:jc w:val="center"/>
        </w:trPr>
        <w:tc>
          <w:tcPr>
            <w:tcW w:w="1273" w:type="dxa"/>
            <w:gridSpan w:val="2"/>
            <w:vMerge w:val="continue"/>
            <w:vAlign w:val="center"/>
          </w:tcPr>
          <w:p>
            <w:pPr>
              <w:adjustRightInd w:val="0"/>
              <w:snapToGrid w:val="0"/>
              <w:jc w:val="center"/>
              <w:rPr>
                <w:rFonts w:hint="eastAsia" w:ascii="仿宋_GB2312" w:hAnsi="仿宋_GB2312" w:eastAsia="仿宋_GB2312" w:cs="仿宋_GB2312"/>
                <w:color w:val="auto"/>
                <w:sz w:val="22"/>
                <w:szCs w:val="22"/>
              </w:rPr>
            </w:pPr>
          </w:p>
        </w:tc>
        <w:tc>
          <w:tcPr>
            <w:tcW w:w="1243" w:type="dxa"/>
            <w:gridSpan w:val="2"/>
            <w:vMerge w:val="continue"/>
            <w:vAlign w:val="center"/>
          </w:tcPr>
          <w:p>
            <w:pPr>
              <w:adjustRightInd w:val="0"/>
              <w:snapToGrid w:val="0"/>
              <w:jc w:val="center"/>
              <w:rPr>
                <w:rFonts w:hint="eastAsia" w:ascii="仿宋_GB2312" w:hAnsi="仿宋_GB2312" w:eastAsia="仿宋_GB2312" w:cs="仿宋_GB2312"/>
                <w:color w:val="auto"/>
                <w:sz w:val="22"/>
                <w:szCs w:val="22"/>
              </w:rPr>
            </w:pP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lang w:eastAsia="zh-CN"/>
              </w:rPr>
              <w:t>区</w:t>
            </w:r>
            <w:r>
              <w:rPr>
                <w:rFonts w:hint="eastAsia" w:ascii="仿宋_GB2312" w:hAnsi="仿宋_GB2312" w:eastAsia="仿宋_GB2312" w:cs="仿宋_GB2312"/>
                <w:color w:val="auto"/>
                <w:sz w:val="22"/>
                <w:szCs w:val="22"/>
              </w:rPr>
              <w:t>财政资金拨付及时率B</w:t>
            </w:r>
            <w:r>
              <w:rPr>
                <w:rFonts w:hint="eastAsia" w:ascii="仿宋_GB2312" w:hAnsi="仿宋_GB2312" w:eastAsia="仿宋_GB2312" w:cs="仿宋_GB2312"/>
                <w:color w:val="auto"/>
                <w:sz w:val="22"/>
                <w:szCs w:val="22"/>
                <w:vertAlign w:val="subscript"/>
              </w:rPr>
              <w:t>24</w:t>
            </w:r>
          </w:p>
        </w:tc>
        <w:tc>
          <w:tcPr>
            <w:tcW w:w="856"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100%</w:t>
            </w:r>
          </w:p>
        </w:tc>
        <w:tc>
          <w:tcPr>
            <w:tcW w:w="700" w:type="dxa"/>
            <w:gridSpan w:val="2"/>
            <w:vAlign w:val="center"/>
          </w:tcPr>
          <w:p>
            <w:pPr>
              <w:adjustRightInd w:val="0"/>
              <w:snapToGrid w:val="0"/>
              <w:jc w:val="center"/>
              <w:rPr>
                <w:rFonts w:hint="eastAsia" w:ascii="仿宋_GB2312" w:hAnsi="仿宋_GB2312" w:eastAsia="仿宋_GB2312" w:cs="仿宋_GB2312"/>
                <w:color w:val="auto"/>
                <w:sz w:val="22"/>
                <w:szCs w:val="22"/>
                <w:lang w:eastAsia="zh-CN"/>
              </w:rPr>
            </w:pPr>
            <w:r>
              <w:rPr>
                <w:rFonts w:hint="eastAsia" w:ascii="仿宋_GB2312" w:hAnsi="仿宋_GB2312" w:eastAsia="仿宋_GB2312" w:cs="仿宋_GB2312"/>
                <w:color w:val="auto"/>
                <w:sz w:val="22"/>
                <w:szCs w:val="22"/>
                <w:lang w:val="en-US" w:eastAsia="zh-CN"/>
              </w:rPr>
              <w:t>3</w:t>
            </w:r>
          </w:p>
        </w:tc>
        <w:tc>
          <w:tcPr>
            <w:tcW w:w="3335" w:type="dxa"/>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lang w:eastAsia="zh-CN"/>
              </w:rPr>
              <w:t>安阳县自然资源局创建森林城市绿化建设京港澳高速城区段绿化项目（一园）</w:t>
            </w:r>
            <w:r>
              <w:rPr>
                <w:rFonts w:hint="eastAsia" w:ascii="仿宋_GB2312" w:hAnsi="仿宋_GB2312" w:eastAsia="仿宋_GB2312" w:cs="仿宋_GB2312"/>
                <w:color w:val="auto"/>
                <w:sz w:val="22"/>
                <w:szCs w:val="22"/>
              </w:rPr>
              <w:t>资金</w:t>
            </w:r>
            <w:r>
              <w:rPr>
                <w:rFonts w:hint="eastAsia" w:ascii="仿宋_GB2312" w:hAnsi="仿宋_GB2312" w:eastAsia="仿宋_GB2312" w:cs="仿宋_GB2312"/>
                <w:color w:val="auto"/>
                <w:sz w:val="22"/>
                <w:szCs w:val="22"/>
                <w:highlight w:val="none"/>
                <w:lang w:val="en-US" w:eastAsia="zh-CN"/>
              </w:rPr>
              <w:t>按实际情况酌情得分</w:t>
            </w:r>
            <w:r>
              <w:rPr>
                <w:rFonts w:hint="eastAsia" w:ascii="仿宋_GB2312" w:hAnsi="仿宋_GB2312" w:eastAsia="仿宋_GB2312" w:cs="仿宋_GB2312"/>
                <w:color w:val="auto"/>
                <w:sz w:val="22"/>
                <w:szCs w:val="22"/>
                <w:highlight w:val="none"/>
                <w:lang w:eastAsia="zh-CN"/>
              </w:rPr>
              <w:t>。</w:t>
            </w:r>
          </w:p>
        </w:tc>
        <w:tc>
          <w:tcPr>
            <w:tcW w:w="4270" w:type="dxa"/>
          </w:tcPr>
          <w:p>
            <w:pPr>
              <w:keepLines/>
              <w:adjustRightInd w:val="0"/>
              <w:snapToGrid w:val="0"/>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rPr>
              <w:t>经评价组核查：根据《</w:t>
            </w:r>
            <w:r>
              <w:rPr>
                <w:rFonts w:hint="eastAsia" w:ascii="仿宋_GB2312" w:hAnsi="仿宋_GB2312" w:eastAsia="仿宋_GB2312" w:cs="仿宋_GB2312"/>
                <w:color w:val="auto"/>
                <w:sz w:val="22"/>
                <w:szCs w:val="22"/>
                <w:lang w:eastAsia="zh-CN"/>
              </w:rPr>
              <w:t>关于建设安阳市京港澳城区段廊道绿化提升项目（一园）的请示</w:t>
            </w:r>
            <w:r>
              <w:rPr>
                <w:rFonts w:hint="eastAsia" w:ascii="仿宋_GB2312" w:hAnsi="仿宋_GB2312" w:eastAsia="仿宋_GB2312" w:cs="仿宋_GB2312"/>
                <w:color w:val="auto"/>
                <w:sz w:val="22"/>
                <w:szCs w:val="22"/>
              </w:rPr>
              <w:t>（</w:t>
            </w:r>
            <w:r>
              <w:rPr>
                <w:rFonts w:hint="eastAsia" w:ascii="仿宋_GB2312" w:hAnsi="仿宋_GB2312" w:eastAsia="仿宋_GB2312" w:cs="仿宋_GB2312"/>
                <w:color w:val="auto"/>
                <w:sz w:val="22"/>
                <w:szCs w:val="22"/>
                <w:lang w:eastAsia="zh-CN"/>
              </w:rPr>
              <w:t>安县自然资</w:t>
            </w:r>
            <w:r>
              <w:rPr>
                <w:rFonts w:hint="eastAsia" w:ascii="仿宋_GB2312" w:hAnsi="仿宋_GB2312" w:eastAsia="仿宋_GB2312" w:cs="仿宋_GB2312"/>
                <w:color w:val="auto"/>
                <w:sz w:val="22"/>
                <w:szCs w:val="22"/>
              </w:rPr>
              <w:t>〔20</w:t>
            </w:r>
            <w:r>
              <w:rPr>
                <w:rFonts w:hint="eastAsia" w:ascii="仿宋_GB2312" w:hAnsi="仿宋_GB2312" w:eastAsia="仿宋_GB2312" w:cs="仿宋_GB2312"/>
                <w:color w:val="auto"/>
                <w:sz w:val="22"/>
                <w:szCs w:val="22"/>
                <w:lang w:val="en-US" w:eastAsia="zh-CN"/>
              </w:rPr>
              <w:t>19</w:t>
            </w:r>
            <w:r>
              <w:rPr>
                <w:rFonts w:hint="eastAsia" w:ascii="仿宋_GB2312" w:hAnsi="仿宋_GB2312" w:eastAsia="仿宋_GB2312" w:cs="仿宋_GB2312"/>
                <w:color w:val="auto"/>
                <w:sz w:val="22"/>
                <w:szCs w:val="22"/>
              </w:rPr>
              <w:t>〕</w:t>
            </w:r>
            <w:r>
              <w:rPr>
                <w:rFonts w:hint="eastAsia" w:ascii="仿宋_GB2312" w:hAnsi="仿宋_GB2312" w:eastAsia="仿宋_GB2312" w:cs="仿宋_GB2312"/>
                <w:color w:val="auto"/>
                <w:sz w:val="22"/>
                <w:szCs w:val="22"/>
                <w:lang w:val="en-US" w:eastAsia="zh-CN"/>
              </w:rPr>
              <w:t>12</w:t>
            </w:r>
            <w:r>
              <w:rPr>
                <w:rFonts w:hint="eastAsia" w:ascii="仿宋_GB2312" w:hAnsi="仿宋_GB2312" w:eastAsia="仿宋_GB2312" w:cs="仿宋_GB2312"/>
                <w:color w:val="auto"/>
                <w:sz w:val="22"/>
                <w:szCs w:val="22"/>
              </w:rPr>
              <w:t>号），</w:t>
            </w:r>
            <w:r>
              <w:rPr>
                <w:rFonts w:hint="eastAsia" w:ascii="仿宋_GB2312" w:hAnsi="仿宋_GB2312" w:eastAsia="仿宋_GB2312" w:cs="仿宋_GB2312"/>
                <w:color w:val="auto"/>
                <w:sz w:val="22"/>
                <w:szCs w:val="22"/>
                <w:lang w:eastAsia="zh-CN"/>
              </w:rPr>
              <w:t>县</w:t>
            </w:r>
            <w:r>
              <w:rPr>
                <w:rFonts w:hint="eastAsia" w:ascii="仿宋_GB2312" w:hAnsi="仿宋_GB2312" w:eastAsia="仿宋_GB2312" w:cs="仿宋_GB2312"/>
                <w:color w:val="auto"/>
                <w:sz w:val="22"/>
                <w:szCs w:val="22"/>
              </w:rPr>
              <w:t>财政</w:t>
            </w:r>
            <w:r>
              <w:rPr>
                <w:rFonts w:hint="eastAsia" w:ascii="仿宋_GB2312" w:hAnsi="仿宋_GB2312" w:eastAsia="仿宋_GB2312" w:cs="仿宋_GB2312"/>
                <w:color w:val="auto"/>
                <w:sz w:val="22"/>
                <w:szCs w:val="22"/>
                <w:lang w:eastAsia="zh-CN"/>
              </w:rPr>
              <w:t>局</w:t>
            </w:r>
            <w:r>
              <w:rPr>
                <w:rFonts w:hint="eastAsia" w:ascii="仿宋_GB2312" w:hAnsi="仿宋_GB2312" w:eastAsia="仿宋_GB2312" w:cs="仿宋_GB2312"/>
                <w:color w:val="auto"/>
                <w:sz w:val="22"/>
                <w:szCs w:val="22"/>
              </w:rPr>
              <w:t>于202</w:t>
            </w:r>
            <w:r>
              <w:rPr>
                <w:rFonts w:hint="eastAsia" w:ascii="仿宋_GB2312" w:hAnsi="仿宋_GB2312" w:eastAsia="仿宋_GB2312" w:cs="仿宋_GB2312"/>
                <w:color w:val="auto"/>
                <w:sz w:val="22"/>
                <w:szCs w:val="22"/>
                <w:lang w:val="en-US" w:eastAsia="zh-CN"/>
              </w:rPr>
              <w:t>1</w:t>
            </w:r>
            <w:r>
              <w:rPr>
                <w:rFonts w:hint="eastAsia" w:ascii="仿宋_GB2312" w:hAnsi="仿宋_GB2312" w:eastAsia="仿宋_GB2312" w:cs="仿宋_GB2312"/>
                <w:color w:val="auto"/>
                <w:sz w:val="22"/>
                <w:szCs w:val="22"/>
              </w:rPr>
              <w:t>年已</w:t>
            </w:r>
            <w:r>
              <w:rPr>
                <w:rFonts w:hint="eastAsia" w:ascii="仿宋_GB2312" w:hAnsi="仿宋_GB2312" w:eastAsia="仿宋_GB2312" w:cs="仿宋_GB2312"/>
                <w:color w:val="auto"/>
                <w:sz w:val="22"/>
                <w:szCs w:val="22"/>
                <w:lang w:eastAsia="zh-CN"/>
              </w:rPr>
              <w:t>拨付安阳县自然资源局创建森林城市绿化建设京港澳高速城区段绿化项目（一园）到位资金</w:t>
            </w:r>
            <w:r>
              <w:rPr>
                <w:rFonts w:hint="eastAsia" w:ascii="仿宋_GB2312" w:hAnsi="仿宋_GB2312" w:eastAsia="仿宋_GB2312" w:cs="仿宋_GB2312"/>
                <w:color w:val="auto"/>
                <w:sz w:val="22"/>
                <w:szCs w:val="22"/>
                <w:lang w:val="en-US" w:eastAsia="zh-CN"/>
              </w:rPr>
              <w:t>9</w:t>
            </w:r>
            <w:r>
              <w:rPr>
                <w:rFonts w:hint="eastAsia" w:ascii="仿宋_GB2312" w:hAnsi="仿宋_GB2312" w:eastAsia="仿宋_GB2312" w:cs="仿宋_GB2312"/>
                <w:color w:val="auto"/>
                <w:sz w:val="22"/>
                <w:szCs w:val="22"/>
                <w:highlight w:val="none"/>
                <w:lang w:val="en-US" w:eastAsia="zh-CN"/>
              </w:rPr>
              <w:t>35.00</w:t>
            </w:r>
            <w:r>
              <w:rPr>
                <w:rFonts w:hint="eastAsia" w:ascii="仿宋_GB2312" w:hAnsi="仿宋_GB2312" w:eastAsia="仿宋_GB2312" w:cs="仿宋_GB2312"/>
                <w:color w:val="auto"/>
                <w:sz w:val="22"/>
                <w:szCs w:val="22"/>
                <w:highlight w:val="none"/>
              </w:rPr>
              <w:t>万元</w:t>
            </w:r>
            <w:r>
              <w:rPr>
                <w:rFonts w:hint="eastAsia" w:ascii="仿宋_GB2312" w:hAnsi="仿宋_GB2312" w:eastAsia="仿宋_GB2312" w:cs="仿宋_GB2312"/>
                <w:color w:val="auto"/>
                <w:sz w:val="22"/>
                <w:szCs w:val="22"/>
                <w:highlight w:val="none"/>
                <w:lang w:eastAsia="zh-CN"/>
              </w:rPr>
              <w:t>。</w:t>
            </w:r>
            <w:r>
              <w:rPr>
                <w:rFonts w:hint="eastAsia" w:ascii="仿宋_GB2312" w:hAnsi="仿宋_GB2312" w:eastAsia="仿宋_GB2312" w:cs="仿宋_GB2312"/>
                <w:color w:val="auto"/>
                <w:sz w:val="22"/>
                <w:szCs w:val="22"/>
              </w:rPr>
              <w:t>根据评分标准，该指标得</w:t>
            </w:r>
            <w:r>
              <w:rPr>
                <w:rFonts w:hint="eastAsia" w:ascii="仿宋_GB2312" w:hAnsi="仿宋_GB2312" w:eastAsia="仿宋_GB2312" w:cs="仿宋_GB2312"/>
                <w:color w:val="auto"/>
                <w:sz w:val="22"/>
                <w:szCs w:val="22"/>
                <w:lang w:eastAsia="zh-CN"/>
              </w:rPr>
              <w:t>满</w:t>
            </w:r>
            <w:r>
              <w:rPr>
                <w:rFonts w:hint="eastAsia" w:ascii="仿宋_GB2312" w:hAnsi="仿宋_GB2312" w:eastAsia="仿宋_GB2312" w:cs="仿宋_GB2312"/>
                <w:color w:val="auto"/>
                <w:sz w:val="22"/>
                <w:szCs w:val="22"/>
              </w:rPr>
              <w:t>分。</w:t>
            </w:r>
          </w:p>
        </w:tc>
        <w:tc>
          <w:tcPr>
            <w:tcW w:w="833" w:type="dxa"/>
            <w:vAlign w:val="center"/>
          </w:tcPr>
          <w:p>
            <w:pPr>
              <w:adjustRightInd w:val="0"/>
              <w:snapToGrid w:val="0"/>
              <w:jc w:val="center"/>
              <w:textAlignment w:val="center"/>
              <w:rPr>
                <w:rFonts w:hint="default"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2" w:hRule="atLeast"/>
          <w:jc w:val="center"/>
        </w:trPr>
        <w:tc>
          <w:tcPr>
            <w:tcW w:w="1273" w:type="dxa"/>
            <w:gridSpan w:val="2"/>
            <w:vMerge w:val="continue"/>
            <w:vAlign w:val="center"/>
          </w:tcPr>
          <w:p>
            <w:pPr>
              <w:adjustRightInd w:val="0"/>
              <w:snapToGrid w:val="0"/>
              <w:jc w:val="center"/>
              <w:rPr>
                <w:rFonts w:hint="eastAsia" w:ascii="仿宋_GB2312" w:hAnsi="仿宋_GB2312" w:eastAsia="仿宋_GB2312" w:cs="仿宋_GB2312"/>
                <w:color w:val="auto"/>
                <w:sz w:val="22"/>
                <w:szCs w:val="22"/>
              </w:rPr>
            </w:pPr>
          </w:p>
        </w:tc>
        <w:tc>
          <w:tcPr>
            <w:tcW w:w="1243" w:type="dxa"/>
            <w:gridSpan w:val="2"/>
            <w:vMerge w:val="restart"/>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组织实施B</w:t>
            </w:r>
            <w:r>
              <w:rPr>
                <w:rFonts w:hint="eastAsia" w:ascii="仿宋_GB2312" w:hAnsi="仿宋_GB2312" w:eastAsia="仿宋_GB2312" w:cs="仿宋_GB2312"/>
                <w:color w:val="auto"/>
                <w:sz w:val="22"/>
                <w:szCs w:val="22"/>
                <w:vertAlign w:val="subscript"/>
              </w:rPr>
              <w:t>3</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w:t>
            </w:r>
            <w:r>
              <w:rPr>
                <w:rFonts w:hint="eastAsia" w:ascii="仿宋_GB2312" w:hAnsi="仿宋_GB2312" w:eastAsia="仿宋_GB2312" w:cs="仿宋_GB2312"/>
                <w:color w:val="auto"/>
                <w:sz w:val="22"/>
                <w:szCs w:val="22"/>
                <w:lang w:val="en-US" w:eastAsia="zh-CN"/>
              </w:rPr>
              <w:t>4</w:t>
            </w:r>
            <w:r>
              <w:rPr>
                <w:rFonts w:hint="eastAsia" w:ascii="仿宋_GB2312" w:hAnsi="仿宋_GB2312" w:eastAsia="仿宋_GB2312" w:cs="仿宋_GB2312"/>
                <w:color w:val="auto"/>
                <w:sz w:val="22"/>
                <w:szCs w:val="22"/>
              </w:rPr>
              <w:t>分）</w:t>
            </w: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项目管理制度健全性B</w:t>
            </w:r>
            <w:r>
              <w:rPr>
                <w:rFonts w:hint="eastAsia" w:ascii="仿宋_GB2312" w:hAnsi="仿宋_GB2312" w:eastAsia="仿宋_GB2312" w:cs="仿宋_GB2312"/>
                <w:color w:val="auto"/>
                <w:sz w:val="22"/>
                <w:szCs w:val="22"/>
                <w:vertAlign w:val="subscript"/>
              </w:rPr>
              <w:t>31</w:t>
            </w:r>
          </w:p>
        </w:tc>
        <w:tc>
          <w:tcPr>
            <w:tcW w:w="856"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健全</w:t>
            </w:r>
          </w:p>
        </w:tc>
        <w:tc>
          <w:tcPr>
            <w:tcW w:w="700"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2</w:t>
            </w:r>
          </w:p>
        </w:tc>
        <w:tc>
          <w:tcPr>
            <w:tcW w:w="3335" w:type="dxa"/>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单个方向评价：</w:t>
            </w:r>
            <w:r>
              <w:rPr>
                <w:rFonts w:hint="eastAsia" w:ascii="仿宋_GB2312" w:hAnsi="仿宋_GB2312" w:eastAsia="仿宋_GB2312" w:cs="仿宋_GB2312"/>
                <w:color w:val="auto"/>
                <w:sz w:val="22"/>
                <w:szCs w:val="22"/>
              </w:rPr>
              <w:t>制定或具有相应的项目管理制度</w:t>
            </w:r>
            <w:r>
              <w:rPr>
                <w:rFonts w:hint="eastAsia" w:ascii="仿宋_GB2312" w:hAnsi="仿宋_GB2312" w:eastAsia="仿宋_GB2312" w:cs="仿宋_GB2312"/>
                <w:color w:val="auto"/>
                <w:sz w:val="22"/>
                <w:szCs w:val="22"/>
                <w:lang w:eastAsia="zh-CN"/>
              </w:rPr>
              <w:t>，得满分，否则，不得分。</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汇总评价：</w:t>
            </w:r>
            <w:r>
              <w:rPr>
                <w:rFonts w:hint="eastAsia" w:ascii="仿宋_GB2312" w:hAnsi="仿宋_GB2312" w:eastAsia="仿宋_GB2312" w:cs="仿宋_GB2312"/>
                <w:color w:val="auto"/>
                <w:sz w:val="22"/>
                <w:szCs w:val="22"/>
              </w:rPr>
              <w:t>按照单个方向得分情况，以各方向资金为权重加权求和。</w:t>
            </w:r>
          </w:p>
        </w:tc>
        <w:tc>
          <w:tcPr>
            <w:tcW w:w="4270" w:type="dxa"/>
            <w:vAlign w:val="center"/>
          </w:tcPr>
          <w:p>
            <w:pPr>
              <w:adjustRightInd w:val="0"/>
              <w:snapToGrid w:val="0"/>
              <w:spacing w:line="240" w:lineRule="auto"/>
              <w:jc w:val="both"/>
              <w:textAlignment w:val="center"/>
              <w:rPr>
                <w:rFonts w:hint="eastAsia" w:ascii="仿宋_GB2312" w:hAnsi="仿宋_GB2312" w:eastAsia="仿宋_GB2312" w:cs="仿宋_GB2312"/>
                <w:b/>
                <w:bCs/>
                <w:color w:val="auto"/>
                <w:sz w:val="22"/>
                <w:szCs w:val="22"/>
              </w:rPr>
            </w:pPr>
            <w:r>
              <w:rPr>
                <w:rFonts w:hint="eastAsia" w:ascii="仿宋_GB2312" w:hAnsi="仿宋_GB2312" w:eastAsia="仿宋_GB2312" w:cs="仿宋_GB2312"/>
                <w:color w:val="auto"/>
                <w:sz w:val="22"/>
                <w:szCs w:val="22"/>
              </w:rPr>
              <w:t>经评价组核查，</w:t>
            </w:r>
            <w:r>
              <w:rPr>
                <w:rFonts w:hint="eastAsia" w:ascii="仿宋_GB2312" w:hAnsi="仿宋_GB2312" w:eastAsia="仿宋_GB2312" w:cs="仿宋_GB2312"/>
                <w:color w:val="auto"/>
                <w:sz w:val="22"/>
                <w:szCs w:val="22"/>
                <w:lang w:eastAsia="zh-CN"/>
              </w:rPr>
              <w:t>安阳县自然资源局创建森林城市绿化建设京港澳高速城区段绿化项目（一园）</w:t>
            </w:r>
            <w:r>
              <w:rPr>
                <w:rFonts w:hint="eastAsia" w:ascii="仿宋_GB2312" w:hAnsi="仿宋_GB2312" w:eastAsia="仿宋_GB2312" w:cs="仿宋_GB2312"/>
                <w:color w:val="auto"/>
                <w:sz w:val="22"/>
                <w:szCs w:val="22"/>
              </w:rPr>
              <w:t>项目</w:t>
            </w:r>
            <w:r>
              <w:rPr>
                <w:rFonts w:hint="eastAsia" w:ascii="仿宋_GB2312" w:hAnsi="仿宋_GB2312" w:eastAsia="仿宋_GB2312" w:cs="仿宋_GB2312"/>
                <w:sz w:val="22"/>
                <w:szCs w:val="22"/>
              </w:rPr>
              <w:t>未制定具体项目管理制度及长效管理机制，在项目实施过程中，缺乏规范的制度管理作为依据，不利于该项目的高效开展</w:t>
            </w:r>
            <w:r>
              <w:rPr>
                <w:rFonts w:hint="eastAsia" w:ascii="仿宋_GB2312" w:hAnsi="仿宋_GB2312" w:eastAsia="仿宋_GB2312" w:cs="仿宋_GB2312"/>
                <w:color w:val="auto"/>
                <w:sz w:val="22"/>
                <w:szCs w:val="22"/>
                <w:highlight w:val="none"/>
                <w:lang w:eastAsia="zh-CN"/>
              </w:rPr>
              <w:t>有</w:t>
            </w:r>
            <w:r>
              <w:rPr>
                <w:rFonts w:hint="eastAsia" w:ascii="仿宋_GB2312" w:hAnsi="仿宋_GB2312" w:eastAsia="仿宋_GB2312" w:cs="仿宋_GB2312"/>
                <w:color w:val="auto"/>
                <w:sz w:val="22"/>
                <w:szCs w:val="22"/>
                <w:highlight w:val="none"/>
              </w:rPr>
              <w:t>相应</w:t>
            </w:r>
            <w:r>
              <w:rPr>
                <w:rFonts w:hint="eastAsia" w:ascii="仿宋_GB2312" w:hAnsi="仿宋_GB2312" w:eastAsia="仿宋_GB2312" w:cs="仿宋_GB2312"/>
                <w:color w:val="auto"/>
                <w:sz w:val="22"/>
                <w:szCs w:val="22"/>
              </w:rPr>
              <w:t>的项目管理制度</w:t>
            </w:r>
            <w:r>
              <w:rPr>
                <w:rFonts w:hint="eastAsia" w:ascii="仿宋_GB2312" w:hAnsi="仿宋_GB2312" w:eastAsia="仿宋_GB2312" w:cs="仿宋_GB2312"/>
                <w:color w:val="auto"/>
                <w:sz w:val="22"/>
                <w:szCs w:val="22"/>
                <w:lang w:eastAsia="zh-CN"/>
              </w:rPr>
              <w:t>。</w:t>
            </w:r>
            <w:r>
              <w:rPr>
                <w:rFonts w:hint="eastAsia" w:ascii="仿宋_GB2312" w:hAnsi="仿宋_GB2312" w:eastAsia="仿宋_GB2312" w:cs="仿宋_GB2312"/>
                <w:color w:val="auto"/>
                <w:sz w:val="22"/>
                <w:szCs w:val="22"/>
              </w:rPr>
              <w:t>根据评分标准，该指标得</w:t>
            </w:r>
            <w:r>
              <w:rPr>
                <w:rFonts w:hint="eastAsia" w:ascii="仿宋_GB2312" w:hAnsi="仿宋_GB2312" w:eastAsia="仿宋_GB2312" w:cs="仿宋_GB2312"/>
                <w:color w:val="auto"/>
                <w:sz w:val="22"/>
                <w:szCs w:val="22"/>
                <w:lang w:val="en-US" w:eastAsia="zh-CN"/>
              </w:rPr>
              <w:t>1</w:t>
            </w:r>
            <w:r>
              <w:rPr>
                <w:rFonts w:hint="eastAsia" w:ascii="仿宋_GB2312" w:hAnsi="仿宋_GB2312" w:eastAsia="仿宋_GB2312" w:cs="仿宋_GB2312"/>
                <w:color w:val="auto"/>
                <w:sz w:val="22"/>
                <w:szCs w:val="22"/>
              </w:rPr>
              <w:t>分。</w:t>
            </w:r>
          </w:p>
        </w:tc>
        <w:tc>
          <w:tcPr>
            <w:tcW w:w="833" w:type="dxa"/>
            <w:vAlign w:val="center"/>
          </w:tcPr>
          <w:p>
            <w:pPr>
              <w:adjustRightInd w:val="0"/>
              <w:snapToGrid w:val="0"/>
              <w:jc w:val="center"/>
              <w:textAlignment w:val="center"/>
              <w:rPr>
                <w:rFonts w:hint="eastAsia" w:ascii="仿宋_GB2312" w:hAnsi="仿宋_GB2312" w:eastAsia="仿宋_GB2312" w:cs="仿宋_GB2312"/>
                <w:b/>
                <w:bCs/>
                <w:color w:val="auto"/>
                <w:sz w:val="22"/>
                <w:szCs w:val="22"/>
                <w:lang w:val="en-US" w:eastAsia="zh-CN"/>
              </w:rPr>
            </w:pPr>
            <w:r>
              <w:rPr>
                <w:rFonts w:hint="eastAsia" w:ascii="仿宋_GB2312" w:hAnsi="仿宋_GB2312" w:eastAsia="仿宋_GB2312" w:cs="仿宋_GB2312"/>
                <w:b/>
                <w:bCs/>
                <w:color w:val="auto"/>
                <w:sz w:val="22"/>
                <w:szCs w:val="2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2" w:hRule="exact"/>
          <w:jc w:val="center"/>
        </w:trPr>
        <w:tc>
          <w:tcPr>
            <w:tcW w:w="1273" w:type="dxa"/>
            <w:gridSpan w:val="2"/>
            <w:vMerge w:val="continue"/>
            <w:vAlign w:val="center"/>
          </w:tcPr>
          <w:p>
            <w:pPr>
              <w:adjustRightInd w:val="0"/>
              <w:snapToGrid w:val="0"/>
              <w:jc w:val="center"/>
              <w:rPr>
                <w:rFonts w:hint="eastAsia" w:ascii="仿宋_GB2312" w:hAnsi="仿宋_GB2312" w:eastAsia="仿宋_GB2312" w:cs="仿宋_GB2312"/>
                <w:color w:val="auto"/>
                <w:sz w:val="22"/>
                <w:szCs w:val="22"/>
              </w:rPr>
            </w:pPr>
          </w:p>
        </w:tc>
        <w:tc>
          <w:tcPr>
            <w:tcW w:w="1243" w:type="dxa"/>
            <w:gridSpan w:val="2"/>
            <w:vMerge w:val="continue"/>
            <w:vAlign w:val="center"/>
          </w:tcPr>
          <w:p>
            <w:pPr>
              <w:adjustRightInd w:val="0"/>
              <w:snapToGrid w:val="0"/>
              <w:jc w:val="center"/>
              <w:rPr>
                <w:rFonts w:hint="eastAsia" w:ascii="仿宋_GB2312" w:hAnsi="仿宋_GB2312" w:eastAsia="仿宋_GB2312" w:cs="仿宋_GB2312"/>
                <w:color w:val="auto"/>
                <w:sz w:val="22"/>
                <w:szCs w:val="22"/>
              </w:rPr>
            </w:pP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项目验收规范性B</w:t>
            </w:r>
            <w:r>
              <w:rPr>
                <w:rFonts w:hint="eastAsia" w:ascii="仿宋_GB2312" w:hAnsi="仿宋_GB2312" w:eastAsia="仿宋_GB2312" w:cs="仿宋_GB2312"/>
                <w:color w:val="auto"/>
                <w:sz w:val="22"/>
                <w:szCs w:val="22"/>
                <w:vertAlign w:val="subscript"/>
              </w:rPr>
              <w:t>32</w:t>
            </w:r>
          </w:p>
        </w:tc>
        <w:tc>
          <w:tcPr>
            <w:tcW w:w="856"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规范</w:t>
            </w:r>
          </w:p>
        </w:tc>
        <w:tc>
          <w:tcPr>
            <w:tcW w:w="700" w:type="dxa"/>
            <w:gridSpan w:val="2"/>
            <w:vAlign w:val="center"/>
          </w:tcPr>
          <w:p>
            <w:pPr>
              <w:adjustRightInd w:val="0"/>
              <w:snapToGrid w:val="0"/>
              <w:jc w:val="center"/>
              <w:rPr>
                <w:rFonts w:hint="eastAsia" w:ascii="仿宋_GB2312" w:hAnsi="仿宋_GB2312" w:eastAsia="仿宋_GB2312" w:cs="仿宋_GB2312"/>
                <w:color w:val="auto"/>
                <w:sz w:val="22"/>
                <w:szCs w:val="22"/>
                <w:lang w:eastAsia="zh-CN"/>
              </w:rPr>
            </w:pPr>
            <w:r>
              <w:rPr>
                <w:rFonts w:hint="eastAsia" w:ascii="仿宋_GB2312" w:hAnsi="仿宋_GB2312" w:eastAsia="仿宋_GB2312" w:cs="仿宋_GB2312"/>
                <w:color w:val="auto"/>
                <w:sz w:val="22"/>
                <w:szCs w:val="22"/>
                <w:lang w:val="en-US" w:eastAsia="zh-CN"/>
              </w:rPr>
              <w:t>2</w:t>
            </w:r>
          </w:p>
        </w:tc>
        <w:tc>
          <w:tcPr>
            <w:tcW w:w="3335" w:type="dxa"/>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单个方向评价：</w:t>
            </w:r>
            <w:r>
              <w:rPr>
                <w:rFonts w:hint="eastAsia" w:ascii="仿宋_GB2312" w:hAnsi="仿宋_GB2312" w:eastAsia="仿宋_GB2312" w:cs="仿宋_GB2312"/>
                <w:color w:val="auto"/>
                <w:sz w:val="22"/>
                <w:szCs w:val="22"/>
              </w:rPr>
              <w:t>①项目评审公平公正，按要求进行过公示；②项目验收过程严格按照管理办法中流程执行；③项目实施过程严格按照管理制度要求执行。要素</w:t>
            </w:r>
            <w:r>
              <w:rPr>
                <w:rFonts w:hint="eastAsia" w:ascii="仿宋_GB2312" w:hAnsi="仿宋_GB2312" w:eastAsia="仿宋_GB2312" w:cs="仿宋_GB2312"/>
                <w:color w:val="auto"/>
                <w:sz w:val="22"/>
                <w:szCs w:val="22"/>
              </w:rPr>
              <w:fldChar w:fldCharType="begin"/>
            </w:r>
            <w:r>
              <w:rPr>
                <w:rFonts w:hint="eastAsia" w:ascii="仿宋_GB2312" w:hAnsi="仿宋_GB2312" w:eastAsia="仿宋_GB2312" w:cs="仿宋_GB2312"/>
                <w:color w:val="auto"/>
                <w:sz w:val="22"/>
                <w:szCs w:val="22"/>
              </w:rPr>
              <w:instrText xml:space="preserve"> = 1 \* GB3 </w:instrText>
            </w:r>
            <w:r>
              <w:rPr>
                <w:rFonts w:hint="eastAsia" w:ascii="仿宋_GB2312" w:hAnsi="仿宋_GB2312" w:eastAsia="仿宋_GB2312" w:cs="仿宋_GB2312"/>
                <w:color w:val="auto"/>
                <w:sz w:val="22"/>
                <w:szCs w:val="22"/>
              </w:rPr>
              <w:fldChar w:fldCharType="separate"/>
            </w:r>
            <w:r>
              <w:rPr>
                <w:rFonts w:hint="eastAsia" w:ascii="仿宋_GB2312" w:hAnsi="仿宋_GB2312" w:eastAsia="仿宋_GB2312" w:cs="仿宋_GB2312"/>
                <w:color w:val="auto"/>
                <w:sz w:val="22"/>
                <w:szCs w:val="22"/>
              </w:rPr>
              <w:t>①</w:t>
            </w:r>
            <w:r>
              <w:rPr>
                <w:rFonts w:hint="eastAsia" w:ascii="仿宋_GB2312" w:hAnsi="仿宋_GB2312" w:eastAsia="仿宋_GB2312" w:cs="仿宋_GB2312"/>
                <w:color w:val="auto"/>
                <w:sz w:val="22"/>
                <w:szCs w:val="22"/>
              </w:rPr>
              <w:fldChar w:fldCharType="end"/>
            </w:r>
            <w:r>
              <w:rPr>
                <w:rFonts w:hint="eastAsia" w:ascii="仿宋_GB2312" w:hAnsi="仿宋_GB2312" w:eastAsia="仿宋_GB2312" w:cs="仿宋_GB2312"/>
                <w:color w:val="auto"/>
                <w:sz w:val="22"/>
                <w:szCs w:val="22"/>
              </w:rPr>
              <w:fldChar w:fldCharType="begin"/>
            </w:r>
            <w:r>
              <w:rPr>
                <w:rFonts w:hint="eastAsia" w:ascii="仿宋_GB2312" w:hAnsi="仿宋_GB2312" w:eastAsia="仿宋_GB2312" w:cs="仿宋_GB2312"/>
                <w:color w:val="auto"/>
                <w:sz w:val="22"/>
                <w:szCs w:val="22"/>
              </w:rPr>
              <w:instrText xml:space="preserve"> = 2 \* GB3 </w:instrText>
            </w:r>
            <w:r>
              <w:rPr>
                <w:rFonts w:hint="eastAsia" w:ascii="仿宋_GB2312" w:hAnsi="仿宋_GB2312" w:eastAsia="仿宋_GB2312" w:cs="仿宋_GB2312"/>
                <w:color w:val="auto"/>
                <w:sz w:val="22"/>
                <w:szCs w:val="22"/>
              </w:rPr>
              <w:fldChar w:fldCharType="separate"/>
            </w:r>
            <w:r>
              <w:rPr>
                <w:rFonts w:hint="eastAsia" w:ascii="仿宋_GB2312" w:hAnsi="仿宋_GB2312" w:eastAsia="仿宋_GB2312" w:cs="仿宋_GB2312"/>
                <w:color w:val="auto"/>
                <w:sz w:val="22"/>
                <w:szCs w:val="22"/>
              </w:rPr>
              <w:t>②</w:t>
            </w:r>
            <w:r>
              <w:rPr>
                <w:rFonts w:hint="eastAsia" w:ascii="仿宋_GB2312" w:hAnsi="仿宋_GB2312" w:eastAsia="仿宋_GB2312" w:cs="仿宋_GB2312"/>
                <w:color w:val="auto"/>
                <w:sz w:val="22"/>
                <w:szCs w:val="22"/>
              </w:rPr>
              <w:fldChar w:fldCharType="end"/>
            </w:r>
            <w:r>
              <w:rPr>
                <w:rFonts w:hint="eastAsia" w:ascii="仿宋_GB2312" w:hAnsi="仿宋_GB2312" w:eastAsia="仿宋_GB2312" w:cs="仿宋_GB2312"/>
                <w:color w:val="auto"/>
                <w:sz w:val="22"/>
                <w:szCs w:val="22"/>
              </w:rPr>
              <w:t>各占30%权重分，要素</w:t>
            </w:r>
            <w:r>
              <w:rPr>
                <w:rFonts w:hint="eastAsia" w:ascii="仿宋_GB2312" w:hAnsi="仿宋_GB2312" w:eastAsia="仿宋_GB2312" w:cs="仿宋_GB2312"/>
                <w:color w:val="auto"/>
                <w:sz w:val="22"/>
                <w:szCs w:val="22"/>
              </w:rPr>
              <w:fldChar w:fldCharType="begin"/>
            </w:r>
            <w:r>
              <w:rPr>
                <w:rFonts w:hint="eastAsia" w:ascii="仿宋_GB2312" w:hAnsi="仿宋_GB2312" w:eastAsia="仿宋_GB2312" w:cs="仿宋_GB2312"/>
                <w:color w:val="auto"/>
                <w:sz w:val="22"/>
                <w:szCs w:val="22"/>
              </w:rPr>
              <w:instrText xml:space="preserve"> = 3 \* GB3 </w:instrText>
            </w:r>
            <w:r>
              <w:rPr>
                <w:rFonts w:hint="eastAsia" w:ascii="仿宋_GB2312" w:hAnsi="仿宋_GB2312" w:eastAsia="仿宋_GB2312" w:cs="仿宋_GB2312"/>
                <w:color w:val="auto"/>
                <w:sz w:val="22"/>
                <w:szCs w:val="22"/>
              </w:rPr>
              <w:fldChar w:fldCharType="separate"/>
            </w:r>
            <w:r>
              <w:rPr>
                <w:rFonts w:hint="eastAsia" w:ascii="仿宋_GB2312" w:hAnsi="仿宋_GB2312" w:eastAsia="仿宋_GB2312" w:cs="仿宋_GB2312"/>
                <w:color w:val="auto"/>
                <w:sz w:val="22"/>
                <w:szCs w:val="22"/>
              </w:rPr>
              <w:t>③</w:t>
            </w:r>
            <w:r>
              <w:rPr>
                <w:rFonts w:hint="eastAsia" w:ascii="仿宋_GB2312" w:hAnsi="仿宋_GB2312" w:eastAsia="仿宋_GB2312" w:cs="仿宋_GB2312"/>
                <w:color w:val="auto"/>
                <w:sz w:val="22"/>
                <w:szCs w:val="22"/>
              </w:rPr>
              <w:fldChar w:fldCharType="end"/>
            </w:r>
            <w:r>
              <w:rPr>
                <w:rFonts w:hint="eastAsia" w:ascii="仿宋_GB2312" w:hAnsi="仿宋_GB2312" w:eastAsia="仿宋_GB2312" w:cs="仿宋_GB2312"/>
                <w:color w:val="auto"/>
                <w:sz w:val="22"/>
                <w:szCs w:val="22"/>
              </w:rPr>
              <w:t>占40%权重分，符合相关要素得满分，否则不得分。</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汇总评价：</w:t>
            </w:r>
            <w:r>
              <w:rPr>
                <w:rFonts w:hint="eastAsia" w:ascii="仿宋_GB2312" w:hAnsi="仿宋_GB2312" w:eastAsia="仿宋_GB2312" w:cs="仿宋_GB2312"/>
                <w:color w:val="auto"/>
                <w:sz w:val="22"/>
                <w:szCs w:val="22"/>
              </w:rPr>
              <w:t>按照单个方向得分情况，以各方向资金为权重加权求和。</w:t>
            </w:r>
          </w:p>
        </w:tc>
        <w:tc>
          <w:tcPr>
            <w:tcW w:w="4270" w:type="dxa"/>
            <w:vAlign w:val="center"/>
          </w:tcPr>
          <w:p>
            <w:pPr>
              <w:adjustRightInd w:val="0"/>
              <w:snapToGrid w:val="0"/>
              <w:textAlignment w:val="center"/>
              <w:rPr>
                <w:rFonts w:hint="eastAsia" w:ascii="仿宋_GB2312" w:hAnsi="仿宋_GB2312" w:eastAsia="仿宋_GB2312" w:cs="仿宋_GB2312"/>
                <w:b/>
                <w:bCs/>
                <w:color w:val="auto"/>
                <w:sz w:val="22"/>
                <w:szCs w:val="22"/>
              </w:rPr>
            </w:pPr>
            <w:r>
              <w:rPr>
                <w:rFonts w:hint="eastAsia" w:ascii="仿宋_GB2312" w:hAnsi="仿宋_GB2312" w:eastAsia="仿宋_GB2312" w:cs="仿宋_GB2312"/>
                <w:color w:val="auto"/>
                <w:sz w:val="22"/>
                <w:szCs w:val="22"/>
              </w:rPr>
              <w:t>经评价组核查：①</w:t>
            </w:r>
            <w:r>
              <w:rPr>
                <w:rFonts w:hint="eastAsia" w:ascii="仿宋_GB2312" w:hAnsi="仿宋_GB2312" w:eastAsia="仿宋_GB2312" w:cs="仿宋_GB2312"/>
                <w:color w:val="auto"/>
                <w:sz w:val="22"/>
                <w:szCs w:val="22"/>
                <w:lang w:eastAsia="zh-CN"/>
              </w:rPr>
              <w:t>安阳县自然资源局创建森林城市绿化建设京港澳高速城区段绿化项目（一园）进行公</w:t>
            </w:r>
            <w:r>
              <w:rPr>
                <w:rFonts w:hint="eastAsia" w:ascii="仿宋_GB2312" w:hAnsi="仿宋_GB2312" w:eastAsia="仿宋_GB2312" w:cs="仿宋_GB2312"/>
                <w:color w:val="auto"/>
                <w:sz w:val="22"/>
                <w:szCs w:val="22"/>
              </w:rPr>
              <w:t>示</w:t>
            </w:r>
            <w:r>
              <w:rPr>
                <w:rFonts w:hint="eastAsia" w:ascii="仿宋_GB2312" w:hAnsi="仿宋_GB2312" w:eastAsia="仿宋_GB2312" w:cs="仿宋_GB2312"/>
                <w:color w:val="auto"/>
                <w:sz w:val="22"/>
                <w:szCs w:val="22"/>
                <w:lang w:eastAsia="zh-CN"/>
              </w:rPr>
              <w:t>补助金额和户名及电费量；</w:t>
            </w:r>
            <w:r>
              <w:rPr>
                <w:rFonts w:hint="eastAsia" w:ascii="仿宋_GB2312" w:hAnsi="仿宋_GB2312" w:eastAsia="仿宋_GB2312" w:cs="仿宋_GB2312"/>
                <w:color w:val="auto"/>
                <w:sz w:val="22"/>
                <w:szCs w:val="22"/>
              </w:rPr>
              <w:t>②</w:t>
            </w:r>
            <w:r>
              <w:rPr>
                <w:rFonts w:hint="eastAsia" w:ascii="仿宋_GB2312" w:hAnsi="仿宋_GB2312" w:eastAsia="仿宋_GB2312" w:cs="仿宋_GB2312"/>
                <w:color w:val="auto"/>
                <w:sz w:val="22"/>
                <w:szCs w:val="22"/>
                <w:lang w:eastAsia="zh-CN"/>
              </w:rPr>
              <w:t>安阳县自然资源局创建森林城市绿化建设京港澳高速城区段绿化项目（一园）</w:t>
            </w:r>
            <w:r>
              <w:rPr>
                <w:rFonts w:hint="eastAsia" w:ascii="仿宋_GB2312" w:hAnsi="仿宋_GB2312" w:eastAsia="仿宋_GB2312" w:cs="仿宋_GB2312"/>
                <w:color w:val="auto"/>
                <w:sz w:val="22"/>
                <w:szCs w:val="22"/>
                <w:highlight w:val="none"/>
                <w:lang w:eastAsia="zh-CN"/>
              </w:rPr>
              <w:t>严格按照管理办法中流程执行；</w:t>
            </w:r>
            <w:r>
              <w:rPr>
                <w:rFonts w:hint="eastAsia" w:ascii="仿宋_GB2312" w:hAnsi="仿宋_GB2312" w:eastAsia="仿宋_GB2312" w:cs="仿宋_GB2312"/>
                <w:color w:val="auto"/>
                <w:sz w:val="22"/>
                <w:szCs w:val="22"/>
                <w:highlight w:val="none"/>
              </w:rPr>
              <w:fldChar w:fldCharType="begin"/>
            </w:r>
            <w:r>
              <w:rPr>
                <w:rFonts w:hint="eastAsia" w:ascii="仿宋_GB2312" w:hAnsi="仿宋_GB2312" w:eastAsia="仿宋_GB2312" w:cs="仿宋_GB2312"/>
                <w:color w:val="auto"/>
                <w:sz w:val="22"/>
                <w:szCs w:val="22"/>
                <w:highlight w:val="none"/>
              </w:rPr>
              <w:instrText xml:space="preserve"> = 3 \* GB3 </w:instrText>
            </w:r>
            <w:r>
              <w:rPr>
                <w:rFonts w:hint="eastAsia" w:ascii="仿宋_GB2312" w:hAnsi="仿宋_GB2312" w:eastAsia="仿宋_GB2312" w:cs="仿宋_GB2312"/>
                <w:color w:val="auto"/>
                <w:sz w:val="22"/>
                <w:szCs w:val="22"/>
                <w:highlight w:val="none"/>
              </w:rPr>
              <w:fldChar w:fldCharType="separate"/>
            </w:r>
            <w:r>
              <w:rPr>
                <w:rFonts w:hint="eastAsia" w:ascii="仿宋_GB2312" w:hAnsi="仿宋_GB2312" w:eastAsia="仿宋_GB2312" w:cs="仿宋_GB2312"/>
                <w:color w:val="auto"/>
                <w:sz w:val="22"/>
                <w:szCs w:val="22"/>
                <w:highlight w:val="none"/>
              </w:rPr>
              <w:t>③</w:t>
            </w:r>
            <w:r>
              <w:rPr>
                <w:rFonts w:hint="eastAsia" w:ascii="仿宋_GB2312" w:hAnsi="仿宋_GB2312" w:eastAsia="仿宋_GB2312" w:cs="仿宋_GB2312"/>
                <w:color w:val="auto"/>
                <w:sz w:val="22"/>
                <w:szCs w:val="22"/>
                <w:highlight w:val="none"/>
              </w:rPr>
              <w:fldChar w:fldCharType="end"/>
            </w:r>
            <w:r>
              <w:rPr>
                <w:rFonts w:hint="eastAsia" w:ascii="仿宋_GB2312" w:hAnsi="仿宋_GB2312" w:eastAsia="仿宋_GB2312" w:cs="仿宋_GB2312"/>
                <w:color w:val="auto"/>
                <w:sz w:val="22"/>
                <w:szCs w:val="22"/>
                <w:highlight w:val="none"/>
                <w:lang w:eastAsia="zh-CN"/>
              </w:rPr>
              <w:t>严格按照验收管理制度要求执行。</w:t>
            </w:r>
            <w:r>
              <w:rPr>
                <w:rFonts w:hint="eastAsia" w:ascii="仿宋_GB2312" w:hAnsi="仿宋_GB2312" w:eastAsia="仿宋_GB2312" w:cs="仿宋_GB2312"/>
                <w:color w:val="auto"/>
                <w:sz w:val="22"/>
                <w:szCs w:val="22"/>
                <w:highlight w:val="none"/>
              </w:rPr>
              <w:t>根据评分标</w:t>
            </w:r>
            <w:r>
              <w:rPr>
                <w:rFonts w:hint="eastAsia" w:ascii="仿宋_GB2312" w:hAnsi="仿宋_GB2312" w:eastAsia="仿宋_GB2312" w:cs="仿宋_GB2312"/>
                <w:color w:val="auto"/>
                <w:sz w:val="22"/>
                <w:szCs w:val="22"/>
                <w:highlight w:val="none"/>
                <w:lang w:eastAsia="zh-CN"/>
              </w:rPr>
              <w:t>准，</w:t>
            </w:r>
            <w:r>
              <w:rPr>
                <w:rFonts w:hint="eastAsia" w:ascii="仿宋_GB2312" w:hAnsi="仿宋_GB2312" w:eastAsia="仿宋_GB2312" w:cs="仿宋_GB2312"/>
                <w:color w:val="auto"/>
                <w:sz w:val="22"/>
                <w:szCs w:val="22"/>
                <w:highlight w:val="none"/>
              </w:rPr>
              <w:t>该指标得</w:t>
            </w:r>
            <w:r>
              <w:rPr>
                <w:rFonts w:hint="eastAsia" w:ascii="仿宋_GB2312" w:hAnsi="仿宋_GB2312" w:eastAsia="仿宋_GB2312" w:cs="仿宋_GB2312"/>
                <w:color w:val="auto"/>
                <w:sz w:val="22"/>
                <w:szCs w:val="22"/>
                <w:highlight w:val="none"/>
                <w:lang w:val="en-US" w:eastAsia="zh-CN"/>
              </w:rPr>
              <w:t>2</w:t>
            </w:r>
            <w:r>
              <w:rPr>
                <w:rFonts w:hint="eastAsia" w:ascii="仿宋_GB2312" w:hAnsi="仿宋_GB2312" w:eastAsia="仿宋_GB2312" w:cs="仿宋_GB2312"/>
                <w:color w:val="auto"/>
                <w:sz w:val="22"/>
                <w:szCs w:val="22"/>
                <w:highlight w:val="none"/>
              </w:rPr>
              <w:t>分。</w:t>
            </w:r>
          </w:p>
        </w:tc>
        <w:tc>
          <w:tcPr>
            <w:tcW w:w="833" w:type="dxa"/>
            <w:vAlign w:val="center"/>
          </w:tcPr>
          <w:p>
            <w:pPr>
              <w:adjustRightInd w:val="0"/>
              <w:snapToGrid w:val="0"/>
              <w:jc w:val="center"/>
              <w:textAlignment w:val="center"/>
              <w:rPr>
                <w:rFonts w:hint="eastAsia" w:ascii="仿宋_GB2312" w:hAnsi="仿宋_GB2312" w:eastAsia="仿宋_GB2312" w:cs="仿宋_GB2312"/>
                <w:b/>
                <w:bCs/>
                <w:color w:val="auto"/>
                <w:sz w:val="22"/>
                <w:szCs w:val="22"/>
                <w:lang w:val="en-US" w:eastAsia="zh-CN"/>
              </w:rPr>
            </w:pPr>
            <w:r>
              <w:rPr>
                <w:rFonts w:hint="eastAsia" w:ascii="仿宋_GB2312" w:hAnsi="仿宋_GB2312" w:eastAsia="仿宋_GB2312" w:cs="仿宋_GB2312"/>
                <w:color w:val="auto"/>
                <w:sz w:val="22"/>
                <w:szCs w:val="22"/>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273" w:type="dxa"/>
            <w:gridSpan w:val="2"/>
            <w:vMerge w:val="restart"/>
            <w:tcBorders>
              <w:bottom w:val="nil"/>
            </w:tcBorders>
            <w:vAlign w:val="center"/>
          </w:tcPr>
          <w:p>
            <w:pPr>
              <w:adjustRightInd w:val="0"/>
              <w:snapToGrid w:val="0"/>
              <w:jc w:val="center"/>
              <w:rPr>
                <w:rFonts w:hint="eastAsia" w:ascii="仿宋_GB2312" w:hAnsi="仿宋_GB2312" w:eastAsia="仿宋_GB2312" w:cs="仿宋_GB2312"/>
                <w:color w:val="auto"/>
                <w:sz w:val="22"/>
                <w:szCs w:val="22"/>
              </w:rPr>
            </w:pPr>
          </w:p>
        </w:tc>
        <w:tc>
          <w:tcPr>
            <w:tcW w:w="1243" w:type="dxa"/>
            <w:gridSpan w:val="2"/>
            <w:vMerge w:val="restart"/>
            <w:vAlign w:val="center"/>
          </w:tcPr>
          <w:p>
            <w:pPr>
              <w:adjustRightInd w:val="0"/>
              <w:snapToGrid w:val="0"/>
              <w:jc w:val="center"/>
              <w:rPr>
                <w:rFonts w:hint="eastAsia" w:ascii="仿宋_GB2312" w:hAnsi="仿宋_GB2312" w:eastAsia="仿宋_GB2312" w:cs="仿宋_GB2312"/>
                <w:color w:val="auto"/>
                <w:sz w:val="22"/>
                <w:szCs w:val="22"/>
              </w:rPr>
            </w:pPr>
          </w:p>
          <w:p>
            <w:pPr>
              <w:adjustRightInd w:val="0"/>
              <w:snapToGrid w:val="0"/>
              <w:jc w:val="center"/>
              <w:rPr>
                <w:rFonts w:hint="eastAsia" w:ascii="仿宋_GB2312" w:hAnsi="仿宋_GB2312" w:eastAsia="仿宋_GB2312" w:cs="仿宋_GB2312"/>
                <w:color w:val="auto"/>
                <w:sz w:val="22"/>
                <w:szCs w:val="22"/>
              </w:rPr>
            </w:pP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数量指标C</w:t>
            </w:r>
            <w:r>
              <w:rPr>
                <w:rFonts w:hint="eastAsia" w:ascii="仿宋_GB2312" w:hAnsi="仿宋_GB2312" w:eastAsia="仿宋_GB2312" w:cs="仿宋_GB2312"/>
                <w:color w:val="auto"/>
                <w:sz w:val="22"/>
                <w:szCs w:val="22"/>
                <w:vertAlign w:val="subscript"/>
              </w:rPr>
              <w:t>1</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w:t>
            </w:r>
            <w:r>
              <w:rPr>
                <w:rFonts w:hint="eastAsia" w:ascii="仿宋_GB2312" w:hAnsi="仿宋_GB2312" w:eastAsia="仿宋_GB2312" w:cs="仿宋_GB2312"/>
                <w:color w:val="auto"/>
                <w:sz w:val="22"/>
                <w:szCs w:val="22"/>
                <w:lang w:val="en-US" w:eastAsia="zh-CN"/>
              </w:rPr>
              <w:t>10</w:t>
            </w:r>
            <w:r>
              <w:rPr>
                <w:rFonts w:hint="eastAsia" w:ascii="仿宋_GB2312" w:hAnsi="仿宋_GB2312" w:eastAsia="仿宋_GB2312" w:cs="仿宋_GB2312"/>
                <w:color w:val="auto"/>
                <w:sz w:val="22"/>
                <w:szCs w:val="22"/>
              </w:rPr>
              <w:t>分）</w:t>
            </w:r>
          </w:p>
          <w:p>
            <w:pPr>
              <w:adjustRightInd w:val="0"/>
              <w:snapToGrid w:val="0"/>
              <w:jc w:val="center"/>
              <w:rPr>
                <w:rFonts w:hint="eastAsia" w:ascii="仿宋_GB2312" w:hAnsi="仿宋_GB2312" w:eastAsia="仿宋_GB2312" w:cs="仿宋_GB2312"/>
                <w:color w:val="auto"/>
                <w:sz w:val="22"/>
                <w:szCs w:val="22"/>
              </w:rPr>
            </w:pP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i w:val="0"/>
                <w:iCs w:val="0"/>
                <w:color w:val="auto"/>
                <w:sz w:val="24"/>
                <w:szCs w:val="24"/>
                <w:u w:val="none"/>
                <w:lang w:eastAsia="zh-CN"/>
              </w:rPr>
              <w:t>总建设面积</w:t>
            </w:r>
            <w:r>
              <w:rPr>
                <w:rFonts w:hint="eastAsia" w:ascii="仿宋_GB2312" w:hAnsi="仿宋_GB2312" w:eastAsia="仿宋_GB2312" w:cs="仿宋_GB2312"/>
                <w:color w:val="auto"/>
                <w:sz w:val="22"/>
                <w:szCs w:val="22"/>
              </w:rPr>
              <w:t>C</w:t>
            </w:r>
            <w:r>
              <w:rPr>
                <w:rFonts w:hint="eastAsia" w:ascii="仿宋_GB2312" w:hAnsi="仿宋_GB2312" w:eastAsia="仿宋_GB2312" w:cs="仿宋_GB2312"/>
                <w:color w:val="auto"/>
                <w:sz w:val="22"/>
                <w:szCs w:val="22"/>
                <w:vertAlign w:val="subscript"/>
              </w:rPr>
              <w:t>11</w:t>
            </w:r>
          </w:p>
        </w:tc>
        <w:tc>
          <w:tcPr>
            <w:tcW w:w="856" w:type="dxa"/>
            <w:gridSpan w:val="2"/>
            <w:vAlign w:val="center"/>
          </w:tcPr>
          <w:p>
            <w:pPr>
              <w:adjustRightInd w:val="0"/>
              <w:snapToGrid w:val="0"/>
              <w:jc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i w:val="0"/>
                <w:iCs w:val="0"/>
                <w:color w:val="auto"/>
                <w:sz w:val="24"/>
                <w:szCs w:val="24"/>
                <w:u w:val="none"/>
              </w:rPr>
              <w:t>439736.95㎡</w:t>
            </w:r>
          </w:p>
        </w:tc>
        <w:tc>
          <w:tcPr>
            <w:tcW w:w="700" w:type="dxa"/>
            <w:gridSpan w:val="2"/>
            <w:vAlign w:val="center"/>
          </w:tcPr>
          <w:p>
            <w:pPr>
              <w:adjustRightInd w:val="0"/>
              <w:snapToGrid w:val="0"/>
              <w:jc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5</w:t>
            </w:r>
          </w:p>
        </w:tc>
        <w:tc>
          <w:tcPr>
            <w:tcW w:w="3335" w:type="dxa"/>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该指标得分采用完成率考核，</w:t>
            </w:r>
            <w:r>
              <w:rPr>
                <w:rFonts w:hint="eastAsia" w:ascii="仿宋_GB2312" w:hAnsi="仿宋_GB2312" w:eastAsia="仿宋_GB2312" w:cs="仿宋_GB2312"/>
                <w:color w:val="auto"/>
                <w:sz w:val="22"/>
                <w:szCs w:val="22"/>
                <w:lang w:eastAsia="zh-CN"/>
              </w:rPr>
              <w:t>完成</w:t>
            </w:r>
            <w:r>
              <w:rPr>
                <w:rFonts w:hint="eastAsia" w:ascii="仿宋_GB2312" w:hAnsi="仿宋_GB2312" w:eastAsia="仿宋_GB2312" w:cs="仿宋_GB2312"/>
                <w:color w:val="auto"/>
                <w:sz w:val="22"/>
                <w:szCs w:val="22"/>
                <w:lang w:val="en-US" w:eastAsia="zh-CN"/>
              </w:rPr>
              <w:t>100%</w:t>
            </w:r>
            <w:r>
              <w:rPr>
                <w:rFonts w:hint="eastAsia" w:ascii="仿宋_GB2312" w:hAnsi="仿宋_GB2312" w:eastAsia="仿宋_GB2312" w:cs="仿宋_GB2312"/>
                <w:color w:val="auto"/>
                <w:sz w:val="22"/>
                <w:szCs w:val="22"/>
              </w:rPr>
              <w:t>得满分，</w:t>
            </w:r>
            <w:r>
              <w:rPr>
                <w:rFonts w:hint="eastAsia" w:ascii="仿宋_GB2312" w:hAnsi="仿宋_GB2312" w:eastAsia="仿宋_GB2312" w:cs="仿宋_GB2312"/>
                <w:color w:val="auto"/>
                <w:sz w:val="22"/>
                <w:szCs w:val="22"/>
                <w:lang w:eastAsia="zh-CN"/>
              </w:rPr>
              <w:t>未完成酌情得分</w:t>
            </w:r>
            <w:r>
              <w:rPr>
                <w:rFonts w:hint="eastAsia" w:ascii="仿宋_GB2312" w:hAnsi="仿宋_GB2312" w:eastAsia="仿宋_GB2312" w:cs="仿宋_GB2312"/>
                <w:color w:val="auto"/>
                <w:sz w:val="22"/>
                <w:szCs w:val="22"/>
              </w:rPr>
              <w:t>。</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实际完成率=（实际产出数/计划产出数）×100%。</w:t>
            </w:r>
          </w:p>
          <w:p>
            <w:pPr>
              <w:adjustRightInd w:val="0"/>
              <w:snapToGrid w:val="0"/>
              <w:rPr>
                <w:rFonts w:hint="eastAsia" w:ascii="仿宋_GB2312" w:hAnsi="仿宋_GB2312" w:eastAsia="仿宋_GB2312" w:cs="仿宋_GB2312"/>
                <w:color w:val="auto"/>
                <w:sz w:val="22"/>
                <w:szCs w:val="22"/>
              </w:rPr>
            </w:pPr>
          </w:p>
        </w:tc>
        <w:tc>
          <w:tcPr>
            <w:tcW w:w="4270" w:type="dxa"/>
            <w:vAlign w:val="center"/>
          </w:tcPr>
          <w:p>
            <w:pPr>
              <w:adjustRightInd w:val="0"/>
              <w:snapToGrid w:val="0"/>
              <w:textAlignment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根据</w:t>
            </w:r>
            <w:r>
              <w:rPr>
                <w:rFonts w:hint="eastAsia" w:ascii="仿宋_GB2312" w:hAnsi="仿宋_GB2312" w:eastAsia="仿宋_GB2312" w:cs="仿宋_GB2312"/>
                <w:color w:val="auto"/>
                <w:sz w:val="22"/>
                <w:szCs w:val="22"/>
                <w:lang w:eastAsia="zh-CN"/>
              </w:rPr>
              <w:t>自然资源局</w:t>
            </w:r>
            <w:r>
              <w:rPr>
                <w:rFonts w:hint="eastAsia" w:ascii="仿宋_GB2312" w:hAnsi="仿宋_GB2312" w:eastAsia="仿宋_GB2312" w:cs="仿宋_GB2312"/>
                <w:color w:val="auto"/>
                <w:sz w:val="22"/>
                <w:szCs w:val="22"/>
              </w:rPr>
              <w:t>提供的基础数据表、佐证材料等，经评价组核查：</w:t>
            </w:r>
            <w:r>
              <w:rPr>
                <w:rFonts w:hint="eastAsia" w:ascii="仿宋_GB2312" w:hAnsi="仿宋_GB2312" w:eastAsia="仿宋_GB2312" w:cs="仿宋_GB2312"/>
                <w:color w:val="auto"/>
                <w:sz w:val="22"/>
                <w:szCs w:val="22"/>
                <w:lang w:eastAsia="zh-CN"/>
              </w:rPr>
              <w:t>应完成总建设面积</w:t>
            </w:r>
            <w:r>
              <w:rPr>
                <w:rFonts w:hint="eastAsia" w:ascii="仿宋_GB2312" w:hAnsi="仿宋_GB2312" w:eastAsia="仿宋_GB2312" w:cs="仿宋_GB2312"/>
                <w:i w:val="0"/>
                <w:iCs w:val="0"/>
                <w:color w:val="auto"/>
                <w:sz w:val="24"/>
                <w:szCs w:val="24"/>
                <w:u w:val="none"/>
              </w:rPr>
              <w:t>439736.95㎡</w:t>
            </w:r>
            <w:r>
              <w:rPr>
                <w:rFonts w:hint="eastAsia" w:ascii="仿宋_GB2312" w:hAnsi="仿宋_GB2312" w:eastAsia="仿宋_GB2312" w:cs="仿宋_GB2312"/>
                <w:i w:val="0"/>
                <w:iCs w:val="0"/>
                <w:color w:val="auto"/>
                <w:sz w:val="24"/>
                <w:szCs w:val="24"/>
                <w:u w:val="none"/>
                <w:lang w:eastAsia="zh-CN"/>
              </w:rPr>
              <w:t>，实际完成</w:t>
            </w:r>
            <w:r>
              <w:rPr>
                <w:rFonts w:hint="eastAsia" w:ascii="仿宋_GB2312" w:hAnsi="仿宋_GB2312" w:eastAsia="仿宋_GB2312" w:cs="仿宋_GB2312"/>
                <w:i w:val="0"/>
                <w:iCs w:val="0"/>
                <w:color w:val="auto"/>
                <w:sz w:val="24"/>
                <w:szCs w:val="24"/>
                <w:u w:val="none"/>
              </w:rPr>
              <w:t>439736.95㎡</w:t>
            </w:r>
            <w:r>
              <w:rPr>
                <w:rFonts w:hint="eastAsia" w:ascii="仿宋_GB2312" w:hAnsi="仿宋_GB2312" w:eastAsia="仿宋_GB2312" w:cs="仿宋_GB2312"/>
                <w:color w:val="auto"/>
                <w:sz w:val="22"/>
                <w:szCs w:val="22"/>
                <w:lang w:val="en-US" w:eastAsia="zh-CN"/>
              </w:rPr>
              <w:t>。</w:t>
            </w:r>
            <w:r>
              <w:rPr>
                <w:rFonts w:hint="eastAsia" w:ascii="仿宋_GB2312" w:hAnsi="仿宋_GB2312" w:eastAsia="仿宋_GB2312" w:cs="仿宋_GB2312"/>
                <w:color w:val="auto"/>
                <w:sz w:val="22"/>
                <w:szCs w:val="22"/>
                <w:lang w:eastAsia="zh-CN"/>
              </w:rPr>
              <w:t>完成率</w:t>
            </w:r>
            <w:r>
              <w:rPr>
                <w:rFonts w:hint="eastAsia" w:ascii="仿宋_GB2312" w:hAnsi="仿宋_GB2312" w:eastAsia="仿宋_GB2312" w:cs="仿宋_GB2312"/>
                <w:color w:val="auto"/>
                <w:sz w:val="22"/>
                <w:szCs w:val="22"/>
                <w:highlight w:val="none"/>
                <w:lang w:eastAsia="zh-CN"/>
              </w:rPr>
              <w:t>为</w:t>
            </w:r>
            <w:r>
              <w:rPr>
                <w:rFonts w:hint="eastAsia" w:ascii="仿宋_GB2312" w:hAnsi="仿宋_GB2312" w:eastAsia="仿宋_GB2312" w:cs="仿宋_GB2312"/>
                <w:color w:val="auto"/>
                <w:sz w:val="22"/>
                <w:szCs w:val="22"/>
                <w:highlight w:val="none"/>
                <w:lang w:val="en-US" w:eastAsia="zh-CN"/>
              </w:rPr>
              <w:t>100.00</w:t>
            </w:r>
            <w:r>
              <w:rPr>
                <w:rFonts w:hint="eastAsia" w:ascii="仿宋_GB2312" w:hAnsi="仿宋_GB2312" w:eastAsia="仿宋_GB2312" w:cs="仿宋_GB2312"/>
                <w:color w:val="auto"/>
                <w:sz w:val="22"/>
                <w:szCs w:val="22"/>
                <w:highlight w:val="none"/>
              </w:rPr>
              <w:t>%</w:t>
            </w:r>
            <w:r>
              <w:rPr>
                <w:rFonts w:hint="eastAsia" w:ascii="仿宋_GB2312" w:hAnsi="仿宋_GB2312" w:eastAsia="仿宋_GB2312" w:cs="仿宋_GB2312"/>
                <w:color w:val="auto"/>
                <w:sz w:val="22"/>
                <w:szCs w:val="22"/>
              </w:rPr>
              <w:t>，根据评分标准，该指标得</w:t>
            </w:r>
            <w:r>
              <w:rPr>
                <w:rFonts w:hint="eastAsia" w:ascii="仿宋_GB2312" w:hAnsi="仿宋_GB2312" w:eastAsia="仿宋_GB2312" w:cs="仿宋_GB2312"/>
                <w:color w:val="auto"/>
                <w:sz w:val="22"/>
                <w:szCs w:val="22"/>
                <w:lang w:val="en-US" w:eastAsia="zh-CN"/>
              </w:rPr>
              <w:t>5</w:t>
            </w:r>
            <w:r>
              <w:rPr>
                <w:rFonts w:hint="eastAsia" w:ascii="仿宋_GB2312" w:hAnsi="仿宋_GB2312" w:eastAsia="仿宋_GB2312" w:cs="仿宋_GB2312"/>
                <w:color w:val="auto"/>
                <w:sz w:val="22"/>
                <w:szCs w:val="22"/>
              </w:rPr>
              <w:t>分。</w:t>
            </w:r>
          </w:p>
        </w:tc>
        <w:tc>
          <w:tcPr>
            <w:tcW w:w="833" w:type="dxa"/>
            <w:vAlign w:val="center"/>
          </w:tcPr>
          <w:p>
            <w:pPr>
              <w:adjustRightInd w:val="0"/>
              <w:snapToGrid w:val="0"/>
              <w:jc w:val="center"/>
              <w:textAlignment w:val="center"/>
              <w:rPr>
                <w:rFonts w:hint="default"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1" w:hRule="atLeast"/>
          <w:jc w:val="center"/>
        </w:trPr>
        <w:tc>
          <w:tcPr>
            <w:tcW w:w="1273" w:type="dxa"/>
            <w:gridSpan w:val="2"/>
            <w:vMerge w:val="continue"/>
            <w:tcBorders>
              <w:top w:val="nil"/>
              <w:bottom w:val="nil"/>
            </w:tcBorders>
            <w:vAlign w:val="center"/>
          </w:tcPr>
          <w:p>
            <w:pPr>
              <w:adjustRightInd w:val="0"/>
              <w:snapToGrid w:val="0"/>
              <w:jc w:val="center"/>
              <w:rPr>
                <w:rFonts w:hint="eastAsia" w:ascii="仿宋_GB2312" w:hAnsi="仿宋_GB2312" w:eastAsia="仿宋_GB2312" w:cs="仿宋_GB2312"/>
                <w:color w:val="auto"/>
                <w:sz w:val="22"/>
                <w:szCs w:val="22"/>
              </w:rPr>
            </w:pPr>
          </w:p>
        </w:tc>
        <w:tc>
          <w:tcPr>
            <w:tcW w:w="1243" w:type="dxa"/>
            <w:gridSpan w:val="2"/>
            <w:vMerge w:val="continue"/>
            <w:vAlign w:val="center"/>
          </w:tcPr>
          <w:p>
            <w:pPr>
              <w:adjustRightInd w:val="0"/>
              <w:snapToGrid w:val="0"/>
              <w:jc w:val="center"/>
              <w:rPr>
                <w:rFonts w:hint="eastAsia" w:ascii="仿宋_GB2312" w:hAnsi="仿宋_GB2312" w:eastAsia="仿宋_GB2312" w:cs="仿宋_GB2312"/>
                <w:color w:val="auto"/>
                <w:sz w:val="22"/>
                <w:szCs w:val="22"/>
              </w:rPr>
            </w:pPr>
          </w:p>
        </w:tc>
        <w:tc>
          <w:tcPr>
            <w:tcW w:w="1654" w:type="dxa"/>
            <w:gridSpan w:val="2"/>
            <w:tcBorders>
              <w:bottom w:val="single" w:color="auto" w:sz="4" w:space="0"/>
            </w:tcBorders>
            <w:vAlign w:val="center"/>
          </w:tcPr>
          <w:p>
            <w:pPr>
              <w:adjustRightInd w:val="0"/>
              <w:snapToGrid w:val="0"/>
              <w:jc w:val="center"/>
              <w:rPr>
                <w:rFonts w:hint="eastAsia" w:ascii="仿宋_GB2312" w:hAnsi="仿宋_GB2312" w:eastAsia="仿宋_GB2312" w:cs="仿宋_GB2312"/>
                <w:color w:val="auto"/>
                <w:sz w:val="22"/>
                <w:szCs w:val="22"/>
                <w:highlight w:val="yellow"/>
              </w:rPr>
            </w:pPr>
            <w:r>
              <w:rPr>
                <w:rFonts w:hint="eastAsia" w:ascii="仿宋_GB2312" w:hAnsi="仿宋_GB2312" w:eastAsia="仿宋_GB2312" w:cs="仿宋_GB2312"/>
                <w:i w:val="0"/>
                <w:iCs w:val="0"/>
                <w:color w:val="auto"/>
                <w:sz w:val="24"/>
                <w:szCs w:val="24"/>
                <w:highlight w:val="none"/>
                <w:u w:val="none"/>
              </w:rPr>
              <w:t>水域面积</w:t>
            </w:r>
            <w:r>
              <w:rPr>
                <w:rFonts w:hint="eastAsia" w:ascii="仿宋_GB2312" w:hAnsi="仿宋_GB2312" w:eastAsia="仿宋_GB2312" w:cs="仿宋_GB2312"/>
                <w:color w:val="auto"/>
                <w:sz w:val="22"/>
                <w:szCs w:val="22"/>
                <w:highlight w:val="none"/>
              </w:rPr>
              <w:t>C</w:t>
            </w:r>
            <w:r>
              <w:rPr>
                <w:rFonts w:hint="eastAsia" w:ascii="仿宋_GB2312" w:hAnsi="仿宋_GB2312" w:eastAsia="仿宋_GB2312" w:cs="仿宋_GB2312"/>
                <w:color w:val="auto"/>
                <w:sz w:val="22"/>
                <w:szCs w:val="22"/>
                <w:highlight w:val="none"/>
                <w:vertAlign w:val="subscript"/>
              </w:rPr>
              <w:t>12</w:t>
            </w:r>
          </w:p>
        </w:tc>
        <w:tc>
          <w:tcPr>
            <w:tcW w:w="856" w:type="dxa"/>
            <w:gridSpan w:val="2"/>
            <w:tcBorders>
              <w:bottom w:val="single" w:color="auto" w:sz="4" w:space="0"/>
            </w:tcBorders>
            <w:vAlign w:val="center"/>
          </w:tcPr>
          <w:p>
            <w:pPr>
              <w:adjustRightInd w:val="0"/>
              <w:snapToGrid w:val="0"/>
              <w:jc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i w:val="0"/>
                <w:iCs w:val="0"/>
                <w:color w:val="auto"/>
                <w:sz w:val="24"/>
                <w:szCs w:val="24"/>
                <w:u w:val="none"/>
              </w:rPr>
              <w:t>约63.90亩</w:t>
            </w:r>
          </w:p>
        </w:tc>
        <w:tc>
          <w:tcPr>
            <w:tcW w:w="700" w:type="dxa"/>
            <w:gridSpan w:val="2"/>
            <w:tcBorders>
              <w:bottom w:val="single" w:color="auto" w:sz="4" w:space="0"/>
            </w:tcBorders>
            <w:vAlign w:val="center"/>
          </w:tcPr>
          <w:p>
            <w:pPr>
              <w:adjustRightInd w:val="0"/>
              <w:snapToGrid w:val="0"/>
              <w:jc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5</w:t>
            </w:r>
          </w:p>
        </w:tc>
        <w:tc>
          <w:tcPr>
            <w:tcW w:w="3335" w:type="dxa"/>
            <w:tcBorders>
              <w:bottom w:val="single" w:color="auto" w:sz="4" w:space="0"/>
            </w:tcBorders>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该指标得分采用完成率考核，</w:t>
            </w:r>
            <w:r>
              <w:rPr>
                <w:rFonts w:hint="eastAsia" w:ascii="仿宋_GB2312" w:hAnsi="仿宋_GB2312" w:eastAsia="仿宋_GB2312" w:cs="仿宋_GB2312"/>
                <w:color w:val="auto"/>
                <w:sz w:val="22"/>
                <w:szCs w:val="22"/>
                <w:lang w:eastAsia="zh-CN"/>
              </w:rPr>
              <w:t>完成</w:t>
            </w:r>
            <w:r>
              <w:rPr>
                <w:rFonts w:hint="eastAsia" w:ascii="仿宋_GB2312" w:hAnsi="仿宋_GB2312" w:eastAsia="仿宋_GB2312" w:cs="仿宋_GB2312"/>
                <w:color w:val="auto"/>
                <w:sz w:val="22"/>
                <w:szCs w:val="22"/>
                <w:lang w:val="en-US" w:eastAsia="zh-CN"/>
              </w:rPr>
              <w:t>100%</w:t>
            </w:r>
            <w:r>
              <w:rPr>
                <w:rFonts w:hint="eastAsia" w:ascii="仿宋_GB2312" w:hAnsi="仿宋_GB2312" w:eastAsia="仿宋_GB2312" w:cs="仿宋_GB2312"/>
                <w:color w:val="auto"/>
                <w:sz w:val="22"/>
                <w:szCs w:val="22"/>
              </w:rPr>
              <w:t>得满分，</w:t>
            </w:r>
            <w:r>
              <w:rPr>
                <w:rFonts w:hint="eastAsia" w:ascii="仿宋_GB2312" w:hAnsi="仿宋_GB2312" w:eastAsia="仿宋_GB2312" w:cs="仿宋_GB2312"/>
                <w:color w:val="auto"/>
                <w:sz w:val="22"/>
                <w:szCs w:val="22"/>
                <w:lang w:eastAsia="zh-CN"/>
              </w:rPr>
              <w:t>未完成酌情得分</w:t>
            </w:r>
            <w:r>
              <w:rPr>
                <w:rFonts w:hint="eastAsia" w:ascii="仿宋_GB2312" w:hAnsi="仿宋_GB2312" w:eastAsia="仿宋_GB2312" w:cs="仿宋_GB2312"/>
                <w:color w:val="auto"/>
                <w:sz w:val="22"/>
                <w:szCs w:val="22"/>
              </w:rPr>
              <w:t>。</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实际完成率=（实际产出数/计划产出数）×100%。</w:t>
            </w:r>
          </w:p>
          <w:p>
            <w:pPr>
              <w:adjustRightInd w:val="0"/>
              <w:snapToGrid w:val="0"/>
              <w:rPr>
                <w:rFonts w:hint="eastAsia" w:ascii="仿宋_GB2312" w:hAnsi="仿宋_GB2312" w:eastAsia="仿宋_GB2312" w:cs="仿宋_GB2312"/>
                <w:color w:val="auto"/>
                <w:sz w:val="22"/>
                <w:szCs w:val="22"/>
              </w:rPr>
            </w:pPr>
          </w:p>
        </w:tc>
        <w:tc>
          <w:tcPr>
            <w:tcW w:w="4270" w:type="dxa"/>
            <w:tcBorders>
              <w:bottom w:val="single" w:color="auto" w:sz="4" w:space="0"/>
            </w:tcBorders>
            <w:vAlign w:val="center"/>
          </w:tcPr>
          <w:p>
            <w:pPr>
              <w:adjustRightInd w:val="0"/>
              <w:snapToGrid w:val="0"/>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rPr>
              <w:t>根据</w:t>
            </w:r>
            <w:r>
              <w:rPr>
                <w:rFonts w:hint="eastAsia" w:ascii="仿宋_GB2312" w:hAnsi="仿宋_GB2312" w:eastAsia="仿宋_GB2312" w:cs="仿宋_GB2312"/>
                <w:color w:val="auto"/>
                <w:sz w:val="22"/>
                <w:szCs w:val="22"/>
                <w:highlight w:val="none"/>
                <w:lang w:eastAsia="zh-CN"/>
              </w:rPr>
              <w:t>自然资源局</w:t>
            </w:r>
            <w:r>
              <w:rPr>
                <w:rFonts w:hint="eastAsia" w:ascii="仿宋_GB2312" w:hAnsi="仿宋_GB2312" w:eastAsia="仿宋_GB2312" w:cs="仿宋_GB2312"/>
                <w:color w:val="auto"/>
                <w:sz w:val="22"/>
                <w:szCs w:val="22"/>
                <w:highlight w:val="none"/>
              </w:rPr>
              <w:t>提供的基础数据表、佐证材料等，经评价组核查：</w:t>
            </w:r>
            <w:r>
              <w:rPr>
                <w:rFonts w:hint="eastAsia" w:ascii="仿宋_GB2312" w:hAnsi="仿宋_GB2312" w:eastAsia="仿宋_GB2312" w:cs="仿宋_GB2312"/>
                <w:color w:val="auto"/>
                <w:sz w:val="22"/>
                <w:szCs w:val="22"/>
                <w:highlight w:val="none"/>
                <w:lang w:eastAsia="zh-CN"/>
              </w:rPr>
              <w:t>应完成</w:t>
            </w:r>
            <w:r>
              <w:rPr>
                <w:rFonts w:hint="eastAsia" w:ascii="仿宋_GB2312" w:hAnsi="仿宋_GB2312" w:eastAsia="仿宋_GB2312" w:cs="仿宋_GB2312"/>
                <w:i w:val="0"/>
                <w:iCs w:val="0"/>
                <w:color w:val="auto"/>
                <w:sz w:val="24"/>
                <w:szCs w:val="24"/>
                <w:highlight w:val="none"/>
                <w:u w:val="none"/>
              </w:rPr>
              <w:t>水域面积</w:t>
            </w:r>
            <w:r>
              <w:rPr>
                <w:rFonts w:hint="eastAsia" w:ascii="仿宋_GB2312" w:hAnsi="仿宋_GB2312" w:eastAsia="仿宋_GB2312" w:cs="仿宋_GB2312"/>
                <w:i w:val="0"/>
                <w:iCs w:val="0"/>
                <w:color w:val="auto"/>
                <w:sz w:val="24"/>
                <w:szCs w:val="24"/>
                <w:u w:val="none"/>
              </w:rPr>
              <w:t>约63.90亩</w:t>
            </w:r>
            <w:r>
              <w:rPr>
                <w:rFonts w:hint="eastAsia" w:ascii="仿宋_GB2312" w:hAnsi="仿宋_GB2312" w:eastAsia="仿宋_GB2312" w:cs="仿宋_GB2312"/>
                <w:color w:val="auto"/>
                <w:sz w:val="22"/>
                <w:szCs w:val="22"/>
                <w:highlight w:val="none"/>
                <w:lang w:val="en-US" w:eastAsia="zh-CN"/>
              </w:rPr>
              <w:t>，实际</w:t>
            </w:r>
            <w:r>
              <w:rPr>
                <w:rFonts w:hint="eastAsia" w:ascii="仿宋_GB2312" w:hAnsi="仿宋_GB2312" w:eastAsia="仿宋_GB2312" w:cs="仿宋_GB2312"/>
                <w:color w:val="auto"/>
                <w:sz w:val="22"/>
                <w:szCs w:val="22"/>
                <w:highlight w:val="none"/>
                <w:lang w:eastAsia="zh-CN"/>
              </w:rPr>
              <w:t>完成</w:t>
            </w:r>
            <w:r>
              <w:rPr>
                <w:rFonts w:hint="eastAsia" w:ascii="仿宋_GB2312" w:hAnsi="仿宋_GB2312" w:eastAsia="仿宋_GB2312" w:cs="仿宋_GB2312"/>
                <w:i w:val="0"/>
                <w:iCs w:val="0"/>
                <w:color w:val="auto"/>
                <w:sz w:val="24"/>
                <w:szCs w:val="24"/>
                <w:highlight w:val="none"/>
                <w:u w:val="none"/>
              </w:rPr>
              <w:t>水域面积</w:t>
            </w:r>
            <w:r>
              <w:rPr>
                <w:rFonts w:hint="eastAsia" w:ascii="仿宋_GB2312" w:hAnsi="仿宋_GB2312" w:eastAsia="仿宋_GB2312" w:cs="仿宋_GB2312"/>
                <w:i w:val="0"/>
                <w:iCs w:val="0"/>
                <w:color w:val="auto"/>
                <w:sz w:val="24"/>
                <w:szCs w:val="24"/>
                <w:u w:val="none"/>
              </w:rPr>
              <w:t>约63.90亩</w:t>
            </w:r>
            <w:r>
              <w:rPr>
                <w:rFonts w:hint="eastAsia" w:ascii="仿宋_GB2312" w:hAnsi="仿宋_GB2312" w:eastAsia="仿宋_GB2312" w:cs="仿宋_GB2312"/>
                <w:color w:val="auto"/>
                <w:sz w:val="22"/>
                <w:szCs w:val="22"/>
                <w:highlight w:val="none"/>
                <w:lang w:val="en-US" w:eastAsia="zh-CN"/>
              </w:rPr>
              <w:t>。</w:t>
            </w:r>
            <w:r>
              <w:rPr>
                <w:rFonts w:hint="eastAsia" w:ascii="仿宋_GB2312" w:hAnsi="仿宋_GB2312" w:eastAsia="仿宋_GB2312" w:cs="仿宋_GB2312"/>
                <w:color w:val="auto"/>
                <w:sz w:val="22"/>
                <w:szCs w:val="22"/>
                <w:highlight w:val="none"/>
                <w:lang w:eastAsia="zh-CN"/>
              </w:rPr>
              <w:t>完成率为</w:t>
            </w:r>
            <w:r>
              <w:rPr>
                <w:rFonts w:hint="eastAsia" w:ascii="仿宋_GB2312" w:hAnsi="仿宋_GB2312" w:eastAsia="仿宋_GB2312" w:cs="仿宋_GB2312"/>
                <w:color w:val="auto"/>
                <w:sz w:val="22"/>
                <w:szCs w:val="22"/>
                <w:highlight w:val="none"/>
                <w:lang w:val="en-US" w:eastAsia="zh-CN"/>
              </w:rPr>
              <w:t>100.00</w:t>
            </w:r>
            <w:r>
              <w:rPr>
                <w:rFonts w:hint="eastAsia" w:ascii="仿宋_GB2312" w:hAnsi="仿宋_GB2312" w:eastAsia="仿宋_GB2312" w:cs="仿宋_GB2312"/>
                <w:color w:val="auto"/>
                <w:sz w:val="22"/>
                <w:szCs w:val="22"/>
                <w:highlight w:val="none"/>
              </w:rPr>
              <w:t>%，根据评分标准，该指标得</w:t>
            </w:r>
            <w:r>
              <w:rPr>
                <w:rFonts w:hint="eastAsia" w:ascii="仿宋_GB2312" w:hAnsi="仿宋_GB2312" w:eastAsia="仿宋_GB2312" w:cs="仿宋_GB2312"/>
                <w:color w:val="auto"/>
                <w:sz w:val="22"/>
                <w:szCs w:val="22"/>
                <w:highlight w:val="none"/>
                <w:lang w:val="en-US" w:eastAsia="zh-CN"/>
              </w:rPr>
              <w:t>5</w:t>
            </w:r>
            <w:r>
              <w:rPr>
                <w:rFonts w:hint="eastAsia" w:ascii="仿宋_GB2312" w:hAnsi="仿宋_GB2312" w:eastAsia="仿宋_GB2312" w:cs="仿宋_GB2312"/>
                <w:color w:val="auto"/>
                <w:sz w:val="22"/>
                <w:szCs w:val="22"/>
                <w:highlight w:val="none"/>
              </w:rPr>
              <w:t>分。</w:t>
            </w:r>
          </w:p>
        </w:tc>
        <w:tc>
          <w:tcPr>
            <w:tcW w:w="833" w:type="dxa"/>
            <w:tcBorders>
              <w:bottom w:val="single" w:color="auto" w:sz="4" w:space="0"/>
            </w:tcBorders>
            <w:vAlign w:val="center"/>
          </w:tcPr>
          <w:p>
            <w:pPr>
              <w:adjustRightInd w:val="0"/>
              <w:snapToGrid w:val="0"/>
              <w:jc w:val="center"/>
              <w:textAlignment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7" w:hRule="atLeast"/>
          <w:jc w:val="center"/>
        </w:trPr>
        <w:tc>
          <w:tcPr>
            <w:tcW w:w="1273" w:type="dxa"/>
            <w:gridSpan w:val="2"/>
            <w:vMerge w:val="continue"/>
            <w:tcBorders>
              <w:bottom w:val="nil"/>
            </w:tcBorders>
            <w:vAlign w:val="center"/>
          </w:tcPr>
          <w:p>
            <w:pPr>
              <w:adjustRightInd w:val="0"/>
              <w:snapToGrid w:val="0"/>
              <w:jc w:val="center"/>
              <w:rPr>
                <w:rFonts w:hint="eastAsia" w:ascii="仿宋_GB2312" w:hAnsi="仿宋_GB2312" w:eastAsia="仿宋_GB2312" w:cs="仿宋_GB2312"/>
                <w:color w:val="auto"/>
                <w:sz w:val="22"/>
                <w:szCs w:val="22"/>
              </w:rPr>
            </w:pPr>
          </w:p>
        </w:tc>
        <w:tc>
          <w:tcPr>
            <w:tcW w:w="1243" w:type="dxa"/>
            <w:gridSpan w:val="2"/>
            <w:tcBorders>
              <w:top w:val="single" w:color="auto" w:sz="4" w:space="0"/>
              <w:bottom w:val="single" w:color="auto" w:sz="4" w:space="0"/>
            </w:tcBorders>
            <w:vAlign w:val="center"/>
          </w:tcPr>
          <w:p>
            <w:pPr>
              <w:adjustRightInd w:val="0"/>
              <w:snapToGrid w:val="0"/>
              <w:jc w:val="center"/>
              <w:rPr>
                <w:rFonts w:hint="eastAsia" w:ascii="仿宋_GB2312" w:hAnsi="仿宋_GB2312" w:eastAsia="仿宋_GB2312" w:cs="仿宋_GB2312"/>
                <w:color w:val="auto"/>
                <w:sz w:val="22"/>
                <w:szCs w:val="22"/>
              </w:rPr>
            </w:pPr>
          </w:p>
          <w:p>
            <w:pPr>
              <w:adjustRightInd w:val="0"/>
              <w:snapToGrid w:val="0"/>
              <w:jc w:val="center"/>
              <w:rPr>
                <w:rFonts w:hint="eastAsia" w:ascii="仿宋_GB2312" w:hAnsi="仿宋_GB2312" w:eastAsia="仿宋_GB2312" w:cs="仿宋_GB2312"/>
                <w:color w:val="auto"/>
                <w:sz w:val="22"/>
                <w:szCs w:val="22"/>
              </w:rPr>
            </w:pPr>
          </w:p>
          <w:p>
            <w:pPr>
              <w:adjustRightInd w:val="0"/>
              <w:snapToGrid w:val="0"/>
              <w:jc w:val="center"/>
              <w:rPr>
                <w:rFonts w:hint="eastAsia" w:ascii="仿宋_GB2312" w:hAnsi="仿宋_GB2312" w:eastAsia="仿宋_GB2312" w:cs="仿宋_GB2312"/>
                <w:color w:val="auto"/>
                <w:sz w:val="22"/>
                <w:szCs w:val="22"/>
              </w:rPr>
            </w:pPr>
          </w:p>
          <w:p>
            <w:pPr>
              <w:adjustRightInd w:val="0"/>
              <w:snapToGrid w:val="0"/>
              <w:jc w:val="center"/>
              <w:rPr>
                <w:rFonts w:hint="eastAsia" w:ascii="仿宋_GB2312" w:hAnsi="仿宋_GB2312" w:eastAsia="仿宋_GB2312" w:cs="仿宋_GB2312"/>
                <w:color w:val="auto"/>
                <w:sz w:val="22"/>
                <w:szCs w:val="22"/>
              </w:rPr>
            </w:pPr>
          </w:p>
          <w:p>
            <w:pPr>
              <w:adjustRightInd w:val="0"/>
              <w:snapToGrid w:val="0"/>
              <w:jc w:val="center"/>
              <w:rPr>
                <w:rFonts w:hint="eastAsia" w:ascii="仿宋_GB2312" w:hAnsi="仿宋_GB2312" w:eastAsia="仿宋_GB2312" w:cs="仿宋_GB2312"/>
                <w:color w:val="auto"/>
                <w:sz w:val="22"/>
                <w:szCs w:val="22"/>
              </w:rPr>
            </w:pP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质量指标C</w:t>
            </w:r>
            <w:r>
              <w:rPr>
                <w:rFonts w:hint="eastAsia" w:ascii="仿宋_GB2312" w:hAnsi="仿宋_GB2312" w:eastAsia="仿宋_GB2312" w:cs="仿宋_GB2312"/>
                <w:color w:val="auto"/>
                <w:sz w:val="22"/>
                <w:szCs w:val="22"/>
                <w:vertAlign w:val="subscript"/>
              </w:rPr>
              <w:t>2</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w:t>
            </w:r>
            <w:r>
              <w:rPr>
                <w:rFonts w:hint="eastAsia" w:ascii="仿宋_GB2312" w:hAnsi="仿宋_GB2312" w:eastAsia="仿宋_GB2312" w:cs="仿宋_GB2312"/>
                <w:color w:val="auto"/>
                <w:sz w:val="22"/>
                <w:szCs w:val="22"/>
                <w:lang w:val="en-US" w:eastAsia="zh-CN"/>
              </w:rPr>
              <w:t>10</w:t>
            </w:r>
            <w:r>
              <w:rPr>
                <w:rFonts w:hint="eastAsia" w:ascii="仿宋_GB2312" w:hAnsi="仿宋_GB2312" w:eastAsia="仿宋_GB2312" w:cs="仿宋_GB2312"/>
                <w:color w:val="auto"/>
                <w:sz w:val="22"/>
                <w:szCs w:val="22"/>
              </w:rPr>
              <w:t>分）</w:t>
            </w:r>
          </w:p>
          <w:p>
            <w:pPr>
              <w:adjustRightInd w:val="0"/>
              <w:snapToGrid w:val="0"/>
              <w:jc w:val="center"/>
              <w:rPr>
                <w:rFonts w:hint="eastAsia" w:ascii="仿宋_GB2312" w:hAnsi="仿宋_GB2312" w:eastAsia="仿宋_GB2312" w:cs="仿宋_GB2312"/>
                <w:color w:val="auto"/>
                <w:sz w:val="22"/>
                <w:szCs w:val="22"/>
              </w:rPr>
            </w:pPr>
          </w:p>
        </w:tc>
        <w:tc>
          <w:tcPr>
            <w:tcW w:w="1654" w:type="dxa"/>
            <w:gridSpan w:val="2"/>
            <w:tcBorders>
              <w:top w:val="single" w:color="auto" w:sz="4" w:space="0"/>
            </w:tcBorders>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lang w:eastAsia="zh-CN"/>
              </w:rPr>
              <w:t>森林城市绿化覆盖率</w:t>
            </w:r>
            <w:r>
              <w:rPr>
                <w:rFonts w:hint="eastAsia" w:ascii="仿宋_GB2312" w:hAnsi="仿宋_GB2312" w:eastAsia="仿宋_GB2312" w:cs="仿宋_GB2312"/>
                <w:color w:val="auto"/>
                <w:sz w:val="22"/>
                <w:szCs w:val="22"/>
              </w:rPr>
              <w:t>C</w:t>
            </w:r>
            <w:r>
              <w:rPr>
                <w:rFonts w:hint="eastAsia" w:ascii="仿宋_GB2312" w:hAnsi="仿宋_GB2312" w:eastAsia="仿宋_GB2312" w:cs="仿宋_GB2312"/>
                <w:color w:val="auto"/>
                <w:sz w:val="22"/>
                <w:szCs w:val="22"/>
                <w:vertAlign w:val="subscript"/>
              </w:rPr>
              <w:t>21</w:t>
            </w:r>
          </w:p>
        </w:tc>
        <w:tc>
          <w:tcPr>
            <w:tcW w:w="856" w:type="dxa"/>
            <w:gridSpan w:val="2"/>
            <w:tcBorders>
              <w:top w:val="single" w:color="auto" w:sz="4" w:space="0"/>
            </w:tcBorders>
            <w:vAlign w:val="center"/>
          </w:tcPr>
          <w:p>
            <w:pPr>
              <w:adjustRightInd w:val="0"/>
              <w:snapToGrid w:val="0"/>
              <w:jc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100%</w:t>
            </w:r>
          </w:p>
        </w:tc>
        <w:tc>
          <w:tcPr>
            <w:tcW w:w="700" w:type="dxa"/>
            <w:gridSpan w:val="2"/>
            <w:tcBorders>
              <w:top w:val="single" w:color="auto" w:sz="4" w:space="0"/>
            </w:tcBorders>
            <w:vAlign w:val="center"/>
          </w:tcPr>
          <w:p>
            <w:pPr>
              <w:adjustRightInd w:val="0"/>
              <w:snapToGrid w:val="0"/>
              <w:jc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3</w:t>
            </w:r>
          </w:p>
        </w:tc>
        <w:tc>
          <w:tcPr>
            <w:tcW w:w="3335" w:type="dxa"/>
            <w:tcBorders>
              <w:top w:val="single" w:color="auto" w:sz="4" w:space="0"/>
            </w:tcBorders>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textAlignment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eastAsia="zh-CN"/>
              </w:rPr>
              <w:t>完成</w:t>
            </w:r>
            <w:r>
              <w:rPr>
                <w:rFonts w:hint="eastAsia" w:ascii="仿宋_GB2312" w:hAnsi="仿宋_GB2312" w:eastAsia="仿宋_GB2312" w:cs="仿宋_GB2312"/>
                <w:color w:val="auto"/>
                <w:sz w:val="22"/>
                <w:szCs w:val="22"/>
                <w:lang w:val="en-US" w:eastAsia="zh-CN"/>
              </w:rPr>
              <w:t>100%以上的得满分，否则，酌情得分。</w:t>
            </w:r>
          </w:p>
          <w:p>
            <w:pPr>
              <w:adjustRightInd w:val="0"/>
              <w:snapToGrid w:val="0"/>
              <w:textAlignment w:val="center"/>
              <w:rPr>
                <w:rFonts w:hint="eastAsia" w:ascii="仿宋_GB2312" w:hAnsi="仿宋_GB2312" w:eastAsia="仿宋_GB2312" w:cs="仿宋_GB2312"/>
                <w:color w:val="auto"/>
                <w:sz w:val="36"/>
                <w:szCs w:val="36"/>
              </w:rPr>
            </w:pPr>
          </w:p>
        </w:tc>
        <w:tc>
          <w:tcPr>
            <w:tcW w:w="4270" w:type="dxa"/>
            <w:tcBorders>
              <w:top w:val="single" w:color="auto" w:sz="4" w:space="0"/>
            </w:tcBorders>
            <w:vAlign w:val="center"/>
          </w:tcPr>
          <w:p>
            <w:pPr>
              <w:adjustRightInd w:val="0"/>
              <w:snapToGrid w:val="0"/>
              <w:textAlignment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根据</w:t>
            </w:r>
            <w:r>
              <w:rPr>
                <w:rFonts w:hint="eastAsia" w:ascii="仿宋_GB2312" w:hAnsi="仿宋_GB2312" w:eastAsia="仿宋_GB2312" w:cs="仿宋_GB2312"/>
                <w:color w:val="auto"/>
                <w:sz w:val="22"/>
                <w:szCs w:val="22"/>
                <w:lang w:eastAsia="zh-CN"/>
              </w:rPr>
              <w:t>自然资源局</w:t>
            </w:r>
            <w:r>
              <w:rPr>
                <w:rFonts w:hint="eastAsia" w:ascii="仿宋_GB2312" w:hAnsi="仿宋_GB2312" w:eastAsia="仿宋_GB2312" w:cs="仿宋_GB2312"/>
                <w:color w:val="auto"/>
                <w:sz w:val="22"/>
                <w:szCs w:val="22"/>
              </w:rPr>
              <w:t>提供的基础数据表、佐证材料等，经评价组核查：</w:t>
            </w:r>
            <w:r>
              <w:rPr>
                <w:rFonts w:hint="eastAsia" w:ascii="仿宋_GB2312" w:hAnsi="仿宋_GB2312" w:eastAsia="仿宋_GB2312" w:cs="仿宋_GB2312"/>
                <w:color w:val="auto"/>
                <w:sz w:val="22"/>
                <w:szCs w:val="22"/>
                <w:lang w:eastAsia="zh-CN"/>
              </w:rPr>
              <w:t>安阳县自然资源局绿化不到位，园区内垃圾桶存在损坏及乱摆放等问题。</w:t>
            </w:r>
            <w:r>
              <w:rPr>
                <w:rFonts w:hint="eastAsia" w:ascii="仿宋_GB2312" w:hAnsi="仿宋_GB2312" w:eastAsia="仿宋_GB2312" w:cs="仿宋_GB2312"/>
                <w:color w:val="auto"/>
                <w:sz w:val="22"/>
                <w:szCs w:val="22"/>
              </w:rPr>
              <w:t>综上，</w:t>
            </w:r>
            <w:r>
              <w:rPr>
                <w:rFonts w:hint="eastAsia" w:ascii="仿宋_GB2312" w:hAnsi="仿宋_GB2312" w:eastAsia="仿宋_GB2312" w:cs="仿宋_GB2312"/>
                <w:color w:val="auto"/>
                <w:sz w:val="22"/>
                <w:szCs w:val="22"/>
                <w:highlight w:val="none"/>
              </w:rPr>
              <w:t>根据评分标准</w:t>
            </w:r>
            <w:r>
              <w:rPr>
                <w:rFonts w:hint="eastAsia" w:ascii="仿宋_GB2312" w:hAnsi="仿宋_GB2312" w:eastAsia="仿宋_GB2312" w:cs="仿宋_GB2312"/>
                <w:color w:val="auto"/>
                <w:sz w:val="22"/>
                <w:szCs w:val="22"/>
                <w:highlight w:val="none"/>
                <w:lang w:eastAsia="zh-CN"/>
              </w:rPr>
              <w:t>，</w:t>
            </w:r>
            <w:r>
              <w:rPr>
                <w:rFonts w:hint="eastAsia" w:ascii="仿宋_GB2312" w:hAnsi="仿宋_GB2312" w:eastAsia="仿宋_GB2312" w:cs="仿宋_GB2312"/>
                <w:color w:val="auto"/>
                <w:sz w:val="22"/>
                <w:szCs w:val="22"/>
              </w:rPr>
              <w:t>该指标得</w:t>
            </w:r>
            <w:r>
              <w:rPr>
                <w:rFonts w:hint="eastAsia" w:ascii="仿宋_GB2312" w:hAnsi="仿宋_GB2312" w:eastAsia="仿宋_GB2312" w:cs="仿宋_GB2312"/>
                <w:color w:val="auto"/>
                <w:sz w:val="22"/>
                <w:szCs w:val="22"/>
                <w:lang w:val="en-US" w:eastAsia="zh-CN"/>
              </w:rPr>
              <w:t>1</w:t>
            </w:r>
            <w:r>
              <w:rPr>
                <w:rFonts w:hint="eastAsia" w:ascii="仿宋_GB2312" w:hAnsi="仿宋_GB2312" w:eastAsia="仿宋_GB2312" w:cs="仿宋_GB2312"/>
                <w:color w:val="auto"/>
                <w:sz w:val="22"/>
                <w:szCs w:val="22"/>
              </w:rPr>
              <w:t>分。</w:t>
            </w:r>
          </w:p>
        </w:tc>
        <w:tc>
          <w:tcPr>
            <w:tcW w:w="833" w:type="dxa"/>
            <w:tcBorders>
              <w:top w:val="single" w:color="auto" w:sz="4" w:space="0"/>
            </w:tcBorders>
            <w:vAlign w:val="center"/>
          </w:tcPr>
          <w:p>
            <w:pPr>
              <w:adjustRightInd w:val="0"/>
              <w:snapToGrid w:val="0"/>
              <w:jc w:val="center"/>
              <w:textAlignment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4" w:hRule="atLeast"/>
          <w:jc w:val="center"/>
        </w:trPr>
        <w:tc>
          <w:tcPr>
            <w:tcW w:w="1268" w:type="dxa"/>
            <w:vMerge w:val="restart"/>
            <w:tcBorders>
              <w:top w:val="nil"/>
            </w:tcBorders>
            <w:vAlign w:val="center"/>
          </w:tcPr>
          <w:p>
            <w:pPr>
              <w:adjustRightInd w:val="0"/>
              <w:snapToGrid w:val="0"/>
              <w:jc w:val="center"/>
              <w:rPr>
                <w:rFonts w:hint="eastAsia" w:ascii="仿宋_GB2312" w:hAnsi="仿宋_GB2312" w:eastAsia="仿宋_GB2312" w:cs="仿宋_GB2312"/>
                <w:color w:val="auto"/>
                <w:sz w:val="22"/>
                <w:szCs w:val="22"/>
              </w:rPr>
            </w:pPr>
          </w:p>
        </w:tc>
        <w:tc>
          <w:tcPr>
            <w:tcW w:w="1243" w:type="dxa"/>
            <w:gridSpan w:val="2"/>
            <w:tcBorders>
              <w:top w:val="single" w:color="auto" w:sz="4" w:space="0"/>
            </w:tcBorders>
            <w:vAlign w:val="center"/>
          </w:tcPr>
          <w:p>
            <w:pPr>
              <w:adjustRightInd w:val="0"/>
              <w:snapToGrid w:val="0"/>
              <w:jc w:val="center"/>
              <w:rPr>
                <w:rFonts w:hint="eastAsia" w:ascii="仿宋_GB2312" w:hAnsi="仿宋_GB2312" w:eastAsia="仿宋_GB2312" w:cs="仿宋_GB2312"/>
                <w:color w:val="auto"/>
                <w:sz w:val="22"/>
                <w:szCs w:val="22"/>
              </w:rPr>
            </w:pP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lang w:eastAsia="zh-CN"/>
              </w:rPr>
              <w:t>新增林木成活率</w:t>
            </w:r>
            <w:r>
              <w:rPr>
                <w:rFonts w:hint="eastAsia" w:ascii="仿宋_GB2312" w:hAnsi="仿宋_GB2312" w:eastAsia="仿宋_GB2312" w:cs="仿宋_GB2312"/>
                <w:color w:val="auto"/>
                <w:sz w:val="22"/>
                <w:szCs w:val="22"/>
              </w:rPr>
              <w:t>C</w:t>
            </w:r>
            <w:r>
              <w:rPr>
                <w:rFonts w:hint="eastAsia" w:ascii="仿宋_GB2312" w:hAnsi="仿宋_GB2312" w:eastAsia="仿宋_GB2312" w:cs="仿宋_GB2312"/>
                <w:color w:val="auto"/>
                <w:sz w:val="22"/>
                <w:szCs w:val="22"/>
                <w:vertAlign w:val="subscript"/>
              </w:rPr>
              <w:t>22</w:t>
            </w:r>
          </w:p>
        </w:tc>
        <w:tc>
          <w:tcPr>
            <w:tcW w:w="856" w:type="dxa"/>
            <w:gridSpan w:val="2"/>
            <w:vAlign w:val="center"/>
          </w:tcPr>
          <w:p>
            <w:pPr>
              <w:adjustRightInd w:val="0"/>
              <w:snapToGrid w:val="0"/>
              <w:jc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100%</w:t>
            </w:r>
          </w:p>
        </w:tc>
        <w:tc>
          <w:tcPr>
            <w:tcW w:w="700" w:type="dxa"/>
            <w:gridSpan w:val="2"/>
            <w:vAlign w:val="center"/>
          </w:tcPr>
          <w:p>
            <w:pPr>
              <w:adjustRightInd w:val="0"/>
              <w:snapToGrid w:val="0"/>
              <w:jc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3</w:t>
            </w:r>
          </w:p>
        </w:tc>
        <w:tc>
          <w:tcPr>
            <w:tcW w:w="3340" w:type="dxa"/>
            <w:gridSpan w:val="2"/>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textAlignment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eastAsia="zh-CN"/>
              </w:rPr>
              <w:t>完成</w:t>
            </w:r>
            <w:r>
              <w:rPr>
                <w:rFonts w:hint="eastAsia" w:ascii="仿宋_GB2312" w:hAnsi="仿宋_GB2312" w:eastAsia="仿宋_GB2312" w:cs="仿宋_GB2312"/>
                <w:color w:val="auto"/>
                <w:sz w:val="22"/>
                <w:szCs w:val="22"/>
                <w:lang w:val="en-US" w:eastAsia="zh-CN"/>
              </w:rPr>
              <w:t>100%以上的得满分，否则，酌情得分。</w:t>
            </w:r>
          </w:p>
          <w:p>
            <w:pPr>
              <w:adjustRightInd w:val="0"/>
              <w:snapToGrid w:val="0"/>
              <w:rPr>
                <w:rFonts w:hint="eastAsia" w:ascii="仿宋_GB2312" w:hAnsi="仿宋_GB2312" w:eastAsia="仿宋_GB2312" w:cs="仿宋_GB2312"/>
                <w:color w:val="auto"/>
                <w:sz w:val="22"/>
                <w:szCs w:val="22"/>
              </w:rPr>
            </w:pPr>
          </w:p>
        </w:tc>
        <w:tc>
          <w:tcPr>
            <w:tcW w:w="4270" w:type="dxa"/>
            <w:vAlign w:val="center"/>
          </w:tcPr>
          <w:p>
            <w:pPr>
              <w:widowControl w:val="0"/>
              <w:kinsoku w:val="0"/>
              <w:overflowPunct w:val="0"/>
              <w:autoSpaceDE w:val="0"/>
              <w:autoSpaceDN w:val="0"/>
              <w:adjustRightInd w:val="0"/>
              <w:snapToGrid w:val="0"/>
              <w:textAlignment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根据</w:t>
            </w:r>
            <w:r>
              <w:rPr>
                <w:rFonts w:hint="eastAsia" w:ascii="仿宋_GB2312" w:hAnsi="仿宋_GB2312" w:eastAsia="仿宋_GB2312" w:cs="仿宋_GB2312"/>
                <w:color w:val="auto"/>
                <w:sz w:val="22"/>
                <w:szCs w:val="22"/>
                <w:lang w:eastAsia="zh-CN"/>
              </w:rPr>
              <w:t>自然资源局</w:t>
            </w:r>
            <w:r>
              <w:rPr>
                <w:rFonts w:hint="eastAsia" w:ascii="仿宋_GB2312" w:hAnsi="仿宋_GB2312" w:eastAsia="仿宋_GB2312" w:cs="仿宋_GB2312"/>
                <w:color w:val="auto"/>
                <w:sz w:val="22"/>
                <w:szCs w:val="22"/>
              </w:rPr>
              <w:t>提供的基础数据表、佐证材料等，经评价组核查：</w:t>
            </w:r>
            <w:r>
              <w:rPr>
                <w:rFonts w:hint="eastAsia" w:ascii="仿宋_GB2312" w:hAnsi="仿宋_GB2312" w:eastAsia="仿宋_GB2312" w:cs="仿宋_GB2312"/>
                <w:color w:val="auto"/>
                <w:sz w:val="22"/>
                <w:szCs w:val="22"/>
                <w:lang w:eastAsia="zh-CN"/>
              </w:rPr>
              <w:t>新增林木成活率达到</w:t>
            </w:r>
            <w:r>
              <w:rPr>
                <w:rFonts w:hint="eastAsia" w:ascii="仿宋_GB2312" w:hAnsi="仿宋_GB2312" w:eastAsia="仿宋_GB2312" w:cs="仿宋_GB2312"/>
                <w:color w:val="auto"/>
                <w:sz w:val="22"/>
                <w:szCs w:val="22"/>
                <w:lang w:val="en-US" w:eastAsia="zh-CN"/>
              </w:rPr>
              <w:t>100%，</w:t>
            </w:r>
            <w:r>
              <w:rPr>
                <w:rFonts w:hint="eastAsia" w:ascii="仿宋_GB2312" w:hAnsi="仿宋_GB2312" w:eastAsia="仿宋_GB2312" w:cs="仿宋_GB2312"/>
                <w:color w:val="auto"/>
                <w:sz w:val="22"/>
                <w:szCs w:val="22"/>
              </w:rPr>
              <w:t>综上，该指标得</w:t>
            </w:r>
            <w:r>
              <w:rPr>
                <w:rFonts w:hint="eastAsia" w:ascii="仿宋_GB2312" w:hAnsi="仿宋_GB2312" w:eastAsia="仿宋_GB2312" w:cs="仿宋_GB2312"/>
                <w:color w:val="auto"/>
                <w:sz w:val="22"/>
                <w:szCs w:val="22"/>
                <w:lang w:val="en-US" w:eastAsia="zh-CN"/>
              </w:rPr>
              <w:t>3</w:t>
            </w:r>
            <w:r>
              <w:rPr>
                <w:rFonts w:hint="eastAsia" w:ascii="仿宋_GB2312" w:hAnsi="仿宋_GB2312" w:eastAsia="仿宋_GB2312" w:cs="仿宋_GB2312"/>
                <w:color w:val="auto"/>
                <w:sz w:val="22"/>
                <w:szCs w:val="22"/>
              </w:rPr>
              <w:t>分。</w:t>
            </w:r>
          </w:p>
        </w:tc>
        <w:tc>
          <w:tcPr>
            <w:tcW w:w="833" w:type="dxa"/>
            <w:vAlign w:val="center"/>
          </w:tcPr>
          <w:p>
            <w:pPr>
              <w:adjustRightInd w:val="0"/>
              <w:snapToGrid w:val="0"/>
              <w:jc w:val="center"/>
              <w:textAlignment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4" w:hRule="atLeast"/>
          <w:jc w:val="center"/>
        </w:trPr>
        <w:tc>
          <w:tcPr>
            <w:tcW w:w="1268" w:type="dxa"/>
            <w:vMerge w:val="continue"/>
            <w:vAlign w:val="center"/>
          </w:tcPr>
          <w:p>
            <w:pPr>
              <w:adjustRightInd w:val="0"/>
              <w:snapToGrid w:val="0"/>
              <w:jc w:val="center"/>
              <w:rPr>
                <w:rFonts w:hint="eastAsia" w:ascii="仿宋_GB2312" w:hAnsi="仿宋_GB2312" w:eastAsia="仿宋_GB2312" w:cs="仿宋_GB2312"/>
                <w:color w:val="auto"/>
                <w:sz w:val="22"/>
                <w:szCs w:val="22"/>
              </w:rPr>
            </w:pPr>
          </w:p>
        </w:tc>
        <w:tc>
          <w:tcPr>
            <w:tcW w:w="1243" w:type="dxa"/>
            <w:gridSpan w:val="2"/>
            <w:tcBorders>
              <w:top w:val="single" w:color="auto" w:sz="4" w:space="0"/>
              <w:bottom w:val="single" w:color="auto" w:sz="4" w:space="0"/>
            </w:tcBorders>
            <w:vAlign w:val="center"/>
          </w:tcPr>
          <w:p>
            <w:pPr>
              <w:adjustRightInd w:val="0"/>
              <w:snapToGrid w:val="0"/>
              <w:jc w:val="center"/>
              <w:rPr>
                <w:rFonts w:hint="eastAsia" w:ascii="仿宋_GB2312" w:hAnsi="仿宋_GB2312" w:eastAsia="仿宋_GB2312" w:cs="仿宋_GB2312"/>
                <w:color w:val="auto"/>
                <w:sz w:val="22"/>
                <w:szCs w:val="22"/>
              </w:rPr>
            </w:pP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eastAsia="zh-CN"/>
              </w:rPr>
              <w:t>城市人均绿地面积增长率</w:t>
            </w:r>
            <w:r>
              <w:rPr>
                <w:rFonts w:hint="eastAsia" w:ascii="仿宋_GB2312" w:hAnsi="仿宋_GB2312" w:eastAsia="仿宋_GB2312" w:cs="仿宋_GB2312"/>
                <w:color w:val="auto"/>
                <w:sz w:val="22"/>
                <w:szCs w:val="22"/>
              </w:rPr>
              <w:t>C</w:t>
            </w:r>
            <w:r>
              <w:rPr>
                <w:rFonts w:hint="eastAsia" w:ascii="仿宋_GB2312" w:hAnsi="仿宋_GB2312" w:eastAsia="仿宋_GB2312" w:cs="仿宋_GB2312"/>
                <w:color w:val="auto"/>
                <w:sz w:val="22"/>
                <w:szCs w:val="22"/>
                <w:vertAlign w:val="subscript"/>
              </w:rPr>
              <w:t>2</w:t>
            </w:r>
            <w:r>
              <w:rPr>
                <w:rFonts w:hint="eastAsia" w:ascii="仿宋_GB2312" w:hAnsi="仿宋_GB2312" w:eastAsia="仿宋_GB2312" w:cs="仿宋_GB2312"/>
                <w:color w:val="auto"/>
                <w:sz w:val="22"/>
                <w:szCs w:val="22"/>
                <w:vertAlign w:val="subscript"/>
                <w:lang w:val="en-US" w:eastAsia="zh-CN"/>
              </w:rPr>
              <w:t>3</w:t>
            </w:r>
          </w:p>
        </w:tc>
        <w:tc>
          <w:tcPr>
            <w:tcW w:w="856" w:type="dxa"/>
            <w:gridSpan w:val="2"/>
            <w:vAlign w:val="center"/>
          </w:tcPr>
          <w:p>
            <w:pPr>
              <w:adjustRightInd w:val="0"/>
              <w:snapToGrid w:val="0"/>
              <w:jc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100%</w:t>
            </w:r>
          </w:p>
        </w:tc>
        <w:tc>
          <w:tcPr>
            <w:tcW w:w="700" w:type="dxa"/>
            <w:gridSpan w:val="2"/>
            <w:vAlign w:val="center"/>
          </w:tcPr>
          <w:p>
            <w:pPr>
              <w:adjustRightInd w:val="0"/>
              <w:snapToGrid w:val="0"/>
              <w:jc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4</w:t>
            </w:r>
          </w:p>
        </w:tc>
        <w:tc>
          <w:tcPr>
            <w:tcW w:w="3340" w:type="dxa"/>
            <w:gridSpan w:val="2"/>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textAlignment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eastAsia="zh-CN"/>
              </w:rPr>
              <w:t>完成</w:t>
            </w:r>
            <w:r>
              <w:rPr>
                <w:rFonts w:hint="eastAsia" w:ascii="仿宋_GB2312" w:hAnsi="仿宋_GB2312" w:eastAsia="仿宋_GB2312" w:cs="仿宋_GB2312"/>
                <w:color w:val="auto"/>
                <w:sz w:val="22"/>
                <w:szCs w:val="22"/>
                <w:lang w:val="en-US" w:eastAsia="zh-CN"/>
              </w:rPr>
              <w:t>95%以上的得满分，否则，酌情得分。</w:t>
            </w:r>
          </w:p>
          <w:p>
            <w:pPr>
              <w:adjustRightInd w:val="0"/>
              <w:snapToGrid w:val="0"/>
              <w:rPr>
                <w:rFonts w:hint="eastAsia" w:ascii="仿宋_GB2312" w:hAnsi="仿宋_GB2312" w:eastAsia="仿宋_GB2312" w:cs="仿宋_GB2312"/>
                <w:color w:val="auto"/>
                <w:sz w:val="22"/>
                <w:szCs w:val="22"/>
              </w:rPr>
            </w:pPr>
          </w:p>
        </w:tc>
        <w:tc>
          <w:tcPr>
            <w:tcW w:w="4270" w:type="dxa"/>
            <w:vAlign w:val="center"/>
          </w:tcPr>
          <w:p>
            <w:pPr>
              <w:widowControl w:val="0"/>
              <w:kinsoku w:val="0"/>
              <w:overflowPunct w:val="0"/>
              <w:autoSpaceDE w:val="0"/>
              <w:autoSpaceDN w:val="0"/>
              <w:adjustRightInd w:val="0"/>
              <w:snapToGrid w:val="0"/>
              <w:textAlignment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根据</w:t>
            </w:r>
            <w:r>
              <w:rPr>
                <w:rFonts w:hint="eastAsia" w:ascii="仿宋_GB2312" w:hAnsi="仿宋_GB2312" w:eastAsia="仿宋_GB2312" w:cs="仿宋_GB2312"/>
                <w:color w:val="auto"/>
                <w:sz w:val="22"/>
                <w:szCs w:val="22"/>
                <w:lang w:eastAsia="zh-CN"/>
              </w:rPr>
              <w:t>自然资源局</w:t>
            </w:r>
            <w:r>
              <w:rPr>
                <w:rFonts w:hint="eastAsia" w:ascii="仿宋_GB2312" w:hAnsi="仿宋_GB2312" w:eastAsia="仿宋_GB2312" w:cs="仿宋_GB2312"/>
                <w:color w:val="auto"/>
                <w:sz w:val="22"/>
                <w:szCs w:val="22"/>
              </w:rPr>
              <w:t>提供的基础数据表、佐证材料等，经评价组核查：</w:t>
            </w:r>
            <w:r>
              <w:rPr>
                <w:rFonts w:hint="eastAsia" w:ascii="仿宋_GB2312" w:hAnsi="仿宋_GB2312" w:eastAsia="仿宋_GB2312" w:cs="仿宋_GB2312"/>
                <w:color w:val="auto"/>
                <w:sz w:val="22"/>
                <w:szCs w:val="22"/>
                <w:lang w:eastAsia="zh-CN"/>
              </w:rPr>
              <w:t>城市人均绿地面积增长率达到</w:t>
            </w:r>
            <w:r>
              <w:rPr>
                <w:rFonts w:hint="eastAsia" w:ascii="仿宋_GB2312" w:hAnsi="仿宋_GB2312" w:eastAsia="仿宋_GB2312" w:cs="仿宋_GB2312"/>
                <w:color w:val="auto"/>
                <w:sz w:val="22"/>
                <w:szCs w:val="22"/>
                <w:lang w:val="en-US" w:eastAsia="zh-CN"/>
              </w:rPr>
              <w:t>95%以上，</w:t>
            </w:r>
            <w:r>
              <w:rPr>
                <w:rFonts w:hint="eastAsia" w:ascii="仿宋_GB2312" w:hAnsi="仿宋_GB2312" w:eastAsia="仿宋_GB2312" w:cs="仿宋_GB2312"/>
                <w:color w:val="auto"/>
                <w:sz w:val="22"/>
                <w:szCs w:val="22"/>
              </w:rPr>
              <w:t>综上，该指标得</w:t>
            </w:r>
            <w:r>
              <w:rPr>
                <w:rFonts w:hint="eastAsia" w:ascii="仿宋_GB2312" w:hAnsi="仿宋_GB2312" w:eastAsia="仿宋_GB2312" w:cs="仿宋_GB2312"/>
                <w:color w:val="auto"/>
                <w:sz w:val="22"/>
                <w:szCs w:val="22"/>
                <w:lang w:val="en-US" w:eastAsia="zh-CN"/>
              </w:rPr>
              <w:t>4</w:t>
            </w:r>
            <w:r>
              <w:rPr>
                <w:rFonts w:hint="eastAsia" w:ascii="仿宋_GB2312" w:hAnsi="仿宋_GB2312" w:eastAsia="仿宋_GB2312" w:cs="仿宋_GB2312"/>
                <w:color w:val="auto"/>
                <w:sz w:val="22"/>
                <w:szCs w:val="22"/>
              </w:rPr>
              <w:t>分。</w:t>
            </w:r>
          </w:p>
        </w:tc>
        <w:tc>
          <w:tcPr>
            <w:tcW w:w="833" w:type="dxa"/>
            <w:vAlign w:val="center"/>
          </w:tcPr>
          <w:p>
            <w:pPr>
              <w:adjustRightInd w:val="0"/>
              <w:snapToGrid w:val="0"/>
              <w:jc w:val="center"/>
              <w:textAlignment w:val="center"/>
              <w:rPr>
                <w:rFonts w:hint="default"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0" w:hRule="atLeast"/>
          <w:jc w:val="center"/>
        </w:trPr>
        <w:tc>
          <w:tcPr>
            <w:tcW w:w="1268" w:type="dxa"/>
            <w:vMerge w:val="continue"/>
            <w:vAlign w:val="center"/>
          </w:tcPr>
          <w:p>
            <w:pPr>
              <w:adjustRightInd w:val="0"/>
              <w:snapToGrid w:val="0"/>
              <w:jc w:val="center"/>
              <w:rPr>
                <w:rFonts w:hint="eastAsia" w:ascii="仿宋_GB2312" w:hAnsi="仿宋_GB2312" w:eastAsia="仿宋_GB2312" w:cs="仿宋_GB2312"/>
                <w:color w:val="auto"/>
                <w:sz w:val="22"/>
                <w:szCs w:val="22"/>
              </w:rPr>
            </w:pPr>
          </w:p>
        </w:tc>
        <w:tc>
          <w:tcPr>
            <w:tcW w:w="1243" w:type="dxa"/>
            <w:gridSpan w:val="2"/>
            <w:tcBorders>
              <w:top w:val="single" w:color="auto" w:sz="4" w:space="0"/>
            </w:tcBorders>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时效指标C</w:t>
            </w:r>
            <w:r>
              <w:rPr>
                <w:rFonts w:hint="eastAsia" w:ascii="仿宋_GB2312" w:hAnsi="仿宋_GB2312" w:eastAsia="仿宋_GB2312" w:cs="仿宋_GB2312"/>
                <w:color w:val="auto"/>
                <w:sz w:val="22"/>
                <w:szCs w:val="22"/>
                <w:vertAlign w:val="subscript"/>
              </w:rPr>
              <w:t>3</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w:t>
            </w:r>
            <w:r>
              <w:rPr>
                <w:rFonts w:hint="eastAsia" w:ascii="仿宋_GB2312" w:hAnsi="仿宋_GB2312" w:eastAsia="仿宋_GB2312" w:cs="仿宋_GB2312"/>
                <w:color w:val="auto"/>
                <w:sz w:val="22"/>
                <w:szCs w:val="22"/>
                <w:lang w:val="en-US" w:eastAsia="zh-CN"/>
              </w:rPr>
              <w:t>5</w:t>
            </w:r>
            <w:r>
              <w:rPr>
                <w:rFonts w:hint="eastAsia" w:ascii="仿宋_GB2312" w:hAnsi="仿宋_GB2312" w:eastAsia="仿宋_GB2312" w:cs="仿宋_GB2312"/>
                <w:color w:val="auto"/>
                <w:sz w:val="22"/>
                <w:szCs w:val="22"/>
              </w:rPr>
              <w:t>分）</w:t>
            </w: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lang w:eastAsia="zh-CN"/>
              </w:rPr>
            </w:pPr>
            <w:r>
              <w:rPr>
                <w:rFonts w:hint="eastAsia" w:ascii="仿宋_GB2312" w:hAnsi="仿宋_GB2312" w:eastAsia="仿宋_GB2312" w:cs="仿宋_GB2312"/>
                <w:color w:val="auto"/>
                <w:sz w:val="22"/>
                <w:szCs w:val="22"/>
              </w:rPr>
              <w:t>项目按期</w:t>
            </w:r>
            <w:r>
              <w:rPr>
                <w:rFonts w:hint="eastAsia" w:ascii="仿宋_GB2312" w:hAnsi="仿宋_GB2312" w:eastAsia="仿宋_GB2312" w:cs="仿宋_GB2312"/>
                <w:color w:val="auto"/>
                <w:sz w:val="22"/>
                <w:szCs w:val="22"/>
                <w:lang w:eastAsia="zh-CN"/>
              </w:rPr>
              <w:t>完成率</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C</w:t>
            </w:r>
            <w:r>
              <w:rPr>
                <w:rFonts w:hint="eastAsia" w:ascii="仿宋_GB2312" w:hAnsi="仿宋_GB2312" w:eastAsia="仿宋_GB2312" w:cs="仿宋_GB2312"/>
                <w:color w:val="auto"/>
                <w:sz w:val="22"/>
                <w:szCs w:val="22"/>
                <w:vertAlign w:val="subscript"/>
              </w:rPr>
              <w:t>31</w:t>
            </w:r>
          </w:p>
        </w:tc>
        <w:tc>
          <w:tcPr>
            <w:tcW w:w="856"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lang w:val="en-US" w:eastAsia="zh-CN"/>
              </w:rPr>
              <w:t>100</w:t>
            </w:r>
            <w:r>
              <w:rPr>
                <w:rFonts w:hint="eastAsia" w:ascii="仿宋_GB2312" w:hAnsi="仿宋_GB2312" w:eastAsia="仿宋_GB2312" w:cs="仿宋_GB2312"/>
                <w:color w:val="auto"/>
                <w:sz w:val="22"/>
                <w:szCs w:val="22"/>
              </w:rPr>
              <w:t>%</w:t>
            </w:r>
          </w:p>
        </w:tc>
        <w:tc>
          <w:tcPr>
            <w:tcW w:w="700" w:type="dxa"/>
            <w:gridSpan w:val="2"/>
            <w:vAlign w:val="center"/>
          </w:tcPr>
          <w:p>
            <w:pPr>
              <w:adjustRightInd w:val="0"/>
              <w:snapToGrid w:val="0"/>
              <w:jc w:val="center"/>
              <w:rPr>
                <w:rFonts w:hint="default"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5</w:t>
            </w:r>
          </w:p>
        </w:tc>
        <w:tc>
          <w:tcPr>
            <w:tcW w:w="3340" w:type="dxa"/>
            <w:gridSpan w:val="2"/>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textAlignment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eastAsia="zh-CN"/>
              </w:rPr>
              <w:t>完成</w:t>
            </w:r>
            <w:r>
              <w:rPr>
                <w:rFonts w:hint="eastAsia" w:ascii="仿宋_GB2312" w:hAnsi="仿宋_GB2312" w:eastAsia="仿宋_GB2312" w:cs="仿宋_GB2312"/>
                <w:color w:val="auto"/>
                <w:sz w:val="22"/>
                <w:szCs w:val="22"/>
                <w:lang w:val="en-US" w:eastAsia="zh-CN"/>
              </w:rPr>
              <w:t>100%以上的得满分，否则，酌情得分。</w:t>
            </w:r>
          </w:p>
          <w:p>
            <w:pPr>
              <w:adjustRightInd w:val="0"/>
              <w:snapToGrid w:val="0"/>
              <w:rPr>
                <w:rFonts w:hint="eastAsia" w:ascii="仿宋_GB2312" w:hAnsi="仿宋_GB2312" w:eastAsia="仿宋_GB2312" w:cs="仿宋_GB2312"/>
                <w:color w:val="auto"/>
                <w:sz w:val="22"/>
                <w:szCs w:val="22"/>
              </w:rPr>
            </w:pPr>
          </w:p>
        </w:tc>
        <w:tc>
          <w:tcPr>
            <w:tcW w:w="4270" w:type="dxa"/>
            <w:vAlign w:val="center"/>
          </w:tcPr>
          <w:p>
            <w:pPr>
              <w:adjustRightInd w:val="0"/>
              <w:snapToGrid w:val="0"/>
              <w:jc w:val="both"/>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根据</w:t>
            </w:r>
            <w:r>
              <w:rPr>
                <w:rFonts w:hint="eastAsia" w:ascii="仿宋_GB2312" w:hAnsi="仿宋_GB2312" w:eastAsia="仿宋_GB2312" w:cs="仿宋_GB2312"/>
                <w:color w:val="auto"/>
                <w:sz w:val="22"/>
                <w:szCs w:val="22"/>
                <w:lang w:eastAsia="zh-CN"/>
              </w:rPr>
              <w:t>自然资源局</w:t>
            </w:r>
            <w:r>
              <w:rPr>
                <w:rFonts w:hint="eastAsia" w:ascii="仿宋_GB2312" w:hAnsi="仿宋_GB2312" w:eastAsia="仿宋_GB2312" w:cs="仿宋_GB2312"/>
                <w:color w:val="auto"/>
                <w:sz w:val="22"/>
                <w:szCs w:val="22"/>
              </w:rPr>
              <w:t>提供的基础数据表、佐证材料等，经评价组核查：</w:t>
            </w:r>
            <w:r>
              <w:rPr>
                <w:rFonts w:hint="eastAsia" w:ascii="仿宋_GB2312" w:hAnsi="仿宋_GB2312" w:eastAsia="仿宋_GB2312" w:cs="仿宋_GB2312"/>
                <w:color w:val="auto"/>
                <w:sz w:val="22"/>
                <w:szCs w:val="22"/>
                <w:lang w:eastAsia="zh-CN"/>
              </w:rPr>
              <w:t>合同签订</w:t>
            </w:r>
            <w:r>
              <w:rPr>
                <w:rFonts w:hint="eastAsia" w:ascii="仿宋_GB2312" w:hAnsi="仿宋_GB2312" w:eastAsia="仿宋_GB2312" w:cs="仿宋_GB2312"/>
                <w:color w:val="auto"/>
                <w:sz w:val="22"/>
                <w:szCs w:val="22"/>
              </w:rPr>
              <w:t>项目</w:t>
            </w:r>
            <w:r>
              <w:rPr>
                <w:rFonts w:hint="eastAsia" w:ascii="仿宋_GB2312" w:hAnsi="仿宋_GB2312" w:eastAsia="仿宋_GB2312" w:cs="仿宋_GB2312"/>
                <w:color w:val="auto"/>
                <w:sz w:val="22"/>
                <w:szCs w:val="22"/>
                <w:lang w:eastAsia="zh-CN"/>
              </w:rPr>
              <w:t>于</w:t>
            </w:r>
            <w:r>
              <w:rPr>
                <w:rFonts w:hint="eastAsia" w:ascii="仿宋_GB2312" w:hAnsi="仿宋_GB2312" w:eastAsia="仿宋_GB2312" w:cs="仿宋_GB2312"/>
                <w:color w:val="auto"/>
                <w:sz w:val="22"/>
                <w:szCs w:val="22"/>
                <w:lang w:val="en-US" w:eastAsia="zh-CN"/>
              </w:rPr>
              <w:t>2019年6月6日开工，2019年11月02日完工，该项目实际完工时间2020年5月20日，未在合同计划时间内完成</w:t>
            </w:r>
            <w:r>
              <w:rPr>
                <w:rFonts w:hint="eastAsia" w:ascii="仿宋_GB2312" w:hAnsi="仿宋_GB2312" w:eastAsia="仿宋_GB2312" w:cs="仿宋_GB2312"/>
                <w:color w:val="auto"/>
                <w:sz w:val="22"/>
                <w:szCs w:val="22"/>
              </w:rPr>
              <w:t>。综上</w:t>
            </w:r>
            <w:r>
              <w:rPr>
                <w:rFonts w:hint="eastAsia" w:ascii="仿宋_GB2312" w:hAnsi="仿宋_GB2312" w:eastAsia="仿宋_GB2312" w:cs="仿宋_GB2312"/>
                <w:color w:val="auto"/>
                <w:sz w:val="22"/>
                <w:szCs w:val="22"/>
                <w:lang w:eastAsia="zh-CN"/>
              </w:rPr>
              <w:t>，该</w:t>
            </w:r>
            <w:r>
              <w:rPr>
                <w:rFonts w:hint="eastAsia" w:ascii="仿宋_GB2312" w:hAnsi="仿宋_GB2312" w:eastAsia="仿宋_GB2312" w:cs="仿宋_GB2312"/>
                <w:color w:val="auto"/>
                <w:sz w:val="22"/>
                <w:szCs w:val="22"/>
              </w:rPr>
              <w:t>指标得</w:t>
            </w:r>
            <w:r>
              <w:rPr>
                <w:rFonts w:hint="eastAsia" w:ascii="仿宋_GB2312" w:hAnsi="仿宋_GB2312" w:eastAsia="仿宋_GB2312" w:cs="仿宋_GB2312"/>
                <w:color w:val="auto"/>
                <w:sz w:val="22"/>
                <w:szCs w:val="22"/>
                <w:lang w:val="en-US" w:eastAsia="zh-CN"/>
              </w:rPr>
              <w:t>3</w:t>
            </w:r>
            <w:r>
              <w:rPr>
                <w:rFonts w:hint="eastAsia" w:ascii="仿宋_GB2312" w:hAnsi="仿宋_GB2312" w:eastAsia="仿宋_GB2312" w:cs="仿宋_GB2312"/>
                <w:color w:val="auto"/>
                <w:sz w:val="22"/>
                <w:szCs w:val="22"/>
              </w:rPr>
              <w:t>分。</w:t>
            </w:r>
          </w:p>
        </w:tc>
        <w:tc>
          <w:tcPr>
            <w:tcW w:w="833" w:type="dxa"/>
            <w:vAlign w:val="center"/>
          </w:tcPr>
          <w:p>
            <w:pPr>
              <w:adjustRightInd w:val="0"/>
              <w:snapToGrid w:val="0"/>
              <w:jc w:val="center"/>
              <w:textAlignment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0" w:hRule="atLeast"/>
          <w:jc w:val="center"/>
        </w:trPr>
        <w:tc>
          <w:tcPr>
            <w:tcW w:w="1268" w:type="dxa"/>
            <w:vMerge w:val="continue"/>
            <w:vAlign w:val="center"/>
          </w:tcPr>
          <w:p>
            <w:pPr>
              <w:adjustRightInd w:val="0"/>
              <w:snapToGrid w:val="0"/>
              <w:jc w:val="center"/>
              <w:rPr>
                <w:rFonts w:hint="eastAsia" w:ascii="仿宋_GB2312" w:hAnsi="仿宋_GB2312" w:eastAsia="仿宋_GB2312" w:cs="仿宋_GB2312"/>
                <w:color w:val="auto"/>
                <w:sz w:val="22"/>
                <w:szCs w:val="22"/>
              </w:rPr>
            </w:pPr>
          </w:p>
        </w:tc>
        <w:tc>
          <w:tcPr>
            <w:tcW w:w="1243" w:type="dxa"/>
            <w:gridSpan w:val="2"/>
            <w:vAlign w:val="center"/>
          </w:tcPr>
          <w:p>
            <w:pPr>
              <w:adjustRightInd w:val="0"/>
              <w:snapToGrid w:val="0"/>
              <w:jc w:val="center"/>
              <w:rPr>
                <w:rFonts w:hint="default" w:ascii="仿宋_GB2312" w:hAnsi="仿宋_GB2312" w:eastAsia="仿宋_GB2312" w:cs="仿宋_GB2312"/>
                <w:color w:val="auto"/>
                <w:sz w:val="22"/>
                <w:szCs w:val="22"/>
                <w:vertAlign w:val="subscript"/>
                <w:lang w:val="en-US" w:eastAsia="zh-CN"/>
              </w:rPr>
            </w:pPr>
            <w:r>
              <w:rPr>
                <w:rFonts w:hint="eastAsia" w:ascii="仿宋_GB2312" w:hAnsi="仿宋_GB2312" w:eastAsia="仿宋_GB2312" w:cs="仿宋_GB2312"/>
                <w:color w:val="auto"/>
                <w:sz w:val="22"/>
                <w:szCs w:val="22"/>
                <w:lang w:eastAsia="zh-CN"/>
              </w:rPr>
              <w:t>成本指标</w:t>
            </w:r>
            <w:r>
              <w:rPr>
                <w:rFonts w:hint="eastAsia" w:ascii="仿宋_GB2312" w:hAnsi="仿宋_GB2312" w:eastAsia="仿宋_GB2312" w:cs="仿宋_GB2312"/>
                <w:color w:val="auto"/>
                <w:sz w:val="22"/>
                <w:szCs w:val="22"/>
                <w:lang w:val="en-US" w:eastAsia="zh-CN"/>
              </w:rPr>
              <w:t>C</w:t>
            </w:r>
            <w:r>
              <w:rPr>
                <w:rFonts w:hint="eastAsia" w:ascii="仿宋_GB2312" w:hAnsi="仿宋_GB2312" w:eastAsia="仿宋_GB2312" w:cs="仿宋_GB2312"/>
                <w:color w:val="auto"/>
                <w:sz w:val="22"/>
                <w:szCs w:val="22"/>
                <w:vertAlign w:val="subscript"/>
                <w:lang w:val="en-US" w:eastAsia="zh-CN"/>
              </w:rPr>
              <w:t>4</w:t>
            </w:r>
          </w:p>
          <w:p>
            <w:pPr>
              <w:adjustRightInd w:val="0"/>
              <w:snapToGrid w:val="0"/>
              <w:jc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（15分）</w:t>
            </w: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预算控制数C</w:t>
            </w:r>
            <w:r>
              <w:rPr>
                <w:rFonts w:hint="eastAsia" w:ascii="仿宋_GB2312" w:hAnsi="仿宋_GB2312" w:eastAsia="仿宋_GB2312" w:cs="仿宋_GB2312"/>
                <w:color w:val="auto"/>
                <w:sz w:val="15"/>
                <w:szCs w:val="15"/>
                <w:lang w:val="en-US" w:eastAsia="zh-CN"/>
              </w:rPr>
              <w:t>41</w:t>
            </w:r>
          </w:p>
        </w:tc>
        <w:tc>
          <w:tcPr>
            <w:tcW w:w="856" w:type="dxa"/>
            <w:gridSpan w:val="2"/>
            <w:vAlign w:val="center"/>
          </w:tcPr>
          <w:p>
            <w:pPr>
              <w:adjustRightInd w:val="0"/>
              <w:snapToGrid w:val="0"/>
              <w:jc w:val="both"/>
              <w:rPr>
                <w:rFonts w:hint="default"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1650.00万元</w:t>
            </w:r>
          </w:p>
        </w:tc>
        <w:tc>
          <w:tcPr>
            <w:tcW w:w="700" w:type="dxa"/>
            <w:gridSpan w:val="2"/>
            <w:vAlign w:val="center"/>
          </w:tcPr>
          <w:p>
            <w:pPr>
              <w:adjustRightInd w:val="0"/>
              <w:snapToGrid w:val="0"/>
              <w:jc w:val="center"/>
              <w:rPr>
                <w:rFonts w:hint="default"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15</w:t>
            </w:r>
          </w:p>
        </w:tc>
        <w:tc>
          <w:tcPr>
            <w:tcW w:w="3340" w:type="dxa"/>
            <w:gridSpan w:val="2"/>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textAlignment w:val="center"/>
              <w:rPr>
                <w:rFonts w:hint="eastAsia" w:ascii="仿宋_GB2312" w:hAnsi="仿宋_GB2312" w:eastAsia="仿宋_GB2312" w:cs="仿宋_GB2312"/>
                <w:color w:val="auto"/>
                <w:sz w:val="22"/>
                <w:szCs w:val="22"/>
                <w:highlight w:val="none"/>
                <w:lang w:val="en-US" w:eastAsia="zh-CN"/>
              </w:rPr>
            </w:pPr>
            <w:r>
              <w:rPr>
                <w:rFonts w:hint="eastAsia" w:ascii="仿宋_GB2312" w:hAnsi="仿宋_GB2312" w:eastAsia="仿宋_GB2312" w:cs="仿宋_GB2312"/>
                <w:color w:val="auto"/>
                <w:sz w:val="22"/>
                <w:szCs w:val="22"/>
                <w:highlight w:val="none"/>
                <w:lang w:eastAsia="zh-CN"/>
              </w:rPr>
              <w:t>完成</w:t>
            </w:r>
            <w:r>
              <w:rPr>
                <w:rFonts w:hint="eastAsia" w:ascii="仿宋_GB2312" w:hAnsi="仿宋_GB2312" w:eastAsia="仿宋_GB2312" w:cs="仿宋_GB2312"/>
                <w:color w:val="auto"/>
                <w:sz w:val="22"/>
                <w:szCs w:val="22"/>
                <w:highlight w:val="none"/>
                <w:lang w:val="en-US" w:eastAsia="zh-CN"/>
              </w:rPr>
              <w:t>100%的得满分，未达到100%的，按照实际完成率乘以目标分值得分。</w:t>
            </w:r>
          </w:p>
          <w:p>
            <w:pPr>
              <w:adjustRightInd w:val="0"/>
              <w:snapToGrid w:val="0"/>
              <w:rPr>
                <w:rFonts w:hint="eastAsia" w:ascii="仿宋_GB2312" w:hAnsi="仿宋_GB2312" w:eastAsia="仿宋_GB2312" w:cs="仿宋_GB2312"/>
                <w:color w:val="auto"/>
                <w:kern w:val="0"/>
                <w:sz w:val="22"/>
                <w:szCs w:val="22"/>
                <w:lang w:val="en-US" w:eastAsia="zh-CN" w:bidi="ar-SA"/>
              </w:rPr>
            </w:pPr>
          </w:p>
        </w:tc>
        <w:tc>
          <w:tcPr>
            <w:tcW w:w="4270" w:type="dxa"/>
            <w:vAlign w:val="center"/>
          </w:tcPr>
          <w:p>
            <w:pPr>
              <w:adjustRightInd w:val="0"/>
              <w:snapToGrid w:val="0"/>
              <w:textAlignment w:val="center"/>
              <w:rPr>
                <w:rFonts w:hint="eastAsia" w:ascii="仿宋_GB2312" w:hAnsi="仿宋_GB2312" w:eastAsia="仿宋_GB2312" w:cs="仿宋_GB2312"/>
                <w:bCs/>
                <w:color w:val="auto"/>
                <w:sz w:val="22"/>
                <w:szCs w:val="22"/>
                <w:lang w:val="en-US" w:eastAsia="zh-CN"/>
              </w:rPr>
            </w:pPr>
            <w:r>
              <w:rPr>
                <w:rFonts w:hint="eastAsia" w:ascii="仿宋_GB2312" w:hAnsi="仿宋_GB2312" w:eastAsia="仿宋_GB2312" w:cs="仿宋_GB2312"/>
                <w:color w:val="auto"/>
                <w:sz w:val="22"/>
                <w:szCs w:val="22"/>
              </w:rPr>
              <w:t>根据</w:t>
            </w:r>
            <w:r>
              <w:rPr>
                <w:rFonts w:hint="eastAsia" w:ascii="仿宋_GB2312" w:hAnsi="仿宋_GB2312" w:eastAsia="仿宋_GB2312" w:cs="仿宋_GB2312"/>
                <w:color w:val="auto"/>
                <w:sz w:val="22"/>
                <w:szCs w:val="22"/>
                <w:lang w:eastAsia="zh-CN"/>
              </w:rPr>
              <w:t>自然资源局</w:t>
            </w:r>
            <w:r>
              <w:rPr>
                <w:rFonts w:hint="eastAsia" w:ascii="仿宋_GB2312" w:hAnsi="仿宋_GB2312" w:eastAsia="仿宋_GB2312" w:cs="仿宋_GB2312"/>
                <w:color w:val="auto"/>
                <w:sz w:val="22"/>
                <w:szCs w:val="22"/>
              </w:rPr>
              <w:t>提供的基础数据表、佐证材料等，经评价组核查：</w:t>
            </w:r>
            <w:r>
              <w:rPr>
                <w:rFonts w:hint="eastAsia" w:ascii="仿宋_GB2312" w:hAnsi="仿宋_GB2312" w:eastAsia="仿宋_GB2312" w:cs="仿宋_GB2312"/>
                <w:color w:val="auto"/>
                <w:sz w:val="22"/>
                <w:szCs w:val="22"/>
                <w:lang w:eastAsia="zh-CN"/>
              </w:rPr>
              <w:t>项目总成</w:t>
            </w:r>
            <w:r>
              <w:rPr>
                <w:rFonts w:hint="eastAsia" w:ascii="仿宋_GB2312" w:hAnsi="仿宋_GB2312" w:eastAsia="仿宋_GB2312" w:cs="仿宋_GB2312"/>
                <w:color w:val="auto"/>
                <w:sz w:val="22"/>
                <w:szCs w:val="22"/>
                <w:highlight w:val="none"/>
                <w:lang w:eastAsia="zh-CN"/>
              </w:rPr>
              <w:t>本完成</w:t>
            </w:r>
            <w:r>
              <w:rPr>
                <w:rFonts w:hint="eastAsia" w:ascii="仿宋_GB2312" w:hAnsi="仿宋_GB2312" w:eastAsia="仿宋_GB2312" w:cs="仿宋_GB2312"/>
                <w:color w:val="auto"/>
                <w:sz w:val="22"/>
                <w:szCs w:val="22"/>
                <w:highlight w:val="none"/>
                <w:lang w:val="en-US" w:eastAsia="zh-CN"/>
              </w:rPr>
              <w:t>953.00万元,完成率57.76%。</w:t>
            </w:r>
            <w:r>
              <w:rPr>
                <w:rFonts w:hint="eastAsia" w:ascii="仿宋_GB2312" w:hAnsi="仿宋_GB2312" w:eastAsia="仿宋_GB2312" w:cs="仿宋_GB2312"/>
                <w:color w:val="auto"/>
                <w:sz w:val="22"/>
                <w:szCs w:val="22"/>
                <w:highlight w:val="none"/>
              </w:rPr>
              <w:t>综上，该指标得</w:t>
            </w:r>
            <w:r>
              <w:rPr>
                <w:rFonts w:hint="eastAsia" w:ascii="仿宋_GB2312" w:hAnsi="仿宋_GB2312" w:eastAsia="仿宋_GB2312" w:cs="仿宋_GB2312"/>
                <w:color w:val="auto"/>
                <w:sz w:val="22"/>
                <w:szCs w:val="22"/>
                <w:highlight w:val="none"/>
                <w:lang w:val="en-US" w:eastAsia="zh-CN"/>
              </w:rPr>
              <w:t>8.7</w:t>
            </w:r>
            <w:r>
              <w:rPr>
                <w:rFonts w:hint="eastAsia" w:ascii="仿宋_GB2312" w:hAnsi="仿宋_GB2312" w:eastAsia="仿宋_GB2312" w:cs="仿宋_GB2312"/>
                <w:color w:val="auto"/>
                <w:sz w:val="22"/>
                <w:szCs w:val="22"/>
                <w:highlight w:val="none"/>
              </w:rPr>
              <w:t>分。</w:t>
            </w:r>
          </w:p>
        </w:tc>
        <w:tc>
          <w:tcPr>
            <w:tcW w:w="833" w:type="dxa"/>
            <w:vAlign w:val="center"/>
          </w:tcPr>
          <w:p>
            <w:pPr>
              <w:adjustRightInd w:val="0"/>
              <w:snapToGrid w:val="0"/>
              <w:jc w:val="center"/>
              <w:textAlignment w:val="center"/>
              <w:rPr>
                <w:rFonts w:hint="default"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6" w:hRule="atLeast"/>
          <w:jc w:val="center"/>
        </w:trPr>
        <w:tc>
          <w:tcPr>
            <w:tcW w:w="1268" w:type="dxa"/>
            <w:vMerge w:val="restart"/>
            <w:vAlign w:val="center"/>
          </w:tcPr>
          <w:p>
            <w:pPr>
              <w:adjustRightInd w:val="0"/>
              <w:snapToGrid w:val="0"/>
              <w:jc w:val="both"/>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项目效益D</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w:t>
            </w:r>
            <w:r>
              <w:rPr>
                <w:rFonts w:hint="eastAsia" w:ascii="仿宋_GB2312" w:hAnsi="仿宋_GB2312" w:eastAsia="仿宋_GB2312" w:cs="仿宋_GB2312"/>
                <w:color w:val="auto"/>
                <w:sz w:val="22"/>
                <w:szCs w:val="22"/>
                <w:lang w:val="en-US" w:eastAsia="zh-CN"/>
              </w:rPr>
              <w:t>24</w:t>
            </w:r>
            <w:r>
              <w:rPr>
                <w:rFonts w:hint="eastAsia" w:ascii="仿宋_GB2312" w:hAnsi="仿宋_GB2312" w:eastAsia="仿宋_GB2312" w:cs="仿宋_GB2312"/>
                <w:color w:val="auto"/>
                <w:sz w:val="22"/>
                <w:szCs w:val="22"/>
              </w:rPr>
              <w:t>分）</w:t>
            </w:r>
          </w:p>
          <w:p>
            <w:pPr>
              <w:adjustRightInd w:val="0"/>
              <w:snapToGrid w:val="0"/>
              <w:jc w:val="center"/>
              <w:rPr>
                <w:rFonts w:hint="eastAsia" w:ascii="仿宋_GB2312" w:hAnsi="仿宋_GB2312" w:eastAsia="仿宋_GB2312" w:cs="仿宋_GB2312"/>
                <w:color w:val="auto"/>
                <w:sz w:val="22"/>
                <w:szCs w:val="22"/>
              </w:rPr>
            </w:pPr>
          </w:p>
        </w:tc>
        <w:tc>
          <w:tcPr>
            <w:tcW w:w="1243"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经济效益D</w:t>
            </w:r>
            <w:r>
              <w:rPr>
                <w:rFonts w:hint="eastAsia" w:ascii="仿宋_GB2312" w:hAnsi="仿宋_GB2312" w:eastAsia="仿宋_GB2312" w:cs="仿宋_GB2312"/>
                <w:color w:val="auto"/>
                <w:sz w:val="22"/>
                <w:szCs w:val="22"/>
                <w:vertAlign w:val="subscript"/>
              </w:rPr>
              <w:t>1</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w:t>
            </w:r>
            <w:r>
              <w:rPr>
                <w:rFonts w:hint="eastAsia" w:ascii="仿宋_GB2312" w:hAnsi="仿宋_GB2312" w:eastAsia="仿宋_GB2312" w:cs="仿宋_GB2312"/>
                <w:color w:val="auto"/>
                <w:sz w:val="22"/>
                <w:szCs w:val="22"/>
                <w:lang w:val="en-US" w:eastAsia="zh-CN"/>
              </w:rPr>
              <w:t>5</w:t>
            </w:r>
            <w:r>
              <w:rPr>
                <w:rFonts w:hint="eastAsia" w:ascii="仿宋_GB2312" w:hAnsi="仿宋_GB2312" w:eastAsia="仿宋_GB2312" w:cs="仿宋_GB2312"/>
                <w:color w:val="auto"/>
                <w:sz w:val="22"/>
                <w:szCs w:val="22"/>
              </w:rPr>
              <w:t>分）</w:t>
            </w: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lang w:eastAsia="zh-CN"/>
              </w:rPr>
              <w:t>是否增加了劳动力就业</w:t>
            </w:r>
            <w:r>
              <w:rPr>
                <w:rFonts w:hint="eastAsia" w:ascii="仿宋_GB2312" w:hAnsi="仿宋_GB2312" w:eastAsia="仿宋_GB2312" w:cs="仿宋_GB2312"/>
                <w:color w:val="auto"/>
                <w:sz w:val="22"/>
                <w:szCs w:val="22"/>
              </w:rPr>
              <w:t>D</w:t>
            </w:r>
            <w:r>
              <w:rPr>
                <w:rFonts w:hint="eastAsia" w:ascii="仿宋_GB2312" w:hAnsi="仿宋_GB2312" w:eastAsia="仿宋_GB2312" w:cs="仿宋_GB2312"/>
                <w:color w:val="auto"/>
                <w:sz w:val="22"/>
                <w:szCs w:val="22"/>
                <w:vertAlign w:val="subscript"/>
              </w:rPr>
              <w:t>11</w:t>
            </w:r>
          </w:p>
        </w:tc>
        <w:tc>
          <w:tcPr>
            <w:tcW w:w="856" w:type="dxa"/>
            <w:gridSpan w:val="2"/>
            <w:vAlign w:val="center"/>
          </w:tcPr>
          <w:p>
            <w:pPr>
              <w:adjustRightInd w:val="0"/>
              <w:snapToGrid w:val="0"/>
              <w:jc w:val="center"/>
              <w:rPr>
                <w:rFonts w:hint="eastAsia" w:ascii="仿宋_GB2312" w:hAnsi="仿宋_GB2312" w:eastAsia="仿宋_GB2312" w:cs="仿宋_GB2312"/>
                <w:color w:val="auto"/>
                <w:sz w:val="22"/>
                <w:szCs w:val="22"/>
                <w:lang w:eastAsia="zh-CN"/>
              </w:rPr>
            </w:pPr>
            <w:r>
              <w:rPr>
                <w:rFonts w:hint="eastAsia" w:ascii="仿宋_GB2312" w:hAnsi="仿宋_GB2312" w:eastAsia="仿宋_GB2312" w:cs="仿宋_GB2312"/>
                <w:color w:val="auto"/>
                <w:sz w:val="22"/>
                <w:szCs w:val="22"/>
                <w:lang w:eastAsia="zh-CN"/>
              </w:rPr>
              <w:t>改善</w:t>
            </w:r>
          </w:p>
        </w:tc>
        <w:tc>
          <w:tcPr>
            <w:tcW w:w="700" w:type="dxa"/>
            <w:gridSpan w:val="2"/>
            <w:vAlign w:val="center"/>
          </w:tcPr>
          <w:p>
            <w:pPr>
              <w:adjustRightInd w:val="0"/>
              <w:snapToGrid w:val="0"/>
              <w:jc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5</w:t>
            </w:r>
          </w:p>
        </w:tc>
        <w:tc>
          <w:tcPr>
            <w:tcW w:w="3340" w:type="dxa"/>
            <w:gridSpan w:val="2"/>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textAlignment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bCs/>
                <w:color w:val="auto"/>
                <w:sz w:val="22"/>
                <w:szCs w:val="22"/>
                <w:lang w:eastAsia="zh-CN"/>
              </w:rPr>
              <w:t>增加了经济收入，吸收更多的劳动力就业得满分</w:t>
            </w:r>
            <w:r>
              <w:rPr>
                <w:rFonts w:hint="eastAsia" w:ascii="仿宋_GB2312" w:hAnsi="仿宋_GB2312" w:eastAsia="仿宋_GB2312" w:cs="仿宋_GB2312"/>
                <w:color w:val="auto"/>
                <w:sz w:val="22"/>
                <w:szCs w:val="22"/>
                <w:lang w:val="en-US" w:eastAsia="zh-CN"/>
              </w:rPr>
              <w:t>否则，不得分。</w:t>
            </w:r>
          </w:p>
          <w:p>
            <w:pPr>
              <w:adjustRightInd w:val="0"/>
              <w:snapToGrid w:val="0"/>
              <w:rPr>
                <w:rFonts w:hint="eastAsia" w:ascii="仿宋_GB2312" w:hAnsi="仿宋_GB2312" w:eastAsia="仿宋_GB2312" w:cs="仿宋_GB2312"/>
                <w:color w:val="auto"/>
                <w:sz w:val="22"/>
                <w:szCs w:val="22"/>
              </w:rPr>
            </w:pPr>
          </w:p>
        </w:tc>
        <w:tc>
          <w:tcPr>
            <w:tcW w:w="4270" w:type="dxa"/>
            <w:vAlign w:val="center"/>
          </w:tcPr>
          <w:p>
            <w:pPr>
              <w:adjustRightInd w:val="0"/>
              <w:snapToGrid w:val="0"/>
              <w:textAlignment w:val="center"/>
              <w:rPr>
                <w:rFonts w:hint="eastAsia" w:ascii="仿宋_GB2312" w:hAnsi="仿宋_GB2312" w:eastAsia="仿宋_GB2312" w:cs="仿宋_GB2312"/>
                <w:bCs/>
                <w:color w:val="auto"/>
                <w:sz w:val="22"/>
                <w:szCs w:val="22"/>
              </w:rPr>
            </w:pPr>
            <w:r>
              <w:rPr>
                <w:rFonts w:hint="eastAsia" w:ascii="仿宋_GB2312" w:hAnsi="仿宋_GB2312" w:eastAsia="仿宋_GB2312" w:cs="仿宋_GB2312"/>
                <w:bCs/>
                <w:color w:val="auto"/>
                <w:sz w:val="22"/>
                <w:szCs w:val="22"/>
              </w:rPr>
              <w:t>根据</w:t>
            </w:r>
            <w:r>
              <w:rPr>
                <w:rFonts w:hint="eastAsia" w:ascii="仿宋_GB2312" w:hAnsi="仿宋_GB2312" w:eastAsia="仿宋_GB2312" w:cs="仿宋_GB2312"/>
                <w:color w:val="auto"/>
                <w:sz w:val="22"/>
                <w:szCs w:val="22"/>
                <w:lang w:eastAsia="zh-CN"/>
              </w:rPr>
              <w:t>自然资源局</w:t>
            </w:r>
            <w:r>
              <w:rPr>
                <w:rFonts w:hint="eastAsia" w:ascii="仿宋_GB2312" w:hAnsi="仿宋_GB2312" w:eastAsia="仿宋_GB2312" w:cs="仿宋_GB2312"/>
                <w:bCs/>
                <w:color w:val="auto"/>
                <w:sz w:val="22"/>
                <w:szCs w:val="22"/>
              </w:rPr>
              <w:t>提供的基础数据表、佐证材料等，经评价组核查：</w:t>
            </w:r>
            <w:r>
              <w:rPr>
                <w:rFonts w:hint="eastAsia" w:ascii="仿宋_GB2312" w:hAnsi="仿宋_GB2312" w:eastAsia="仿宋_GB2312" w:cs="仿宋_GB2312"/>
                <w:bCs/>
                <w:color w:val="auto"/>
                <w:sz w:val="22"/>
                <w:szCs w:val="22"/>
                <w:lang w:eastAsia="zh-CN"/>
              </w:rPr>
              <w:t>创建森林城市绿化项目的实施增加了经济收入，吸收更多的劳动力就业，经济效益比较明显。</w:t>
            </w:r>
            <w:r>
              <w:rPr>
                <w:rFonts w:hint="eastAsia" w:ascii="仿宋_GB2312" w:hAnsi="仿宋_GB2312" w:eastAsia="仿宋_GB2312" w:cs="仿宋_GB2312"/>
                <w:bCs/>
                <w:color w:val="auto"/>
                <w:sz w:val="22"/>
                <w:szCs w:val="22"/>
              </w:rPr>
              <w:t>依据评分标准</w:t>
            </w:r>
            <w:r>
              <w:rPr>
                <w:rFonts w:hint="eastAsia" w:ascii="仿宋_GB2312" w:hAnsi="仿宋_GB2312" w:eastAsia="仿宋_GB2312" w:cs="仿宋_GB2312"/>
                <w:color w:val="auto"/>
                <w:sz w:val="22"/>
                <w:szCs w:val="22"/>
                <w:lang w:eastAsia="zh-CN"/>
              </w:rPr>
              <w:t>，</w:t>
            </w:r>
            <w:r>
              <w:rPr>
                <w:rFonts w:hint="eastAsia" w:ascii="仿宋_GB2312" w:hAnsi="仿宋_GB2312" w:eastAsia="仿宋_GB2312" w:cs="仿宋_GB2312"/>
                <w:bCs/>
                <w:color w:val="auto"/>
                <w:sz w:val="22"/>
                <w:szCs w:val="22"/>
              </w:rPr>
              <w:t>该指标得</w:t>
            </w:r>
            <w:r>
              <w:rPr>
                <w:rFonts w:hint="eastAsia" w:ascii="仿宋_GB2312" w:hAnsi="仿宋_GB2312" w:eastAsia="仿宋_GB2312" w:cs="仿宋_GB2312"/>
                <w:bCs/>
                <w:color w:val="auto"/>
                <w:sz w:val="22"/>
                <w:szCs w:val="22"/>
                <w:lang w:val="en-US" w:eastAsia="zh-CN"/>
              </w:rPr>
              <w:t>5</w:t>
            </w:r>
            <w:r>
              <w:rPr>
                <w:rFonts w:hint="eastAsia" w:ascii="仿宋_GB2312" w:hAnsi="仿宋_GB2312" w:eastAsia="仿宋_GB2312" w:cs="仿宋_GB2312"/>
                <w:bCs/>
                <w:color w:val="auto"/>
                <w:sz w:val="22"/>
                <w:szCs w:val="22"/>
              </w:rPr>
              <w:t>分。</w:t>
            </w:r>
          </w:p>
        </w:tc>
        <w:tc>
          <w:tcPr>
            <w:tcW w:w="833" w:type="dxa"/>
            <w:vAlign w:val="center"/>
          </w:tcPr>
          <w:p>
            <w:pPr>
              <w:adjustRightInd w:val="0"/>
              <w:snapToGrid w:val="0"/>
              <w:jc w:val="center"/>
              <w:textAlignment w:val="center"/>
              <w:rPr>
                <w:rFonts w:hint="eastAsia" w:ascii="仿宋_GB2312" w:hAnsi="仿宋_GB2312" w:eastAsia="仿宋_GB2312" w:cs="仿宋_GB2312"/>
                <w:bCs/>
                <w:color w:val="auto"/>
                <w:sz w:val="22"/>
                <w:szCs w:val="22"/>
                <w:lang w:val="en-US" w:eastAsia="zh-CN"/>
              </w:rPr>
            </w:pPr>
            <w:r>
              <w:rPr>
                <w:rFonts w:hint="eastAsia" w:ascii="仿宋_GB2312" w:hAnsi="仿宋_GB2312" w:eastAsia="仿宋_GB2312" w:cs="仿宋_GB2312"/>
                <w:bCs/>
                <w:color w:val="auto"/>
                <w:sz w:val="22"/>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4" w:hRule="atLeast"/>
          <w:jc w:val="center"/>
        </w:trPr>
        <w:tc>
          <w:tcPr>
            <w:tcW w:w="1268" w:type="dxa"/>
            <w:vMerge w:val="continue"/>
            <w:vAlign w:val="center"/>
          </w:tcPr>
          <w:p>
            <w:pPr>
              <w:adjustRightInd w:val="0"/>
              <w:snapToGrid w:val="0"/>
              <w:jc w:val="center"/>
              <w:rPr>
                <w:rFonts w:hint="eastAsia" w:ascii="仿宋_GB2312" w:hAnsi="仿宋_GB2312" w:eastAsia="仿宋_GB2312" w:cs="仿宋_GB2312"/>
                <w:color w:val="auto"/>
                <w:sz w:val="22"/>
                <w:szCs w:val="22"/>
              </w:rPr>
            </w:pPr>
          </w:p>
        </w:tc>
        <w:tc>
          <w:tcPr>
            <w:tcW w:w="1243"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社会效益D</w:t>
            </w:r>
            <w:r>
              <w:rPr>
                <w:rFonts w:hint="eastAsia" w:ascii="仿宋_GB2312" w:hAnsi="仿宋_GB2312" w:eastAsia="仿宋_GB2312" w:cs="仿宋_GB2312"/>
                <w:color w:val="auto"/>
                <w:sz w:val="22"/>
                <w:szCs w:val="22"/>
                <w:vertAlign w:val="subscript"/>
              </w:rPr>
              <w:t>2</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w:t>
            </w:r>
            <w:r>
              <w:rPr>
                <w:rFonts w:hint="eastAsia" w:ascii="仿宋_GB2312" w:hAnsi="仿宋_GB2312" w:eastAsia="仿宋_GB2312" w:cs="仿宋_GB2312"/>
                <w:color w:val="auto"/>
                <w:sz w:val="22"/>
                <w:szCs w:val="22"/>
                <w:lang w:val="en-US" w:eastAsia="zh-CN"/>
              </w:rPr>
              <w:t>5</w:t>
            </w:r>
            <w:r>
              <w:rPr>
                <w:rFonts w:hint="eastAsia" w:ascii="仿宋_GB2312" w:hAnsi="仿宋_GB2312" w:eastAsia="仿宋_GB2312" w:cs="仿宋_GB2312"/>
                <w:color w:val="auto"/>
                <w:sz w:val="22"/>
                <w:szCs w:val="22"/>
              </w:rPr>
              <w:t>分）</w:t>
            </w: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lang w:eastAsia="zh-CN"/>
              </w:rPr>
              <w:t>是否带动经济发展，提高城市品味，改善投资环境</w:t>
            </w:r>
            <w:r>
              <w:rPr>
                <w:rFonts w:hint="eastAsia" w:ascii="仿宋_GB2312" w:hAnsi="仿宋_GB2312" w:eastAsia="仿宋_GB2312" w:cs="仿宋_GB2312"/>
                <w:color w:val="auto"/>
                <w:sz w:val="22"/>
                <w:szCs w:val="22"/>
              </w:rPr>
              <w:t>D</w:t>
            </w:r>
            <w:r>
              <w:rPr>
                <w:rFonts w:hint="eastAsia" w:ascii="仿宋_GB2312" w:hAnsi="仿宋_GB2312" w:eastAsia="仿宋_GB2312" w:cs="仿宋_GB2312"/>
                <w:color w:val="auto"/>
                <w:sz w:val="22"/>
                <w:szCs w:val="22"/>
                <w:vertAlign w:val="subscript"/>
              </w:rPr>
              <w:t>21</w:t>
            </w:r>
          </w:p>
        </w:tc>
        <w:tc>
          <w:tcPr>
            <w:tcW w:w="856" w:type="dxa"/>
            <w:gridSpan w:val="2"/>
            <w:vAlign w:val="center"/>
          </w:tcPr>
          <w:p>
            <w:pPr>
              <w:adjustRightInd w:val="0"/>
              <w:snapToGrid w:val="0"/>
              <w:jc w:val="center"/>
              <w:rPr>
                <w:rFonts w:hint="eastAsia" w:ascii="仿宋_GB2312" w:hAnsi="仿宋_GB2312" w:eastAsia="仿宋_GB2312" w:cs="仿宋_GB2312"/>
                <w:color w:val="auto"/>
                <w:sz w:val="22"/>
                <w:szCs w:val="22"/>
                <w:lang w:eastAsia="zh-CN"/>
              </w:rPr>
            </w:pPr>
            <w:r>
              <w:rPr>
                <w:rFonts w:hint="eastAsia" w:ascii="仿宋_GB2312" w:hAnsi="仿宋_GB2312" w:eastAsia="仿宋_GB2312" w:cs="仿宋_GB2312"/>
                <w:color w:val="auto"/>
                <w:sz w:val="22"/>
                <w:szCs w:val="22"/>
                <w:lang w:eastAsia="zh-CN"/>
              </w:rPr>
              <w:t>提高</w:t>
            </w:r>
          </w:p>
        </w:tc>
        <w:tc>
          <w:tcPr>
            <w:tcW w:w="700" w:type="dxa"/>
            <w:gridSpan w:val="2"/>
            <w:vAlign w:val="center"/>
          </w:tcPr>
          <w:p>
            <w:pPr>
              <w:adjustRightInd w:val="0"/>
              <w:snapToGrid w:val="0"/>
              <w:jc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5</w:t>
            </w:r>
          </w:p>
        </w:tc>
        <w:tc>
          <w:tcPr>
            <w:tcW w:w="3340" w:type="dxa"/>
            <w:gridSpan w:val="2"/>
            <w:vAlign w:val="center"/>
          </w:tcPr>
          <w:p>
            <w:pPr>
              <w:adjustRightInd w:val="0"/>
              <w:snapToGrid w:val="0"/>
              <w:textAlignment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textAlignment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eastAsia="zh-CN"/>
              </w:rPr>
              <w:t>带动经济发展，提高城市品味，改善投资环境</w:t>
            </w:r>
            <w:r>
              <w:rPr>
                <w:rFonts w:hint="eastAsia" w:ascii="仿宋_GB2312" w:hAnsi="仿宋_GB2312" w:eastAsia="仿宋_GB2312" w:cs="仿宋_GB2312"/>
                <w:color w:val="auto"/>
                <w:sz w:val="22"/>
                <w:szCs w:val="22"/>
                <w:lang w:val="en-US" w:eastAsia="zh-CN"/>
              </w:rPr>
              <w:t>得满分，否则，不得分。</w:t>
            </w:r>
          </w:p>
          <w:p>
            <w:pPr>
              <w:adjustRightInd w:val="0"/>
              <w:snapToGrid w:val="0"/>
              <w:rPr>
                <w:rFonts w:hint="eastAsia" w:ascii="仿宋_GB2312" w:hAnsi="仿宋_GB2312" w:eastAsia="仿宋_GB2312" w:cs="仿宋_GB2312"/>
                <w:color w:val="auto"/>
                <w:sz w:val="22"/>
                <w:szCs w:val="22"/>
              </w:rPr>
            </w:pPr>
          </w:p>
          <w:p>
            <w:pPr>
              <w:adjustRightInd w:val="0"/>
              <w:snapToGrid w:val="0"/>
              <w:rPr>
                <w:rFonts w:hint="eastAsia" w:ascii="仿宋_GB2312" w:hAnsi="仿宋_GB2312" w:eastAsia="仿宋_GB2312" w:cs="仿宋_GB2312"/>
                <w:color w:val="auto"/>
                <w:sz w:val="22"/>
                <w:szCs w:val="22"/>
              </w:rPr>
            </w:pPr>
          </w:p>
        </w:tc>
        <w:tc>
          <w:tcPr>
            <w:tcW w:w="4270" w:type="dxa"/>
            <w:vAlign w:val="center"/>
          </w:tcPr>
          <w:p>
            <w:pPr>
              <w:adjustRightInd w:val="0"/>
              <w:snapToGrid w:val="0"/>
              <w:textAlignment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根据</w:t>
            </w:r>
            <w:r>
              <w:rPr>
                <w:rFonts w:hint="eastAsia" w:ascii="仿宋_GB2312" w:hAnsi="仿宋_GB2312" w:eastAsia="仿宋_GB2312" w:cs="仿宋_GB2312"/>
                <w:color w:val="auto"/>
                <w:sz w:val="22"/>
                <w:szCs w:val="22"/>
                <w:lang w:eastAsia="zh-CN"/>
              </w:rPr>
              <w:t>安阳县自然资源局</w:t>
            </w:r>
            <w:r>
              <w:rPr>
                <w:rFonts w:hint="eastAsia" w:ascii="仿宋_GB2312" w:hAnsi="仿宋_GB2312" w:eastAsia="仿宋_GB2312" w:cs="仿宋_GB2312"/>
                <w:color w:val="auto"/>
                <w:sz w:val="22"/>
                <w:szCs w:val="22"/>
              </w:rPr>
              <w:t>提供的基础数据表、佐证材料</w:t>
            </w:r>
            <w:r>
              <w:rPr>
                <w:rFonts w:hint="eastAsia" w:ascii="仿宋_GB2312" w:hAnsi="仿宋_GB2312" w:eastAsia="仿宋_GB2312" w:cs="仿宋_GB2312"/>
                <w:color w:val="auto"/>
                <w:sz w:val="22"/>
                <w:szCs w:val="22"/>
                <w:lang w:eastAsia="zh-CN"/>
              </w:rPr>
              <w:t>等，经评价组核查：通过“创建森林绿化建设”改善了当地的环境状况，有助于提升城市景观形成，完善了城市功能，对进一步发展安阳县城市经济起到了应有的保障作用。同时，带动了旅游业的发展，将会吸引更多的人士观光旅游。社会效益比较明显；依据评分标准，该指标得</w:t>
            </w:r>
            <w:r>
              <w:rPr>
                <w:rFonts w:hint="eastAsia" w:ascii="仿宋_GB2312" w:hAnsi="仿宋_GB2312" w:eastAsia="仿宋_GB2312" w:cs="仿宋_GB2312"/>
                <w:color w:val="auto"/>
                <w:sz w:val="22"/>
                <w:szCs w:val="22"/>
                <w:lang w:val="en-US" w:eastAsia="zh-CN"/>
              </w:rPr>
              <w:t>5</w:t>
            </w:r>
            <w:r>
              <w:rPr>
                <w:rFonts w:hint="eastAsia" w:ascii="仿宋_GB2312" w:hAnsi="仿宋_GB2312" w:eastAsia="仿宋_GB2312" w:cs="仿宋_GB2312"/>
                <w:color w:val="auto"/>
                <w:sz w:val="22"/>
                <w:szCs w:val="22"/>
                <w:lang w:eastAsia="zh-CN"/>
              </w:rPr>
              <w:t>分。</w:t>
            </w:r>
          </w:p>
        </w:tc>
        <w:tc>
          <w:tcPr>
            <w:tcW w:w="833" w:type="dxa"/>
            <w:vAlign w:val="center"/>
          </w:tcPr>
          <w:p>
            <w:pPr>
              <w:adjustRightInd w:val="0"/>
              <w:snapToGrid w:val="0"/>
              <w:jc w:val="center"/>
              <w:textAlignment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7" w:hRule="atLeast"/>
          <w:jc w:val="center"/>
        </w:trPr>
        <w:tc>
          <w:tcPr>
            <w:tcW w:w="1268" w:type="dxa"/>
            <w:vMerge w:val="continue"/>
            <w:vAlign w:val="center"/>
          </w:tcPr>
          <w:p>
            <w:pPr>
              <w:adjustRightInd w:val="0"/>
              <w:snapToGrid w:val="0"/>
              <w:jc w:val="center"/>
              <w:rPr>
                <w:rFonts w:hint="eastAsia" w:ascii="仿宋_GB2312" w:hAnsi="仿宋_GB2312" w:eastAsia="仿宋_GB2312" w:cs="仿宋_GB2312"/>
                <w:color w:val="auto"/>
                <w:sz w:val="22"/>
                <w:szCs w:val="22"/>
              </w:rPr>
            </w:pPr>
          </w:p>
        </w:tc>
        <w:tc>
          <w:tcPr>
            <w:tcW w:w="1243" w:type="dxa"/>
            <w:gridSpan w:val="2"/>
            <w:vAlign w:val="center"/>
          </w:tcPr>
          <w:p>
            <w:pPr>
              <w:adjustRightInd w:val="0"/>
              <w:snapToGrid w:val="0"/>
              <w:jc w:val="center"/>
              <w:rPr>
                <w:rFonts w:hint="eastAsia" w:ascii="仿宋_GB2312" w:hAnsi="仿宋_GB2312" w:eastAsia="仿宋_GB2312" w:cs="仿宋_GB2312"/>
                <w:color w:val="auto"/>
                <w:sz w:val="22"/>
                <w:szCs w:val="22"/>
                <w:vertAlign w:val="subscript"/>
                <w:lang w:val="en-US" w:eastAsia="zh-CN"/>
              </w:rPr>
            </w:pPr>
            <w:r>
              <w:rPr>
                <w:rFonts w:hint="eastAsia" w:ascii="仿宋_GB2312" w:hAnsi="仿宋_GB2312" w:eastAsia="仿宋_GB2312" w:cs="仿宋_GB2312"/>
                <w:color w:val="auto"/>
                <w:sz w:val="22"/>
                <w:szCs w:val="22"/>
                <w:lang w:eastAsia="zh-CN"/>
              </w:rPr>
              <w:t>生态</w:t>
            </w:r>
            <w:r>
              <w:rPr>
                <w:rFonts w:hint="eastAsia" w:ascii="仿宋_GB2312" w:hAnsi="仿宋_GB2312" w:eastAsia="仿宋_GB2312" w:cs="仿宋_GB2312"/>
                <w:color w:val="auto"/>
                <w:sz w:val="22"/>
                <w:szCs w:val="22"/>
              </w:rPr>
              <w:t>效益D</w:t>
            </w:r>
            <w:r>
              <w:rPr>
                <w:rFonts w:hint="eastAsia" w:ascii="仿宋_GB2312" w:hAnsi="仿宋_GB2312" w:eastAsia="仿宋_GB2312" w:cs="仿宋_GB2312"/>
                <w:color w:val="auto"/>
                <w:sz w:val="22"/>
                <w:szCs w:val="22"/>
                <w:vertAlign w:val="subscript"/>
                <w:lang w:val="en-US" w:eastAsia="zh-CN"/>
              </w:rPr>
              <w:t>3</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w:t>
            </w:r>
            <w:r>
              <w:rPr>
                <w:rFonts w:hint="eastAsia" w:ascii="仿宋_GB2312" w:hAnsi="仿宋_GB2312" w:eastAsia="仿宋_GB2312" w:cs="仿宋_GB2312"/>
                <w:color w:val="auto"/>
                <w:sz w:val="22"/>
                <w:szCs w:val="22"/>
                <w:lang w:val="en-US" w:eastAsia="zh-CN"/>
              </w:rPr>
              <w:t>5</w:t>
            </w:r>
            <w:r>
              <w:rPr>
                <w:rFonts w:hint="eastAsia" w:ascii="仿宋_GB2312" w:hAnsi="仿宋_GB2312" w:eastAsia="仿宋_GB2312" w:cs="仿宋_GB2312"/>
                <w:color w:val="auto"/>
                <w:sz w:val="22"/>
                <w:szCs w:val="22"/>
              </w:rPr>
              <w:t>分）</w:t>
            </w: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lang w:eastAsia="zh-CN"/>
              </w:rPr>
            </w:pPr>
            <w:r>
              <w:rPr>
                <w:rFonts w:hint="eastAsia" w:ascii="仿宋_GB2312" w:hAnsi="仿宋_GB2312" w:eastAsia="仿宋_GB2312" w:cs="仿宋_GB2312"/>
                <w:color w:val="auto"/>
                <w:sz w:val="22"/>
                <w:szCs w:val="22"/>
                <w:lang w:val="en-US" w:eastAsia="zh-CN"/>
              </w:rPr>
              <w:t>是否对生态环境的提升</w:t>
            </w:r>
            <w:r>
              <w:rPr>
                <w:rFonts w:hint="eastAsia" w:ascii="仿宋_GB2312" w:hAnsi="仿宋_GB2312" w:eastAsia="仿宋_GB2312" w:cs="仿宋_GB2312"/>
                <w:color w:val="auto"/>
                <w:sz w:val="22"/>
                <w:szCs w:val="22"/>
              </w:rPr>
              <w:t>D</w:t>
            </w:r>
            <w:r>
              <w:rPr>
                <w:rFonts w:hint="eastAsia" w:ascii="仿宋_GB2312" w:hAnsi="仿宋_GB2312" w:eastAsia="仿宋_GB2312" w:cs="仿宋_GB2312"/>
                <w:color w:val="auto"/>
                <w:sz w:val="22"/>
                <w:szCs w:val="22"/>
                <w:vertAlign w:val="subscript"/>
              </w:rPr>
              <w:t>31</w:t>
            </w:r>
          </w:p>
        </w:tc>
        <w:tc>
          <w:tcPr>
            <w:tcW w:w="856" w:type="dxa"/>
            <w:gridSpan w:val="2"/>
            <w:vAlign w:val="center"/>
          </w:tcPr>
          <w:p>
            <w:pPr>
              <w:adjustRightInd w:val="0"/>
              <w:snapToGrid w:val="0"/>
              <w:jc w:val="both"/>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显著</w:t>
            </w:r>
          </w:p>
        </w:tc>
        <w:tc>
          <w:tcPr>
            <w:tcW w:w="700" w:type="dxa"/>
            <w:gridSpan w:val="2"/>
            <w:vAlign w:val="center"/>
          </w:tcPr>
          <w:p>
            <w:pPr>
              <w:adjustRightInd w:val="0"/>
              <w:snapToGrid w:val="0"/>
              <w:jc w:val="center"/>
              <w:rPr>
                <w:rFonts w:hint="default"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5</w:t>
            </w:r>
          </w:p>
        </w:tc>
        <w:tc>
          <w:tcPr>
            <w:tcW w:w="3340" w:type="dxa"/>
            <w:gridSpan w:val="2"/>
            <w:vAlign w:val="center"/>
          </w:tcPr>
          <w:p>
            <w:pPr>
              <w:adjustRightInd w:val="0"/>
              <w:snapToGrid w:val="0"/>
              <w:textAlignment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textAlignment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对生态环境的提升得满分，否则，不得分。</w:t>
            </w:r>
          </w:p>
          <w:p>
            <w:pPr>
              <w:adjustRightInd w:val="0"/>
              <w:snapToGrid w:val="0"/>
              <w:rPr>
                <w:rFonts w:hint="eastAsia" w:ascii="仿宋_GB2312" w:hAnsi="仿宋_GB2312" w:eastAsia="仿宋_GB2312" w:cs="仿宋_GB2312"/>
                <w:color w:val="auto"/>
                <w:sz w:val="22"/>
                <w:szCs w:val="22"/>
                <w:lang w:eastAsia="zh-CN"/>
              </w:rPr>
            </w:pPr>
          </w:p>
        </w:tc>
        <w:tc>
          <w:tcPr>
            <w:tcW w:w="4270" w:type="dxa"/>
            <w:vAlign w:val="center"/>
          </w:tcPr>
          <w:p>
            <w:pPr>
              <w:adjustRightInd w:val="0"/>
              <w:snapToGrid w:val="0"/>
              <w:textAlignment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根据</w:t>
            </w:r>
            <w:r>
              <w:rPr>
                <w:rFonts w:hint="eastAsia" w:ascii="仿宋_GB2312" w:hAnsi="仿宋_GB2312" w:eastAsia="仿宋_GB2312" w:cs="仿宋_GB2312"/>
                <w:color w:val="auto"/>
                <w:sz w:val="22"/>
                <w:szCs w:val="22"/>
                <w:lang w:eastAsia="zh-CN"/>
              </w:rPr>
              <w:t>安阳县自然资源局</w:t>
            </w:r>
            <w:r>
              <w:rPr>
                <w:rFonts w:hint="eastAsia" w:ascii="仿宋_GB2312" w:hAnsi="仿宋_GB2312" w:eastAsia="仿宋_GB2312" w:cs="仿宋_GB2312"/>
                <w:color w:val="auto"/>
                <w:sz w:val="22"/>
                <w:szCs w:val="22"/>
              </w:rPr>
              <w:t>提供的基础数据表、佐证材料等，经评价组核查：</w:t>
            </w:r>
            <w:r>
              <w:rPr>
                <w:rFonts w:hint="eastAsia" w:ascii="仿宋_GB2312" w:hAnsi="仿宋_GB2312" w:eastAsia="仿宋_GB2312" w:cs="仿宋_GB2312"/>
                <w:color w:val="auto"/>
                <w:sz w:val="22"/>
                <w:szCs w:val="22"/>
                <w:lang w:eastAsia="zh-CN"/>
              </w:rPr>
              <w:t>通过“创建森林绿化建设”改善了区域交通环境和生态环境，提高了群众生活质量，为树立文明、整洁、现代化城市形象打下良好的基础。生态效益比较明显；依据评分标准，该指标得</w:t>
            </w:r>
            <w:r>
              <w:rPr>
                <w:rFonts w:hint="eastAsia" w:ascii="仿宋_GB2312" w:hAnsi="仿宋_GB2312" w:eastAsia="仿宋_GB2312" w:cs="仿宋_GB2312"/>
                <w:color w:val="auto"/>
                <w:sz w:val="22"/>
                <w:szCs w:val="22"/>
                <w:lang w:val="en-US" w:eastAsia="zh-CN"/>
              </w:rPr>
              <w:t>5</w:t>
            </w:r>
            <w:r>
              <w:rPr>
                <w:rFonts w:hint="eastAsia" w:ascii="仿宋_GB2312" w:hAnsi="仿宋_GB2312" w:eastAsia="仿宋_GB2312" w:cs="仿宋_GB2312"/>
                <w:color w:val="auto"/>
                <w:sz w:val="22"/>
                <w:szCs w:val="22"/>
                <w:lang w:eastAsia="zh-CN"/>
              </w:rPr>
              <w:t>分。</w:t>
            </w:r>
          </w:p>
        </w:tc>
        <w:tc>
          <w:tcPr>
            <w:tcW w:w="833" w:type="dxa"/>
            <w:vAlign w:val="center"/>
          </w:tcPr>
          <w:p>
            <w:pPr>
              <w:adjustRightInd w:val="0"/>
              <w:snapToGrid w:val="0"/>
              <w:jc w:val="center"/>
              <w:textAlignment w:val="center"/>
              <w:rPr>
                <w:rFonts w:hint="default"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3" w:hRule="atLeast"/>
          <w:jc w:val="center"/>
        </w:trPr>
        <w:tc>
          <w:tcPr>
            <w:tcW w:w="1268" w:type="dxa"/>
            <w:vMerge w:val="continue"/>
            <w:vAlign w:val="center"/>
          </w:tcPr>
          <w:p>
            <w:pPr>
              <w:adjustRightInd w:val="0"/>
              <w:snapToGrid w:val="0"/>
              <w:jc w:val="center"/>
              <w:rPr>
                <w:rFonts w:hint="eastAsia" w:ascii="仿宋_GB2312" w:hAnsi="仿宋_GB2312" w:eastAsia="仿宋_GB2312" w:cs="仿宋_GB2312"/>
                <w:color w:val="auto"/>
                <w:sz w:val="22"/>
                <w:szCs w:val="22"/>
              </w:rPr>
            </w:pPr>
          </w:p>
        </w:tc>
        <w:tc>
          <w:tcPr>
            <w:tcW w:w="1243" w:type="dxa"/>
            <w:gridSpan w:val="2"/>
            <w:vAlign w:val="center"/>
          </w:tcPr>
          <w:p>
            <w:pPr>
              <w:adjustRightInd w:val="0"/>
              <w:snapToGrid w:val="0"/>
              <w:jc w:val="center"/>
              <w:rPr>
                <w:rFonts w:hint="eastAsia" w:ascii="仿宋_GB2312" w:hAnsi="仿宋_GB2312" w:eastAsia="仿宋_GB2312" w:cs="仿宋_GB2312"/>
                <w:color w:val="auto"/>
                <w:sz w:val="22"/>
                <w:szCs w:val="22"/>
                <w:vertAlign w:val="subscript"/>
                <w:lang w:val="en-US" w:eastAsia="zh-CN"/>
              </w:rPr>
            </w:pPr>
            <w:r>
              <w:rPr>
                <w:rFonts w:hint="eastAsia" w:ascii="仿宋_GB2312" w:hAnsi="仿宋_GB2312" w:eastAsia="仿宋_GB2312" w:cs="仿宋_GB2312"/>
                <w:color w:val="auto"/>
                <w:sz w:val="22"/>
                <w:szCs w:val="22"/>
              </w:rPr>
              <w:t>可持续影响D</w:t>
            </w:r>
            <w:r>
              <w:rPr>
                <w:rFonts w:hint="eastAsia" w:ascii="仿宋_GB2312" w:hAnsi="仿宋_GB2312" w:eastAsia="仿宋_GB2312" w:cs="仿宋_GB2312"/>
                <w:color w:val="auto"/>
                <w:sz w:val="22"/>
                <w:szCs w:val="22"/>
                <w:vertAlign w:val="subscript"/>
                <w:lang w:val="en-US" w:eastAsia="zh-CN"/>
              </w:rPr>
              <w:t>4</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w:t>
            </w:r>
            <w:r>
              <w:rPr>
                <w:rFonts w:hint="eastAsia" w:ascii="仿宋_GB2312" w:hAnsi="仿宋_GB2312" w:eastAsia="仿宋_GB2312" w:cs="仿宋_GB2312"/>
                <w:color w:val="auto"/>
                <w:sz w:val="22"/>
                <w:szCs w:val="22"/>
                <w:lang w:val="en-US" w:eastAsia="zh-CN"/>
              </w:rPr>
              <w:t>5</w:t>
            </w:r>
            <w:r>
              <w:rPr>
                <w:rFonts w:hint="eastAsia" w:ascii="仿宋_GB2312" w:hAnsi="仿宋_GB2312" w:eastAsia="仿宋_GB2312" w:cs="仿宋_GB2312"/>
                <w:color w:val="auto"/>
                <w:sz w:val="22"/>
                <w:szCs w:val="22"/>
              </w:rPr>
              <w:t>分）</w:t>
            </w: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lang w:eastAsia="zh-CN"/>
              </w:rPr>
              <w:t>是否净化空气、减少噪音</w:t>
            </w:r>
            <w:r>
              <w:rPr>
                <w:rFonts w:hint="eastAsia" w:ascii="仿宋_GB2312" w:hAnsi="仿宋_GB2312" w:eastAsia="仿宋_GB2312" w:cs="仿宋_GB2312"/>
                <w:color w:val="auto"/>
                <w:sz w:val="22"/>
                <w:szCs w:val="22"/>
              </w:rPr>
              <w:t>D</w:t>
            </w:r>
            <w:r>
              <w:rPr>
                <w:rFonts w:hint="eastAsia" w:ascii="仿宋_GB2312" w:hAnsi="仿宋_GB2312" w:eastAsia="仿宋_GB2312" w:cs="仿宋_GB2312"/>
                <w:color w:val="auto"/>
                <w:sz w:val="22"/>
                <w:szCs w:val="22"/>
                <w:vertAlign w:val="subscript"/>
                <w:lang w:val="en-US" w:eastAsia="zh-CN"/>
              </w:rPr>
              <w:t>4</w:t>
            </w:r>
            <w:r>
              <w:rPr>
                <w:rFonts w:hint="eastAsia" w:ascii="仿宋_GB2312" w:hAnsi="仿宋_GB2312" w:eastAsia="仿宋_GB2312" w:cs="仿宋_GB2312"/>
                <w:color w:val="auto"/>
                <w:sz w:val="22"/>
                <w:szCs w:val="22"/>
                <w:vertAlign w:val="subscript"/>
              </w:rPr>
              <w:t>1</w:t>
            </w:r>
          </w:p>
        </w:tc>
        <w:tc>
          <w:tcPr>
            <w:tcW w:w="856" w:type="dxa"/>
            <w:gridSpan w:val="2"/>
            <w:vAlign w:val="center"/>
          </w:tcPr>
          <w:p>
            <w:pPr>
              <w:adjustRightInd w:val="0"/>
              <w:snapToGrid w:val="0"/>
              <w:jc w:val="both"/>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提升</w:t>
            </w:r>
          </w:p>
        </w:tc>
        <w:tc>
          <w:tcPr>
            <w:tcW w:w="700" w:type="dxa"/>
            <w:gridSpan w:val="2"/>
            <w:vAlign w:val="center"/>
          </w:tcPr>
          <w:p>
            <w:pPr>
              <w:adjustRightInd w:val="0"/>
              <w:snapToGrid w:val="0"/>
              <w:jc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5</w:t>
            </w:r>
          </w:p>
        </w:tc>
        <w:tc>
          <w:tcPr>
            <w:tcW w:w="3340" w:type="dxa"/>
            <w:gridSpan w:val="2"/>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lang w:eastAsia="zh-CN"/>
              </w:rPr>
              <w:t>有明显提升的得满分，否则，不得分</w:t>
            </w:r>
            <w:r>
              <w:rPr>
                <w:rFonts w:hint="eastAsia" w:ascii="仿宋_GB2312" w:hAnsi="仿宋_GB2312" w:eastAsia="仿宋_GB2312" w:cs="仿宋_GB2312"/>
                <w:color w:val="auto"/>
                <w:sz w:val="22"/>
                <w:szCs w:val="22"/>
              </w:rPr>
              <w:t>。</w:t>
            </w:r>
          </w:p>
        </w:tc>
        <w:tc>
          <w:tcPr>
            <w:tcW w:w="4270" w:type="dxa"/>
            <w:vAlign w:val="center"/>
          </w:tcPr>
          <w:p>
            <w:pPr>
              <w:adjustRightInd w:val="0"/>
              <w:snapToGrid w:val="0"/>
              <w:textAlignment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根据</w:t>
            </w:r>
            <w:r>
              <w:rPr>
                <w:rFonts w:hint="eastAsia" w:ascii="仿宋_GB2312" w:hAnsi="仿宋_GB2312" w:eastAsia="仿宋_GB2312" w:cs="仿宋_GB2312"/>
                <w:color w:val="auto"/>
                <w:sz w:val="22"/>
                <w:szCs w:val="22"/>
                <w:lang w:eastAsia="zh-CN"/>
              </w:rPr>
              <w:t>安阳县自然资源局</w:t>
            </w:r>
            <w:r>
              <w:rPr>
                <w:rFonts w:hint="eastAsia" w:ascii="仿宋_GB2312" w:hAnsi="仿宋_GB2312" w:eastAsia="仿宋_GB2312" w:cs="仿宋_GB2312"/>
                <w:color w:val="auto"/>
                <w:sz w:val="22"/>
                <w:szCs w:val="22"/>
              </w:rPr>
              <w:t>提供的基础数据表、佐证材料等，经评价组核查：</w:t>
            </w:r>
            <w:r>
              <w:rPr>
                <w:rFonts w:hint="eastAsia" w:ascii="仿宋_GB2312" w:hAnsi="仿宋_GB2312" w:eastAsia="仿宋_GB2312" w:cs="仿宋_GB2312"/>
                <w:color w:val="auto"/>
                <w:sz w:val="22"/>
                <w:szCs w:val="22"/>
                <w:lang w:eastAsia="zh-CN"/>
              </w:rPr>
              <w:t>创建森林城市绿化建设京港澳高速城区段绿化项目（一园）项目实施</w:t>
            </w:r>
            <w:r>
              <w:rPr>
                <w:rFonts w:hint="eastAsia" w:ascii="仿宋_GB2312" w:hAnsi="仿宋_GB2312" w:eastAsia="仿宋_GB2312" w:cs="仿宋_GB2312"/>
                <w:color w:val="auto"/>
                <w:sz w:val="22"/>
                <w:szCs w:val="22"/>
              </w:rPr>
              <w:t>提高</w:t>
            </w:r>
            <w:r>
              <w:rPr>
                <w:rFonts w:hint="eastAsia" w:ascii="仿宋_GB2312" w:hAnsi="仿宋_GB2312" w:eastAsia="仿宋_GB2312" w:cs="仿宋_GB2312"/>
                <w:color w:val="auto"/>
                <w:sz w:val="22"/>
                <w:szCs w:val="22"/>
                <w:lang w:eastAsia="zh-CN"/>
              </w:rPr>
              <w:t>了</w:t>
            </w:r>
            <w:r>
              <w:rPr>
                <w:rFonts w:hint="eastAsia" w:ascii="仿宋_GB2312" w:hAnsi="仿宋_GB2312" w:eastAsia="仿宋_GB2312" w:cs="仿宋_GB2312"/>
                <w:color w:val="auto"/>
                <w:sz w:val="22"/>
                <w:szCs w:val="22"/>
              </w:rPr>
              <w:t>人民的生活、健康水平。森林是城市绿地生态的组成部分,城市森林可以净化空气、减少噪音、吸收灰尘、减缓气候变化等。同时森林也是低碳文化的象征，因此森林城市建设对保障城市和社区的可持续发展、促进民生福祉发挥着至关重要的作用</w:t>
            </w:r>
            <w:r>
              <w:rPr>
                <w:rFonts w:hint="eastAsia" w:ascii="仿宋_GB2312" w:hAnsi="仿宋_GB2312" w:eastAsia="仿宋_GB2312" w:cs="仿宋_GB2312"/>
                <w:color w:val="auto"/>
                <w:sz w:val="22"/>
                <w:szCs w:val="22"/>
                <w:lang w:eastAsia="zh-CN"/>
              </w:rPr>
              <w:t>。</w:t>
            </w:r>
            <w:r>
              <w:rPr>
                <w:rFonts w:hint="eastAsia" w:ascii="仿宋_GB2312" w:hAnsi="仿宋_GB2312" w:eastAsia="仿宋_GB2312" w:cs="仿宋_GB2312"/>
                <w:color w:val="auto"/>
                <w:sz w:val="22"/>
                <w:szCs w:val="22"/>
              </w:rPr>
              <w:t>依据评价标准，该项指标得</w:t>
            </w:r>
            <w:r>
              <w:rPr>
                <w:rFonts w:hint="eastAsia" w:ascii="仿宋_GB2312" w:hAnsi="仿宋_GB2312" w:eastAsia="仿宋_GB2312" w:cs="仿宋_GB2312"/>
                <w:color w:val="auto"/>
                <w:sz w:val="22"/>
                <w:szCs w:val="22"/>
                <w:lang w:val="en-US" w:eastAsia="zh-CN"/>
              </w:rPr>
              <w:t>5</w:t>
            </w:r>
            <w:r>
              <w:rPr>
                <w:rFonts w:hint="eastAsia" w:ascii="仿宋_GB2312" w:hAnsi="仿宋_GB2312" w:eastAsia="仿宋_GB2312" w:cs="仿宋_GB2312"/>
                <w:color w:val="auto"/>
                <w:sz w:val="22"/>
                <w:szCs w:val="22"/>
              </w:rPr>
              <w:t>分。</w:t>
            </w:r>
          </w:p>
        </w:tc>
        <w:tc>
          <w:tcPr>
            <w:tcW w:w="833" w:type="dxa"/>
            <w:vAlign w:val="center"/>
          </w:tcPr>
          <w:p>
            <w:pPr>
              <w:adjustRightInd w:val="0"/>
              <w:snapToGrid w:val="0"/>
              <w:jc w:val="center"/>
              <w:textAlignment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5" w:hRule="atLeast"/>
          <w:jc w:val="center"/>
        </w:trPr>
        <w:tc>
          <w:tcPr>
            <w:tcW w:w="1268" w:type="dxa"/>
            <w:vMerge w:val="continue"/>
            <w:vAlign w:val="center"/>
          </w:tcPr>
          <w:p>
            <w:pPr>
              <w:adjustRightInd w:val="0"/>
              <w:snapToGrid w:val="0"/>
              <w:rPr>
                <w:rFonts w:hint="eastAsia" w:ascii="仿宋_GB2312" w:hAnsi="仿宋_GB2312" w:eastAsia="仿宋_GB2312" w:cs="仿宋_GB2312"/>
                <w:color w:val="auto"/>
                <w:sz w:val="22"/>
                <w:szCs w:val="22"/>
              </w:rPr>
            </w:pPr>
          </w:p>
        </w:tc>
        <w:tc>
          <w:tcPr>
            <w:tcW w:w="1243" w:type="dxa"/>
            <w:gridSpan w:val="2"/>
            <w:vAlign w:val="center"/>
          </w:tcPr>
          <w:p>
            <w:pPr>
              <w:adjustRightInd w:val="0"/>
              <w:snapToGrid w:val="0"/>
              <w:jc w:val="center"/>
              <w:rPr>
                <w:rFonts w:hint="eastAsia" w:ascii="仿宋_GB2312" w:hAnsi="仿宋_GB2312" w:eastAsia="仿宋_GB2312" w:cs="仿宋_GB2312"/>
                <w:color w:val="auto"/>
                <w:sz w:val="22"/>
                <w:szCs w:val="22"/>
                <w:vertAlign w:val="subscript"/>
                <w:lang w:val="en-US" w:eastAsia="zh-CN"/>
              </w:rPr>
            </w:pPr>
            <w:r>
              <w:rPr>
                <w:rFonts w:hint="eastAsia" w:ascii="仿宋_GB2312" w:hAnsi="仿宋_GB2312" w:eastAsia="仿宋_GB2312" w:cs="仿宋_GB2312"/>
                <w:color w:val="auto"/>
                <w:sz w:val="22"/>
                <w:szCs w:val="22"/>
              </w:rPr>
              <w:t>满意度D</w:t>
            </w:r>
            <w:r>
              <w:rPr>
                <w:rFonts w:hint="eastAsia" w:ascii="仿宋_GB2312" w:hAnsi="仿宋_GB2312" w:eastAsia="仿宋_GB2312" w:cs="仿宋_GB2312"/>
                <w:color w:val="auto"/>
                <w:sz w:val="22"/>
                <w:szCs w:val="22"/>
                <w:vertAlign w:val="subscript"/>
                <w:lang w:val="en-US" w:eastAsia="zh-CN"/>
              </w:rPr>
              <w:t>5</w:t>
            </w:r>
          </w:p>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w:t>
            </w:r>
            <w:r>
              <w:rPr>
                <w:rFonts w:hint="eastAsia" w:ascii="仿宋_GB2312" w:hAnsi="仿宋_GB2312" w:eastAsia="仿宋_GB2312" w:cs="仿宋_GB2312"/>
                <w:color w:val="auto"/>
                <w:sz w:val="22"/>
                <w:szCs w:val="22"/>
                <w:lang w:val="en-US" w:eastAsia="zh-CN"/>
              </w:rPr>
              <w:t>4</w:t>
            </w:r>
            <w:r>
              <w:rPr>
                <w:rFonts w:hint="eastAsia" w:ascii="仿宋_GB2312" w:hAnsi="仿宋_GB2312" w:eastAsia="仿宋_GB2312" w:cs="仿宋_GB2312"/>
                <w:color w:val="auto"/>
                <w:sz w:val="22"/>
                <w:szCs w:val="22"/>
              </w:rPr>
              <w:t>分）</w:t>
            </w:r>
          </w:p>
        </w:tc>
        <w:tc>
          <w:tcPr>
            <w:tcW w:w="1654"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服务对象满意度D</w:t>
            </w:r>
            <w:r>
              <w:rPr>
                <w:rFonts w:hint="eastAsia" w:ascii="仿宋_GB2312" w:hAnsi="仿宋_GB2312" w:eastAsia="仿宋_GB2312" w:cs="仿宋_GB2312"/>
                <w:color w:val="auto"/>
                <w:sz w:val="22"/>
                <w:szCs w:val="22"/>
                <w:vertAlign w:val="subscript"/>
                <w:lang w:val="en-US" w:eastAsia="zh-CN"/>
              </w:rPr>
              <w:t>5</w:t>
            </w:r>
            <w:r>
              <w:rPr>
                <w:rFonts w:hint="eastAsia" w:ascii="仿宋_GB2312" w:hAnsi="仿宋_GB2312" w:eastAsia="仿宋_GB2312" w:cs="仿宋_GB2312"/>
                <w:color w:val="auto"/>
                <w:sz w:val="22"/>
                <w:szCs w:val="22"/>
                <w:vertAlign w:val="subscript"/>
              </w:rPr>
              <w:t>1</w:t>
            </w:r>
          </w:p>
        </w:tc>
        <w:tc>
          <w:tcPr>
            <w:tcW w:w="856" w:type="dxa"/>
            <w:gridSpan w:val="2"/>
            <w:vAlign w:val="center"/>
          </w:tcPr>
          <w:p>
            <w:pPr>
              <w:adjustRightInd w:val="0"/>
              <w:snapToGrid w:val="0"/>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≥9</w:t>
            </w:r>
            <w:r>
              <w:rPr>
                <w:rFonts w:hint="eastAsia" w:ascii="仿宋_GB2312" w:hAnsi="仿宋_GB2312" w:eastAsia="仿宋_GB2312" w:cs="仿宋_GB2312"/>
                <w:color w:val="auto"/>
                <w:sz w:val="22"/>
                <w:szCs w:val="22"/>
                <w:lang w:val="en-US" w:eastAsia="zh-CN"/>
              </w:rPr>
              <w:t>5</w:t>
            </w:r>
            <w:r>
              <w:rPr>
                <w:rFonts w:hint="eastAsia" w:ascii="仿宋_GB2312" w:hAnsi="仿宋_GB2312" w:eastAsia="仿宋_GB2312" w:cs="仿宋_GB2312"/>
                <w:color w:val="auto"/>
                <w:sz w:val="22"/>
                <w:szCs w:val="22"/>
              </w:rPr>
              <w:t>%</w:t>
            </w:r>
          </w:p>
        </w:tc>
        <w:tc>
          <w:tcPr>
            <w:tcW w:w="700" w:type="dxa"/>
            <w:gridSpan w:val="2"/>
            <w:vAlign w:val="center"/>
          </w:tcPr>
          <w:p>
            <w:pPr>
              <w:adjustRightInd w:val="0"/>
              <w:snapToGrid w:val="0"/>
              <w:jc w:val="center"/>
              <w:rPr>
                <w:rFonts w:hint="eastAsia" w:ascii="仿宋_GB2312" w:hAnsi="仿宋_GB2312" w:eastAsia="仿宋_GB2312" w:cs="仿宋_GB2312"/>
                <w:color w:val="auto"/>
                <w:sz w:val="22"/>
                <w:szCs w:val="22"/>
                <w:lang w:eastAsia="zh-CN"/>
              </w:rPr>
            </w:pPr>
            <w:r>
              <w:rPr>
                <w:rFonts w:hint="eastAsia" w:ascii="仿宋_GB2312" w:hAnsi="仿宋_GB2312" w:eastAsia="仿宋_GB2312" w:cs="仿宋_GB2312"/>
                <w:color w:val="auto"/>
                <w:sz w:val="22"/>
                <w:szCs w:val="22"/>
                <w:lang w:val="en-US" w:eastAsia="zh-CN"/>
              </w:rPr>
              <w:t>4</w:t>
            </w:r>
          </w:p>
        </w:tc>
        <w:tc>
          <w:tcPr>
            <w:tcW w:w="3340" w:type="dxa"/>
            <w:gridSpan w:val="2"/>
            <w:vAlign w:val="center"/>
          </w:tcPr>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评价要点：</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根据满意度测评结果进行评分。</w:t>
            </w:r>
          </w:p>
          <w:p>
            <w:pPr>
              <w:adjustRightInd w:val="0"/>
              <w:snapToGrid w:val="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满意度≥9</w:t>
            </w:r>
            <w:r>
              <w:rPr>
                <w:rFonts w:hint="eastAsia" w:ascii="仿宋_GB2312" w:hAnsi="仿宋_GB2312" w:eastAsia="仿宋_GB2312" w:cs="仿宋_GB2312"/>
                <w:color w:val="auto"/>
                <w:sz w:val="22"/>
                <w:szCs w:val="22"/>
                <w:lang w:val="en-US" w:eastAsia="zh-CN"/>
              </w:rPr>
              <w:t>5</w:t>
            </w:r>
            <w:r>
              <w:rPr>
                <w:rFonts w:hint="eastAsia" w:ascii="仿宋_GB2312" w:hAnsi="仿宋_GB2312" w:eastAsia="仿宋_GB2312" w:cs="仿宋_GB2312"/>
                <w:color w:val="auto"/>
                <w:sz w:val="22"/>
                <w:szCs w:val="22"/>
              </w:rPr>
              <w:t>%得满分，若满意度＜9</w:t>
            </w:r>
            <w:r>
              <w:rPr>
                <w:rFonts w:hint="eastAsia" w:ascii="仿宋_GB2312" w:hAnsi="仿宋_GB2312" w:eastAsia="仿宋_GB2312" w:cs="仿宋_GB2312"/>
                <w:color w:val="auto"/>
                <w:sz w:val="22"/>
                <w:szCs w:val="22"/>
                <w:lang w:val="en-US" w:eastAsia="zh-CN"/>
              </w:rPr>
              <w:t>5</w:t>
            </w:r>
            <w:r>
              <w:rPr>
                <w:rFonts w:hint="eastAsia" w:ascii="仿宋_GB2312" w:hAnsi="仿宋_GB2312" w:eastAsia="仿宋_GB2312" w:cs="仿宋_GB2312"/>
                <w:color w:val="auto"/>
                <w:sz w:val="22"/>
                <w:szCs w:val="22"/>
              </w:rPr>
              <w:t>%，</w:t>
            </w:r>
            <w:r>
              <w:rPr>
                <w:rFonts w:hint="eastAsia" w:ascii="仿宋_GB2312" w:hAnsi="仿宋_GB2312" w:eastAsia="仿宋_GB2312" w:cs="仿宋_GB2312"/>
                <w:color w:val="auto"/>
                <w:sz w:val="22"/>
                <w:szCs w:val="22"/>
                <w:lang w:eastAsia="zh-CN"/>
              </w:rPr>
              <w:t>按实际情况酌情得分</w:t>
            </w:r>
            <w:r>
              <w:rPr>
                <w:rFonts w:hint="eastAsia" w:ascii="仿宋_GB2312" w:hAnsi="仿宋_GB2312" w:eastAsia="仿宋_GB2312" w:cs="仿宋_GB2312"/>
                <w:color w:val="auto"/>
                <w:sz w:val="22"/>
                <w:szCs w:val="22"/>
              </w:rPr>
              <w:t>，满意度＜0，该项不得分。</w:t>
            </w:r>
          </w:p>
        </w:tc>
        <w:tc>
          <w:tcPr>
            <w:tcW w:w="4270" w:type="dxa"/>
            <w:vAlign w:val="center"/>
          </w:tcPr>
          <w:p>
            <w:pPr>
              <w:adjustRightInd w:val="0"/>
              <w:snapToGrid w:val="0"/>
              <w:textAlignment w:val="center"/>
              <w:rPr>
                <w:rFonts w:hint="eastAsia" w:ascii="仿宋_GB2312" w:hAnsi="仿宋_GB2312" w:eastAsia="仿宋_GB2312" w:cs="仿宋_GB2312"/>
                <w:color w:val="auto"/>
                <w:sz w:val="22"/>
                <w:szCs w:val="22"/>
                <w:lang w:eastAsia="zh-CN"/>
              </w:rPr>
            </w:pPr>
            <w:r>
              <w:rPr>
                <w:rFonts w:hint="eastAsia" w:ascii="仿宋_GB2312" w:hAnsi="仿宋_GB2312" w:eastAsia="仿宋_GB2312" w:cs="仿宋_GB2312"/>
                <w:color w:val="auto"/>
                <w:sz w:val="22"/>
                <w:szCs w:val="22"/>
              </w:rPr>
              <w:t>根据问卷调查结果，经评价组核查：本次满意度调查问卷对象为</w:t>
            </w:r>
            <w:r>
              <w:rPr>
                <w:rFonts w:hint="eastAsia" w:ascii="仿宋_GB2312" w:hAnsi="仿宋_GB2312" w:eastAsia="仿宋_GB2312" w:cs="仿宋_GB2312"/>
                <w:color w:val="auto"/>
                <w:sz w:val="22"/>
                <w:szCs w:val="22"/>
                <w:lang w:eastAsia="zh-CN"/>
              </w:rPr>
              <w:t>群众</w:t>
            </w:r>
            <w:r>
              <w:rPr>
                <w:rFonts w:hint="eastAsia" w:ascii="仿宋_GB2312" w:hAnsi="仿宋_GB2312" w:eastAsia="仿宋_GB2312" w:cs="仿宋_GB2312"/>
                <w:color w:val="auto"/>
                <w:sz w:val="22"/>
                <w:szCs w:val="22"/>
              </w:rPr>
              <w:t>满意程度</w:t>
            </w:r>
            <w:r>
              <w:rPr>
                <w:rFonts w:hint="eastAsia" w:ascii="仿宋_GB2312" w:hAnsi="仿宋_GB2312" w:eastAsia="仿宋_GB2312" w:cs="仿宋_GB2312"/>
                <w:color w:val="auto"/>
                <w:sz w:val="22"/>
                <w:szCs w:val="22"/>
                <w:lang w:eastAsia="zh-CN"/>
              </w:rPr>
              <w:t>，调查问卷满意度共发放调查问卷30份，收回30份。每份问卷共10个问题，每道题满分10分，总分100分，具体分值为：选A得10分、选B得7分、选C得3分，选D不得分。根据问卷调查结果30份得分情况为：</w:t>
            </w:r>
            <w:r>
              <w:rPr>
                <w:rFonts w:hint="eastAsia" w:ascii="仿宋_GB2312" w:hAnsi="仿宋_GB2312" w:eastAsia="仿宋_GB2312" w:cs="仿宋_GB2312"/>
                <w:color w:val="auto"/>
                <w:sz w:val="22"/>
                <w:szCs w:val="22"/>
                <w:lang w:val="en-US" w:eastAsia="zh-CN"/>
              </w:rPr>
              <w:t>15</w:t>
            </w:r>
            <w:r>
              <w:rPr>
                <w:rFonts w:hint="eastAsia" w:ascii="仿宋_GB2312" w:hAnsi="仿宋_GB2312" w:eastAsia="仿宋_GB2312" w:cs="仿宋_GB2312"/>
                <w:color w:val="auto"/>
                <w:sz w:val="22"/>
                <w:szCs w:val="22"/>
                <w:lang w:eastAsia="zh-CN"/>
              </w:rPr>
              <w:t>份100分、</w:t>
            </w:r>
            <w:r>
              <w:rPr>
                <w:rFonts w:hint="eastAsia" w:ascii="仿宋_GB2312" w:hAnsi="仿宋_GB2312" w:eastAsia="仿宋_GB2312" w:cs="仿宋_GB2312"/>
                <w:color w:val="auto"/>
                <w:sz w:val="22"/>
                <w:szCs w:val="22"/>
                <w:lang w:val="en-US" w:eastAsia="zh-CN"/>
              </w:rPr>
              <w:t>9</w:t>
            </w:r>
            <w:r>
              <w:rPr>
                <w:rFonts w:hint="eastAsia" w:ascii="仿宋_GB2312" w:hAnsi="仿宋_GB2312" w:eastAsia="仿宋_GB2312" w:cs="仿宋_GB2312"/>
                <w:color w:val="auto"/>
                <w:sz w:val="22"/>
                <w:szCs w:val="22"/>
                <w:lang w:eastAsia="zh-CN"/>
              </w:rPr>
              <w:t>份</w:t>
            </w:r>
            <w:r>
              <w:rPr>
                <w:rFonts w:hint="eastAsia" w:ascii="仿宋_GB2312" w:hAnsi="仿宋_GB2312" w:eastAsia="仿宋_GB2312" w:cs="仿宋_GB2312"/>
                <w:color w:val="auto"/>
                <w:sz w:val="22"/>
                <w:szCs w:val="22"/>
                <w:lang w:val="en-US" w:eastAsia="zh-CN"/>
              </w:rPr>
              <w:t>85</w:t>
            </w:r>
            <w:r>
              <w:rPr>
                <w:rFonts w:hint="eastAsia" w:ascii="仿宋_GB2312" w:hAnsi="仿宋_GB2312" w:eastAsia="仿宋_GB2312" w:cs="仿宋_GB2312"/>
                <w:color w:val="auto"/>
                <w:sz w:val="22"/>
                <w:szCs w:val="22"/>
                <w:lang w:eastAsia="zh-CN"/>
              </w:rPr>
              <w:t>分、</w:t>
            </w:r>
            <w:r>
              <w:rPr>
                <w:rFonts w:hint="eastAsia" w:ascii="仿宋_GB2312" w:hAnsi="仿宋_GB2312" w:eastAsia="仿宋_GB2312" w:cs="仿宋_GB2312"/>
                <w:color w:val="auto"/>
                <w:sz w:val="22"/>
                <w:szCs w:val="22"/>
                <w:lang w:val="en-US" w:eastAsia="zh-CN"/>
              </w:rPr>
              <w:t>6</w:t>
            </w:r>
            <w:r>
              <w:rPr>
                <w:rFonts w:hint="eastAsia" w:ascii="仿宋_GB2312" w:hAnsi="仿宋_GB2312" w:eastAsia="仿宋_GB2312" w:cs="仿宋_GB2312"/>
                <w:color w:val="auto"/>
                <w:sz w:val="22"/>
                <w:szCs w:val="22"/>
                <w:lang w:eastAsia="zh-CN"/>
              </w:rPr>
              <w:t>份</w:t>
            </w:r>
            <w:r>
              <w:rPr>
                <w:rFonts w:hint="eastAsia" w:ascii="仿宋_GB2312" w:hAnsi="仿宋_GB2312" w:eastAsia="仿宋_GB2312" w:cs="仿宋_GB2312"/>
                <w:color w:val="auto"/>
                <w:sz w:val="22"/>
                <w:szCs w:val="22"/>
                <w:lang w:val="en-US" w:eastAsia="zh-CN"/>
              </w:rPr>
              <w:t>89</w:t>
            </w:r>
            <w:r>
              <w:rPr>
                <w:rFonts w:hint="eastAsia" w:ascii="仿宋_GB2312" w:hAnsi="仿宋_GB2312" w:eastAsia="仿宋_GB2312" w:cs="仿宋_GB2312"/>
                <w:color w:val="auto"/>
                <w:sz w:val="22"/>
                <w:szCs w:val="22"/>
                <w:lang w:eastAsia="zh-CN"/>
              </w:rPr>
              <w:t>分；其中失分项集中在</w:t>
            </w:r>
            <w:r>
              <w:rPr>
                <w:rFonts w:hint="eastAsia" w:ascii="仿宋_GB2312" w:hAnsi="仿宋_GB2312" w:eastAsia="仿宋_GB2312" w:cs="仿宋_GB2312"/>
                <w:color w:val="auto"/>
                <w:sz w:val="22"/>
                <w:szCs w:val="22"/>
                <w:lang w:val="en-US" w:eastAsia="zh-CN"/>
              </w:rPr>
              <w:t>第2题“您支持安阳县创建国家森林城市吗”有6人持“不太支持”态度；</w:t>
            </w:r>
            <w:r>
              <w:rPr>
                <w:rFonts w:hint="eastAsia" w:ascii="仿宋_GB2312" w:hAnsi="仿宋_GB2312" w:eastAsia="仿宋_GB2312" w:cs="仿宋_GB2312"/>
                <w:color w:val="auto"/>
                <w:sz w:val="22"/>
                <w:szCs w:val="22"/>
                <w:lang w:eastAsia="zh-CN"/>
              </w:rPr>
              <w:t>第</w:t>
            </w:r>
            <w:r>
              <w:rPr>
                <w:rFonts w:hint="eastAsia" w:ascii="仿宋_GB2312" w:hAnsi="仿宋_GB2312" w:eastAsia="仿宋_GB2312" w:cs="仿宋_GB2312"/>
                <w:color w:val="auto"/>
                <w:sz w:val="22"/>
                <w:szCs w:val="22"/>
                <w:lang w:val="en-US" w:eastAsia="zh-CN"/>
              </w:rPr>
              <w:t>3题“您支持安阳县创建国家森林城市吗”有6人持“不太支持”态度；第6题“您对古树名木的保护、对城市公共绿地实行更加严厉的保护措施是否支持”有6人持“基本支持”态度；</w:t>
            </w:r>
            <w:r>
              <w:rPr>
                <w:rFonts w:hint="eastAsia" w:ascii="仿宋_GB2312" w:hAnsi="仿宋_GB2312" w:eastAsia="仿宋_GB2312" w:cs="仿宋_GB2312"/>
                <w:color w:val="auto"/>
                <w:sz w:val="22"/>
                <w:szCs w:val="22"/>
                <w:lang w:eastAsia="zh-CN"/>
              </w:rPr>
              <w:t>依据评分标准，满意度≧</w:t>
            </w:r>
            <w:r>
              <w:rPr>
                <w:rFonts w:hint="eastAsia" w:ascii="仿宋_GB2312" w:hAnsi="仿宋_GB2312" w:eastAsia="仿宋_GB2312" w:cs="仿宋_GB2312"/>
                <w:color w:val="auto"/>
                <w:sz w:val="22"/>
                <w:szCs w:val="22"/>
                <w:lang w:val="en-US" w:eastAsia="zh-CN"/>
              </w:rPr>
              <w:t>95</w:t>
            </w:r>
            <w:r>
              <w:rPr>
                <w:rFonts w:hint="eastAsia" w:ascii="仿宋_GB2312" w:hAnsi="仿宋_GB2312" w:eastAsia="仿宋_GB2312" w:cs="仿宋_GB2312"/>
                <w:color w:val="auto"/>
                <w:sz w:val="22"/>
                <w:szCs w:val="22"/>
                <w:lang w:eastAsia="zh-CN"/>
              </w:rPr>
              <w:t>%的得满分，群众对整体评价的满意程度为</w:t>
            </w:r>
            <w:r>
              <w:rPr>
                <w:rFonts w:hint="eastAsia" w:ascii="仿宋_GB2312" w:hAnsi="仿宋_GB2312" w:eastAsia="仿宋_GB2312" w:cs="仿宋_GB2312"/>
                <w:color w:val="auto"/>
                <w:sz w:val="22"/>
                <w:szCs w:val="22"/>
                <w:lang w:val="en-US" w:eastAsia="zh-CN"/>
              </w:rPr>
              <w:t>93</w:t>
            </w:r>
            <w:r>
              <w:rPr>
                <w:rFonts w:hint="eastAsia" w:ascii="仿宋_GB2312" w:hAnsi="仿宋_GB2312" w:eastAsia="仿宋_GB2312" w:cs="仿宋_GB2312"/>
                <w:color w:val="auto"/>
                <w:sz w:val="22"/>
                <w:szCs w:val="22"/>
                <w:lang w:eastAsia="zh-CN"/>
              </w:rPr>
              <w:t>%以上。根据评分规则，该指标得</w:t>
            </w:r>
            <w:r>
              <w:rPr>
                <w:rFonts w:hint="eastAsia" w:ascii="仿宋_GB2312" w:hAnsi="仿宋_GB2312" w:eastAsia="仿宋_GB2312" w:cs="仿宋_GB2312"/>
                <w:color w:val="auto"/>
                <w:sz w:val="22"/>
                <w:szCs w:val="22"/>
                <w:lang w:val="en-US" w:eastAsia="zh-CN"/>
              </w:rPr>
              <w:t>3</w:t>
            </w:r>
            <w:r>
              <w:rPr>
                <w:rFonts w:hint="eastAsia" w:ascii="仿宋_GB2312" w:hAnsi="仿宋_GB2312" w:eastAsia="仿宋_GB2312" w:cs="仿宋_GB2312"/>
                <w:color w:val="auto"/>
                <w:sz w:val="22"/>
                <w:szCs w:val="22"/>
                <w:lang w:eastAsia="zh-CN"/>
              </w:rPr>
              <w:t>分。</w:t>
            </w:r>
          </w:p>
        </w:tc>
        <w:tc>
          <w:tcPr>
            <w:tcW w:w="833" w:type="dxa"/>
            <w:vAlign w:val="center"/>
          </w:tcPr>
          <w:p>
            <w:pPr>
              <w:adjustRightInd w:val="0"/>
              <w:snapToGrid w:val="0"/>
              <w:jc w:val="center"/>
              <w:textAlignment w:val="center"/>
              <w:rPr>
                <w:rFonts w:hint="eastAsia" w:ascii="仿宋_GB2312" w:hAnsi="仿宋_GB2312" w:eastAsia="仿宋_GB2312" w:cs="仿宋_GB2312"/>
                <w:color w:val="auto"/>
                <w:sz w:val="22"/>
                <w:szCs w:val="22"/>
                <w:lang w:val="en-US" w:eastAsia="zh-CN"/>
              </w:rPr>
            </w:pPr>
            <w:r>
              <w:rPr>
                <w:rFonts w:hint="eastAsia" w:ascii="仿宋_GB2312" w:hAnsi="仿宋_GB2312" w:eastAsia="仿宋_GB2312" w:cs="仿宋_GB2312"/>
                <w:color w:val="auto"/>
                <w:sz w:val="22"/>
                <w:szCs w:val="22"/>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jc w:val="center"/>
        </w:trPr>
        <w:tc>
          <w:tcPr>
            <w:tcW w:w="5021" w:type="dxa"/>
            <w:gridSpan w:val="7"/>
            <w:vAlign w:val="center"/>
          </w:tcPr>
          <w:p>
            <w:pPr>
              <w:adjustRightInd w:val="0"/>
              <w:snapToGrid w:val="0"/>
              <w:jc w:val="center"/>
              <w:rPr>
                <w:rFonts w:hint="eastAsia" w:ascii="仿宋_GB2312" w:hAnsi="仿宋_GB2312" w:eastAsia="仿宋_GB2312" w:cs="仿宋_GB2312"/>
                <w:b/>
                <w:bCs/>
                <w:color w:val="auto"/>
                <w:sz w:val="22"/>
                <w:szCs w:val="22"/>
              </w:rPr>
            </w:pPr>
            <w:r>
              <w:rPr>
                <w:rFonts w:hint="eastAsia" w:ascii="仿宋_GB2312" w:hAnsi="仿宋_GB2312" w:eastAsia="仿宋_GB2312" w:cs="仿宋_GB2312"/>
                <w:b/>
                <w:bCs/>
                <w:color w:val="auto"/>
                <w:sz w:val="22"/>
                <w:szCs w:val="22"/>
              </w:rPr>
              <w:t>总分</w:t>
            </w:r>
          </w:p>
        </w:tc>
        <w:tc>
          <w:tcPr>
            <w:tcW w:w="700" w:type="dxa"/>
            <w:gridSpan w:val="2"/>
            <w:vAlign w:val="center"/>
          </w:tcPr>
          <w:p>
            <w:pPr>
              <w:adjustRightInd w:val="0"/>
              <w:snapToGrid w:val="0"/>
              <w:jc w:val="center"/>
              <w:rPr>
                <w:rFonts w:hint="eastAsia" w:ascii="仿宋_GB2312" w:hAnsi="仿宋_GB2312" w:eastAsia="仿宋_GB2312" w:cs="仿宋_GB2312"/>
                <w:b/>
                <w:bCs/>
                <w:color w:val="auto"/>
                <w:sz w:val="22"/>
                <w:szCs w:val="22"/>
              </w:rPr>
            </w:pPr>
            <w:r>
              <w:rPr>
                <w:rFonts w:hint="eastAsia" w:ascii="仿宋_GB2312" w:hAnsi="仿宋_GB2312" w:eastAsia="仿宋_GB2312" w:cs="仿宋_GB2312"/>
                <w:b/>
                <w:bCs/>
                <w:color w:val="auto"/>
                <w:sz w:val="22"/>
                <w:szCs w:val="22"/>
              </w:rPr>
              <w:t>100</w:t>
            </w:r>
          </w:p>
        </w:tc>
        <w:tc>
          <w:tcPr>
            <w:tcW w:w="3340" w:type="dxa"/>
            <w:gridSpan w:val="2"/>
            <w:vAlign w:val="center"/>
          </w:tcPr>
          <w:p>
            <w:pPr>
              <w:adjustRightInd w:val="0"/>
              <w:snapToGrid w:val="0"/>
              <w:jc w:val="center"/>
              <w:rPr>
                <w:rFonts w:hint="eastAsia" w:ascii="仿宋_GB2312" w:hAnsi="仿宋_GB2312" w:eastAsia="仿宋_GB2312" w:cs="仿宋_GB2312"/>
                <w:b/>
                <w:bCs/>
                <w:color w:val="auto"/>
                <w:sz w:val="22"/>
                <w:szCs w:val="22"/>
              </w:rPr>
            </w:pPr>
            <w:r>
              <w:rPr>
                <w:rFonts w:hint="eastAsia" w:ascii="仿宋_GB2312" w:hAnsi="仿宋_GB2312" w:eastAsia="仿宋_GB2312" w:cs="仿宋_GB2312"/>
                <w:b/>
                <w:bCs/>
                <w:color w:val="auto"/>
                <w:sz w:val="22"/>
                <w:szCs w:val="22"/>
              </w:rPr>
              <w:t>--</w:t>
            </w:r>
          </w:p>
        </w:tc>
        <w:tc>
          <w:tcPr>
            <w:tcW w:w="4270" w:type="dxa"/>
            <w:vAlign w:val="center"/>
          </w:tcPr>
          <w:p>
            <w:pPr>
              <w:adjustRightInd w:val="0"/>
              <w:snapToGrid w:val="0"/>
              <w:jc w:val="center"/>
              <w:rPr>
                <w:rFonts w:hint="eastAsia" w:ascii="仿宋_GB2312" w:hAnsi="仿宋_GB2312" w:eastAsia="仿宋_GB2312" w:cs="仿宋_GB2312"/>
                <w:b/>
                <w:bCs/>
                <w:color w:val="auto"/>
                <w:sz w:val="22"/>
                <w:szCs w:val="22"/>
              </w:rPr>
            </w:pPr>
            <w:r>
              <w:rPr>
                <w:rFonts w:hint="eastAsia" w:ascii="仿宋_GB2312" w:hAnsi="仿宋_GB2312" w:eastAsia="仿宋_GB2312" w:cs="仿宋_GB2312"/>
                <w:b/>
                <w:bCs/>
                <w:color w:val="auto"/>
                <w:sz w:val="22"/>
                <w:szCs w:val="22"/>
              </w:rPr>
              <w:t>--</w:t>
            </w:r>
          </w:p>
        </w:tc>
        <w:tc>
          <w:tcPr>
            <w:tcW w:w="833" w:type="dxa"/>
            <w:vAlign w:val="center"/>
          </w:tcPr>
          <w:p>
            <w:pPr>
              <w:adjustRightInd w:val="0"/>
              <w:snapToGrid w:val="0"/>
              <w:jc w:val="center"/>
              <w:rPr>
                <w:rFonts w:hint="default" w:ascii="仿宋_GB2312" w:hAnsi="仿宋_GB2312" w:eastAsia="仿宋_GB2312" w:cs="仿宋_GB2312"/>
                <w:b/>
                <w:bCs/>
                <w:color w:val="auto"/>
                <w:sz w:val="22"/>
                <w:szCs w:val="22"/>
                <w:lang w:val="en-US" w:eastAsia="zh-CN"/>
              </w:rPr>
            </w:pPr>
            <w:r>
              <w:rPr>
                <w:rFonts w:hint="eastAsia" w:ascii="仿宋_GB2312" w:hAnsi="仿宋_GB2312" w:eastAsia="仿宋_GB2312" w:cs="仿宋_GB2312"/>
                <w:b/>
                <w:bCs/>
                <w:color w:val="auto"/>
                <w:sz w:val="22"/>
                <w:szCs w:val="22"/>
                <w:lang w:val="en-US" w:eastAsia="zh-CN"/>
              </w:rPr>
              <w:t>81.20</w:t>
            </w:r>
          </w:p>
        </w:tc>
      </w:tr>
    </w:tbl>
    <w:p>
      <w:pPr>
        <w:widowControl w:val="0"/>
        <w:adjustRightInd w:val="0"/>
        <w:snapToGrid w:val="0"/>
        <w:jc w:val="both"/>
        <w:rPr>
          <w:rFonts w:hint="eastAsia" w:ascii="仿宋_GB2312" w:hAnsi="仿宋_GB2312" w:eastAsia="仿宋_GB2312" w:cs="仿宋_GB2312"/>
          <w:color w:val="auto"/>
          <w:kern w:val="2"/>
        </w:rPr>
      </w:pPr>
    </w:p>
    <w:sectPr>
      <w:headerReference r:id="rId9" w:type="default"/>
      <w:footerReference r:id="rId10" w:type="default"/>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
    <w:altName w:val="微软雅黑"/>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Segoe Script">
    <w:altName w:val="MV Boli"/>
    <w:panose1 w:val="020B0504020000000003"/>
    <w:charset w:val="00"/>
    <w:family w:val="auto"/>
    <w:pitch w:val="default"/>
    <w:sig w:usb0="00000000" w:usb1="00000000" w:usb2="00000000" w:usb3="00000000" w:csb0="0000009F" w:csb1="00000000"/>
  </w:font>
  <w:font w:name="微软雅黑">
    <w:panose1 w:val="020B0503020204020204"/>
    <w:charset w:val="86"/>
    <w:family w:val="auto"/>
    <w:pitch w:val="default"/>
    <w:sig w:usb0="80000287" w:usb1="2A0F3C52" w:usb2="00000016" w:usb3="00000000" w:csb0="0004001F" w:csb1="00000000"/>
  </w:font>
  <w:font w:name="MV Boli">
    <w:panose1 w:val="02000500030200090000"/>
    <w:charset w:val="00"/>
    <w:family w:val="auto"/>
    <w:pitch w:val="default"/>
    <w:sig w:usb0="00000000" w:usb1="00000000" w:usb2="000001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ascii="宋体" w:hAnsi="宋体" w:eastAsia="宋体"/>
        <w:sz w:val="28"/>
        <w:szCs w:val="28"/>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14</w:t>
                          </w:r>
                          <w:r>
                            <w:rPr>
                              <w:rFonts w:ascii="宋体" w:hAnsi="宋体" w:eastAsia="宋体"/>
                              <w:sz w:val="28"/>
                              <w:szCs w:val="28"/>
                            </w:rPr>
                            <w:fldChar w:fldCharType="end"/>
                          </w:r>
                          <w:r>
                            <w:rPr>
                              <w:rFonts w:ascii="宋体" w:hAnsi="宋体" w:eastAsia="宋体"/>
                              <w:sz w:val="28"/>
                              <w:szCs w:val="28"/>
                            </w:rPr>
                            <w:t>-</w:t>
                          </w:r>
                        </w:p>
                      </w:txbxContent>
                    </wps:txbx>
                    <wps:bodyPr wrap="none" lIns="0" tIns="0" rIns="0" bIns="0" upright="1">
                      <a:spAutoFit/>
                    </wps:bodyPr>
                  </wps:wsp>
                </a:graphicData>
              </a:graphic>
            </wp:anchor>
          </w:drawing>
        </mc:Choice>
        <mc:Fallback>
          <w:pict>
            <v:shape id="Text Box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v1VNbbgBAACYAwAADgAAAAAAAAABACAAAAAeAQAAZHJzL2Uyb0RvYy54bWxQSwUGAAAAAAYABgBZ&#10;AQAASAUAAAAA&#10;">
              <v:fill on="f" focussize="0,0"/>
              <v:stroke on="f"/>
              <v:imagedata o:title=""/>
              <o:lock v:ext="edit" aspectratio="f"/>
              <v:textbox inset="0mm,0mm,0mm,0mm" style="mso-fit-shape-to-text:t;">
                <w:txbxContent>
                  <w:p>
                    <w:pPr>
                      <w:pStyle w:val="12"/>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14</w:t>
                    </w:r>
                    <w:r>
                      <w:rPr>
                        <w:rFonts w:ascii="宋体" w:hAnsi="宋体" w:eastAsia="宋体"/>
                        <w:sz w:val="28"/>
                        <w:szCs w:val="28"/>
                      </w:rPr>
                      <w:fldChar w:fldCharType="end"/>
                    </w:r>
                    <w:r>
                      <w:rPr>
                        <w:rFonts w:ascii="宋体" w:hAnsi="宋体" w:eastAsia="宋体"/>
                        <w:sz w:val="28"/>
                        <w:szCs w:val="2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rPr>
        <w:rFonts w:ascii="宋体" w:hAnsi="宋体" w:eastAsia="宋体"/>
        <w:sz w:val="28"/>
        <w:szCs w:val="28"/>
      </w:rPr>
    </w:pPr>
    <w:r>
      <mc:AlternateContent>
        <mc:Choice Requires="wps">
          <w:drawing>
            <wp:anchor distT="0" distB="0" distL="114300" distR="114300" simplePos="0" relativeHeight="251660288" behindDoc="0" locked="0" layoutInCell="1" allowOverlap="1">
              <wp:simplePos x="0" y="0"/>
              <wp:positionH relativeFrom="margin">
                <wp:posOffset>2459355</wp:posOffset>
              </wp:positionH>
              <wp:positionV relativeFrom="paragraph">
                <wp:posOffset>-1905</wp:posOffset>
              </wp:positionV>
              <wp:extent cx="504825" cy="230505"/>
              <wp:effectExtent l="0" t="0" r="0" b="0"/>
              <wp:wrapNone/>
              <wp:docPr id="4" name="Text Box 1"/>
              <wp:cNvGraphicFramePr/>
              <a:graphic xmlns:a="http://schemas.openxmlformats.org/drawingml/2006/main">
                <a:graphicData uri="http://schemas.microsoft.com/office/word/2010/wordprocessingShape">
                  <wps:wsp>
                    <wps:cNvSpPr txBox="1"/>
                    <wps:spPr>
                      <a:xfrm>
                        <a:off x="0" y="0"/>
                        <a:ext cx="504825" cy="230505"/>
                      </a:xfrm>
                      <a:prstGeom prst="rect">
                        <a:avLst/>
                      </a:prstGeom>
                      <a:noFill/>
                      <a:ln>
                        <a:noFill/>
                      </a:ln>
                    </wps:spPr>
                    <wps:txbx>
                      <w:txbxContent>
                        <w:p>
                          <w:pPr>
                            <w:pStyle w:val="12"/>
                            <w:ind w:right="140"/>
                            <w:jc w:val="right"/>
                          </w:pPr>
                        </w:p>
                      </w:txbxContent>
                    </wps:txbx>
                    <wps:bodyPr lIns="0" tIns="0" rIns="0" bIns="0" upright="1">
                      <a:spAutoFit/>
                    </wps:bodyPr>
                  </wps:wsp>
                </a:graphicData>
              </a:graphic>
            </wp:anchor>
          </w:drawing>
        </mc:Choice>
        <mc:Fallback>
          <w:pict>
            <v:shape id="Text Box 1" o:spid="_x0000_s1026" o:spt="202" type="#_x0000_t202" style="position:absolute;left:0pt;margin-left:193.65pt;margin-top:-0.15pt;height:18.15pt;width:39.75pt;mso-position-horizontal-relative:margin;z-index:251660288;mso-width-relative:page;mso-height-relative:page;" filled="f" stroked="f" coordsize="21600,21600" o:gfxdata="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R90ybdUAAAAIAQAADwAAAAAAAAABACAAAAAiAAAAZHJzL2Rvd25yZXYueG1sUEsBAhQAFAAAAAgA&#10;h07iQMcDsd22AQAAigMAAA4AAAAAAAAAAQAgAAAAJAEAAGRycy9lMm9Eb2MueG1sUEsFBgAAAAAG&#10;AAYAWQEAAEwFAAAAAA==&#10;">
              <v:fill on="f" focussize="0,0"/>
              <v:stroke on="f"/>
              <v:imagedata o:title=""/>
              <o:lock v:ext="edit" aspectratio="f"/>
              <v:textbox inset="0mm,0mm,0mm,0mm" style="mso-fit-shape-to-text:t;">
                <w:txbxContent>
                  <w:p>
                    <w:pPr>
                      <w:pStyle w:val="12"/>
                      <w:ind w:right="140"/>
                      <w:jc w:val="right"/>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rPr>
        <w:rFonts w:ascii="宋体" w:hAnsi="宋体" w:eastAsia="宋体"/>
        <w:sz w:val="28"/>
        <w:szCs w:val="2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t>—</w:t>
                          </w:r>
                          <w:r>
                            <w:rPr>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2"/>
                    </w:pPr>
                    <w:r>
                      <w:t>—</w:t>
                    </w:r>
                    <w:r>
                      <w:rPr>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t xml:space="preserve"> —</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posOffset>2459355</wp:posOffset>
              </wp:positionH>
              <wp:positionV relativeFrom="paragraph">
                <wp:posOffset>-1905</wp:posOffset>
              </wp:positionV>
              <wp:extent cx="504825" cy="230505"/>
              <wp:effectExtent l="0" t="0" r="0" b="0"/>
              <wp:wrapNone/>
              <wp:docPr id="6" name="Text Box 1"/>
              <wp:cNvGraphicFramePr/>
              <a:graphic xmlns:a="http://schemas.openxmlformats.org/drawingml/2006/main">
                <a:graphicData uri="http://schemas.microsoft.com/office/word/2010/wordprocessingShape">
                  <wps:wsp>
                    <wps:cNvSpPr txBox="1"/>
                    <wps:spPr>
                      <a:xfrm>
                        <a:off x="0" y="0"/>
                        <a:ext cx="504825" cy="230505"/>
                      </a:xfrm>
                      <a:prstGeom prst="rect">
                        <a:avLst/>
                      </a:prstGeom>
                      <a:noFill/>
                      <a:ln>
                        <a:noFill/>
                      </a:ln>
                    </wps:spPr>
                    <wps:txbx>
                      <w:txbxContent>
                        <w:p>
                          <w:pPr>
                            <w:pStyle w:val="12"/>
                            <w:ind w:right="140"/>
                            <w:jc w:val="right"/>
                          </w:pPr>
                        </w:p>
                      </w:txbxContent>
                    </wps:txbx>
                    <wps:bodyPr lIns="0" tIns="0" rIns="0" bIns="0" upright="1">
                      <a:spAutoFit/>
                    </wps:bodyPr>
                  </wps:wsp>
                </a:graphicData>
              </a:graphic>
            </wp:anchor>
          </w:drawing>
        </mc:Choice>
        <mc:Fallback>
          <w:pict>
            <v:shape id="Text Box 1" o:spid="_x0000_s1026" o:spt="202" type="#_x0000_t202" style="position:absolute;left:0pt;margin-left:193.65pt;margin-top:-0.15pt;height:18.15pt;width:39.75pt;mso-position-horizontal-relative:margin;z-index:251661312;mso-width-relative:page;mso-height-relative:page;" filled="f" stroked="f" coordsize="21600,21600" o:gfxdata="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R90ybdUAAAAIAQAADwAAAAAAAAABACAAAAAiAAAAZHJzL2Rvd25yZXYueG1sUEsBAhQAFAAAAAgA&#10;h07iQOzb/ay2AQAAigMAAA4AAAAAAAAAAQAgAAAAJAEAAGRycy9lMm9Eb2MueG1sUEsFBgAAAAAG&#10;AAYAWQEAAEwFAAAAAA==&#10;">
              <v:fill on="f" focussize="0,0"/>
              <v:stroke on="f"/>
              <v:imagedata o:title=""/>
              <o:lock v:ext="edit" aspectratio="f"/>
              <v:textbox inset="0mm,0mm,0mm,0mm" style="mso-fit-shape-to-text:t;">
                <w:txbxContent>
                  <w:p>
                    <w:pPr>
                      <w:pStyle w:val="12"/>
                      <w:ind w:right="140"/>
                      <w:jc w:val="right"/>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rPr>
        <w:rFonts w:ascii="宋体" w:hAnsi="宋体" w:eastAsia="宋体"/>
        <w:sz w:val="28"/>
        <w:szCs w:val="28"/>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356235" cy="230505"/>
              <wp:effectExtent l="0" t="0" r="0" b="0"/>
              <wp:wrapNone/>
              <wp:docPr id="3" name="Text Box 3"/>
              <wp:cNvGraphicFramePr/>
              <a:graphic xmlns:a="http://schemas.openxmlformats.org/drawingml/2006/main">
                <a:graphicData uri="http://schemas.microsoft.com/office/word/2010/wordprocessingShape">
                  <wps:wsp>
                    <wps:cNvSpPr txBox="1"/>
                    <wps:spPr>
                      <a:xfrm>
                        <a:off x="0" y="0"/>
                        <a:ext cx="356235" cy="230505"/>
                      </a:xfrm>
                      <a:prstGeom prst="rect">
                        <a:avLst/>
                      </a:prstGeom>
                      <a:noFill/>
                      <a:ln>
                        <a:noFill/>
                      </a:ln>
                    </wps:spPr>
                    <wps:txbx>
                      <w:txbxContent>
                        <w:p>
                          <w:pPr>
                            <w:pStyle w:val="12"/>
                            <w:jc w:val="right"/>
                          </w:pPr>
                          <w:r>
                            <w:t xml:space="preserve">— </w:t>
                          </w:r>
                          <w:r>
                            <w:rPr>
                              <w:sz w:val="22"/>
                              <w:szCs w:val="22"/>
                            </w:rPr>
                            <w:fldChar w:fldCharType="begin"/>
                          </w:r>
                          <w:r>
                            <w:rPr>
                              <w:sz w:val="22"/>
                              <w:szCs w:val="22"/>
                            </w:rPr>
                            <w:instrText xml:space="preserve"> PAGE  \* MERGEFORMAT </w:instrText>
                          </w:r>
                          <w:r>
                            <w:rPr>
                              <w:sz w:val="22"/>
                              <w:szCs w:val="22"/>
                            </w:rPr>
                            <w:fldChar w:fldCharType="separate"/>
                          </w:r>
                          <w:r>
                            <w:rPr>
                              <w:sz w:val="22"/>
                              <w:szCs w:val="22"/>
                            </w:rPr>
                            <w:t>11</w:t>
                          </w:r>
                          <w:r>
                            <w:rPr>
                              <w:sz w:val="22"/>
                              <w:szCs w:val="22"/>
                            </w:rPr>
                            <w:fldChar w:fldCharType="end"/>
                          </w:r>
                          <w:r>
                            <w:t xml:space="preserve"> —</w:t>
                          </w:r>
                        </w:p>
                      </w:txbxContent>
                    </wps:txbx>
                    <wps:bodyPr wrap="none" lIns="0" tIns="0" rIns="0" bIns="0" upright="1">
                      <a:spAutoFit/>
                    </wps:bodyPr>
                  </wps:wsp>
                </a:graphicData>
              </a:graphic>
            </wp:anchor>
          </w:drawing>
        </mc:Choice>
        <mc:Fallback>
          <w:pict>
            <v:shape id="Text Box 3" o:spid="_x0000_s1026" o:spt="202" type="#_x0000_t202" style="position:absolute;left:0pt;margin-top:0pt;height:18.15pt;width:28.05pt;mso-position-horizontal:center;mso-position-horizontal-relative:margin;mso-wrap-style:none;z-index:251659264;mso-width-relative:page;mso-height-relative:page;" filled="f" stroked="f" coordsize="21600,21600" o:gfxdata="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nXKS5NEAAAADAQAADwAAAAAAAAABACAAAAAiAAAAZHJzL2Rvd25yZXYueG1sUEsBAhQAFAAA&#10;AAgAh07iQFxxguG9AQAAlgMAAA4AAAAAAAAAAQAgAAAAIAEAAGRycy9lMm9Eb2MueG1sUEsFBgAA&#10;AAAGAAYAWQEAAE8FAAAAAA==&#10;">
              <v:fill on="f" focussize="0,0"/>
              <v:stroke on="f"/>
              <v:imagedata o:title=""/>
              <o:lock v:ext="edit" aspectratio="f"/>
              <v:textbox inset="0mm,0mm,0mm,0mm" style="mso-fit-shape-to-text:t;">
                <w:txbxContent>
                  <w:p>
                    <w:pPr>
                      <w:pStyle w:val="12"/>
                      <w:jc w:val="right"/>
                    </w:pPr>
                    <w:r>
                      <w:t xml:space="preserve">— </w:t>
                    </w:r>
                    <w:r>
                      <w:rPr>
                        <w:sz w:val="22"/>
                        <w:szCs w:val="22"/>
                      </w:rPr>
                      <w:fldChar w:fldCharType="begin"/>
                    </w:r>
                    <w:r>
                      <w:rPr>
                        <w:sz w:val="22"/>
                        <w:szCs w:val="22"/>
                      </w:rPr>
                      <w:instrText xml:space="preserve"> PAGE  \* MERGEFORMAT </w:instrText>
                    </w:r>
                    <w:r>
                      <w:rPr>
                        <w:sz w:val="22"/>
                        <w:szCs w:val="22"/>
                      </w:rPr>
                      <w:fldChar w:fldCharType="separate"/>
                    </w:r>
                    <w:r>
                      <w:rPr>
                        <w:sz w:val="22"/>
                        <w:szCs w:val="22"/>
                      </w:rPr>
                      <w:t>11</w:t>
                    </w:r>
                    <w:r>
                      <w:rPr>
                        <w:sz w:val="22"/>
                        <w:szCs w:val="22"/>
                      </w:rP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jc w:val="both"/>
      <w:rPr>
        <w:rFonts w:hint="default" w:ascii="Segoe Script" w:hAnsi="Segoe Script" w:eastAsia="等线" w:cs="Segoe Script"/>
        <w:sz w:val="28"/>
        <w:szCs w:val="28"/>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1E1240"/>
    <w:multiLevelType w:val="singleLevel"/>
    <w:tmpl w:val="E21E1240"/>
    <w:lvl w:ilvl="0" w:tentative="0">
      <w:start w:val="4"/>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MWE4ZWI5MWFmZTlhMjMwZDk4ZDM3ZmIyYzM1MGYifQ=="/>
  </w:docVars>
  <w:rsids>
    <w:rsidRoot w:val="00505014"/>
    <w:rsid w:val="00001759"/>
    <w:rsid w:val="00002780"/>
    <w:rsid w:val="000071EC"/>
    <w:rsid w:val="00007D73"/>
    <w:rsid w:val="00011050"/>
    <w:rsid w:val="00011D50"/>
    <w:rsid w:val="00012387"/>
    <w:rsid w:val="0001304B"/>
    <w:rsid w:val="00013ECC"/>
    <w:rsid w:val="00014525"/>
    <w:rsid w:val="00014B13"/>
    <w:rsid w:val="00016275"/>
    <w:rsid w:val="00024559"/>
    <w:rsid w:val="00024A7B"/>
    <w:rsid w:val="00025186"/>
    <w:rsid w:val="00025E2E"/>
    <w:rsid w:val="000261B2"/>
    <w:rsid w:val="00030DA1"/>
    <w:rsid w:val="00031256"/>
    <w:rsid w:val="00033171"/>
    <w:rsid w:val="00036378"/>
    <w:rsid w:val="00036C96"/>
    <w:rsid w:val="00036DB7"/>
    <w:rsid w:val="0004039F"/>
    <w:rsid w:val="00040A7C"/>
    <w:rsid w:val="00041DA9"/>
    <w:rsid w:val="00043022"/>
    <w:rsid w:val="00044870"/>
    <w:rsid w:val="0004504F"/>
    <w:rsid w:val="00045702"/>
    <w:rsid w:val="00045791"/>
    <w:rsid w:val="000530D0"/>
    <w:rsid w:val="00053F04"/>
    <w:rsid w:val="00056255"/>
    <w:rsid w:val="00065B33"/>
    <w:rsid w:val="00065BEE"/>
    <w:rsid w:val="0007023D"/>
    <w:rsid w:val="00071684"/>
    <w:rsid w:val="00072FDD"/>
    <w:rsid w:val="0007359B"/>
    <w:rsid w:val="00074DCD"/>
    <w:rsid w:val="0007563B"/>
    <w:rsid w:val="00075E5B"/>
    <w:rsid w:val="00077035"/>
    <w:rsid w:val="000771D1"/>
    <w:rsid w:val="00077C2B"/>
    <w:rsid w:val="000803DA"/>
    <w:rsid w:val="00080963"/>
    <w:rsid w:val="00082185"/>
    <w:rsid w:val="00083833"/>
    <w:rsid w:val="00083E07"/>
    <w:rsid w:val="00084D5E"/>
    <w:rsid w:val="00084DBC"/>
    <w:rsid w:val="000852BA"/>
    <w:rsid w:val="00085E7B"/>
    <w:rsid w:val="00091024"/>
    <w:rsid w:val="00092166"/>
    <w:rsid w:val="0009445B"/>
    <w:rsid w:val="000946CB"/>
    <w:rsid w:val="00094BC9"/>
    <w:rsid w:val="0009506B"/>
    <w:rsid w:val="00095108"/>
    <w:rsid w:val="00096E51"/>
    <w:rsid w:val="000A0165"/>
    <w:rsid w:val="000A1C92"/>
    <w:rsid w:val="000A2586"/>
    <w:rsid w:val="000A28C3"/>
    <w:rsid w:val="000A46F5"/>
    <w:rsid w:val="000A4EC3"/>
    <w:rsid w:val="000A5DB1"/>
    <w:rsid w:val="000A78FD"/>
    <w:rsid w:val="000B082D"/>
    <w:rsid w:val="000B1B30"/>
    <w:rsid w:val="000B7046"/>
    <w:rsid w:val="000B7052"/>
    <w:rsid w:val="000C29C6"/>
    <w:rsid w:val="000C3345"/>
    <w:rsid w:val="000C7D83"/>
    <w:rsid w:val="000D024E"/>
    <w:rsid w:val="000D140C"/>
    <w:rsid w:val="000D1A27"/>
    <w:rsid w:val="000D2A9F"/>
    <w:rsid w:val="000D445A"/>
    <w:rsid w:val="000D57B0"/>
    <w:rsid w:val="000D5838"/>
    <w:rsid w:val="000D755C"/>
    <w:rsid w:val="000E0BCA"/>
    <w:rsid w:val="000E1909"/>
    <w:rsid w:val="000E2EB3"/>
    <w:rsid w:val="000E553E"/>
    <w:rsid w:val="000E76B0"/>
    <w:rsid w:val="000F00E6"/>
    <w:rsid w:val="000F015A"/>
    <w:rsid w:val="000F12FB"/>
    <w:rsid w:val="000F3957"/>
    <w:rsid w:val="000F7FC0"/>
    <w:rsid w:val="00105D7D"/>
    <w:rsid w:val="001073B5"/>
    <w:rsid w:val="001075A8"/>
    <w:rsid w:val="00110231"/>
    <w:rsid w:val="00110801"/>
    <w:rsid w:val="00111016"/>
    <w:rsid w:val="00111820"/>
    <w:rsid w:val="00112015"/>
    <w:rsid w:val="00112404"/>
    <w:rsid w:val="00112754"/>
    <w:rsid w:val="001146C5"/>
    <w:rsid w:val="0011514F"/>
    <w:rsid w:val="0011524D"/>
    <w:rsid w:val="0011541B"/>
    <w:rsid w:val="0011675D"/>
    <w:rsid w:val="0012020A"/>
    <w:rsid w:val="001208FE"/>
    <w:rsid w:val="00121AFA"/>
    <w:rsid w:val="00126621"/>
    <w:rsid w:val="00133A57"/>
    <w:rsid w:val="00136B0A"/>
    <w:rsid w:val="0013711A"/>
    <w:rsid w:val="00142235"/>
    <w:rsid w:val="0014272A"/>
    <w:rsid w:val="00142B82"/>
    <w:rsid w:val="001460C3"/>
    <w:rsid w:val="00147262"/>
    <w:rsid w:val="00153F31"/>
    <w:rsid w:val="00163D4D"/>
    <w:rsid w:val="001654B0"/>
    <w:rsid w:val="0017033E"/>
    <w:rsid w:val="00170942"/>
    <w:rsid w:val="001725B5"/>
    <w:rsid w:val="00172E78"/>
    <w:rsid w:val="00176652"/>
    <w:rsid w:val="0018103C"/>
    <w:rsid w:val="00181A04"/>
    <w:rsid w:val="001825CC"/>
    <w:rsid w:val="001854CB"/>
    <w:rsid w:val="00186F45"/>
    <w:rsid w:val="001876EE"/>
    <w:rsid w:val="001926B6"/>
    <w:rsid w:val="00197396"/>
    <w:rsid w:val="001A011A"/>
    <w:rsid w:val="001A0736"/>
    <w:rsid w:val="001A246C"/>
    <w:rsid w:val="001A6A8D"/>
    <w:rsid w:val="001B0305"/>
    <w:rsid w:val="001B0ED2"/>
    <w:rsid w:val="001B1FAC"/>
    <w:rsid w:val="001B26FF"/>
    <w:rsid w:val="001B2F56"/>
    <w:rsid w:val="001B48F8"/>
    <w:rsid w:val="001B52D1"/>
    <w:rsid w:val="001B6AD7"/>
    <w:rsid w:val="001B6CDC"/>
    <w:rsid w:val="001C7286"/>
    <w:rsid w:val="001C7C50"/>
    <w:rsid w:val="001C7E97"/>
    <w:rsid w:val="001D2401"/>
    <w:rsid w:val="001D5993"/>
    <w:rsid w:val="001D5EEE"/>
    <w:rsid w:val="001D6D69"/>
    <w:rsid w:val="001E2F34"/>
    <w:rsid w:val="001E396C"/>
    <w:rsid w:val="001F359E"/>
    <w:rsid w:val="001F35DC"/>
    <w:rsid w:val="001F5EA9"/>
    <w:rsid w:val="001F6761"/>
    <w:rsid w:val="001F6882"/>
    <w:rsid w:val="00200E0A"/>
    <w:rsid w:val="002022A9"/>
    <w:rsid w:val="00203D38"/>
    <w:rsid w:val="00204B7B"/>
    <w:rsid w:val="00211918"/>
    <w:rsid w:val="00212088"/>
    <w:rsid w:val="00214B91"/>
    <w:rsid w:val="00214BAF"/>
    <w:rsid w:val="00217196"/>
    <w:rsid w:val="00217A50"/>
    <w:rsid w:val="002200DF"/>
    <w:rsid w:val="00220D76"/>
    <w:rsid w:val="002211B2"/>
    <w:rsid w:val="002217A8"/>
    <w:rsid w:val="00221BD2"/>
    <w:rsid w:val="00223A76"/>
    <w:rsid w:val="00224E5C"/>
    <w:rsid w:val="002256B3"/>
    <w:rsid w:val="00225E33"/>
    <w:rsid w:val="0022749C"/>
    <w:rsid w:val="00230D8D"/>
    <w:rsid w:val="00230EEE"/>
    <w:rsid w:val="00232F1F"/>
    <w:rsid w:val="002338FA"/>
    <w:rsid w:val="00234B74"/>
    <w:rsid w:val="00236B62"/>
    <w:rsid w:val="0023719A"/>
    <w:rsid w:val="00237269"/>
    <w:rsid w:val="0023767E"/>
    <w:rsid w:val="00240189"/>
    <w:rsid w:val="00243077"/>
    <w:rsid w:val="0024440D"/>
    <w:rsid w:val="002458B6"/>
    <w:rsid w:val="00245B78"/>
    <w:rsid w:val="00250D72"/>
    <w:rsid w:val="00253003"/>
    <w:rsid w:val="00256A28"/>
    <w:rsid w:val="00257E07"/>
    <w:rsid w:val="00264402"/>
    <w:rsid w:val="002661F3"/>
    <w:rsid w:val="0027424E"/>
    <w:rsid w:val="00275952"/>
    <w:rsid w:val="00275F85"/>
    <w:rsid w:val="00276240"/>
    <w:rsid w:val="00277007"/>
    <w:rsid w:val="002812E7"/>
    <w:rsid w:val="00281568"/>
    <w:rsid w:val="002827CA"/>
    <w:rsid w:val="00284CF4"/>
    <w:rsid w:val="00285C5D"/>
    <w:rsid w:val="002875C6"/>
    <w:rsid w:val="002906D3"/>
    <w:rsid w:val="0029424C"/>
    <w:rsid w:val="002945A3"/>
    <w:rsid w:val="00294C02"/>
    <w:rsid w:val="00294C26"/>
    <w:rsid w:val="00294CA9"/>
    <w:rsid w:val="002A2C6F"/>
    <w:rsid w:val="002A3B56"/>
    <w:rsid w:val="002B0491"/>
    <w:rsid w:val="002B14D2"/>
    <w:rsid w:val="002B23E7"/>
    <w:rsid w:val="002B5897"/>
    <w:rsid w:val="002B6106"/>
    <w:rsid w:val="002B64FC"/>
    <w:rsid w:val="002C300F"/>
    <w:rsid w:val="002C362F"/>
    <w:rsid w:val="002C3C53"/>
    <w:rsid w:val="002C4CFD"/>
    <w:rsid w:val="002C62B5"/>
    <w:rsid w:val="002D07B9"/>
    <w:rsid w:val="002D1025"/>
    <w:rsid w:val="002D22BB"/>
    <w:rsid w:val="002D612B"/>
    <w:rsid w:val="002D69AE"/>
    <w:rsid w:val="002D6ABF"/>
    <w:rsid w:val="002E01FA"/>
    <w:rsid w:val="002E0620"/>
    <w:rsid w:val="002E0BC2"/>
    <w:rsid w:val="002E1A72"/>
    <w:rsid w:val="002E4EA8"/>
    <w:rsid w:val="002E6A94"/>
    <w:rsid w:val="002E6DA3"/>
    <w:rsid w:val="002E76DB"/>
    <w:rsid w:val="002E77C3"/>
    <w:rsid w:val="002E7EBE"/>
    <w:rsid w:val="002F07DC"/>
    <w:rsid w:val="002F0C5D"/>
    <w:rsid w:val="002F23D8"/>
    <w:rsid w:val="002F3583"/>
    <w:rsid w:val="002F4291"/>
    <w:rsid w:val="002F5E05"/>
    <w:rsid w:val="002F6695"/>
    <w:rsid w:val="0030022F"/>
    <w:rsid w:val="003010CC"/>
    <w:rsid w:val="0030161F"/>
    <w:rsid w:val="00301DE3"/>
    <w:rsid w:val="00301FB2"/>
    <w:rsid w:val="00302BB7"/>
    <w:rsid w:val="00302C43"/>
    <w:rsid w:val="00304150"/>
    <w:rsid w:val="0030627D"/>
    <w:rsid w:val="0030665B"/>
    <w:rsid w:val="00306C4D"/>
    <w:rsid w:val="0030723A"/>
    <w:rsid w:val="00313E50"/>
    <w:rsid w:val="00315561"/>
    <w:rsid w:val="00315ED5"/>
    <w:rsid w:val="00323637"/>
    <w:rsid w:val="00324F4C"/>
    <w:rsid w:val="003301E1"/>
    <w:rsid w:val="0033128C"/>
    <w:rsid w:val="003334AE"/>
    <w:rsid w:val="00334812"/>
    <w:rsid w:val="00335CDB"/>
    <w:rsid w:val="003366DF"/>
    <w:rsid w:val="00343166"/>
    <w:rsid w:val="00343AEF"/>
    <w:rsid w:val="00346088"/>
    <w:rsid w:val="003468D5"/>
    <w:rsid w:val="00347831"/>
    <w:rsid w:val="0035061E"/>
    <w:rsid w:val="00353F29"/>
    <w:rsid w:val="00355054"/>
    <w:rsid w:val="0035509C"/>
    <w:rsid w:val="003554FA"/>
    <w:rsid w:val="00355A1C"/>
    <w:rsid w:val="00355EBF"/>
    <w:rsid w:val="00361FE0"/>
    <w:rsid w:val="00365D57"/>
    <w:rsid w:val="00372FC1"/>
    <w:rsid w:val="003743BE"/>
    <w:rsid w:val="003751F9"/>
    <w:rsid w:val="003767D2"/>
    <w:rsid w:val="00380727"/>
    <w:rsid w:val="003810AD"/>
    <w:rsid w:val="0038220A"/>
    <w:rsid w:val="0039122E"/>
    <w:rsid w:val="003956C4"/>
    <w:rsid w:val="0039771B"/>
    <w:rsid w:val="00397F7A"/>
    <w:rsid w:val="003A02CB"/>
    <w:rsid w:val="003A35CC"/>
    <w:rsid w:val="003A4DB9"/>
    <w:rsid w:val="003A68DC"/>
    <w:rsid w:val="003B2190"/>
    <w:rsid w:val="003B444B"/>
    <w:rsid w:val="003B52FF"/>
    <w:rsid w:val="003B6566"/>
    <w:rsid w:val="003C2003"/>
    <w:rsid w:val="003C2B72"/>
    <w:rsid w:val="003C799D"/>
    <w:rsid w:val="003D0D62"/>
    <w:rsid w:val="003D20E9"/>
    <w:rsid w:val="003D6193"/>
    <w:rsid w:val="003D7101"/>
    <w:rsid w:val="003D7D9C"/>
    <w:rsid w:val="003E1603"/>
    <w:rsid w:val="003E4ACA"/>
    <w:rsid w:val="003E5A0B"/>
    <w:rsid w:val="003E7D9A"/>
    <w:rsid w:val="003F0377"/>
    <w:rsid w:val="003F1EF1"/>
    <w:rsid w:val="003F3389"/>
    <w:rsid w:val="003F4058"/>
    <w:rsid w:val="003F4760"/>
    <w:rsid w:val="003F4E95"/>
    <w:rsid w:val="003F6FEC"/>
    <w:rsid w:val="003F7509"/>
    <w:rsid w:val="003F77A1"/>
    <w:rsid w:val="003F7DB6"/>
    <w:rsid w:val="00401AAE"/>
    <w:rsid w:val="00403374"/>
    <w:rsid w:val="00405184"/>
    <w:rsid w:val="00406704"/>
    <w:rsid w:val="0041349E"/>
    <w:rsid w:val="0041374F"/>
    <w:rsid w:val="00414315"/>
    <w:rsid w:val="00414383"/>
    <w:rsid w:val="004143D6"/>
    <w:rsid w:val="0041638E"/>
    <w:rsid w:val="00416456"/>
    <w:rsid w:val="00420F8A"/>
    <w:rsid w:val="00421CF5"/>
    <w:rsid w:val="004254E5"/>
    <w:rsid w:val="00426F07"/>
    <w:rsid w:val="004303AA"/>
    <w:rsid w:val="00430BE8"/>
    <w:rsid w:val="004345B0"/>
    <w:rsid w:val="00434FED"/>
    <w:rsid w:val="00436743"/>
    <w:rsid w:val="00437779"/>
    <w:rsid w:val="00440B80"/>
    <w:rsid w:val="00442707"/>
    <w:rsid w:val="00442C45"/>
    <w:rsid w:val="0044304F"/>
    <w:rsid w:val="004432F9"/>
    <w:rsid w:val="00445C5C"/>
    <w:rsid w:val="00447127"/>
    <w:rsid w:val="00447F3C"/>
    <w:rsid w:val="0045030D"/>
    <w:rsid w:val="004516A7"/>
    <w:rsid w:val="00455A12"/>
    <w:rsid w:val="00455D5E"/>
    <w:rsid w:val="00463D4F"/>
    <w:rsid w:val="00464C84"/>
    <w:rsid w:val="004678E3"/>
    <w:rsid w:val="0047143A"/>
    <w:rsid w:val="0047192C"/>
    <w:rsid w:val="004742F2"/>
    <w:rsid w:val="00475B7F"/>
    <w:rsid w:val="00475F39"/>
    <w:rsid w:val="004771B6"/>
    <w:rsid w:val="00481B5D"/>
    <w:rsid w:val="00482199"/>
    <w:rsid w:val="0048364B"/>
    <w:rsid w:val="00486762"/>
    <w:rsid w:val="00486A75"/>
    <w:rsid w:val="00486D3B"/>
    <w:rsid w:val="00486E68"/>
    <w:rsid w:val="004919E9"/>
    <w:rsid w:val="004945BB"/>
    <w:rsid w:val="00495C30"/>
    <w:rsid w:val="004A17C4"/>
    <w:rsid w:val="004A3A47"/>
    <w:rsid w:val="004A75AB"/>
    <w:rsid w:val="004A7C7B"/>
    <w:rsid w:val="004B0549"/>
    <w:rsid w:val="004B2C06"/>
    <w:rsid w:val="004B37C6"/>
    <w:rsid w:val="004B5474"/>
    <w:rsid w:val="004C352F"/>
    <w:rsid w:val="004C6495"/>
    <w:rsid w:val="004C6A35"/>
    <w:rsid w:val="004D00BA"/>
    <w:rsid w:val="004D0379"/>
    <w:rsid w:val="004D0F4D"/>
    <w:rsid w:val="004D5749"/>
    <w:rsid w:val="004D6B7E"/>
    <w:rsid w:val="004D6C1A"/>
    <w:rsid w:val="004F0879"/>
    <w:rsid w:val="004F1CD4"/>
    <w:rsid w:val="004F1E3C"/>
    <w:rsid w:val="004F2D09"/>
    <w:rsid w:val="004F3B6E"/>
    <w:rsid w:val="004F5269"/>
    <w:rsid w:val="004F54C9"/>
    <w:rsid w:val="004F5D8A"/>
    <w:rsid w:val="004F7081"/>
    <w:rsid w:val="005005CB"/>
    <w:rsid w:val="0050074F"/>
    <w:rsid w:val="005022D5"/>
    <w:rsid w:val="0050232E"/>
    <w:rsid w:val="00505014"/>
    <w:rsid w:val="00510108"/>
    <w:rsid w:val="00511574"/>
    <w:rsid w:val="00511ED2"/>
    <w:rsid w:val="00513870"/>
    <w:rsid w:val="00515351"/>
    <w:rsid w:val="00520085"/>
    <w:rsid w:val="00520107"/>
    <w:rsid w:val="00522A16"/>
    <w:rsid w:val="00523399"/>
    <w:rsid w:val="00523A68"/>
    <w:rsid w:val="0052518C"/>
    <w:rsid w:val="0052680C"/>
    <w:rsid w:val="00527EBF"/>
    <w:rsid w:val="00536560"/>
    <w:rsid w:val="005409A6"/>
    <w:rsid w:val="0054415B"/>
    <w:rsid w:val="00545EA6"/>
    <w:rsid w:val="005460E0"/>
    <w:rsid w:val="00550D5F"/>
    <w:rsid w:val="00550EE3"/>
    <w:rsid w:val="00551332"/>
    <w:rsid w:val="0055373A"/>
    <w:rsid w:val="00554E60"/>
    <w:rsid w:val="005604F0"/>
    <w:rsid w:val="00562DF4"/>
    <w:rsid w:val="00562FE0"/>
    <w:rsid w:val="005648FD"/>
    <w:rsid w:val="0056510A"/>
    <w:rsid w:val="00572DD5"/>
    <w:rsid w:val="00575949"/>
    <w:rsid w:val="00577422"/>
    <w:rsid w:val="0058229D"/>
    <w:rsid w:val="005833EE"/>
    <w:rsid w:val="0058617A"/>
    <w:rsid w:val="005865FA"/>
    <w:rsid w:val="0058673A"/>
    <w:rsid w:val="005914C1"/>
    <w:rsid w:val="00592A05"/>
    <w:rsid w:val="005942F4"/>
    <w:rsid w:val="00594F2B"/>
    <w:rsid w:val="005969FD"/>
    <w:rsid w:val="005A2F41"/>
    <w:rsid w:val="005A3C04"/>
    <w:rsid w:val="005A6D98"/>
    <w:rsid w:val="005B45F1"/>
    <w:rsid w:val="005B49B8"/>
    <w:rsid w:val="005B537C"/>
    <w:rsid w:val="005B708D"/>
    <w:rsid w:val="005C136E"/>
    <w:rsid w:val="005C3A25"/>
    <w:rsid w:val="005C6327"/>
    <w:rsid w:val="005C64E8"/>
    <w:rsid w:val="005C6668"/>
    <w:rsid w:val="005D06BC"/>
    <w:rsid w:val="005D0E49"/>
    <w:rsid w:val="005D3441"/>
    <w:rsid w:val="005D6907"/>
    <w:rsid w:val="005D6C1C"/>
    <w:rsid w:val="005E0356"/>
    <w:rsid w:val="005E04DB"/>
    <w:rsid w:val="005E30A1"/>
    <w:rsid w:val="005E62C3"/>
    <w:rsid w:val="005E6690"/>
    <w:rsid w:val="005F2995"/>
    <w:rsid w:val="005F5E53"/>
    <w:rsid w:val="005F67FA"/>
    <w:rsid w:val="005F7660"/>
    <w:rsid w:val="006004F3"/>
    <w:rsid w:val="0060229A"/>
    <w:rsid w:val="00602A1F"/>
    <w:rsid w:val="00603469"/>
    <w:rsid w:val="00604D58"/>
    <w:rsid w:val="006059E7"/>
    <w:rsid w:val="006122EB"/>
    <w:rsid w:val="00613E8D"/>
    <w:rsid w:val="006140F3"/>
    <w:rsid w:val="00614E96"/>
    <w:rsid w:val="00617E25"/>
    <w:rsid w:val="00617F13"/>
    <w:rsid w:val="0062282E"/>
    <w:rsid w:val="00624EA6"/>
    <w:rsid w:val="00631EC0"/>
    <w:rsid w:val="0063209D"/>
    <w:rsid w:val="006331B9"/>
    <w:rsid w:val="00633DF4"/>
    <w:rsid w:val="0063657D"/>
    <w:rsid w:val="00636E7E"/>
    <w:rsid w:val="00637E52"/>
    <w:rsid w:val="00644648"/>
    <w:rsid w:val="0064658F"/>
    <w:rsid w:val="006478D4"/>
    <w:rsid w:val="0065148F"/>
    <w:rsid w:val="0065268B"/>
    <w:rsid w:val="0065596F"/>
    <w:rsid w:val="00656B6A"/>
    <w:rsid w:val="006579BC"/>
    <w:rsid w:val="006633D2"/>
    <w:rsid w:val="00665FC1"/>
    <w:rsid w:val="00666424"/>
    <w:rsid w:val="00666DA2"/>
    <w:rsid w:val="00670289"/>
    <w:rsid w:val="00671E4B"/>
    <w:rsid w:val="00672627"/>
    <w:rsid w:val="00675FA5"/>
    <w:rsid w:val="00677B07"/>
    <w:rsid w:val="00680656"/>
    <w:rsid w:val="0068082D"/>
    <w:rsid w:val="006820C2"/>
    <w:rsid w:val="00684F5D"/>
    <w:rsid w:val="00685ED7"/>
    <w:rsid w:val="006912EE"/>
    <w:rsid w:val="006955F3"/>
    <w:rsid w:val="00697084"/>
    <w:rsid w:val="0069744B"/>
    <w:rsid w:val="006A067B"/>
    <w:rsid w:val="006A0906"/>
    <w:rsid w:val="006A1250"/>
    <w:rsid w:val="006A2B77"/>
    <w:rsid w:val="006B42B7"/>
    <w:rsid w:val="006C29F3"/>
    <w:rsid w:val="006C2FB4"/>
    <w:rsid w:val="006C4812"/>
    <w:rsid w:val="006C6172"/>
    <w:rsid w:val="006D087F"/>
    <w:rsid w:val="006D1467"/>
    <w:rsid w:val="006D159B"/>
    <w:rsid w:val="006D163D"/>
    <w:rsid w:val="006D3FB4"/>
    <w:rsid w:val="006E0929"/>
    <w:rsid w:val="006E2E96"/>
    <w:rsid w:val="006E50DE"/>
    <w:rsid w:val="006E5612"/>
    <w:rsid w:val="006E6FC6"/>
    <w:rsid w:val="006F41BC"/>
    <w:rsid w:val="006F4741"/>
    <w:rsid w:val="006F74CD"/>
    <w:rsid w:val="006F789D"/>
    <w:rsid w:val="00700B1D"/>
    <w:rsid w:val="00702588"/>
    <w:rsid w:val="007028DF"/>
    <w:rsid w:val="00703298"/>
    <w:rsid w:val="0070378A"/>
    <w:rsid w:val="0070498C"/>
    <w:rsid w:val="00704AE0"/>
    <w:rsid w:val="00705D3A"/>
    <w:rsid w:val="00711329"/>
    <w:rsid w:val="007152E8"/>
    <w:rsid w:val="00717BA3"/>
    <w:rsid w:val="00721877"/>
    <w:rsid w:val="007235E7"/>
    <w:rsid w:val="00723E09"/>
    <w:rsid w:val="00724ADD"/>
    <w:rsid w:val="00727259"/>
    <w:rsid w:val="00727AA8"/>
    <w:rsid w:val="00732164"/>
    <w:rsid w:val="0073361E"/>
    <w:rsid w:val="00733BAD"/>
    <w:rsid w:val="007346A4"/>
    <w:rsid w:val="007376E7"/>
    <w:rsid w:val="0074028F"/>
    <w:rsid w:val="00741C5D"/>
    <w:rsid w:val="00742D1C"/>
    <w:rsid w:val="007512FE"/>
    <w:rsid w:val="00755F76"/>
    <w:rsid w:val="00756724"/>
    <w:rsid w:val="00763817"/>
    <w:rsid w:val="00764051"/>
    <w:rsid w:val="0076418D"/>
    <w:rsid w:val="00765A49"/>
    <w:rsid w:val="00770130"/>
    <w:rsid w:val="0077050E"/>
    <w:rsid w:val="00774017"/>
    <w:rsid w:val="00777F45"/>
    <w:rsid w:val="00780D60"/>
    <w:rsid w:val="00782AD0"/>
    <w:rsid w:val="007836D9"/>
    <w:rsid w:val="0078588E"/>
    <w:rsid w:val="00790758"/>
    <w:rsid w:val="00794AAA"/>
    <w:rsid w:val="00795544"/>
    <w:rsid w:val="007A1658"/>
    <w:rsid w:val="007A1887"/>
    <w:rsid w:val="007A4636"/>
    <w:rsid w:val="007A4972"/>
    <w:rsid w:val="007A4A92"/>
    <w:rsid w:val="007A6E16"/>
    <w:rsid w:val="007A7808"/>
    <w:rsid w:val="007B022C"/>
    <w:rsid w:val="007B026E"/>
    <w:rsid w:val="007B14CD"/>
    <w:rsid w:val="007B3FE4"/>
    <w:rsid w:val="007B4679"/>
    <w:rsid w:val="007B7EDD"/>
    <w:rsid w:val="007C4E3C"/>
    <w:rsid w:val="007C54A2"/>
    <w:rsid w:val="007D0747"/>
    <w:rsid w:val="007D0BE9"/>
    <w:rsid w:val="007D1B2B"/>
    <w:rsid w:val="007D43FE"/>
    <w:rsid w:val="007D5792"/>
    <w:rsid w:val="007D6B2B"/>
    <w:rsid w:val="007D7216"/>
    <w:rsid w:val="007D7749"/>
    <w:rsid w:val="007E3863"/>
    <w:rsid w:val="007E7E2B"/>
    <w:rsid w:val="007F156E"/>
    <w:rsid w:val="007F16A5"/>
    <w:rsid w:val="007F3ECC"/>
    <w:rsid w:val="007F4CC4"/>
    <w:rsid w:val="007F52B3"/>
    <w:rsid w:val="007F7100"/>
    <w:rsid w:val="00800605"/>
    <w:rsid w:val="00802C2D"/>
    <w:rsid w:val="00802E36"/>
    <w:rsid w:val="00805B4E"/>
    <w:rsid w:val="00807842"/>
    <w:rsid w:val="008107F1"/>
    <w:rsid w:val="00810E84"/>
    <w:rsid w:val="00811022"/>
    <w:rsid w:val="00813D19"/>
    <w:rsid w:val="008176F7"/>
    <w:rsid w:val="00820944"/>
    <w:rsid w:val="008217BD"/>
    <w:rsid w:val="00822BD2"/>
    <w:rsid w:val="00822E23"/>
    <w:rsid w:val="00823517"/>
    <w:rsid w:val="00824C69"/>
    <w:rsid w:val="00825AA6"/>
    <w:rsid w:val="00825C3E"/>
    <w:rsid w:val="00826A03"/>
    <w:rsid w:val="00826F8C"/>
    <w:rsid w:val="00830315"/>
    <w:rsid w:val="00835FCC"/>
    <w:rsid w:val="00836E1A"/>
    <w:rsid w:val="00841B30"/>
    <w:rsid w:val="00843D90"/>
    <w:rsid w:val="00844090"/>
    <w:rsid w:val="0084531F"/>
    <w:rsid w:val="0084642A"/>
    <w:rsid w:val="00847D9B"/>
    <w:rsid w:val="00853D0C"/>
    <w:rsid w:val="008548D9"/>
    <w:rsid w:val="00855411"/>
    <w:rsid w:val="008575D7"/>
    <w:rsid w:val="00861FA1"/>
    <w:rsid w:val="0086249E"/>
    <w:rsid w:val="008624D3"/>
    <w:rsid w:val="0086435E"/>
    <w:rsid w:val="00864403"/>
    <w:rsid w:val="00865999"/>
    <w:rsid w:val="00866F66"/>
    <w:rsid w:val="0086704E"/>
    <w:rsid w:val="008743C8"/>
    <w:rsid w:val="00874D0F"/>
    <w:rsid w:val="0088206E"/>
    <w:rsid w:val="00882BF5"/>
    <w:rsid w:val="00886C90"/>
    <w:rsid w:val="00887255"/>
    <w:rsid w:val="00890C33"/>
    <w:rsid w:val="00890D43"/>
    <w:rsid w:val="00891A77"/>
    <w:rsid w:val="00894309"/>
    <w:rsid w:val="008948E4"/>
    <w:rsid w:val="00896368"/>
    <w:rsid w:val="008A2B05"/>
    <w:rsid w:val="008A4D7A"/>
    <w:rsid w:val="008A7DFE"/>
    <w:rsid w:val="008B0612"/>
    <w:rsid w:val="008B18BF"/>
    <w:rsid w:val="008B6308"/>
    <w:rsid w:val="008B73B3"/>
    <w:rsid w:val="008B7D7B"/>
    <w:rsid w:val="008C1F42"/>
    <w:rsid w:val="008C4E7E"/>
    <w:rsid w:val="008C6A7A"/>
    <w:rsid w:val="008C6B67"/>
    <w:rsid w:val="008D0238"/>
    <w:rsid w:val="008D08CC"/>
    <w:rsid w:val="008D1537"/>
    <w:rsid w:val="008D3412"/>
    <w:rsid w:val="008D4D57"/>
    <w:rsid w:val="008D67F3"/>
    <w:rsid w:val="008D729B"/>
    <w:rsid w:val="008D79E9"/>
    <w:rsid w:val="008E0126"/>
    <w:rsid w:val="008E2616"/>
    <w:rsid w:val="008E2ABA"/>
    <w:rsid w:val="008E2DD4"/>
    <w:rsid w:val="008F0A5D"/>
    <w:rsid w:val="008F55D3"/>
    <w:rsid w:val="008F5950"/>
    <w:rsid w:val="008F5A1B"/>
    <w:rsid w:val="008F6151"/>
    <w:rsid w:val="008F6F1D"/>
    <w:rsid w:val="0090680A"/>
    <w:rsid w:val="009079A8"/>
    <w:rsid w:val="00907CDE"/>
    <w:rsid w:val="00910315"/>
    <w:rsid w:val="00911391"/>
    <w:rsid w:val="00911A35"/>
    <w:rsid w:val="009129AB"/>
    <w:rsid w:val="00914C9C"/>
    <w:rsid w:val="00915837"/>
    <w:rsid w:val="00920E82"/>
    <w:rsid w:val="00923414"/>
    <w:rsid w:val="009237A1"/>
    <w:rsid w:val="00923960"/>
    <w:rsid w:val="00923A98"/>
    <w:rsid w:val="00925698"/>
    <w:rsid w:val="00926A06"/>
    <w:rsid w:val="009274A0"/>
    <w:rsid w:val="00930B82"/>
    <w:rsid w:val="00934D28"/>
    <w:rsid w:val="00934F2E"/>
    <w:rsid w:val="009366CF"/>
    <w:rsid w:val="0093678D"/>
    <w:rsid w:val="00936C51"/>
    <w:rsid w:val="009377F4"/>
    <w:rsid w:val="00940166"/>
    <w:rsid w:val="00940276"/>
    <w:rsid w:val="00941D4D"/>
    <w:rsid w:val="00943717"/>
    <w:rsid w:val="00943CC9"/>
    <w:rsid w:val="00943D5A"/>
    <w:rsid w:val="00944284"/>
    <w:rsid w:val="009462B4"/>
    <w:rsid w:val="0095039A"/>
    <w:rsid w:val="00951164"/>
    <w:rsid w:val="00952135"/>
    <w:rsid w:val="00953887"/>
    <w:rsid w:val="00953E35"/>
    <w:rsid w:val="0095594B"/>
    <w:rsid w:val="00956131"/>
    <w:rsid w:val="00956C92"/>
    <w:rsid w:val="0095794D"/>
    <w:rsid w:val="00960638"/>
    <w:rsid w:val="00960C15"/>
    <w:rsid w:val="00963468"/>
    <w:rsid w:val="00963791"/>
    <w:rsid w:val="009650DC"/>
    <w:rsid w:val="009711BE"/>
    <w:rsid w:val="00971625"/>
    <w:rsid w:val="009723E7"/>
    <w:rsid w:val="00972F85"/>
    <w:rsid w:val="009774E2"/>
    <w:rsid w:val="009834BD"/>
    <w:rsid w:val="00983861"/>
    <w:rsid w:val="00985120"/>
    <w:rsid w:val="0098558F"/>
    <w:rsid w:val="009869BA"/>
    <w:rsid w:val="00986CC0"/>
    <w:rsid w:val="0098794A"/>
    <w:rsid w:val="00990CDD"/>
    <w:rsid w:val="0099693B"/>
    <w:rsid w:val="009A0035"/>
    <w:rsid w:val="009A6B62"/>
    <w:rsid w:val="009B00E3"/>
    <w:rsid w:val="009B2A69"/>
    <w:rsid w:val="009B351D"/>
    <w:rsid w:val="009B3E14"/>
    <w:rsid w:val="009B4DEB"/>
    <w:rsid w:val="009B64CA"/>
    <w:rsid w:val="009B6B6E"/>
    <w:rsid w:val="009B7B37"/>
    <w:rsid w:val="009C1FEE"/>
    <w:rsid w:val="009C2E40"/>
    <w:rsid w:val="009C4014"/>
    <w:rsid w:val="009D0B7C"/>
    <w:rsid w:val="009D4C31"/>
    <w:rsid w:val="009D544D"/>
    <w:rsid w:val="009E1C8A"/>
    <w:rsid w:val="009F2216"/>
    <w:rsid w:val="009F5C39"/>
    <w:rsid w:val="009F6032"/>
    <w:rsid w:val="009F685C"/>
    <w:rsid w:val="009F712F"/>
    <w:rsid w:val="00A10100"/>
    <w:rsid w:val="00A1292D"/>
    <w:rsid w:val="00A1367C"/>
    <w:rsid w:val="00A14FC6"/>
    <w:rsid w:val="00A153EF"/>
    <w:rsid w:val="00A155A6"/>
    <w:rsid w:val="00A158FC"/>
    <w:rsid w:val="00A16BE4"/>
    <w:rsid w:val="00A1704A"/>
    <w:rsid w:val="00A20501"/>
    <w:rsid w:val="00A22757"/>
    <w:rsid w:val="00A2361F"/>
    <w:rsid w:val="00A23C6C"/>
    <w:rsid w:val="00A23FAE"/>
    <w:rsid w:val="00A24AA3"/>
    <w:rsid w:val="00A2624F"/>
    <w:rsid w:val="00A26990"/>
    <w:rsid w:val="00A27666"/>
    <w:rsid w:val="00A30353"/>
    <w:rsid w:val="00A31504"/>
    <w:rsid w:val="00A365D2"/>
    <w:rsid w:val="00A37938"/>
    <w:rsid w:val="00A40FD6"/>
    <w:rsid w:val="00A4108D"/>
    <w:rsid w:val="00A4210E"/>
    <w:rsid w:val="00A424A5"/>
    <w:rsid w:val="00A435CF"/>
    <w:rsid w:val="00A438E5"/>
    <w:rsid w:val="00A43F32"/>
    <w:rsid w:val="00A447CC"/>
    <w:rsid w:val="00A45F6D"/>
    <w:rsid w:val="00A46C4B"/>
    <w:rsid w:val="00A47939"/>
    <w:rsid w:val="00A5058D"/>
    <w:rsid w:val="00A506C2"/>
    <w:rsid w:val="00A50B94"/>
    <w:rsid w:val="00A50DAA"/>
    <w:rsid w:val="00A52FD0"/>
    <w:rsid w:val="00A55722"/>
    <w:rsid w:val="00A55B1A"/>
    <w:rsid w:val="00A56676"/>
    <w:rsid w:val="00A61CA1"/>
    <w:rsid w:val="00A62A3A"/>
    <w:rsid w:val="00A63772"/>
    <w:rsid w:val="00A647C0"/>
    <w:rsid w:val="00A650EC"/>
    <w:rsid w:val="00A6528F"/>
    <w:rsid w:val="00A654E3"/>
    <w:rsid w:val="00A663F7"/>
    <w:rsid w:val="00A677C7"/>
    <w:rsid w:val="00A70D2E"/>
    <w:rsid w:val="00A71390"/>
    <w:rsid w:val="00A837B3"/>
    <w:rsid w:val="00A87303"/>
    <w:rsid w:val="00A91F2C"/>
    <w:rsid w:val="00A95043"/>
    <w:rsid w:val="00A960A5"/>
    <w:rsid w:val="00A9713A"/>
    <w:rsid w:val="00AA25C0"/>
    <w:rsid w:val="00AA27EE"/>
    <w:rsid w:val="00AA361F"/>
    <w:rsid w:val="00AA6EC5"/>
    <w:rsid w:val="00AA7A0C"/>
    <w:rsid w:val="00AB230B"/>
    <w:rsid w:val="00AB3174"/>
    <w:rsid w:val="00AB781C"/>
    <w:rsid w:val="00AC12B8"/>
    <w:rsid w:val="00AC1511"/>
    <w:rsid w:val="00AC1FFB"/>
    <w:rsid w:val="00AC3B6C"/>
    <w:rsid w:val="00AC5215"/>
    <w:rsid w:val="00AC6E38"/>
    <w:rsid w:val="00AC749F"/>
    <w:rsid w:val="00AD1E10"/>
    <w:rsid w:val="00AD3590"/>
    <w:rsid w:val="00AD4ED3"/>
    <w:rsid w:val="00AD6220"/>
    <w:rsid w:val="00AD7FDB"/>
    <w:rsid w:val="00AE2719"/>
    <w:rsid w:val="00AE2ACE"/>
    <w:rsid w:val="00AE2ECB"/>
    <w:rsid w:val="00AE316B"/>
    <w:rsid w:val="00AE589F"/>
    <w:rsid w:val="00AE6F8A"/>
    <w:rsid w:val="00AE748D"/>
    <w:rsid w:val="00AE7599"/>
    <w:rsid w:val="00AE774C"/>
    <w:rsid w:val="00AE7B7E"/>
    <w:rsid w:val="00AF012B"/>
    <w:rsid w:val="00AF06CD"/>
    <w:rsid w:val="00AF1302"/>
    <w:rsid w:val="00AF4E85"/>
    <w:rsid w:val="00AF53DD"/>
    <w:rsid w:val="00AF60E0"/>
    <w:rsid w:val="00B00D85"/>
    <w:rsid w:val="00B02360"/>
    <w:rsid w:val="00B02EA0"/>
    <w:rsid w:val="00B079F6"/>
    <w:rsid w:val="00B12A5F"/>
    <w:rsid w:val="00B14AE1"/>
    <w:rsid w:val="00B15A4D"/>
    <w:rsid w:val="00B15F67"/>
    <w:rsid w:val="00B17F53"/>
    <w:rsid w:val="00B206B1"/>
    <w:rsid w:val="00B21630"/>
    <w:rsid w:val="00B22FA2"/>
    <w:rsid w:val="00B24B18"/>
    <w:rsid w:val="00B300BF"/>
    <w:rsid w:val="00B36A9D"/>
    <w:rsid w:val="00B419C4"/>
    <w:rsid w:val="00B42938"/>
    <w:rsid w:val="00B439D2"/>
    <w:rsid w:val="00B440DC"/>
    <w:rsid w:val="00B4450B"/>
    <w:rsid w:val="00B448D0"/>
    <w:rsid w:val="00B44BBA"/>
    <w:rsid w:val="00B5142B"/>
    <w:rsid w:val="00B51827"/>
    <w:rsid w:val="00B52611"/>
    <w:rsid w:val="00B55375"/>
    <w:rsid w:val="00B61591"/>
    <w:rsid w:val="00B623F6"/>
    <w:rsid w:val="00B655FE"/>
    <w:rsid w:val="00B66DAD"/>
    <w:rsid w:val="00B704DD"/>
    <w:rsid w:val="00B71B89"/>
    <w:rsid w:val="00B74850"/>
    <w:rsid w:val="00B76347"/>
    <w:rsid w:val="00B76366"/>
    <w:rsid w:val="00B7658D"/>
    <w:rsid w:val="00B81A39"/>
    <w:rsid w:val="00B84547"/>
    <w:rsid w:val="00B84972"/>
    <w:rsid w:val="00B84FA6"/>
    <w:rsid w:val="00B91222"/>
    <w:rsid w:val="00B91DE8"/>
    <w:rsid w:val="00B95D71"/>
    <w:rsid w:val="00B9608C"/>
    <w:rsid w:val="00BA00BC"/>
    <w:rsid w:val="00BA22ED"/>
    <w:rsid w:val="00BA3268"/>
    <w:rsid w:val="00BA5ABB"/>
    <w:rsid w:val="00BA74ED"/>
    <w:rsid w:val="00BB0606"/>
    <w:rsid w:val="00BB2295"/>
    <w:rsid w:val="00BB5B8B"/>
    <w:rsid w:val="00BB7575"/>
    <w:rsid w:val="00BB7724"/>
    <w:rsid w:val="00BC01F3"/>
    <w:rsid w:val="00BC04F9"/>
    <w:rsid w:val="00BC3846"/>
    <w:rsid w:val="00BC604E"/>
    <w:rsid w:val="00BD1B01"/>
    <w:rsid w:val="00BD27A8"/>
    <w:rsid w:val="00BD5B8D"/>
    <w:rsid w:val="00BD6FC2"/>
    <w:rsid w:val="00BD7CE1"/>
    <w:rsid w:val="00BE2C37"/>
    <w:rsid w:val="00BE4610"/>
    <w:rsid w:val="00BE6446"/>
    <w:rsid w:val="00BF1B20"/>
    <w:rsid w:val="00BF1F1B"/>
    <w:rsid w:val="00BF210B"/>
    <w:rsid w:val="00BF25F5"/>
    <w:rsid w:val="00BF277C"/>
    <w:rsid w:val="00BF3701"/>
    <w:rsid w:val="00C021F9"/>
    <w:rsid w:val="00C03409"/>
    <w:rsid w:val="00C051FD"/>
    <w:rsid w:val="00C06CA1"/>
    <w:rsid w:val="00C162B1"/>
    <w:rsid w:val="00C22ED5"/>
    <w:rsid w:val="00C254C2"/>
    <w:rsid w:val="00C304EA"/>
    <w:rsid w:val="00C3187E"/>
    <w:rsid w:val="00C367DB"/>
    <w:rsid w:val="00C37458"/>
    <w:rsid w:val="00C4019F"/>
    <w:rsid w:val="00C44682"/>
    <w:rsid w:val="00C503D8"/>
    <w:rsid w:val="00C50593"/>
    <w:rsid w:val="00C5242A"/>
    <w:rsid w:val="00C60717"/>
    <w:rsid w:val="00C6114D"/>
    <w:rsid w:val="00C630C5"/>
    <w:rsid w:val="00C63610"/>
    <w:rsid w:val="00C6414B"/>
    <w:rsid w:val="00C655AA"/>
    <w:rsid w:val="00C73348"/>
    <w:rsid w:val="00C73445"/>
    <w:rsid w:val="00C73AC7"/>
    <w:rsid w:val="00C8231D"/>
    <w:rsid w:val="00C82948"/>
    <w:rsid w:val="00C8298C"/>
    <w:rsid w:val="00C86D14"/>
    <w:rsid w:val="00C92CE2"/>
    <w:rsid w:val="00C93CF0"/>
    <w:rsid w:val="00C9695C"/>
    <w:rsid w:val="00C96EAB"/>
    <w:rsid w:val="00CA238B"/>
    <w:rsid w:val="00CA2B02"/>
    <w:rsid w:val="00CA386C"/>
    <w:rsid w:val="00CA545C"/>
    <w:rsid w:val="00CA6238"/>
    <w:rsid w:val="00CA698A"/>
    <w:rsid w:val="00CA799B"/>
    <w:rsid w:val="00CA7C1C"/>
    <w:rsid w:val="00CA7FF9"/>
    <w:rsid w:val="00CB0BDD"/>
    <w:rsid w:val="00CB158D"/>
    <w:rsid w:val="00CB169F"/>
    <w:rsid w:val="00CB1B30"/>
    <w:rsid w:val="00CB6191"/>
    <w:rsid w:val="00CB797F"/>
    <w:rsid w:val="00CC0ABD"/>
    <w:rsid w:val="00CC397A"/>
    <w:rsid w:val="00CC3FA8"/>
    <w:rsid w:val="00CC433B"/>
    <w:rsid w:val="00CC4FC8"/>
    <w:rsid w:val="00CC6575"/>
    <w:rsid w:val="00CC6C7E"/>
    <w:rsid w:val="00CD19C1"/>
    <w:rsid w:val="00CD22D6"/>
    <w:rsid w:val="00CD47AB"/>
    <w:rsid w:val="00CD551E"/>
    <w:rsid w:val="00CD66A3"/>
    <w:rsid w:val="00CD704C"/>
    <w:rsid w:val="00CE096A"/>
    <w:rsid w:val="00CE16A6"/>
    <w:rsid w:val="00CE2300"/>
    <w:rsid w:val="00CE44C6"/>
    <w:rsid w:val="00CE5606"/>
    <w:rsid w:val="00CE6B10"/>
    <w:rsid w:val="00CF19FA"/>
    <w:rsid w:val="00CF1C72"/>
    <w:rsid w:val="00CF217A"/>
    <w:rsid w:val="00CF2705"/>
    <w:rsid w:val="00CF68F3"/>
    <w:rsid w:val="00D00C3F"/>
    <w:rsid w:val="00D049D6"/>
    <w:rsid w:val="00D04CE9"/>
    <w:rsid w:val="00D05AA4"/>
    <w:rsid w:val="00D133E8"/>
    <w:rsid w:val="00D14848"/>
    <w:rsid w:val="00D14A9C"/>
    <w:rsid w:val="00D15E0A"/>
    <w:rsid w:val="00D15EE7"/>
    <w:rsid w:val="00D1634F"/>
    <w:rsid w:val="00D40BB0"/>
    <w:rsid w:val="00D41D02"/>
    <w:rsid w:val="00D44F21"/>
    <w:rsid w:val="00D47B6B"/>
    <w:rsid w:val="00D50AAF"/>
    <w:rsid w:val="00D52454"/>
    <w:rsid w:val="00D5611C"/>
    <w:rsid w:val="00D62288"/>
    <w:rsid w:val="00D63D33"/>
    <w:rsid w:val="00D6746D"/>
    <w:rsid w:val="00D7054A"/>
    <w:rsid w:val="00D70FE7"/>
    <w:rsid w:val="00D73A55"/>
    <w:rsid w:val="00D74684"/>
    <w:rsid w:val="00D75669"/>
    <w:rsid w:val="00D75EC7"/>
    <w:rsid w:val="00D76AC1"/>
    <w:rsid w:val="00D76CFE"/>
    <w:rsid w:val="00D82F52"/>
    <w:rsid w:val="00D8363F"/>
    <w:rsid w:val="00D848D9"/>
    <w:rsid w:val="00D84FDD"/>
    <w:rsid w:val="00D8540C"/>
    <w:rsid w:val="00D85C7C"/>
    <w:rsid w:val="00D87944"/>
    <w:rsid w:val="00D9012D"/>
    <w:rsid w:val="00D972F7"/>
    <w:rsid w:val="00D97A92"/>
    <w:rsid w:val="00DA259C"/>
    <w:rsid w:val="00DA5A1D"/>
    <w:rsid w:val="00DB2F4B"/>
    <w:rsid w:val="00DB5413"/>
    <w:rsid w:val="00DB54FF"/>
    <w:rsid w:val="00DB5793"/>
    <w:rsid w:val="00DB68AD"/>
    <w:rsid w:val="00DB6AA8"/>
    <w:rsid w:val="00DC2541"/>
    <w:rsid w:val="00DC63CA"/>
    <w:rsid w:val="00DC6C48"/>
    <w:rsid w:val="00DC720D"/>
    <w:rsid w:val="00DC7384"/>
    <w:rsid w:val="00DC7385"/>
    <w:rsid w:val="00DC75D6"/>
    <w:rsid w:val="00DC7929"/>
    <w:rsid w:val="00DC7D91"/>
    <w:rsid w:val="00DD1E46"/>
    <w:rsid w:val="00DD2678"/>
    <w:rsid w:val="00DD2F7A"/>
    <w:rsid w:val="00DD3A6B"/>
    <w:rsid w:val="00DD3CE3"/>
    <w:rsid w:val="00DD3EC1"/>
    <w:rsid w:val="00DD3EE9"/>
    <w:rsid w:val="00DD4C4E"/>
    <w:rsid w:val="00DD577F"/>
    <w:rsid w:val="00DD620E"/>
    <w:rsid w:val="00DD760B"/>
    <w:rsid w:val="00DE045B"/>
    <w:rsid w:val="00DE135D"/>
    <w:rsid w:val="00DE3929"/>
    <w:rsid w:val="00DF1A19"/>
    <w:rsid w:val="00DF2DD7"/>
    <w:rsid w:val="00DF50C5"/>
    <w:rsid w:val="00E0001D"/>
    <w:rsid w:val="00E00EB2"/>
    <w:rsid w:val="00E02710"/>
    <w:rsid w:val="00E027FE"/>
    <w:rsid w:val="00E030E7"/>
    <w:rsid w:val="00E034E9"/>
    <w:rsid w:val="00E053E7"/>
    <w:rsid w:val="00E12D77"/>
    <w:rsid w:val="00E13C19"/>
    <w:rsid w:val="00E13F24"/>
    <w:rsid w:val="00E14A33"/>
    <w:rsid w:val="00E15DFE"/>
    <w:rsid w:val="00E22991"/>
    <w:rsid w:val="00E24926"/>
    <w:rsid w:val="00E25D15"/>
    <w:rsid w:val="00E27C82"/>
    <w:rsid w:val="00E31190"/>
    <w:rsid w:val="00E368DA"/>
    <w:rsid w:val="00E3799F"/>
    <w:rsid w:val="00E442AF"/>
    <w:rsid w:val="00E44D47"/>
    <w:rsid w:val="00E467A4"/>
    <w:rsid w:val="00E46CCA"/>
    <w:rsid w:val="00E474B8"/>
    <w:rsid w:val="00E479AE"/>
    <w:rsid w:val="00E47D54"/>
    <w:rsid w:val="00E5100E"/>
    <w:rsid w:val="00E51489"/>
    <w:rsid w:val="00E51F90"/>
    <w:rsid w:val="00E52643"/>
    <w:rsid w:val="00E52AD4"/>
    <w:rsid w:val="00E53C47"/>
    <w:rsid w:val="00E56902"/>
    <w:rsid w:val="00E60CB3"/>
    <w:rsid w:val="00E61F30"/>
    <w:rsid w:val="00E6437F"/>
    <w:rsid w:val="00E6617E"/>
    <w:rsid w:val="00E7113E"/>
    <w:rsid w:val="00E714F6"/>
    <w:rsid w:val="00E718F5"/>
    <w:rsid w:val="00E71C63"/>
    <w:rsid w:val="00E759F6"/>
    <w:rsid w:val="00E75BB4"/>
    <w:rsid w:val="00E8187F"/>
    <w:rsid w:val="00E82103"/>
    <w:rsid w:val="00E83F26"/>
    <w:rsid w:val="00E84F88"/>
    <w:rsid w:val="00E87057"/>
    <w:rsid w:val="00E900A1"/>
    <w:rsid w:val="00E90F29"/>
    <w:rsid w:val="00E90F94"/>
    <w:rsid w:val="00E9198B"/>
    <w:rsid w:val="00E91EC1"/>
    <w:rsid w:val="00E92847"/>
    <w:rsid w:val="00E9679E"/>
    <w:rsid w:val="00E979A4"/>
    <w:rsid w:val="00EA229D"/>
    <w:rsid w:val="00EA25D7"/>
    <w:rsid w:val="00EA3252"/>
    <w:rsid w:val="00EB342F"/>
    <w:rsid w:val="00EB49B2"/>
    <w:rsid w:val="00EB5AA7"/>
    <w:rsid w:val="00EC246D"/>
    <w:rsid w:val="00EC46A2"/>
    <w:rsid w:val="00EC4B3F"/>
    <w:rsid w:val="00EC513F"/>
    <w:rsid w:val="00EC5598"/>
    <w:rsid w:val="00ED054B"/>
    <w:rsid w:val="00ED2A0D"/>
    <w:rsid w:val="00ED62DB"/>
    <w:rsid w:val="00EE1C71"/>
    <w:rsid w:val="00EE23F9"/>
    <w:rsid w:val="00EE373A"/>
    <w:rsid w:val="00EF12A9"/>
    <w:rsid w:val="00EF1AC9"/>
    <w:rsid w:val="00EF35D3"/>
    <w:rsid w:val="00EF3637"/>
    <w:rsid w:val="00EF466D"/>
    <w:rsid w:val="00EF77B0"/>
    <w:rsid w:val="00EF79AF"/>
    <w:rsid w:val="00F0639D"/>
    <w:rsid w:val="00F07A93"/>
    <w:rsid w:val="00F11DAD"/>
    <w:rsid w:val="00F13773"/>
    <w:rsid w:val="00F1483A"/>
    <w:rsid w:val="00F1677C"/>
    <w:rsid w:val="00F16C0D"/>
    <w:rsid w:val="00F20B18"/>
    <w:rsid w:val="00F212D5"/>
    <w:rsid w:val="00F234FC"/>
    <w:rsid w:val="00F30A5A"/>
    <w:rsid w:val="00F337AE"/>
    <w:rsid w:val="00F379B2"/>
    <w:rsid w:val="00F4058C"/>
    <w:rsid w:val="00F40B21"/>
    <w:rsid w:val="00F41A5F"/>
    <w:rsid w:val="00F42864"/>
    <w:rsid w:val="00F439A0"/>
    <w:rsid w:val="00F46FB1"/>
    <w:rsid w:val="00F5171C"/>
    <w:rsid w:val="00F54CEC"/>
    <w:rsid w:val="00F56966"/>
    <w:rsid w:val="00F5740E"/>
    <w:rsid w:val="00F57D00"/>
    <w:rsid w:val="00F6364D"/>
    <w:rsid w:val="00F653C8"/>
    <w:rsid w:val="00F67895"/>
    <w:rsid w:val="00F71F18"/>
    <w:rsid w:val="00F728EE"/>
    <w:rsid w:val="00F72B02"/>
    <w:rsid w:val="00F73097"/>
    <w:rsid w:val="00F81852"/>
    <w:rsid w:val="00F83D9D"/>
    <w:rsid w:val="00F86D88"/>
    <w:rsid w:val="00F92F59"/>
    <w:rsid w:val="00F9358F"/>
    <w:rsid w:val="00F94BC2"/>
    <w:rsid w:val="00F96D67"/>
    <w:rsid w:val="00FA0EBE"/>
    <w:rsid w:val="00FA29D5"/>
    <w:rsid w:val="00FA7B4E"/>
    <w:rsid w:val="00FB1194"/>
    <w:rsid w:val="00FB319F"/>
    <w:rsid w:val="00FB36F9"/>
    <w:rsid w:val="00FB4077"/>
    <w:rsid w:val="00FB5106"/>
    <w:rsid w:val="00FB5625"/>
    <w:rsid w:val="00FB7331"/>
    <w:rsid w:val="00FB7646"/>
    <w:rsid w:val="00FB7782"/>
    <w:rsid w:val="00FC3081"/>
    <w:rsid w:val="00FC66A9"/>
    <w:rsid w:val="00FD2AAB"/>
    <w:rsid w:val="00FD300F"/>
    <w:rsid w:val="00FD341A"/>
    <w:rsid w:val="00FD43D5"/>
    <w:rsid w:val="00FD5746"/>
    <w:rsid w:val="00FD58CD"/>
    <w:rsid w:val="00FD7D1A"/>
    <w:rsid w:val="00FE268F"/>
    <w:rsid w:val="00FE3EA7"/>
    <w:rsid w:val="00FE5DC2"/>
    <w:rsid w:val="00FE634E"/>
    <w:rsid w:val="00FF232C"/>
    <w:rsid w:val="00FF2452"/>
    <w:rsid w:val="00FF2A0F"/>
    <w:rsid w:val="00FF4EDD"/>
    <w:rsid w:val="00FF63AD"/>
    <w:rsid w:val="00FF7028"/>
    <w:rsid w:val="010F1DA1"/>
    <w:rsid w:val="012F41F1"/>
    <w:rsid w:val="01312DA3"/>
    <w:rsid w:val="01435E9E"/>
    <w:rsid w:val="014557C2"/>
    <w:rsid w:val="014632E9"/>
    <w:rsid w:val="01526B37"/>
    <w:rsid w:val="01804A4C"/>
    <w:rsid w:val="019422A6"/>
    <w:rsid w:val="019D6B21"/>
    <w:rsid w:val="01A4259A"/>
    <w:rsid w:val="01B30C63"/>
    <w:rsid w:val="01B70B0C"/>
    <w:rsid w:val="01B72C32"/>
    <w:rsid w:val="01BF5575"/>
    <w:rsid w:val="01C97BA5"/>
    <w:rsid w:val="01DB7ED5"/>
    <w:rsid w:val="01E903CB"/>
    <w:rsid w:val="01EF572E"/>
    <w:rsid w:val="01FB0577"/>
    <w:rsid w:val="02247ACE"/>
    <w:rsid w:val="022655F4"/>
    <w:rsid w:val="02407AB4"/>
    <w:rsid w:val="024737BC"/>
    <w:rsid w:val="02501968"/>
    <w:rsid w:val="027018DE"/>
    <w:rsid w:val="02775E4F"/>
    <w:rsid w:val="027F2F56"/>
    <w:rsid w:val="028B36A9"/>
    <w:rsid w:val="028B5457"/>
    <w:rsid w:val="02950A37"/>
    <w:rsid w:val="029C7664"/>
    <w:rsid w:val="02A51DF2"/>
    <w:rsid w:val="02C866AB"/>
    <w:rsid w:val="02CD31D2"/>
    <w:rsid w:val="031226B6"/>
    <w:rsid w:val="033160EB"/>
    <w:rsid w:val="03373831"/>
    <w:rsid w:val="033755DF"/>
    <w:rsid w:val="033E071B"/>
    <w:rsid w:val="033F6241"/>
    <w:rsid w:val="034E4F3D"/>
    <w:rsid w:val="035E2B6B"/>
    <w:rsid w:val="038A3960"/>
    <w:rsid w:val="039A529D"/>
    <w:rsid w:val="03A5079A"/>
    <w:rsid w:val="03AF2E2F"/>
    <w:rsid w:val="03BB1D6C"/>
    <w:rsid w:val="03D472D2"/>
    <w:rsid w:val="03F4783B"/>
    <w:rsid w:val="04043713"/>
    <w:rsid w:val="041871BE"/>
    <w:rsid w:val="042446F9"/>
    <w:rsid w:val="042751F8"/>
    <w:rsid w:val="04497378"/>
    <w:rsid w:val="0459308B"/>
    <w:rsid w:val="04673CA2"/>
    <w:rsid w:val="04675A50"/>
    <w:rsid w:val="04692ACF"/>
    <w:rsid w:val="046C12B8"/>
    <w:rsid w:val="04826D2E"/>
    <w:rsid w:val="04854128"/>
    <w:rsid w:val="049D3B67"/>
    <w:rsid w:val="04A10F62"/>
    <w:rsid w:val="04A722F0"/>
    <w:rsid w:val="04AD3DAA"/>
    <w:rsid w:val="04B213C1"/>
    <w:rsid w:val="04BC223F"/>
    <w:rsid w:val="04D72BD5"/>
    <w:rsid w:val="04D952CF"/>
    <w:rsid w:val="04EB26D5"/>
    <w:rsid w:val="050E411D"/>
    <w:rsid w:val="052D4EEB"/>
    <w:rsid w:val="054B5371"/>
    <w:rsid w:val="056106F1"/>
    <w:rsid w:val="059565ED"/>
    <w:rsid w:val="05AE31EB"/>
    <w:rsid w:val="05AF76AE"/>
    <w:rsid w:val="05B9677F"/>
    <w:rsid w:val="05CF7D50"/>
    <w:rsid w:val="05D073C6"/>
    <w:rsid w:val="05D53C72"/>
    <w:rsid w:val="05D94D16"/>
    <w:rsid w:val="05F72E03"/>
    <w:rsid w:val="06055520"/>
    <w:rsid w:val="062E067F"/>
    <w:rsid w:val="064E6EC7"/>
    <w:rsid w:val="06756005"/>
    <w:rsid w:val="067D362E"/>
    <w:rsid w:val="06877615"/>
    <w:rsid w:val="069C49FD"/>
    <w:rsid w:val="06A27FAC"/>
    <w:rsid w:val="06A42F8B"/>
    <w:rsid w:val="06AC4037"/>
    <w:rsid w:val="06B14245"/>
    <w:rsid w:val="06D73FCD"/>
    <w:rsid w:val="06E75C4D"/>
    <w:rsid w:val="0711497B"/>
    <w:rsid w:val="07142153"/>
    <w:rsid w:val="071C5217"/>
    <w:rsid w:val="07267E44"/>
    <w:rsid w:val="07287718"/>
    <w:rsid w:val="074327A4"/>
    <w:rsid w:val="074A3B33"/>
    <w:rsid w:val="07603356"/>
    <w:rsid w:val="07807554"/>
    <w:rsid w:val="078320C5"/>
    <w:rsid w:val="07A07BF6"/>
    <w:rsid w:val="07AA637F"/>
    <w:rsid w:val="07BF5211"/>
    <w:rsid w:val="07C05BA3"/>
    <w:rsid w:val="07DA431F"/>
    <w:rsid w:val="07EA2C20"/>
    <w:rsid w:val="07F41CF0"/>
    <w:rsid w:val="07FA3484"/>
    <w:rsid w:val="08002443"/>
    <w:rsid w:val="080F6B2A"/>
    <w:rsid w:val="0822685D"/>
    <w:rsid w:val="0828574C"/>
    <w:rsid w:val="083E2F6B"/>
    <w:rsid w:val="084D31AF"/>
    <w:rsid w:val="08514A4D"/>
    <w:rsid w:val="086C20C6"/>
    <w:rsid w:val="08743D27"/>
    <w:rsid w:val="08744BDF"/>
    <w:rsid w:val="0878647D"/>
    <w:rsid w:val="087B06A4"/>
    <w:rsid w:val="08A44A3B"/>
    <w:rsid w:val="08A74FB5"/>
    <w:rsid w:val="08BF5E5A"/>
    <w:rsid w:val="08CE609D"/>
    <w:rsid w:val="08E74ED8"/>
    <w:rsid w:val="08EB4EA1"/>
    <w:rsid w:val="08FA77E7"/>
    <w:rsid w:val="090917CB"/>
    <w:rsid w:val="090E6DE2"/>
    <w:rsid w:val="09181A0E"/>
    <w:rsid w:val="091B54AD"/>
    <w:rsid w:val="092B1742"/>
    <w:rsid w:val="095B2106"/>
    <w:rsid w:val="09620925"/>
    <w:rsid w:val="0972111F"/>
    <w:rsid w:val="097A7FD3"/>
    <w:rsid w:val="09954E0D"/>
    <w:rsid w:val="099E1BC2"/>
    <w:rsid w:val="099E1F14"/>
    <w:rsid w:val="09A80FE4"/>
    <w:rsid w:val="09BD72E2"/>
    <w:rsid w:val="09C26559"/>
    <w:rsid w:val="09CA0F5B"/>
    <w:rsid w:val="09D10DC0"/>
    <w:rsid w:val="09DF42DA"/>
    <w:rsid w:val="09E87633"/>
    <w:rsid w:val="09F91840"/>
    <w:rsid w:val="0A0855DF"/>
    <w:rsid w:val="0A177036"/>
    <w:rsid w:val="0A1B0A56"/>
    <w:rsid w:val="0A2C72D2"/>
    <w:rsid w:val="0A4707FD"/>
    <w:rsid w:val="0A530F50"/>
    <w:rsid w:val="0A5E78F5"/>
    <w:rsid w:val="0A5F3317"/>
    <w:rsid w:val="0A7361E8"/>
    <w:rsid w:val="0A9C2F03"/>
    <w:rsid w:val="0AA9535F"/>
    <w:rsid w:val="0AD02B1E"/>
    <w:rsid w:val="0B04224A"/>
    <w:rsid w:val="0B1306DF"/>
    <w:rsid w:val="0B141573"/>
    <w:rsid w:val="0B1D155E"/>
    <w:rsid w:val="0B266665"/>
    <w:rsid w:val="0B3605EB"/>
    <w:rsid w:val="0B3A2110"/>
    <w:rsid w:val="0B4E2826"/>
    <w:rsid w:val="0B513434"/>
    <w:rsid w:val="0B575137"/>
    <w:rsid w:val="0B7373D0"/>
    <w:rsid w:val="0B753148"/>
    <w:rsid w:val="0B7A70D7"/>
    <w:rsid w:val="0B7C44D7"/>
    <w:rsid w:val="0B7E024F"/>
    <w:rsid w:val="0B830867"/>
    <w:rsid w:val="0B892750"/>
    <w:rsid w:val="0B8B64C8"/>
    <w:rsid w:val="0B967D07"/>
    <w:rsid w:val="0B9A2BAF"/>
    <w:rsid w:val="0B9C2483"/>
    <w:rsid w:val="0BA23811"/>
    <w:rsid w:val="0BA37CB5"/>
    <w:rsid w:val="0BA675F2"/>
    <w:rsid w:val="0BB35E2B"/>
    <w:rsid w:val="0BC83278"/>
    <w:rsid w:val="0BED0F30"/>
    <w:rsid w:val="0C030754"/>
    <w:rsid w:val="0C21076C"/>
    <w:rsid w:val="0C236700"/>
    <w:rsid w:val="0C2733C2"/>
    <w:rsid w:val="0C27455C"/>
    <w:rsid w:val="0C5C1C12"/>
    <w:rsid w:val="0C741652"/>
    <w:rsid w:val="0C8F023A"/>
    <w:rsid w:val="0C9654FE"/>
    <w:rsid w:val="0CB06D2E"/>
    <w:rsid w:val="0CB33F28"/>
    <w:rsid w:val="0CBF33AD"/>
    <w:rsid w:val="0CC46FA3"/>
    <w:rsid w:val="0CCD00B0"/>
    <w:rsid w:val="0CD17E59"/>
    <w:rsid w:val="0CF54541"/>
    <w:rsid w:val="0CFB767D"/>
    <w:rsid w:val="0D2B5BA2"/>
    <w:rsid w:val="0D3037CB"/>
    <w:rsid w:val="0D30650C"/>
    <w:rsid w:val="0D307327"/>
    <w:rsid w:val="0D3A1F53"/>
    <w:rsid w:val="0D3B72EE"/>
    <w:rsid w:val="0D3C142F"/>
    <w:rsid w:val="0D444B80"/>
    <w:rsid w:val="0D4F196D"/>
    <w:rsid w:val="0D4F3069"/>
    <w:rsid w:val="0D533015"/>
    <w:rsid w:val="0D5D778E"/>
    <w:rsid w:val="0D761FFB"/>
    <w:rsid w:val="0D7824DB"/>
    <w:rsid w:val="0D847672"/>
    <w:rsid w:val="0D956D94"/>
    <w:rsid w:val="0DA25D4B"/>
    <w:rsid w:val="0DAD6BC9"/>
    <w:rsid w:val="0DBF50EA"/>
    <w:rsid w:val="0DC85E89"/>
    <w:rsid w:val="0DCB50F9"/>
    <w:rsid w:val="0DCF1345"/>
    <w:rsid w:val="0DDE4FD5"/>
    <w:rsid w:val="0E2E1694"/>
    <w:rsid w:val="0E367F50"/>
    <w:rsid w:val="0E3A06CD"/>
    <w:rsid w:val="0E406036"/>
    <w:rsid w:val="0E460DCC"/>
    <w:rsid w:val="0E4D3F08"/>
    <w:rsid w:val="0E5E6115"/>
    <w:rsid w:val="0E784E12"/>
    <w:rsid w:val="0E8D2557"/>
    <w:rsid w:val="0E91546A"/>
    <w:rsid w:val="0E92384C"/>
    <w:rsid w:val="0ECA7307"/>
    <w:rsid w:val="0EF12AE6"/>
    <w:rsid w:val="0F097E91"/>
    <w:rsid w:val="0F114F36"/>
    <w:rsid w:val="0F3F300E"/>
    <w:rsid w:val="0F5337A0"/>
    <w:rsid w:val="0F5A45F7"/>
    <w:rsid w:val="0F68324F"/>
    <w:rsid w:val="0F8C6CB2"/>
    <w:rsid w:val="0FB57FB7"/>
    <w:rsid w:val="0FC63F72"/>
    <w:rsid w:val="0FCC70AF"/>
    <w:rsid w:val="0FE4089C"/>
    <w:rsid w:val="0FFC1519"/>
    <w:rsid w:val="100F3B6B"/>
    <w:rsid w:val="100F5919"/>
    <w:rsid w:val="102F515D"/>
    <w:rsid w:val="1030763E"/>
    <w:rsid w:val="10374E70"/>
    <w:rsid w:val="105276E7"/>
    <w:rsid w:val="10622D8C"/>
    <w:rsid w:val="10625C40"/>
    <w:rsid w:val="106815CA"/>
    <w:rsid w:val="107D5786"/>
    <w:rsid w:val="107D7232"/>
    <w:rsid w:val="108A1F59"/>
    <w:rsid w:val="108E0327"/>
    <w:rsid w:val="10A1053B"/>
    <w:rsid w:val="10B44601"/>
    <w:rsid w:val="10BB784F"/>
    <w:rsid w:val="10C36704"/>
    <w:rsid w:val="10C55FD8"/>
    <w:rsid w:val="10D821AF"/>
    <w:rsid w:val="10DA2500"/>
    <w:rsid w:val="10DE709A"/>
    <w:rsid w:val="10EC17B7"/>
    <w:rsid w:val="10FB40F0"/>
    <w:rsid w:val="111E68C8"/>
    <w:rsid w:val="11203B56"/>
    <w:rsid w:val="112A22DF"/>
    <w:rsid w:val="112D746E"/>
    <w:rsid w:val="113118BF"/>
    <w:rsid w:val="11360C84"/>
    <w:rsid w:val="11362B63"/>
    <w:rsid w:val="113F3A2D"/>
    <w:rsid w:val="11496C09"/>
    <w:rsid w:val="114A2981"/>
    <w:rsid w:val="114A41D7"/>
    <w:rsid w:val="114E421F"/>
    <w:rsid w:val="11586E4C"/>
    <w:rsid w:val="116022EE"/>
    <w:rsid w:val="118E6D12"/>
    <w:rsid w:val="119C54B6"/>
    <w:rsid w:val="11B76E7E"/>
    <w:rsid w:val="120D40DA"/>
    <w:rsid w:val="1212349F"/>
    <w:rsid w:val="121323EB"/>
    <w:rsid w:val="1218482D"/>
    <w:rsid w:val="123A0C48"/>
    <w:rsid w:val="12485112"/>
    <w:rsid w:val="126D6916"/>
    <w:rsid w:val="127E28E2"/>
    <w:rsid w:val="12891287"/>
    <w:rsid w:val="129171F7"/>
    <w:rsid w:val="12AA12B5"/>
    <w:rsid w:val="12B207DE"/>
    <w:rsid w:val="12BD09B1"/>
    <w:rsid w:val="12E12E71"/>
    <w:rsid w:val="130F79DE"/>
    <w:rsid w:val="13182D37"/>
    <w:rsid w:val="13201BEB"/>
    <w:rsid w:val="137361BF"/>
    <w:rsid w:val="137B1518"/>
    <w:rsid w:val="138E2FF9"/>
    <w:rsid w:val="138F0B1F"/>
    <w:rsid w:val="13AB14E0"/>
    <w:rsid w:val="13B32A60"/>
    <w:rsid w:val="13BA5B9C"/>
    <w:rsid w:val="13C15241"/>
    <w:rsid w:val="13E05246"/>
    <w:rsid w:val="13E76BAD"/>
    <w:rsid w:val="14092680"/>
    <w:rsid w:val="142D2812"/>
    <w:rsid w:val="142F0BEC"/>
    <w:rsid w:val="14357918"/>
    <w:rsid w:val="14593607"/>
    <w:rsid w:val="146975C2"/>
    <w:rsid w:val="14774392"/>
    <w:rsid w:val="14787805"/>
    <w:rsid w:val="1487006E"/>
    <w:rsid w:val="14F21366"/>
    <w:rsid w:val="14F7697C"/>
    <w:rsid w:val="15175270"/>
    <w:rsid w:val="15252DED"/>
    <w:rsid w:val="153100E0"/>
    <w:rsid w:val="153C0833"/>
    <w:rsid w:val="154D0C92"/>
    <w:rsid w:val="15805968"/>
    <w:rsid w:val="15973CBB"/>
    <w:rsid w:val="1598015F"/>
    <w:rsid w:val="15B075C6"/>
    <w:rsid w:val="15C70A44"/>
    <w:rsid w:val="15CC7E09"/>
    <w:rsid w:val="15CE24A5"/>
    <w:rsid w:val="15D867AD"/>
    <w:rsid w:val="15E9558B"/>
    <w:rsid w:val="15F31839"/>
    <w:rsid w:val="15F71716"/>
    <w:rsid w:val="15FA6724"/>
    <w:rsid w:val="16143C24"/>
    <w:rsid w:val="1615355E"/>
    <w:rsid w:val="161F06B0"/>
    <w:rsid w:val="162502C9"/>
    <w:rsid w:val="165C73DE"/>
    <w:rsid w:val="16610551"/>
    <w:rsid w:val="16646293"/>
    <w:rsid w:val="167209B0"/>
    <w:rsid w:val="1676615B"/>
    <w:rsid w:val="167951ED"/>
    <w:rsid w:val="16803014"/>
    <w:rsid w:val="168B1A72"/>
    <w:rsid w:val="169E1486"/>
    <w:rsid w:val="169F551D"/>
    <w:rsid w:val="16A02C23"/>
    <w:rsid w:val="16A158F3"/>
    <w:rsid w:val="16A2447F"/>
    <w:rsid w:val="16B754B6"/>
    <w:rsid w:val="16BC60CF"/>
    <w:rsid w:val="16C44F84"/>
    <w:rsid w:val="16C831A6"/>
    <w:rsid w:val="16CD711D"/>
    <w:rsid w:val="16CF5E02"/>
    <w:rsid w:val="16E66CA8"/>
    <w:rsid w:val="17190E2C"/>
    <w:rsid w:val="17193F45"/>
    <w:rsid w:val="17285513"/>
    <w:rsid w:val="17343EB7"/>
    <w:rsid w:val="1742432E"/>
    <w:rsid w:val="174A1ED1"/>
    <w:rsid w:val="17571954"/>
    <w:rsid w:val="175E7186"/>
    <w:rsid w:val="17606DE5"/>
    <w:rsid w:val="17742506"/>
    <w:rsid w:val="17806D11"/>
    <w:rsid w:val="178A3A30"/>
    <w:rsid w:val="178D35C8"/>
    <w:rsid w:val="1791130A"/>
    <w:rsid w:val="17A312BA"/>
    <w:rsid w:val="17AA5F28"/>
    <w:rsid w:val="17B51CC9"/>
    <w:rsid w:val="17C23271"/>
    <w:rsid w:val="17CB1111"/>
    <w:rsid w:val="17CC38C7"/>
    <w:rsid w:val="17DE55A1"/>
    <w:rsid w:val="17E72CD8"/>
    <w:rsid w:val="17EC37B1"/>
    <w:rsid w:val="17F23AAF"/>
    <w:rsid w:val="18015566"/>
    <w:rsid w:val="18060908"/>
    <w:rsid w:val="18090EA0"/>
    <w:rsid w:val="180E4708"/>
    <w:rsid w:val="180E797D"/>
    <w:rsid w:val="180F79F0"/>
    <w:rsid w:val="181120CC"/>
    <w:rsid w:val="18251A52"/>
    <w:rsid w:val="18351C95"/>
    <w:rsid w:val="1836315B"/>
    <w:rsid w:val="185C1918"/>
    <w:rsid w:val="18716A45"/>
    <w:rsid w:val="187E08C6"/>
    <w:rsid w:val="18842C1C"/>
    <w:rsid w:val="18950986"/>
    <w:rsid w:val="189A41EE"/>
    <w:rsid w:val="18AA6B24"/>
    <w:rsid w:val="18CA0730"/>
    <w:rsid w:val="18D47700"/>
    <w:rsid w:val="18FD1D7A"/>
    <w:rsid w:val="190241D6"/>
    <w:rsid w:val="19033B41"/>
    <w:rsid w:val="190A3122"/>
    <w:rsid w:val="19102702"/>
    <w:rsid w:val="191E4E1F"/>
    <w:rsid w:val="192353CE"/>
    <w:rsid w:val="19263CD4"/>
    <w:rsid w:val="193208CA"/>
    <w:rsid w:val="19353F17"/>
    <w:rsid w:val="193E4DCF"/>
    <w:rsid w:val="19481E9C"/>
    <w:rsid w:val="194F322A"/>
    <w:rsid w:val="195425EF"/>
    <w:rsid w:val="195A572B"/>
    <w:rsid w:val="196842EC"/>
    <w:rsid w:val="196F567B"/>
    <w:rsid w:val="197D274C"/>
    <w:rsid w:val="197D7D98"/>
    <w:rsid w:val="19806C86"/>
    <w:rsid w:val="198527A8"/>
    <w:rsid w:val="199E37A1"/>
    <w:rsid w:val="19A277FE"/>
    <w:rsid w:val="19B80DD0"/>
    <w:rsid w:val="19B968F6"/>
    <w:rsid w:val="19C01A32"/>
    <w:rsid w:val="19C86D79"/>
    <w:rsid w:val="19D63004"/>
    <w:rsid w:val="19D84FCE"/>
    <w:rsid w:val="19D90D46"/>
    <w:rsid w:val="19DB686C"/>
    <w:rsid w:val="19E62A47"/>
    <w:rsid w:val="19F4792E"/>
    <w:rsid w:val="19F60D02"/>
    <w:rsid w:val="19FB727A"/>
    <w:rsid w:val="1A0062D3"/>
    <w:rsid w:val="1A044015"/>
    <w:rsid w:val="1A07750E"/>
    <w:rsid w:val="1A0B59CB"/>
    <w:rsid w:val="1A0F193E"/>
    <w:rsid w:val="1A0F29BA"/>
    <w:rsid w:val="1A2B6265"/>
    <w:rsid w:val="1A3B788E"/>
    <w:rsid w:val="1A4E294D"/>
    <w:rsid w:val="1A613215"/>
    <w:rsid w:val="1A6654C7"/>
    <w:rsid w:val="1A712159"/>
    <w:rsid w:val="1A7B3BAB"/>
    <w:rsid w:val="1A83261D"/>
    <w:rsid w:val="1A8C6C9A"/>
    <w:rsid w:val="1A8E38DF"/>
    <w:rsid w:val="1A951111"/>
    <w:rsid w:val="1AB43765"/>
    <w:rsid w:val="1ACB68E1"/>
    <w:rsid w:val="1ADB7731"/>
    <w:rsid w:val="1ADE7BE6"/>
    <w:rsid w:val="1AE856E5"/>
    <w:rsid w:val="1AFF47DC"/>
    <w:rsid w:val="1B0167A6"/>
    <w:rsid w:val="1B122762"/>
    <w:rsid w:val="1B2B104C"/>
    <w:rsid w:val="1B717004"/>
    <w:rsid w:val="1B886580"/>
    <w:rsid w:val="1BB864D2"/>
    <w:rsid w:val="1BC33A5C"/>
    <w:rsid w:val="1BC7354C"/>
    <w:rsid w:val="1BCA6B98"/>
    <w:rsid w:val="1BD16179"/>
    <w:rsid w:val="1BE7774A"/>
    <w:rsid w:val="1BF9712D"/>
    <w:rsid w:val="1C0D4CD7"/>
    <w:rsid w:val="1C116575"/>
    <w:rsid w:val="1C247B7C"/>
    <w:rsid w:val="1C2E35CB"/>
    <w:rsid w:val="1C35495A"/>
    <w:rsid w:val="1C406E5A"/>
    <w:rsid w:val="1C4A202F"/>
    <w:rsid w:val="1C4E5A1B"/>
    <w:rsid w:val="1C51074A"/>
    <w:rsid w:val="1C527A49"/>
    <w:rsid w:val="1C533032"/>
    <w:rsid w:val="1C5365F7"/>
    <w:rsid w:val="1C580648"/>
    <w:rsid w:val="1C632B49"/>
    <w:rsid w:val="1C651DCF"/>
    <w:rsid w:val="1C6F14EE"/>
    <w:rsid w:val="1C8036FB"/>
    <w:rsid w:val="1C876837"/>
    <w:rsid w:val="1C877A9C"/>
    <w:rsid w:val="1C961170"/>
    <w:rsid w:val="1C9A2A0F"/>
    <w:rsid w:val="1C9C36AC"/>
    <w:rsid w:val="1CB2349F"/>
    <w:rsid w:val="1CB82E95"/>
    <w:rsid w:val="1CBF4914"/>
    <w:rsid w:val="1CC22144"/>
    <w:rsid w:val="1CC57360"/>
    <w:rsid w:val="1CCC0CBE"/>
    <w:rsid w:val="1CEB326A"/>
    <w:rsid w:val="1CFB2D49"/>
    <w:rsid w:val="1CFE20A6"/>
    <w:rsid w:val="1D0031D4"/>
    <w:rsid w:val="1D0C1DF8"/>
    <w:rsid w:val="1D0F73E4"/>
    <w:rsid w:val="1D2A0508"/>
    <w:rsid w:val="1D2A5330"/>
    <w:rsid w:val="1D2D5631"/>
    <w:rsid w:val="1D3101C4"/>
    <w:rsid w:val="1D342403"/>
    <w:rsid w:val="1D352737"/>
    <w:rsid w:val="1D385D84"/>
    <w:rsid w:val="1D44297A"/>
    <w:rsid w:val="1D507571"/>
    <w:rsid w:val="1D540E0F"/>
    <w:rsid w:val="1D597167"/>
    <w:rsid w:val="1D5A3F4C"/>
    <w:rsid w:val="1D6152DA"/>
    <w:rsid w:val="1D657227"/>
    <w:rsid w:val="1D6649CE"/>
    <w:rsid w:val="1D6A61E3"/>
    <w:rsid w:val="1D752B34"/>
    <w:rsid w:val="1D8B7972"/>
    <w:rsid w:val="1DBC69B5"/>
    <w:rsid w:val="1DC1221D"/>
    <w:rsid w:val="1DD0420E"/>
    <w:rsid w:val="1E054622"/>
    <w:rsid w:val="1E083423"/>
    <w:rsid w:val="1E196046"/>
    <w:rsid w:val="1E366767"/>
    <w:rsid w:val="1E4B69B6"/>
    <w:rsid w:val="1E4D3B9A"/>
    <w:rsid w:val="1E4E2AE5"/>
    <w:rsid w:val="1E51534F"/>
    <w:rsid w:val="1E5348E9"/>
    <w:rsid w:val="1E5A048F"/>
    <w:rsid w:val="1E5E7A6C"/>
    <w:rsid w:val="1E6C3F37"/>
    <w:rsid w:val="1E8520BE"/>
    <w:rsid w:val="1E977643"/>
    <w:rsid w:val="1EB17EC1"/>
    <w:rsid w:val="1EBA7398"/>
    <w:rsid w:val="1EE44415"/>
    <w:rsid w:val="1EF93C1B"/>
    <w:rsid w:val="1F071EB1"/>
    <w:rsid w:val="1F0D7CBA"/>
    <w:rsid w:val="1F100D66"/>
    <w:rsid w:val="1F134CFA"/>
    <w:rsid w:val="1F184345"/>
    <w:rsid w:val="1F1F544D"/>
    <w:rsid w:val="1F317149"/>
    <w:rsid w:val="1F5A46D7"/>
    <w:rsid w:val="1F64045B"/>
    <w:rsid w:val="1F7A63C7"/>
    <w:rsid w:val="1F7E6617"/>
    <w:rsid w:val="1FCB7383"/>
    <w:rsid w:val="1FEA15B7"/>
    <w:rsid w:val="1FF02946"/>
    <w:rsid w:val="200F3671"/>
    <w:rsid w:val="200F54C2"/>
    <w:rsid w:val="2020322B"/>
    <w:rsid w:val="20436F19"/>
    <w:rsid w:val="20495B8C"/>
    <w:rsid w:val="20591670"/>
    <w:rsid w:val="2063580D"/>
    <w:rsid w:val="20641C15"/>
    <w:rsid w:val="20CC33B3"/>
    <w:rsid w:val="20CC6F0F"/>
    <w:rsid w:val="20DB7AF0"/>
    <w:rsid w:val="20E57FD0"/>
    <w:rsid w:val="20EC135F"/>
    <w:rsid w:val="20FC7B08"/>
    <w:rsid w:val="21046D22"/>
    <w:rsid w:val="210668C5"/>
    <w:rsid w:val="211E4383"/>
    <w:rsid w:val="21221238"/>
    <w:rsid w:val="212C10FB"/>
    <w:rsid w:val="21327E5A"/>
    <w:rsid w:val="21336F8E"/>
    <w:rsid w:val="214B2529"/>
    <w:rsid w:val="218E68BA"/>
    <w:rsid w:val="21921F06"/>
    <w:rsid w:val="219D08AB"/>
    <w:rsid w:val="21A34113"/>
    <w:rsid w:val="21AB746C"/>
    <w:rsid w:val="21B207FA"/>
    <w:rsid w:val="21B64499"/>
    <w:rsid w:val="21BF6A73"/>
    <w:rsid w:val="21D73DBD"/>
    <w:rsid w:val="21DB1F9A"/>
    <w:rsid w:val="21E87D78"/>
    <w:rsid w:val="2219530B"/>
    <w:rsid w:val="221C3EC6"/>
    <w:rsid w:val="222B5EB7"/>
    <w:rsid w:val="22473782"/>
    <w:rsid w:val="22584BC3"/>
    <w:rsid w:val="22665141"/>
    <w:rsid w:val="22857CBD"/>
    <w:rsid w:val="228C2678"/>
    <w:rsid w:val="22A939AB"/>
    <w:rsid w:val="22C5170B"/>
    <w:rsid w:val="22CD0B6A"/>
    <w:rsid w:val="22CD6979"/>
    <w:rsid w:val="22D7693C"/>
    <w:rsid w:val="22EF5136"/>
    <w:rsid w:val="22F34C27"/>
    <w:rsid w:val="23151041"/>
    <w:rsid w:val="2318286D"/>
    <w:rsid w:val="234611FA"/>
    <w:rsid w:val="235D18FC"/>
    <w:rsid w:val="2362356F"/>
    <w:rsid w:val="23640DBF"/>
    <w:rsid w:val="237044C9"/>
    <w:rsid w:val="237613B4"/>
    <w:rsid w:val="23A91789"/>
    <w:rsid w:val="23B00D6A"/>
    <w:rsid w:val="23CE28D8"/>
    <w:rsid w:val="23D305B4"/>
    <w:rsid w:val="23DE58D7"/>
    <w:rsid w:val="23F74318"/>
    <w:rsid w:val="240B6651"/>
    <w:rsid w:val="240C58B3"/>
    <w:rsid w:val="240D17C5"/>
    <w:rsid w:val="24157B7B"/>
    <w:rsid w:val="24205937"/>
    <w:rsid w:val="244A4D1A"/>
    <w:rsid w:val="244D0366"/>
    <w:rsid w:val="245D5E0C"/>
    <w:rsid w:val="245E2574"/>
    <w:rsid w:val="24620035"/>
    <w:rsid w:val="247C6E9E"/>
    <w:rsid w:val="248A15BB"/>
    <w:rsid w:val="249146F7"/>
    <w:rsid w:val="24970AFE"/>
    <w:rsid w:val="249D7540"/>
    <w:rsid w:val="24A81A41"/>
    <w:rsid w:val="24AC7783"/>
    <w:rsid w:val="24B23B32"/>
    <w:rsid w:val="24B823E9"/>
    <w:rsid w:val="24C148B0"/>
    <w:rsid w:val="24C86E15"/>
    <w:rsid w:val="24D236F2"/>
    <w:rsid w:val="24DA5D3D"/>
    <w:rsid w:val="24DB5972"/>
    <w:rsid w:val="24E24F53"/>
    <w:rsid w:val="24F5112A"/>
    <w:rsid w:val="2500187D"/>
    <w:rsid w:val="25004CCA"/>
    <w:rsid w:val="25081576"/>
    <w:rsid w:val="25115838"/>
    <w:rsid w:val="251977F6"/>
    <w:rsid w:val="25315EDA"/>
    <w:rsid w:val="25336AFF"/>
    <w:rsid w:val="254F6853"/>
    <w:rsid w:val="255120D8"/>
    <w:rsid w:val="256406CB"/>
    <w:rsid w:val="25697422"/>
    <w:rsid w:val="257F3FCC"/>
    <w:rsid w:val="258957D0"/>
    <w:rsid w:val="25AD37B3"/>
    <w:rsid w:val="25AE74E7"/>
    <w:rsid w:val="25D86356"/>
    <w:rsid w:val="25FE400E"/>
    <w:rsid w:val="25FF62FB"/>
    <w:rsid w:val="261E020C"/>
    <w:rsid w:val="2624159B"/>
    <w:rsid w:val="263C0693"/>
    <w:rsid w:val="264164B5"/>
    <w:rsid w:val="26437C73"/>
    <w:rsid w:val="264A1001"/>
    <w:rsid w:val="264A7332"/>
    <w:rsid w:val="265118FC"/>
    <w:rsid w:val="265A320F"/>
    <w:rsid w:val="2661634B"/>
    <w:rsid w:val="267442D0"/>
    <w:rsid w:val="268169ED"/>
    <w:rsid w:val="268E2B8F"/>
    <w:rsid w:val="2693320D"/>
    <w:rsid w:val="269404CF"/>
    <w:rsid w:val="26991969"/>
    <w:rsid w:val="26AF5308"/>
    <w:rsid w:val="26C32B62"/>
    <w:rsid w:val="26D4154A"/>
    <w:rsid w:val="26E8081A"/>
    <w:rsid w:val="26F45411"/>
    <w:rsid w:val="26FE1F5C"/>
    <w:rsid w:val="270D4A7E"/>
    <w:rsid w:val="271A0808"/>
    <w:rsid w:val="271B4D0C"/>
    <w:rsid w:val="27387C95"/>
    <w:rsid w:val="27550294"/>
    <w:rsid w:val="276500BD"/>
    <w:rsid w:val="2769195B"/>
    <w:rsid w:val="27806CA5"/>
    <w:rsid w:val="27822A1D"/>
    <w:rsid w:val="278A3704"/>
    <w:rsid w:val="278E4F1E"/>
    <w:rsid w:val="279A1463"/>
    <w:rsid w:val="27B626C7"/>
    <w:rsid w:val="27B8643F"/>
    <w:rsid w:val="27BF3329"/>
    <w:rsid w:val="27C70430"/>
    <w:rsid w:val="27CB0983"/>
    <w:rsid w:val="27CC3C98"/>
    <w:rsid w:val="27CE7A10"/>
    <w:rsid w:val="27D01E16"/>
    <w:rsid w:val="27D112AE"/>
    <w:rsid w:val="27EC7E96"/>
    <w:rsid w:val="28090A48"/>
    <w:rsid w:val="28103B84"/>
    <w:rsid w:val="28153891"/>
    <w:rsid w:val="281573ED"/>
    <w:rsid w:val="281713B7"/>
    <w:rsid w:val="28305FD5"/>
    <w:rsid w:val="284B1061"/>
    <w:rsid w:val="284E7BB4"/>
    <w:rsid w:val="28506677"/>
    <w:rsid w:val="286F7C9A"/>
    <w:rsid w:val="28863197"/>
    <w:rsid w:val="28A36794"/>
    <w:rsid w:val="28A56547"/>
    <w:rsid w:val="28AC5FA3"/>
    <w:rsid w:val="28C52BC1"/>
    <w:rsid w:val="28C81457"/>
    <w:rsid w:val="28E56790"/>
    <w:rsid w:val="28EB0F55"/>
    <w:rsid w:val="28FF78C1"/>
    <w:rsid w:val="29067E73"/>
    <w:rsid w:val="29115E06"/>
    <w:rsid w:val="291C3D7C"/>
    <w:rsid w:val="293164A9"/>
    <w:rsid w:val="294F0C22"/>
    <w:rsid w:val="295201CD"/>
    <w:rsid w:val="295F55E0"/>
    <w:rsid w:val="296D3E80"/>
    <w:rsid w:val="297312C8"/>
    <w:rsid w:val="297B3F2B"/>
    <w:rsid w:val="29992827"/>
    <w:rsid w:val="29A22F02"/>
    <w:rsid w:val="29B13146"/>
    <w:rsid w:val="29DA6B40"/>
    <w:rsid w:val="29DD03DE"/>
    <w:rsid w:val="29EB0CAA"/>
    <w:rsid w:val="29EC23D0"/>
    <w:rsid w:val="29FF02EB"/>
    <w:rsid w:val="29FF2103"/>
    <w:rsid w:val="2A12373E"/>
    <w:rsid w:val="2A181417"/>
    <w:rsid w:val="2A325A2A"/>
    <w:rsid w:val="2A3829B1"/>
    <w:rsid w:val="2A3F46F3"/>
    <w:rsid w:val="2A4B17EC"/>
    <w:rsid w:val="2A4E1E0C"/>
    <w:rsid w:val="2A61715C"/>
    <w:rsid w:val="2A6301C1"/>
    <w:rsid w:val="2A675835"/>
    <w:rsid w:val="2A895E70"/>
    <w:rsid w:val="2A8A2314"/>
    <w:rsid w:val="2A91593E"/>
    <w:rsid w:val="2AAD1B5F"/>
    <w:rsid w:val="2AAF1A65"/>
    <w:rsid w:val="2AB51923"/>
    <w:rsid w:val="2AD4533E"/>
    <w:rsid w:val="2AD6263E"/>
    <w:rsid w:val="2AE5579D"/>
    <w:rsid w:val="2AF21C68"/>
    <w:rsid w:val="2AF849C9"/>
    <w:rsid w:val="2AFB6D6E"/>
    <w:rsid w:val="2B0379D1"/>
    <w:rsid w:val="2B1020EE"/>
    <w:rsid w:val="2B165956"/>
    <w:rsid w:val="2B204A27"/>
    <w:rsid w:val="2B342280"/>
    <w:rsid w:val="2B3D2BD4"/>
    <w:rsid w:val="2B40299A"/>
    <w:rsid w:val="2B4A3852"/>
    <w:rsid w:val="2B795DEE"/>
    <w:rsid w:val="2BD17ACF"/>
    <w:rsid w:val="2BE23A8A"/>
    <w:rsid w:val="2BE3706A"/>
    <w:rsid w:val="2BEB6DE3"/>
    <w:rsid w:val="2BEE3514"/>
    <w:rsid w:val="2BF33EE9"/>
    <w:rsid w:val="2C027C88"/>
    <w:rsid w:val="2C0734F1"/>
    <w:rsid w:val="2C106849"/>
    <w:rsid w:val="2C1520B2"/>
    <w:rsid w:val="2C1856FE"/>
    <w:rsid w:val="2C210A56"/>
    <w:rsid w:val="2C2E0A7D"/>
    <w:rsid w:val="2C3818FC"/>
    <w:rsid w:val="2C4554B5"/>
    <w:rsid w:val="2C622E1D"/>
    <w:rsid w:val="2C640943"/>
    <w:rsid w:val="2C6F3377"/>
    <w:rsid w:val="2C734E47"/>
    <w:rsid w:val="2C7C3EDF"/>
    <w:rsid w:val="2CB35427"/>
    <w:rsid w:val="2CD21D51"/>
    <w:rsid w:val="2CDB4EBB"/>
    <w:rsid w:val="2CDC65BC"/>
    <w:rsid w:val="2CE25959"/>
    <w:rsid w:val="2D17374A"/>
    <w:rsid w:val="2D1F71EF"/>
    <w:rsid w:val="2D3A26F8"/>
    <w:rsid w:val="2D4349FC"/>
    <w:rsid w:val="2D55050F"/>
    <w:rsid w:val="2D6D1A79"/>
    <w:rsid w:val="2D7626DC"/>
    <w:rsid w:val="2D79041E"/>
    <w:rsid w:val="2D7D607F"/>
    <w:rsid w:val="2D891041"/>
    <w:rsid w:val="2D9B65E7"/>
    <w:rsid w:val="2DAA05D8"/>
    <w:rsid w:val="2DBB4593"/>
    <w:rsid w:val="2DCE1065"/>
    <w:rsid w:val="2DD35470"/>
    <w:rsid w:val="2DDD275B"/>
    <w:rsid w:val="2DE81100"/>
    <w:rsid w:val="2E076BE8"/>
    <w:rsid w:val="2E0C4DEE"/>
    <w:rsid w:val="2E19750B"/>
    <w:rsid w:val="2E1F2D74"/>
    <w:rsid w:val="2E2E353D"/>
    <w:rsid w:val="2E3B3926"/>
    <w:rsid w:val="2E4F2F2D"/>
    <w:rsid w:val="2E5073D1"/>
    <w:rsid w:val="2E57163E"/>
    <w:rsid w:val="2E5C19DC"/>
    <w:rsid w:val="2E5E430F"/>
    <w:rsid w:val="2E64464E"/>
    <w:rsid w:val="2E6E3CFB"/>
    <w:rsid w:val="2E7C6418"/>
    <w:rsid w:val="2E9A689E"/>
    <w:rsid w:val="2EA74B17"/>
    <w:rsid w:val="2EAE5EA6"/>
    <w:rsid w:val="2EBD433B"/>
    <w:rsid w:val="2ECE1ED9"/>
    <w:rsid w:val="2EDF75F2"/>
    <w:rsid w:val="2EF7784D"/>
    <w:rsid w:val="2F087CAC"/>
    <w:rsid w:val="2F0C4CE3"/>
    <w:rsid w:val="2F1C72B3"/>
    <w:rsid w:val="2F326AD7"/>
    <w:rsid w:val="2F3738F6"/>
    <w:rsid w:val="2F3F11F4"/>
    <w:rsid w:val="2F561E0E"/>
    <w:rsid w:val="2F691389"/>
    <w:rsid w:val="2F727215"/>
    <w:rsid w:val="2F7844BF"/>
    <w:rsid w:val="2F923A19"/>
    <w:rsid w:val="2F950E14"/>
    <w:rsid w:val="2F9705A6"/>
    <w:rsid w:val="2F9A04D8"/>
    <w:rsid w:val="2F9D6E59"/>
    <w:rsid w:val="2FCB09DB"/>
    <w:rsid w:val="2FF635B8"/>
    <w:rsid w:val="2FFD70E5"/>
    <w:rsid w:val="30134B5A"/>
    <w:rsid w:val="30171AF5"/>
    <w:rsid w:val="30640F12"/>
    <w:rsid w:val="30711F3A"/>
    <w:rsid w:val="307355F9"/>
    <w:rsid w:val="307A6E68"/>
    <w:rsid w:val="307C6264"/>
    <w:rsid w:val="309733E0"/>
    <w:rsid w:val="30AC301F"/>
    <w:rsid w:val="30AF6D8F"/>
    <w:rsid w:val="30B07F14"/>
    <w:rsid w:val="30C3032E"/>
    <w:rsid w:val="30C53AB5"/>
    <w:rsid w:val="30C976F9"/>
    <w:rsid w:val="30D1550A"/>
    <w:rsid w:val="30DF616D"/>
    <w:rsid w:val="30E56588"/>
    <w:rsid w:val="30FB1EEF"/>
    <w:rsid w:val="310C3CE5"/>
    <w:rsid w:val="314A45AB"/>
    <w:rsid w:val="315D0B73"/>
    <w:rsid w:val="31612F97"/>
    <w:rsid w:val="31660CB9"/>
    <w:rsid w:val="31692558"/>
    <w:rsid w:val="31771119"/>
    <w:rsid w:val="317C228B"/>
    <w:rsid w:val="318850D4"/>
    <w:rsid w:val="31B1462B"/>
    <w:rsid w:val="31B41A25"/>
    <w:rsid w:val="31BE0AF5"/>
    <w:rsid w:val="31CB4544"/>
    <w:rsid w:val="31D200FD"/>
    <w:rsid w:val="31D40319"/>
    <w:rsid w:val="32024E86"/>
    <w:rsid w:val="321A1B4F"/>
    <w:rsid w:val="32226FF0"/>
    <w:rsid w:val="32285F6F"/>
    <w:rsid w:val="322C53BE"/>
    <w:rsid w:val="32333292"/>
    <w:rsid w:val="323B2146"/>
    <w:rsid w:val="3240150B"/>
    <w:rsid w:val="32475A13"/>
    <w:rsid w:val="32537490"/>
    <w:rsid w:val="32544FB6"/>
    <w:rsid w:val="325675ED"/>
    <w:rsid w:val="325A081E"/>
    <w:rsid w:val="32607DFF"/>
    <w:rsid w:val="326C2300"/>
    <w:rsid w:val="327A0EC0"/>
    <w:rsid w:val="328904C5"/>
    <w:rsid w:val="32917FB8"/>
    <w:rsid w:val="329269A7"/>
    <w:rsid w:val="32AA5C35"/>
    <w:rsid w:val="32B45053"/>
    <w:rsid w:val="32B53CA7"/>
    <w:rsid w:val="32CB171C"/>
    <w:rsid w:val="32D23343"/>
    <w:rsid w:val="32D52EA8"/>
    <w:rsid w:val="32EB76C8"/>
    <w:rsid w:val="32F91631"/>
    <w:rsid w:val="33035B9E"/>
    <w:rsid w:val="33044C2E"/>
    <w:rsid w:val="330462BA"/>
    <w:rsid w:val="3312040E"/>
    <w:rsid w:val="333252F7"/>
    <w:rsid w:val="33631954"/>
    <w:rsid w:val="337771AE"/>
    <w:rsid w:val="33997124"/>
    <w:rsid w:val="33A87367"/>
    <w:rsid w:val="33B43F5E"/>
    <w:rsid w:val="33DE0FDB"/>
    <w:rsid w:val="34525525"/>
    <w:rsid w:val="34525D78"/>
    <w:rsid w:val="34684D49"/>
    <w:rsid w:val="346D235F"/>
    <w:rsid w:val="34747D11"/>
    <w:rsid w:val="3490142D"/>
    <w:rsid w:val="34A75871"/>
    <w:rsid w:val="34AD40D4"/>
    <w:rsid w:val="34BD5094"/>
    <w:rsid w:val="34E73EBF"/>
    <w:rsid w:val="34E9405A"/>
    <w:rsid w:val="34EC597A"/>
    <w:rsid w:val="34FD18FD"/>
    <w:rsid w:val="350F4151"/>
    <w:rsid w:val="35133E3C"/>
    <w:rsid w:val="35150A0F"/>
    <w:rsid w:val="353115DE"/>
    <w:rsid w:val="353549C2"/>
    <w:rsid w:val="35463792"/>
    <w:rsid w:val="35685F31"/>
    <w:rsid w:val="356A774A"/>
    <w:rsid w:val="357A47F3"/>
    <w:rsid w:val="357D4824"/>
    <w:rsid w:val="3589141A"/>
    <w:rsid w:val="35907231"/>
    <w:rsid w:val="35A77AE8"/>
    <w:rsid w:val="35AD6EB7"/>
    <w:rsid w:val="35C10BB4"/>
    <w:rsid w:val="35C44201"/>
    <w:rsid w:val="35C661CB"/>
    <w:rsid w:val="35DF103A"/>
    <w:rsid w:val="35E022B4"/>
    <w:rsid w:val="35F606ED"/>
    <w:rsid w:val="35F8427D"/>
    <w:rsid w:val="35FD77AD"/>
    <w:rsid w:val="35FF7AE2"/>
    <w:rsid w:val="360B1E2F"/>
    <w:rsid w:val="360D03D3"/>
    <w:rsid w:val="360F52D6"/>
    <w:rsid w:val="361138EA"/>
    <w:rsid w:val="362C24D2"/>
    <w:rsid w:val="362F5B1E"/>
    <w:rsid w:val="36371722"/>
    <w:rsid w:val="363C023B"/>
    <w:rsid w:val="36407D2B"/>
    <w:rsid w:val="3652180C"/>
    <w:rsid w:val="36900CA6"/>
    <w:rsid w:val="36944F6F"/>
    <w:rsid w:val="36994856"/>
    <w:rsid w:val="36AE738B"/>
    <w:rsid w:val="36BA5D2F"/>
    <w:rsid w:val="36BB5604"/>
    <w:rsid w:val="36CA1CEB"/>
    <w:rsid w:val="36EA391B"/>
    <w:rsid w:val="36EB110B"/>
    <w:rsid w:val="36EF5381"/>
    <w:rsid w:val="36F823B4"/>
    <w:rsid w:val="370E607B"/>
    <w:rsid w:val="371A0D43"/>
    <w:rsid w:val="371C328C"/>
    <w:rsid w:val="3720190B"/>
    <w:rsid w:val="37204D9A"/>
    <w:rsid w:val="37425D25"/>
    <w:rsid w:val="374B653A"/>
    <w:rsid w:val="376E08C8"/>
    <w:rsid w:val="37732540"/>
    <w:rsid w:val="377759CE"/>
    <w:rsid w:val="379D33D0"/>
    <w:rsid w:val="37A662B4"/>
    <w:rsid w:val="37D72911"/>
    <w:rsid w:val="37E666B0"/>
    <w:rsid w:val="37F05781"/>
    <w:rsid w:val="37F92887"/>
    <w:rsid w:val="38170F5F"/>
    <w:rsid w:val="38190834"/>
    <w:rsid w:val="384B13D2"/>
    <w:rsid w:val="384C25B1"/>
    <w:rsid w:val="385B630D"/>
    <w:rsid w:val="38620F68"/>
    <w:rsid w:val="386817BB"/>
    <w:rsid w:val="387B14EE"/>
    <w:rsid w:val="387E2D8D"/>
    <w:rsid w:val="38A26A7B"/>
    <w:rsid w:val="38B43A85"/>
    <w:rsid w:val="38C727A6"/>
    <w:rsid w:val="38FD0155"/>
    <w:rsid w:val="390414E4"/>
    <w:rsid w:val="39083C99"/>
    <w:rsid w:val="390D4877"/>
    <w:rsid w:val="39202096"/>
    <w:rsid w:val="39262BB4"/>
    <w:rsid w:val="392C63BA"/>
    <w:rsid w:val="39423DBA"/>
    <w:rsid w:val="395319E5"/>
    <w:rsid w:val="39864AF8"/>
    <w:rsid w:val="39894E7E"/>
    <w:rsid w:val="399A1E48"/>
    <w:rsid w:val="39A700C1"/>
    <w:rsid w:val="39A71860"/>
    <w:rsid w:val="39C11A3E"/>
    <w:rsid w:val="39E92488"/>
    <w:rsid w:val="3A0379ED"/>
    <w:rsid w:val="3A0472C2"/>
    <w:rsid w:val="3A0478ED"/>
    <w:rsid w:val="3A0B630F"/>
    <w:rsid w:val="3A0E7BEE"/>
    <w:rsid w:val="3A296D28"/>
    <w:rsid w:val="3A3951BD"/>
    <w:rsid w:val="3A441396"/>
    <w:rsid w:val="3A4818A4"/>
    <w:rsid w:val="3A485400"/>
    <w:rsid w:val="3A5336F2"/>
    <w:rsid w:val="3A5913BB"/>
    <w:rsid w:val="3A5D6DD9"/>
    <w:rsid w:val="3AA53E6D"/>
    <w:rsid w:val="3AA54601"/>
    <w:rsid w:val="3AF86E26"/>
    <w:rsid w:val="3AFA0DF0"/>
    <w:rsid w:val="3AFE350C"/>
    <w:rsid w:val="3B0112DE"/>
    <w:rsid w:val="3B027CA5"/>
    <w:rsid w:val="3B0F1C42"/>
    <w:rsid w:val="3B194FEF"/>
    <w:rsid w:val="3B1B06F7"/>
    <w:rsid w:val="3B20637D"/>
    <w:rsid w:val="3B211730"/>
    <w:rsid w:val="3B2C6AD0"/>
    <w:rsid w:val="3B304812"/>
    <w:rsid w:val="3B40403F"/>
    <w:rsid w:val="3B491430"/>
    <w:rsid w:val="3B517BE8"/>
    <w:rsid w:val="3B5D4EDB"/>
    <w:rsid w:val="3B675D5A"/>
    <w:rsid w:val="3B684117"/>
    <w:rsid w:val="3B6F4C0F"/>
    <w:rsid w:val="3B7A1980"/>
    <w:rsid w:val="3B7E7663"/>
    <w:rsid w:val="3B934DA1"/>
    <w:rsid w:val="3BC44F5A"/>
    <w:rsid w:val="3BFE66BE"/>
    <w:rsid w:val="3C1F6635"/>
    <w:rsid w:val="3C2D6FA3"/>
    <w:rsid w:val="3C395948"/>
    <w:rsid w:val="3C3A6FCB"/>
    <w:rsid w:val="3C5502A8"/>
    <w:rsid w:val="3C744890"/>
    <w:rsid w:val="3C76021B"/>
    <w:rsid w:val="3C793F97"/>
    <w:rsid w:val="3C834E15"/>
    <w:rsid w:val="3C9B215F"/>
    <w:rsid w:val="3CE15331"/>
    <w:rsid w:val="3CE638AB"/>
    <w:rsid w:val="3CFB2E32"/>
    <w:rsid w:val="3D0C4E0B"/>
    <w:rsid w:val="3D167A38"/>
    <w:rsid w:val="3D4D0C83"/>
    <w:rsid w:val="3D5642D8"/>
    <w:rsid w:val="3D672041"/>
    <w:rsid w:val="3D673DEF"/>
    <w:rsid w:val="3D6A38DF"/>
    <w:rsid w:val="3D71382F"/>
    <w:rsid w:val="3D7824A0"/>
    <w:rsid w:val="3D915310"/>
    <w:rsid w:val="3D990D6A"/>
    <w:rsid w:val="3D9916CC"/>
    <w:rsid w:val="3DAE01CF"/>
    <w:rsid w:val="3DAE5E5B"/>
    <w:rsid w:val="3DB72FC9"/>
    <w:rsid w:val="3DC05072"/>
    <w:rsid w:val="3DC6320C"/>
    <w:rsid w:val="3DD65501"/>
    <w:rsid w:val="3DD82F3F"/>
    <w:rsid w:val="3E104487"/>
    <w:rsid w:val="3E3455C5"/>
    <w:rsid w:val="3E3F72C8"/>
    <w:rsid w:val="3E506F79"/>
    <w:rsid w:val="3E554590"/>
    <w:rsid w:val="3E58545E"/>
    <w:rsid w:val="3E6D3399"/>
    <w:rsid w:val="3E6D3687"/>
    <w:rsid w:val="3E75253C"/>
    <w:rsid w:val="3E80523B"/>
    <w:rsid w:val="3E9C21BE"/>
    <w:rsid w:val="3EDC25BB"/>
    <w:rsid w:val="3EE26F73"/>
    <w:rsid w:val="3F2B7977"/>
    <w:rsid w:val="3F2D0BCF"/>
    <w:rsid w:val="3F32667F"/>
    <w:rsid w:val="3F327A47"/>
    <w:rsid w:val="3F485313"/>
    <w:rsid w:val="3F512FA9"/>
    <w:rsid w:val="3F552F97"/>
    <w:rsid w:val="3F566811"/>
    <w:rsid w:val="3F5C54AA"/>
    <w:rsid w:val="3F6251B6"/>
    <w:rsid w:val="3F724CCD"/>
    <w:rsid w:val="3F8B74A4"/>
    <w:rsid w:val="3F9F5A84"/>
    <w:rsid w:val="3FA44527"/>
    <w:rsid w:val="3FA550A3"/>
    <w:rsid w:val="3FAC6431"/>
    <w:rsid w:val="3FC76DC7"/>
    <w:rsid w:val="3FCC262F"/>
    <w:rsid w:val="3FCC6AD3"/>
    <w:rsid w:val="3FD61700"/>
    <w:rsid w:val="3FD85478"/>
    <w:rsid w:val="3FE80B0B"/>
    <w:rsid w:val="400B3158"/>
    <w:rsid w:val="400C5122"/>
    <w:rsid w:val="40104C12"/>
    <w:rsid w:val="40112738"/>
    <w:rsid w:val="402B42A6"/>
    <w:rsid w:val="403143D0"/>
    <w:rsid w:val="405F5EB3"/>
    <w:rsid w:val="40662A84"/>
    <w:rsid w:val="406811F6"/>
    <w:rsid w:val="40784565"/>
    <w:rsid w:val="407B07AE"/>
    <w:rsid w:val="407C4056"/>
    <w:rsid w:val="40A75DF2"/>
    <w:rsid w:val="40B76108"/>
    <w:rsid w:val="40BA4B7E"/>
    <w:rsid w:val="40BE5373"/>
    <w:rsid w:val="40C1415E"/>
    <w:rsid w:val="40D10EE1"/>
    <w:rsid w:val="40EB2F89"/>
    <w:rsid w:val="40FE2CBD"/>
    <w:rsid w:val="410A42CF"/>
    <w:rsid w:val="410C362B"/>
    <w:rsid w:val="410D4CAE"/>
    <w:rsid w:val="4110479E"/>
    <w:rsid w:val="41263DF8"/>
    <w:rsid w:val="412A1D04"/>
    <w:rsid w:val="412B2615"/>
    <w:rsid w:val="41315907"/>
    <w:rsid w:val="41391A24"/>
    <w:rsid w:val="41391F47"/>
    <w:rsid w:val="413E755D"/>
    <w:rsid w:val="414D49EE"/>
    <w:rsid w:val="41547ED1"/>
    <w:rsid w:val="41556B9A"/>
    <w:rsid w:val="4159130B"/>
    <w:rsid w:val="416074D3"/>
    <w:rsid w:val="4166422E"/>
    <w:rsid w:val="416F7716"/>
    <w:rsid w:val="41755F54"/>
    <w:rsid w:val="41B415CD"/>
    <w:rsid w:val="41BF069E"/>
    <w:rsid w:val="41F629D8"/>
    <w:rsid w:val="41F70C2B"/>
    <w:rsid w:val="420626EA"/>
    <w:rsid w:val="42083B1B"/>
    <w:rsid w:val="42117225"/>
    <w:rsid w:val="42134882"/>
    <w:rsid w:val="422732F2"/>
    <w:rsid w:val="422875BA"/>
    <w:rsid w:val="424010B3"/>
    <w:rsid w:val="425012F6"/>
    <w:rsid w:val="426A3C06"/>
    <w:rsid w:val="427B6BE4"/>
    <w:rsid w:val="42870A90"/>
    <w:rsid w:val="42944FE6"/>
    <w:rsid w:val="429C453B"/>
    <w:rsid w:val="42AD499A"/>
    <w:rsid w:val="42AF2684"/>
    <w:rsid w:val="42BC4BDD"/>
    <w:rsid w:val="42D00689"/>
    <w:rsid w:val="42D812EB"/>
    <w:rsid w:val="42FC322C"/>
    <w:rsid w:val="430B7913"/>
    <w:rsid w:val="43305BFF"/>
    <w:rsid w:val="433B65C2"/>
    <w:rsid w:val="433F136A"/>
    <w:rsid w:val="43413334"/>
    <w:rsid w:val="43496BE1"/>
    <w:rsid w:val="43643AB0"/>
    <w:rsid w:val="43931DE2"/>
    <w:rsid w:val="43AC6A00"/>
    <w:rsid w:val="43B65AD0"/>
    <w:rsid w:val="43BD3FA9"/>
    <w:rsid w:val="43C04259"/>
    <w:rsid w:val="43C73BDB"/>
    <w:rsid w:val="43DE2931"/>
    <w:rsid w:val="43E75C8A"/>
    <w:rsid w:val="43F3462F"/>
    <w:rsid w:val="440747E2"/>
    <w:rsid w:val="44092FC5"/>
    <w:rsid w:val="440F51E1"/>
    <w:rsid w:val="4413082D"/>
    <w:rsid w:val="4413477E"/>
    <w:rsid w:val="441B1DD7"/>
    <w:rsid w:val="442C7B41"/>
    <w:rsid w:val="443A04B0"/>
    <w:rsid w:val="443A0545"/>
    <w:rsid w:val="444E6532"/>
    <w:rsid w:val="4471176E"/>
    <w:rsid w:val="44775260"/>
    <w:rsid w:val="448E25A9"/>
    <w:rsid w:val="4493196E"/>
    <w:rsid w:val="44A973E3"/>
    <w:rsid w:val="44C64DE1"/>
    <w:rsid w:val="44CC4B24"/>
    <w:rsid w:val="44D22496"/>
    <w:rsid w:val="44D3620E"/>
    <w:rsid w:val="44D5107B"/>
    <w:rsid w:val="44E421C9"/>
    <w:rsid w:val="44E64193"/>
    <w:rsid w:val="44F92119"/>
    <w:rsid w:val="44FD5363"/>
    <w:rsid w:val="4505499C"/>
    <w:rsid w:val="450D7972"/>
    <w:rsid w:val="451900C5"/>
    <w:rsid w:val="45280308"/>
    <w:rsid w:val="455530C7"/>
    <w:rsid w:val="456450B8"/>
    <w:rsid w:val="457C68A6"/>
    <w:rsid w:val="459401E5"/>
    <w:rsid w:val="45A007E6"/>
    <w:rsid w:val="45A32084"/>
    <w:rsid w:val="45AC0F39"/>
    <w:rsid w:val="45CA13BF"/>
    <w:rsid w:val="45E55ABB"/>
    <w:rsid w:val="45EB79E8"/>
    <w:rsid w:val="45F823D0"/>
    <w:rsid w:val="460074D7"/>
    <w:rsid w:val="461104A1"/>
    <w:rsid w:val="461E5ECC"/>
    <w:rsid w:val="462907DC"/>
    <w:rsid w:val="462B3DA9"/>
    <w:rsid w:val="462E7BA0"/>
    <w:rsid w:val="46462D05"/>
    <w:rsid w:val="464E0A21"/>
    <w:rsid w:val="465614A2"/>
    <w:rsid w:val="46787068"/>
    <w:rsid w:val="46873754"/>
    <w:rsid w:val="4691012F"/>
    <w:rsid w:val="46B856BC"/>
    <w:rsid w:val="46DB30D4"/>
    <w:rsid w:val="46E1275C"/>
    <w:rsid w:val="47046B53"/>
    <w:rsid w:val="47047DD0"/>
    <w:rsid w:val="470C4C67"/>
    <w:rsid w:val="470E1780"/>
    <w:rsid w:val="471C0962"/>
    <w:rsid w:val="472116D5"/>
    <w:rsid w:val="476E08C4"/>
    <w:rsid w:val="47705F96"/>
    <w:rsid w:val="477912EF"/>
    <w:rsid w:val="477C07C1"/>
    <w:rsid w:val="477E09F4"/>
    <w:rsid w:val="478005D2"/>
    <w:rsid w:val="478704A5"/>
    <w:rsid w:val="47914445"/>
    <w:rsid w:val="47940724"/>
    <w:rsid w:val="479779C7"/>
    <w:rsid w:val="47B9793D"/>
    <w:rsid w:val="47C307BC"/>
    <w:rsid w:val="47C34360"/>
    <w:rsid w:val="47CC58C3"/>
    <w:rsid w:val="47EF15B1"/>
    <w:rsid w:val="47F2289B"/>
    <w:rsid w:val="47F6293F"/>
    <w:rsid w:val="48026F58"/>
    <w:rsid w:val="482E20D9"/>
    <w:rsid w:val="482F19AD"/>
    <w:rsid w:val="48433362"/>
    <w:rsid w:val="48490851"/>
    <w:rsid w:val="484A124D"/>
    <w:rsid w:val="484C6A03"/>
    <w:rsid w:val="485C23FD"/>
    <w:rsid w:val="48855A71"/>
    <w:rsid w:val="488C1901"/>
    <w:rsid w:val="4893018E"/>
    <w:rsid w:val="48CE566A"/>
    <w:rsid w:val="48D03190"/>
    <w:rsid w:val="48DA400F"/>
    <w:rsid w:val="48F36E7F"/>
    <w:rsid w:val="4904108C"/>
    <w:rsid w:val="49043360"/>
    <w:rsid w:val="49064E04"/>
    <w:rsid w:val="49116B33"/>
    <w:rsid w:val="49155047"/>
    <w:rsid w:val="49156DF5"/>
    <w:rsid w:val="49180694"/>
    <w:rsid w:val="491F1A22"/>
    <w:rsid w:val="4921579A"/>
    <w:rsid w:val="49274589"/>
    <w:rsid w:val="493C3634"/>
    <w:rsid w:val="49441489"/>
    <w:rsid w:val="494616A5"/>
    <w:rsid w:val="494B26E8"/>
    <w:rsid w:val="495D2158"/>
    <w:rsid w:val="49627B61"/>
    <w:rsid w:val="496D4E83"/>
    <w:rsid w:val="49867CF3"/>
    <w:rsid w:val="499A72FA"/>
    <w:rsid w:val="49A85EBB"/>
    <w:rsid w:val="49B605D8"/>
    <w:rsid w:val="49B83FC7"/>
    <w:rsid w:val="49E04914"/>
    <w:rsid w:val="4A08139E"/>
    <w:rsid w:val="4A092A12"/>
    <w:rsid w:val="4A136EB3"/>
    <w:rsid w:val="4A162E25"/>
    <w:rsid w:val="4A1E7F2C"/>
    <w:rsid w:val="4A205A52"/>
    <w:rsid w:val="4A4060F4"/>
    <w:rsid w:val="4A5D5D84"/>
    <w:rsid w:val="4A735A25"/>
    <w:rsid w:val="4A77763C"/>
    <w:rsid w:val="4A7933B4"/>
    <w:rsid w:val="4A7A2E94"/>
    <w:rsid w:val="4A867549"/>
    <w:rsid w:val="4A91110C"/>
    <w:rsid w:val="4A9621B8"/>
    <w:rsid w:val="4AB12B4E"/>
    <w:rsid w:val="4ABA1D88"/>
    <w:rsid w:val="4ABA5EA6"/>
    <w:rsid w:val="4ABE526B"/>
    <w:rsid w:val="4AEE3DA2"/>
    <w:rsid w:val="4AFA4B39"/>
    <w:rsid w:val="4B005D50"/>
    <w:rsid w:val="4B1871BC"/>
    <w:rsid w:val="4B221372"/>
    <w:rsid w:val="4B35377F"/>
    <w:rsid w:val="4B7D0C82"/>
    <w:rsid w:val="4B8E2E8F"/>
    <w:rsid w:val="4BCD7E5B"/>
    <w:rsid w:val="4BD05255"/>
    <w:rsid w:val="4BD44D46"/>
    <w:rsid w:val="4BF058F8"/>
    <w:rsid w:val="4BF453E8"/>
    <w:rsid w:val="4BFA22D2"/>
    <w:rsid w:val="4C041850"/>
    <w:rsid w:val="4C0F3FD0"/>
    <w:rsid w:val="4C143394"/>
    <w:rsid w:val="4C1E33E1"/>
    <w:rsid w:val="4C211F55"/>
    <w:rsid w:val="4C286E40"/>
    <w:rsid w:val="4C2B6930"/>
    <w:rsid w:val="4C46376A"/>
    <w:rsid w:val="4C7622A1"/>
    <w:rsid w:val="4C7D53DD"/>
    <w:rsid w:val="4C8C2F4B"/>
    <w:rsid w:val="4C8F6EBF"/>
    <w:rsid w:val="4C995F8F"/>
    <w:rsid w:val="4CBA03DF"/>
    <w:rsid w:val="4CC26B60"/>
    <w:rsid w:val="4CC51444"/>
    <w:rsid w:val="4CF5766A"/>
    <w:rsid w:val="4CFF2296"/>
    <w:rsid w:val="4D295043"/>
    <w:rsid w:val="4D357A66"/>
    <w:rsid w:val="4D3B0DF4"/>
    <w:rsid w:val="4D5A6798"/>
    <w:rsid w:val="4D617968"/>
    <w:rsid w:val="4D7C3D77"/>
    <w:rsid w:val="4D7F33D7"/>
    <w:rsid w:val="4D9F6625"/>
    <w:rsid w:val="4DAA5676"/>
    <w:rsid w:val="4DB56DF9"/>
    <w:rsid w:val="4DCE0FF5"/>
    <w:rsid w:val="4DCE1C69"/>
    <w:rsid w:val="4DD244CC"/>
    <w:rsid w:val="4DDC00F8"/>
    <w:rsid w:val="4DF25957"/>
    <w:rsid w:val="4DF50EB9"/>
    <w:rsid w:val="4DF53699"/>
    <w:rsid w:val="4DFC4DD4"/>
    <w:rsid w:val="4E1F4272"/>
    <w:rsid w:val="4E2D342F"/>
    <w:rsid w:val="4E4E286F"/>
    <w:rsid w:val="4E500E4D"/>
    <w:rsid w:val="4E531A99"/>
    <w:rsid w:val="4E563D27"/>
    <w:rsid w:val="4E600B13"/>
    <w:rsid w:val="4E7F6795"/>
    <w:rsid w:val="4E8F764A"/>
    <w:rsid w:val="4E964534"/>
    <w:rsid w:val="4E971F39"/>
    <w:rsid w:val="4EB86BA1"/>
    <w:rsid w:val="4EB87862"/>
    <w:rsid w:val="4EC44363"/>
    <w:rsid w:val="4EE447EF"/>
    <w:rsid w:val="4F0C2A48"/>
    <w:rsid w:val="4F0F42D2"/>
    <w:rsid w:val="4F1B342E"/>
    <w:rsid w:val="4F1F09CE"/>
    <w:rsid w:val="4F2002A2"/>
    <w:rsid w:val="4F343D4D"/>
    <w:rsid w:val="4F3F4BCC"/>
    <w:rsid w:val="4F4F2935"/>
    <w:rsid w:val="4F5A37B4"/>
    <w:rsid w:val="4F710AFD"/>
    <w:rsid w:val="4F730D1A"/>
    <w:rsid w:val="4F754CCD"/>
    <w:rsid w:val="4F7A20A8"/>
    <w:rsid w:val="4F950C90"/>
    <w:rsid w:val="4FB355BA"/>
    <w:rsid w:val="4FBC69F6"/>
    <w:rsid w:val="4FE34F30"/>
    <w:rsid w:val="4FE43BBE"/>
    <w:rsid w:val="4FE66E49"/>
    <w:rsid w:val="4FFA6D45"/>
    <w:rsid w:val="500E459E"/>
    <w:rsid w:val="501317AD"/>
    <w:rsid w:val="502733DA"/>
    <w:rsid w:val="502B6EFE"/>
    <w:rsid w:val="502F2E92"/>
    <w:rsid w:val="50304C42"/>
    <w:rsid w:val="5049110A"/>
    <w:rsid w:val="50603B73"/>
    <w:rsid w:val="50724B2D"/>
    <w:rsid w:val="50900A44"/>
    <w:rsid w:val="50A53155"/>
    <w:rsid w:val="50B05655"/>
    <w:rsid w:val="50B26176"/>
    <w:rsid w:val="50C03E31"/>
    <w:rsid w:val="50E61390"/>
    <w:rsid w:val="50EF3A8F"/>
    <w:rsid w:val="50F73284"/>
    <w:rsid w:val="50FC089B"/>
    <w:rsid w:val="5124272E"/>
    <w:rsid w:val="512651A9"/>
    <w:rsid w:val="51273B6A"/>
    <w:rsid w:val="51450494"/>
    <w:rsid w:val="51616E44"/>
    <w:rsid w:val="51776A24"/>
    <w:rsid w:val="517B555A"/>
    <w:rsid w:val="519805C3"/>
    <w:rsid w:val="51BD257C"/>
    <w:rsid w:val="51C12734"/>
    <w:rsid w:val="51C25640"/>
    <w:rsid w:val="51D50DD6"/>
    <w:rsid w:val="51D67C84"/>
    <w:rsid w:val="51D91BC0"/>
    <w:rsid w:val="51DC62B7"/>
    <w:rsid w:val="51DD691E"/>
    <w:rsid w:val="51DE34AA"/>
    <w:rsid w:val="51EE28D9"/>
    <w:rsid w:val="51F83758"/>
    <w:rsid w:val="51FE136D"/>
    <w:rsid w:val="52007E97"/>
    <w:rsid w:val="52326C6A"/>
    <w:rsid w:val="524845FC"/>
    <w:rsid w:val="52854FEC"/>
    <w:rsid w:val="5288688A"/>
    <w:rsid w:val="52927709"/>
    <w:rsid w:val="52AB2D82"/>
    <w:rsid w:val="52C804AE"/>
    <w:rsid w:val="52CD6993"/>
    <w:rsid w:val="53157CCA"/>
    <w:rsid w:val="531A7224"/>
    <w:rsid w:val="5322283B"/>
    <w:rsid w:val="532F37CD"/>
    <w:rsid w:val="533B0F69"/>
    <w:rsid w:val="53426F62"/>
    <w:rsid w:val="53467F85"/>
    <w:rsid w:val="53560736"/>
    <w:rsid w:val="535E7D50"/>
    <w:rsid w:val="536525AD"/>
    <w:rsid w:val="536C40B1"/>
    <w:rsid w:val="537B6350"/>
    <w:rsid w:val="5382152B"/>
    <w:rsid w:val="5386726D"/>
    <w:rsid w:val="53AC47FA"/>
    <w:rsid w:val="53D33233"/>
    <w:rsid w:val="53DC50DF"/>
    <w:rsid w:val="53E775E0"/>
    <w:rsid w:val="53E86827"/>
    <w:rsid w:val="53EB5322"/>
    <w:rsid w:val="53ED0594"/>
    <w:rsid w:val="541D7EE5"/>
    <w:rsid w:val="5428027A"/>
    <w:rsid w:val="542F7A11"/>
    <w:rsid w:val="545033D7"/>
    <w:rsid w:val="54510421"/>
    <w:rsid w:val="5458228C"/>
    <w:rsid w:val="545A6004"/>
    <w:rsid w:val="54814F3D"/>
    <w:rsid w:val="548F548F"/>
    <w:rsid w:val="54A23691"/>
    <w:rsid w:val="54C13E4A"/>
    <w:rsid w:val="54C811C0"/>
    <w:rsid w:val="54CB0CB0"/>
    <w:rsid w:val="54EE5117"/>
    <w:rsid w:val="54EF2BF0"/>
    <w:rsid w:val="54F14BBA"/>
    <w:rsid w:val="54F226E1"/>
    <w:rsid w:val="55376345"/>
    <w:rsid w:val="55387A47"/>
    <w:rsid w:val="554518EE"/>
    <w:rsid w:val="5552317F"/>
    <w:rsid w:val="55766CF9"/>
    <w:rsid w:val="55812CCA"/>
    <w:rsid w:val="55821CB6"/>
    <w:rsid w:val="558C7F55"/>
    <w:rsid w:val="559425D1"/>
    <w:rsid w:val="559B2D78"/>
    <w:rsid w:val="55B1434A"/>
    <w:rsid w:val="55B71E49"/>
    <w:rsid w:val="55D6790C"/>
    <w:rsid w:val="56044479"/>
    <w:rsid w:val="561B7187"/>
    <w:rsid w:val="561C7050"/>
    <w:rsid w:val="56350AD7"/>
    <w:rsid w:val="5637484F"/>
    <w:rsid w:val="563C3C23"/>
    <w:rsid w:val="56453D14"/>
    <w:rsid w:val="564D0B7F"/>
    <w:rsid w:val="565C205C"/>
    <w:rsid w:val="565D1DDC"/>
    <w:rsid w:val="56725887"/>
    <w:rsid w:val="567D18C7"/>
    <w:rsid w:val="56941CA1"/>
    <w:rsid w:val="56BE0ACC"/>
    <w:rsid w:val="56D71B8E"/>
    <w:rsid w:val="56DD5CC1"/>
    <w:rsid w:val="56F269C8"/>
    <w:rsid w:val="56FA1A36"/>
    <w:rsid w:val="5702376B"/>
    <w:rsid w:val="571C57F3"/>
    <w:rsid w:val="572C3252"/>
    <w:rsid w:val="57340D8E"/>
    <w:rsid w:val="573B036F"/>
    <w:rsid w:val="576D1111"/>
    <w:rsid w:val="576D3571"/>
    <w:rsid w:val="576F626A"/>
    <w:rsid w:val="57711FE2"/>
    <w:rsid w:val="57873A2D"/>
    <w:rsid w:val="57BB500C"/>
    <w:rsid w:val="57BD0D84"/>
    <w:rsid w:val="57CB1A75"/>
    <w:rsid w:val="57E24C8E"/>
    <w:rsid w:val="57E37633"/>
    <w:rsid w:val="57EC655A"/>
    <w:rsid w:val="58005114"/>
    <w:rsid w:val="5805272B"/>
    <w:rsid w:val="580C394F"/>
    <w:rsid w:val="581B3CFC"/>
    <w:rsid w:val="582E3A30"/>
    <w:rsid w:val="58332132"/>
    <w:rsid w:val="58382B00"/>
    <w:rsid w:val="583A0626"/>
    <w:rsid w:val="585C4CB9"/>
    <w:rsid w:val="58694A68"/>
    <w:rsid w:val="586C27AA"/>
    <w:rsid w:val="587020E4"/>
    <w:rsid w:val="58A92235"/>
    <w:rsid w:val="58AC4CBD"/>
    <w:rsid w:val="58BE3005"/>
    <w:rsid w:val="58BF0B2C"/>
    <w:rsid w:val="58BF12E6"/>
    <w:rsid w:val="58C61EBA"/>
    <w:rsid w:val="58D81600"/>
    <w:rsid w:val="58DE5456"/>
    <w:rsid w:val="58F67150"/>
    <w:rsid w:val="593B28A8"/>
    <w:rsid w:val="59411541"/>
    <w:rsid w:val="5943175D"/>
    <w:rsid w:val="594F7185"/>
    <w:rsid w:val="595B0854"/>
    <w:rsid w:val="595B6AA6"/>
    <w:rsid w:val="59603AB5"/>
    <w:rsid w:val="59723DF0"/>
    <w:rsid w:val="597C6A1D"/>
    <w:rsid w:val="59821704"/>
    <w:rsid w:val="59866ADE"/>
    <w:rsid w:val="599F75DE"/>
    <w:rsid w:val="59B47F65"/>
    <w:rsid w:val="59BD2AD9"/>
    <w:rsid w:val="59DE3DEE"/>
    <w:rsid w:val="59E22D24"/>
    <w:rsid w:val="5A0C0D95"/>
    <w:rsid w:val="5A160282"/>
    <w:rsid w:val="5A364E1D"/>
    <w:rsid w:val="5A39634B"/>
    <w:rsid w:val="5A407A4A"/>
    <w:rsid w:val="5A440B56"/>
    <w:rsid w:val="5A7C4F26"/>
    <w:rsid w:val="5A7D4E37"/>
    <w:rsid w:val="5A8550FA"/>
    <w:rsid w:val="5A9E48C1"/>
    <w:rsid w:val="5AC00150"/>
    <w:rsid w:val="5AC876C0"/>
    <w:rsid w:val="5ADC38B9"/>
    <w:rsid w:val="5AE605F2"/>
    <w:rsid w:val="5AE969BB"/>
    <w:rsid w:val="5AF26F96"/>
    <w:rsid w:val="5AF30F60"/>
    <w:rsid w:val="5AF80325"/>
    <w:rsid w:val="5B0B1E06"/>
    <w:rsid w:val="5B101B12"/>
    <w:rsid w:val="5B152C85"/>
    <w:rsid w:val="5B266C40"/>
    <w:rsid w:val="5B4009A5"/>
    <w:rsid w:val="5B43290D"/>
    <w:rsid w:val="5B500161"/>
    <w:rsid w:val="5B58089C"/>
    <w:rsid w:val="5B5C38DA"/>
    <w:rsid w:val="5B6D0D13"/>
    <w:rsid w:val="5B6D2AC1"/>
    <w:rsid w:val="5B6E7F47"/>
    <w:rsid w:val="5B836AC8"/>
    <w:rsid w:val="5BAD2CD9"/>
    <w:rsid w:val="5BC6626E"/>
    <w:rsid w:val="5BCA7F13"/>
    <w:rsid w:val="5BE56AFB"/>
    <w:rsid w:val="5BE70178"/>
    <w:rsid w:val="5BF16D20"/>
    <w:rsid w:val="5C050310"/>
    <w:rsid w:val="5C147195"/>
    <w:rsid w:val="5C1D572C"/>
    <w:rsid w:val="5C292E8C"/>
    <w:rsid w:val="5C2A2760"/>
    <w:rsid w:val="5C441A74"/>
    <w:rsid w:val="5C471564"/>
    <w:rsid w:val="5C4A4BB0"/>
    <w:rsid w:val="5C62014C"/>
    <w:rsid w:val="5C6519EA"/>
    <w:rsid w:val="5C6C2D78"/>
    <w:rsid w:val="5C7A203B"/>
    <w:rsid w:val="5C7A36E7"/>
    <w:rsid w:val="5C8125F9"/>
    <w:rsid w:val="5C814A76"/>
    <w:rsid w:val="5CA50038"/>
    <w:rsid w:val="5CBC7198"/>
    <w:rsid w:val="5CBF10FA"/>
    <w:rsid w:val="5CD53EC1"/>
    <w:rsid w:val="5CE77D3C"/>
    <w:rsid w:val="5D1E0517"/>
    <w:rsid w:val="5D3F223B"/>
    <w:rsid w:val="5D417D61"/>
    <w:rsid w:val="5D64647F"/>
    <w:rsid w:val="5D6501A3"/>
    <w:rsid w:val="5D9D1469"/>
    <w:rsid w:val="5DA16A52"/>
    <w:rsid w:val="5DAE6832"/>
    <w:rsid w:val="5DB85D73"/>
    <w:rsid w:val="5DC15346"/>
    <w:rsid w:val="5DD12DA4"/>
    <w:rsid w:val="5DED2F6F"/>
    <w:rsid w:val="5DF31BF6"/>
    <w:rsid w:val="5DFF04E8"/>
    <w:rsid w:val="5E196220"/>
    <w:rsid w:val="5E1E4319"/>
    <w:rsid w:val="5E227B93"/>
    <w:rsid w:val="5E5F0DE7"/>
    <w:rsid w:val="5E6324D6"/>
    <w:rsid w:val="5E641D4A"/>
    <w:rsid w:val="5E652175"/>
    <w:rsid w:val="5E6F6B77"/>
    <w:rsid w:val="5E714AFD"/>
    <w:rsid w:val="5E7B3747"/>
    <w:rsid w:val="5E861E55"/>
    <w:rsid w:val="5E9D3BBE"/>
    <w:rsid w:val="5EB34C8F"/>
    <w:rsid w:val="5EBF1885"/>
    <w:rsid w:val="5EC4727E"/>
    <w:rsid w:val="5ED6097D"/>
    <w:rsid w:val="5EE70DDC"/>
    <w:rsid w:val="5F134523"/>
    <w:rsid w:val="5F372B2D"/>
    <w:rsid w:val="5F4D50E3"/>
    <w:rsid w:val="5F681F1D"/>
    <w:rsid w:val="5F915261"/>
    <w:rsid w:val="5F93686E"/>
    <w:rsid w:val="5F993E84"/>
    <w:rsid w:val="5FAB005C"/>
    <w:rsid w:val="5FB92779"/>
    <w:rsid w:val="5FC07E13"/>
    <w:rsid w:val="5FD4310E"/>
    <w:rsid w:val="5FDD6CEA"/>
    <w:rsid w:val="6005776C"/>
    <w:rsid w:val="60147A5C"/>
    <w:rsid w:val="60432042"/>
    <w:rsid w:val="60593614"/>
    <w:rsid w:val="60602BF4"/>
    <w:rsid w:val="60624BBE"/>
    <w:rsid w:val="60681AA9"/>
    <w:rsid w:val="6085124A"/>
    <w:rsid w:val="6094614B"/>
    <w:rsid w:val="60AC5E39"/>
    <w:rsid w:val="60CF38D6"/>
    <w:rsid w:val="6129666D"/>
    <w:rsid w:val="612F6A32"/>
    <w:rsid w:val="61412A26"/>
    <w:rsid w:val="61572FDD"/>
    <w:rsid w:val="61573FF7"/>
    <w:rsid w:val="615821B1"/>
    <w:rsid w:val="61930DA7"/>
    <w:rsid w:val="61A27402"/>
    <w:rsid w:val="61F06395"/>
    <w:rsid w:val="61FF439B"/>
    <w:rsid w:val="61FF668E"/>
    <w:rsid w:val="620405AE"/>
    <w:rsid w:val="620A72BB"/>
    <w:rsid w:val="62284EDF"/>
    <w:rsid w:val="623205C0"/>
    <w:rsid w:val="623E51B7"/>
    <w:rsid w:val="623F0C3F"/>
    <w:rsid w:val="624D53FA"/>
    <w:rsid w:val="62571DD5"/>
    <w:rsid w:val="625D412A"/>
    <w:rsid w:val="625E7607"/>
    <w:rsid w:val="627110E9"/>
    <w:rsid w:val="62A22A16"/>
    <w:rsid w:val="62CA25A7"/>
    <w:rsid w:val="62EC4C13"/>
    <w:rsid w:val="62EC6305"/>
    <w:rsid w:val="63135E6A"/>
    <w:rsid w:val="6320666B"/>
    <w:rsid w:val="632117EE"/>
    <w:rsid w:val="63251ED3"/>
    <w:rsid w:val="63260125"/>
    <w:rsid w:val="633930EA"/>
    <w:rsid w:val="63417865"/>
    <w:rsid w:val="635B58F5"/>
    <w:rsid w:val="635D78BF"/>
    <w:rsid w:val="63650E7B"/>
    <w:rsid w:val="63817018"/>
    <w:rsid w:val="639037F0"/>
    <w:rsid w:val="63927568"/>
    <w:rsid w:val="63957059"/>
    <w:rsid w:val="639C0C65"/>
    <w:rsid w:val="63AE3C76"/>
    <w:rsid w:val="63B03E93"/>
    <w:rsid w:val="63BA086D"/>
    <w:rsid w:val="63E17BF6"/>
    <w:rsid w:val="63E458EA"/>
    <w:rsid w:val="63FF2724"/>
    <w:rsid w:val="640202B0"/>
    <w:rsid w:val="6408782B"/>
    <w:rsid w:val="640B10C9"/>
    <w:rsid w:val="64144421"/>
    <w:rsid w:val="6417181C"/>
    <w:rsid w:val="64191A38"/>
    <w:rsid w:val="641A7B59"/>
    <w:rsid w:val="642F125B"/>
    <w:rsid w:val="644D348F"/>
    <w:rsid w:val="6456548C"/>
    <w:rsid w:val="646003B3"/>
    <w:rsid w:val="64771E53"/>
    <w:rsid w:val="64833355"/>
    <w:rsid w:val="64962150"/>
    <w:rsid w:val="64A77044"/>
    <w:rsid w:val="64A925D9"/>
    <w:rsid w:val="64AD2180"/>
    <w:rsid w:val="64C319A4"/>
    <w:rsid w:val="64CC5391"/>
    <w:rsid w:val="64CF200D"/>
    <w:rsid w:val="64D81264"/>
    <w:rsid w:val="64DF17AA"/>
    <w:rsid w:val="64E36803"/>
    <w:rsid w:val="65053C20"/>
    <w:rsid w:val="65090005"/>
    <w:rsid w:val="651B0262"/>
    <w:rsid w:val="654E1DF7"/>
    <w:rsid w:val="655A2308"/>
    <w:rsid w:val="655D22A1"/>
    <w:rsid w:val="65624D19"/>
    <w:rsid w:val="656D2417"/>
    <w:rsid w:val="65717652"/>
    <w:rsid w:val="657B5DDA"/>
    <w:rsid w:val="65895139"/>
    <w:rsid w:val="658A024A"/>
    <w:rsid w:val="658B0713"/>
    <w:rsid w:val="658C6239"/>
    <w:rsid w:val="65901886"/>
    <w:rsid w:val="659770B8"/>
    <w:rsid w:val="65A73484"/>
    <w:rsid w:val="65C23A09"/>
    <w:rsid w:val="65C6174B"/>
    <w:rsid w:val="65C71020"/>
    <w:rsid w:val="65C85C1B"/>
    <w:rsid w:val="65D26342"/>
    <w:rsid w:val="65D379C4"/>
    <w:rsid w:val="65D54C1A"/>
    <w:rsid w:val="65FE7137"/>
    <w:rsid w:val="66067D9A"/>
    <w:rsid w:val="66287D10"/>
    <w:rsid w:val="663743F7"/>
    <w:rsid w:val="665705F5"/>
    <w:rsid w:val="66611474"/>
    <w:rsid w:val="66636F9A"/>
    <w:rsid w:val="669015B7"/>
    <w:rsid w:val="66CE21EB"/>
    <w:rsid w:val="66D427BF"/>
    <w:rsid w:val="66D81D68"/>
    <w:rsid w:val="66EC6F90"/>
    <w:rsid w:val="670E33AA"/>
    <w:rsid w:val="671415A8"/>
    <w:rsid w:val="6716381C"/>
    <w:rsid w:val="6735666F"/>
    <w:rsid w:val="673651AD"/>
    <w:rsid w:val="673B702D"/>
    <w:rsid w:val="677376B1"/>
    <w:rsid w:val="67881D7C"/>
    <w:rsid w:val="67933BF7"/>
    <w:rsid w:val="679460B8"/>
    <w:rsid w:val="6796351C"/>
    <w:rsid w:val="67A1421E"/>
    <w:rsid w:val="67A6089D"/>
    <w:rsid w:val="67BA097C"/>
    <w:rsid w:val="67C9378E"/>
    <w:rsid w:val="67DF08A2"/>
    <w:rsid w:val="67E265E5"/>
    <w:rsid w:val="67FA1B80"/>
    <w:rsid w:val="68055D20"/>
    <w:rsid w:val="68071BA7"/>
    <w:rsid w:val="680A0702"/>
    <w:rsid w:val="680F21AD"/>
    <w:rsid w:val="68112A26"/>
    <w:rsid w:val="68272BD0"/>
    <w:rsid w:val="684E5A28"/>
    <w:rsid w:val="685459D1"/>
    <w:rsid w:val="686C71AF"/>
    <w:rsid w:val="688B0A2A"/>
    <w:rsid w:val="688D4C42"/>
    <w:rsid w:val="68A37B22"/>
    <w:rsid w:val="68B7181F"/>
    <w:rsid w:val="68D2550C"/>
    <w:rsid w:val="68DC4DE2"/>
    <w:rsid w:val="68FB3A5C"/>
    <w:rsid w:val="68FC5484"/>
    <w:rsid w:val="68FC7232"/>
    <w:rsid w:val="69197DE4"/>
    <w:rsid w:val="69270753"/>
    <w:rsid w:val="692D19E3"/>
    <w:rsid w:val="69382246"/>
    <w:rsid w:val="694D4018"/>
    <w:rsid w:val="694F3806"/>
    <w:rsid w:val="6950698E"/>
    <w:rsid w:val="69582CB5"/>
    <w:rsid w:val="69747AE2"/>
    <w:rsid w:val="69796AD5"/>
    <w:rsid w:val="697D408B"/>
    <w:rsid w:val="69817558"/>
    <w:rsid w:val="69855479"/>
    <w:rsid w:val="69894F6A"/>
    <w:rsid w:val="698F00A6"/>
    <w:rsid w:val="699A3A56"/>
    <w:rsid w:val="69B12712"/>
    <w:rsid w:val="69BA5C11"/>
    <w:rsid w:val="69D23E98"/>
    <w:rsid w:val="69DA3A17"/>
    <w:rsid w:val="69DF102E"/>
    <w:rsid w:val="69E00902"/>
    <w:rsid w:val="6A1D1B56"/>
    <w:rsid w:val="6A22716C"/>
    <w:rsid w:val="6A2B7DCF"/>
    <w:rsid w:val="6A372C18"/>
    <w:rsid w:val="6A3C1FDC"/>
    <w:rsid w:val="6A5C61DA"/>
    <w:rsid w:val="6A5F1ACE"/>
    <w:rsid w:val="6A777174"/>
    <w:rsid w:val="6A815C41"/>
    <w:rsid w:val="6A933BC6"/>
    <w:rsid w:val="6AA97D60"/>
    <w:rsid w:val="6AAA2146"/>
    <w:rsid w:val="6AB26742"/>
    <w:rsid w:val="6AB4441A"/>
    <w:rsid w:val="6ABA685A"/>
    <w:rsid w:val="6AD47871"/>
    <w:rsid w:val="6AE12B83"/>
    <w:rsid w:val="6AE21ACF"/>
    <w:rsid w:val="6AEB49C6"/>
    <w:rsid w:val="6AF71B02"/>
    <w:rsid w:val="6AF97ECD"/>
    <w:rsid w:val="6AFC79BD"/>
    <w:rsid w:val="6AFF7040"/>
    <w:rsid w:val="6B0A20DA"/>
    <w:rsid w:val="6B250CC2"/>
    <w:rsid w:val="6B43739A"/>
    <w:rsid w:val="6B465DC0"/>
    <w:rsid w:val="6B4B624F"/>
    <w:rsid w:val="6B4E3E5D"/>
    <w:rsid w:val="6B581098"/>
    <w:rsid w:val="6B6537B4"/>
    <w:rsid w:val="6B6A0DCB"/>
    <w:rsid w:val="6B6F5DFC"/>
    <w:rsid w:val="6B7B4D86"/>
    <w:rsid w:val="6B8D6867"/>
    <w:rsid w:val="6B8E2D0B"/>
    <w:rsid w:val="6B985938"/>
    <w:rsid w:val="6BB107A8"/>
    <w:rsid w:val="6BC93D43"/>
    <w:rsid w:val="6BCB6558"/>
    <w:rsid w:val="6BEC6D2D"/>
    <w:rsid w:val="6BF01A4B"/>
    <w:rsid w:val="6BFF59B7"/>
    <w:rsid w:val="6C07661A"/>
    <w:rsid w:val="6C0905E4"/>
    <w:rsid w:val="6C2B2308"/>
    <w:rsid w:val="6C2C7E2E"/>
    <w:rsid w:val="6C3F1329"/>
    <w:rsid w:val="6C537AB1"/>
    <w:rsid w:val="6C664BF1"/>
    <w:rsid w:val="6C89702F"/>
    <w:rsid w:val="6CA976D1"/>
    <w:rsid w:val="6CB73B9C"/>
    <w:rsid w:val="6CC60283"/>
    <w:rsid w:val="6CCE613F"/>
    <w:rsid w:val="6CDC1854"/>
    <w:rsid w:val="6D031BAF"/>
    <w:rsid w:val="6D0843F7"/>
    <w:rsid w:val="6D154D66"/>
    <w:rsid w:val="6D192AA9"/>
    <w:rsid w:val="6D2B6338"/>
    <w:rsid w:val="6D39281B"/>
    <w:rsid w:val="6D3A23B8"/>
    <w:rsid w:val="6D3E250F"/>
    <w:rsid w:val="6D527D69"/>
    <w:rsid w:val="6D635AD2"/>
    <w:rsid w:val="6D646D4E"/>
    <w:rsid w:val="6D6D06FE"/>
    <w:rsid w:val="6D6E7C26"/>
    <w:rsid w:val="6D706FB4"/>
    <w:rsid w:val="6D745F31"/>
    <w:rsid w:val="6D763A57"/>
    <w:rsid w:val="6D79487D"/>
    <w:rsid w:val="6D813E48"/>
    <w:rsid w:val="6D853C9A"/>
    <w:rsid w:val="6D9130D4"/>
    <w:rsid w:val="6D967C55"/>
    <w:rsid w:val="6DE36C13"/>
    <w:rsid w:val="6DE50BDD"/>
    <w:rsid w:val="6E2B52CC"/>
    <w:rsid w:val="6E5042A8"/>
    <w:rsid w:val="6E531FEA"/>
    <w:rsid w:val="6E600346"/>
    <w:rsid w:val="6E623FDB"/>
    <w:rsid w:val="6E697118"/>
    <w:rsid w:val="6E751F61"/>
    <w:rsid w:val="6E8977BA"/>
    <w:rsid w:val="6EAA5C48"/>
    <w:rsid w:val="6ED547AD"/>
    <w:rsid w:val="6EDC5B3C"/>
    <w:rsid w:val="6EE40E94"/>
    <w:rsid w:val="6EEE3AEC"/>
    <w:rsid w:val="6EF36ECC"/>
    <w:rsid w:val="6EF530A1"/>
    <w:rsid w:val="6EF6723D"/>
    <w:rsid w:val="6F1C23DC"/>
    <w:rsid w:val="6F2526DA"/>
    <w:rsid w:val="6F4D4C8B"/>
    <w:rsid w:val="6F59718C"/>
    <w:rsid w:val="6F663D66"/>
    <w:rsid w:val="6F6D49E6"/>
    <w:rsid w:val="6F906926"/>
    <w:rsid w:val="6F951282"/>
    <w:rsid w:val="6F991C7F"/>
    <w:rsid w:val="6F9D22B8"/>
    <w:rsid w:val="6FCA62DC"/>
    <w:rsid w:val="6FD11419"/>
    <w:rsid w:val="6FD63154"/>
    <w:rsid w:val="6FED5B27"/>
    <w:rsid w:val="70057314"/>
    <w:rsid w:val="70097584"/>
    <w:rsid w:val="701720C4"/>
    <w:rsid w:val="70221C74"/>
    <w:rsid w:val="7040659E"/>
    <w:rsid w:val="70514307"/>
    <w:rsid w:val="7072644B"/>
    <w:rsid w:val="708A4FD7"/>
    <w:rsid w:val="708B5A6B"/>
    <w:rsid w:val="709541F4"/>
    <w:rsid w:val="709A3F00"/>
    <w:rsid w:val="70B211C7"/>
    <w:rsid w:val="70B371F3"/>
    <w:rsid w:val="70CB2F29"/>
    <w:rsid w:val="70DA2E49"/>
    <w:rsid w:val="70DF7B65"/>
    <w:rsid w:val="70F84783"/>
    <w:rsid w:val="71015D2D"/>
    <w:rsid w:val="711D0C39"/>
    <w:rsid w:val="711F61B4"/>
    <w:rsid w:val="712D0490"/>
    <w:rsid w:val="713E2ADE"/>
    <w:rsid w:val="713F23B2"/>
    <w:rsid w:val="7148395C"/>
    <w:rsid w:val="715B4B20"/>
    <w:rsid w:val="71623775"/>
    <w:rsid w:val="71711863"/>
    <w:rsid w:val="717B788E"/>
    <w:rsid w:val="718B55F7"/>
    <w:rsid w:val="71AD37BF"/>
    <w:rsid w:val="71C74501"/>
    <w:rsid w:val="71F118FE"/>
    <w:rsid w:val="720A29C0"/>
    <w:rsid w:val="721B4BCD"/>
    <w:rsid w:val="721D56A4"/>
    <w:rsid w:val="72253C9E"/>
    <w:rsid w:val="72255A4C"/>
    <w:rsid w:val="722F3AB1"/>
    <w:rsid w:val="723A6C6C"/>
    <w:rsid w:val="724C3D1A"/>
    <w:rsid w:val="72536115"/>
    <w:rsid w:val="725B76BF"/>
    <w:rsid w:val="72640B79"/>
    <w:rsid w:val="726447C6"/>
    <w:rsid w:val="72667F0A"/>
    <w:rsid w:val="726C5429"/>
    <w:rsid w:val="72757BBD"/>
    <w:rsid w:val="728704B4"/>
    <w:rsid w:val="728D6E32"/>
    <w:rsid w:val="728E1843"/>
    <w:rsid w:val="72A20E4A"/>
    <w:rsid w:val="72C54B39"/>
    <w:rsid w:val="72E2393D"/>
    <w:rsid w:val="72EA668A"/>
    <w:rsid w:val="72FD0776"/>
    <w:rsid w:val="73075151"/>
    <w:rsid w:val="730833A3"/>
    <w:rsid w:val="731A4E85"/>
    <w:rsid w:val="732E0930"/>
    <w:rsid w:val="7348346F"/>
    <w:rsid w:val="735008A6"/>
    <w:rsid w:val="73520AC2"/>
    <w:rsid w:val="735C36EF"/>
    <w:rsid w:val="737C5738"/>
    <w:rsid w:val="73931CF9"/>
    <w:rsid w:val="739B4217"/>
    <w:rsid w:val="73B40E35"/>
    <w:rsid w:val="73B928EF"/>
    <w:rsid w:val="73BC6CFC"/>
    <w:rsid w:val="73BC6D60"/>
    <w:rsid w:val="73F25E01"/>
    <w:rsid w:val="73FE47A6"/>
    <w:rsid w:val="740022CC"/>
    <w:rsid w:val="740B4B94"/>
    <w:rsid w:val="74123DAE"/>
    <w:rsid w:val="74221DD8"/>
    <w:rsid w:val="742739B5"/>
    <w:rsid w:val="743326A2"/>
    <w:rsid w:val="74420908"/>
    <w:rsid w:val="7449069D"/>
    <w:rsid w:val="74597C2E"/>
    <w:rsid w:val="745F3497"/>
    <w:rsid w:val="746C74B0"/>
    <w:rsid w:val="746D098F"/>
    <w:rsid w:val="747F58E7"/>
    <w:rsid w:val="749E3893"/>
    <w:rsid w:val="74C01A5C"/>
    <w:rsid w:val="74E05C5A"/>
    <w:rsid w:val="74E63744"/>
    <w:rsid w:val="750E0A19"/>
    <w:rsid w:val="751C1388"/>
    <w:rsid w:val="75204114"/>
    <w:rsid w:val="752124FA"/>
    <w:rsid w:val="752E2421"/>
    <w:rsid w:val="75334EC3"/>
    <w:rsid w:val="754E7732"/>
    <w:rsid w:val="7552141E"/>
    <w:rsid w:val="75587EE6"/>
    <w:rsid w:val="755D54FC"/>
    <w:rsid w:val="756454D6"/>
    <w:rsid w:val="756D573F"/>
    <w:rsid w:val="7581053B"/>
    <w:rsid w:val="75840008"/>
    <w:rsid w:val="7589009F"/>
    <w:rsid w:val="75907680"/>
    <w:rsid w:val="75AF3FAA"/>
    <w:rsid w:val="75BF3AC1"/>
    <w:rsid w:val="75CF01A8"/>
    <w:rsid w:val="75D94B83"/>
    <w:rsid w:val="75E8126A"/>
    <w:rsid w:val="75F93B96"/>
    <w:rsid w:val="76045978"/>
    <w:rsid w:val="76085468"/>
    <w:rsid w:val="761C0F14"/>
    <w:rsid w:val="762033BD"/>
    <w:rsid w:val="76236746"/>
    <w:rsid w:val="76290B50"/>
    <w:rsid w:val="764346F2"/>
    <w:rsid w:val="76A038F3"/>
    <w:rsid w:val="76C33714"/>
    <w:rsid w:val="76C427A3"/>
    <w:rsid w:val="76CA4E14"/>
    <w:rsid w:val="76CD2732"/>
    <w:rsid w:val="76E41A31"/>
    <w:rsid w:val="76E42E91"/>
    <w:rsid w:val="77021206"/>
    <w:rsid w:val="77131B98"/>
    <w:rsid w:val="771340C5"/>
    <w:rsid w:val="77147E3D"/>
    <w:rsid w:val="771A1486"/>
    <w:rsid w:val="77260A78"/>
    <w:rsid w:val="77300283"/>
    <w:rsid w:val="773B36F6"/>
    <w:rsid w:val="775B58E4"/>
    <w:rsid w:val="7778661E"/>
    <w:rsid w:val="77844FC2"/>
    <w:rsid w:val="778B00FF"/>
    <w:rsid w:val="778C10EB"/>
    <w:rsid w:val="77A86F03"/>
    <w:rsid w:val="77BD61E6"/>
    <w:rsid w:val="77CD482C"/>
    <w:rsid w:val="77CF26E1"/>
    <w:rsid w:val="77D9530E"/>
    <w:rsid w:val="77E15720"/>
    <w:rsid w:val="77E8017E"/>
    <w:rsid w:val="77E978E3"/>
    <w:rsid w:val="781953EF"/>
    <w:rsid w:val="78237648"/>
    <w:rsid w:val="78280044"/>
    <w:rsid w:val="782F4F2E"/>
    <w:rsid w:val="78346E7D"/>
    <w:rsid w:val="78351855"/>
    <w:rsid w:val="78393482"/>
    <w:rsid w:val="78476AE2"/>
    <w:rsid w:val="784F737E"/>
    <w:rsid w:val="78650950"/>
    <w:rsid w:val="78755B75"/>
    <w:rsid w:val="788274D1"/>
    <w:rsid w:val="78891A33"/>
    <w:rsid w:val="78A551F0"/>
    <w:rsid w:val="78B33045"/>
    <w:rsid w:val="78CF46BA"/>
    <w:rsid w:val="78E57CE3"/>
    <w:rsid w:val="78FA71CA"/>
    <w:rsid w:val="790068CB"/>
    <w:rsid w:val="791365FE"/>
    <w:rsid w:val="791800B8"/>
    <w:rsid w:val="792A1B99"/>
    <w:rsid w:val="793D367B"/>
    <w:rsid w:val="79444A09"/>
    <w:rsid w:val="796543D1"/>
    <w:rsid w:val="797A7F7B"/>
    <w:rsid w:val="79A2391D"/>
    <w:rsid w:val="79C5057E"/>
    <w:rsid w:val="79D73ACF"/>
    <w:rsid w:val="79D81204"/>
    <w:rsid w:val="79DB71FB"/>
    <w:rsid w:val="79E166FC"/>
    <w:rsid w:val="79E306C6"/>
    <w:rsid w:val="79ED6E4F"/>
    <w:rsid w:val="79F12AC3"/>
    <w:rsid w:val="79F44681"/>
    <w:rsid w:val="7A0B19CB"/>
    <w:rsid w:val="7A100D8F"/>
    <w:rsid w:val="7A221477"/>
    <w:rsid w:val="7A22494B"/>
    <w:rsid w:val="7A3E58FC"/>
    <w:rsid w:val="7A435252"/>
    <w:rsid w:val="7A6441F7"/>
    <w:rsid w:val="7A6D7F90"/>
    <w:rsid w:val="7A703CD6"/>
    <w:rsid w:val="7A735DDD"/>
    <w:rsid w:val="7A8377B3"/>
    <w:rsid w:val="7A902877"/>
    <w:rsid w:val="7A9419C0"/>
    <w:rsid w:val="7A9E666A"/>
    <w:rsid w:val="7AA43BE6"/>
    <w:rsid w:val="7AA81A3C"/>
    <w:rsid w:val="7AC027B5"/>
    <w:rsid w:val="7AC8166A"/>
    <w:rsid w:val="7ACF4BC8"/>
    <w:rsid w:val="7ADB139D"/>
    <w:rsid w:val="7ADB314B"/>
    <w:rsid w:val="7AF64429"/>
    <w:rsid w:val="7B0F1047"/>
    <w:rsid w:val="7B217965"/>
    <w:rsid w:val="7B3311D9"/>
    <w:rsid w:val="7B566C76"/>
    <w:rsid w:val="7B661371"/>
    <w:rsid w:val="7B670E83"/>
    <w:rsid w:val="7B6C46EB"/>
    <w:rsid w:val="7B863D0D"/>
    <w:rsid w:val="7B86755B"/>
    <w:rsid w:val="7B8A691F"/>
    <w:rsid w:val="7B902188"/>
    <w:rsid w:val="7B9D6653"/>
    <w:rsid w:val="7BA14395"/>
    <w:rsid w:val="7BA23C69"/>
    <w:rsid w:val="7BA479E1"/>
    <w:rsid w:val="7BA93249"/>
    <w:rsid w:val="7BAE6AB2"/>
    <w:rsid w:val="7BB045D8"/>
    <w:rsid w:val="7BE95D3C"/>
    <w:rsid w:val="7BEE6EAE"/>
    <w:rsid w:val="7BFA3AA5"/>
    <w:rsid w:val="7C044924"/>
    <w:rsid w:val="7C100964"/>
    <w:rsid w:val="7C146EB4"/>
    <w:rsid w:val="7C176405"/>
    <w:rsid w:val="7C1A4147"/>
    <w:rsid w:val="7C23124E"/>
    <w:rsid w:val="7C2743B0"/>
    <w:rsid w:val="7C280623"/>
    <w:rsid w:val="7C2C6908"/>
    <w:rsid w:val="7C43369E"/>
    <w:rsid w:val="7C4961FD"/>
    <w:rsid w:val="7C4D62CB"/>
    <w:rsid w:val="7C5F2015"/>
    <w:rsid w:val="7C60625C"/>
    <w:rsid w:val="7C7168D2"/>
    <w:rsid w:val="7C7648AD"/>
    <w:rsid w:val="7C9F7900"/>
    <w:rsid w:val="7CAA54CB"/>
    <w:rsid w:val="7CAA7279"/>
    <w:rsid w:val="7CCB71F0"/>
    <w:rsid w:val="7CD97B5E"/>
    <w:rsid w:val="7CE11BB3"/>
    <w:rsid w:val="7CEA58C8"/>
    <w:rsid w:val="7CFA3A06"/>
    <w:rsid w:val="7D0F2B85"/>
    <w:rsid w:val="7D313D4F"/>
    <w:rsid w:val="7D424CD4"/>
    <w:rsid w:val="7D5D42EC"/>
    <w:rsid w:val="7D7A30EF"/>
    <w:rsid w:val="7D99109C"/>
    <w:rsid w:val="7D9A5540"/>
    <w:rsid w:val="7DA3499E"/>
    <w:rsid w:val="7DA469F3"/>
    <w:rsid w:val="7DB06B11"/>
    <w:rsid w:val="7DB11D69"/>
    <w:rsid w:val="7DB5287D"/>
    <w:rsid w:val="7DB77B6C"/>
    <w:rsid w:val="7DB979D8"/>
    <w:rsid w:val="7DC10AF4"/>
    <w:rsid w:val="7DC223A1"/>
    <w:rsid w:val="7DC4490E"/>
    <w:rsid w:val="7DF13E64"/>
    <w:rsid w:val="7E1150D6"/>
    <w:rsid w:val="7E200105"/>
    <w:rsid w:val="7E3E1B66"/>
    <w:rsid w:val="7E427991"/>
    <w:rsid w:val="7E6478FC"/>
    <w:rsid w:val="7E7C2950"/>
    <w:rsid w:val="7E814D37"/>
    <w:rsid w:val="7E9F0EEE"/>
    <w:rsid w:val="7EAF501B"/>
    <w:rsid w:val="7ED24865"/>
    <w:rsid w:val="7EDE320A"/>
    <w:rsid w:val="7EEA7E01"/>
    <w:rsid w:val="7EFB0260"/>
    <w:rsid w:val="7F016EF9"/>
    <w:rsid w:val="7F08472B"/>
    <w:rsid w:val="7F17496E"/>
    <w:rsid w:val="7F4A24F9"/>
    <w:rsid w:val="7F5E72DA"/>
    <w:rsid w:val="7F625BE9"/>
    <w:rsid w:val="7F7C755D"/>
    <w:rsid w:val="7F8042C1"/>
    <w:rsid w:val="7F8853F6"/>
    <w:rsid w:val="7F89761A"/>
    <w:rsid w:val="7F8A3392"/>
    <w:rsid w:val="7F945FBF"/>
    <w:rsid w:val="7FA278D5"/>
    <w:rsid w:val="7FAB5685"/>
    <w:rsid w:val="7FC83E64"/>
    <w:rsid w:val="7FE9543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qFormat="1" w:unhideWhenUsed="0" w:uiPriority="99" w:name="footnote reference"/>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qFormat="1" w:uiPriority="99"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qFormat="1" w:uiPriority="99" w:semiHidden="0"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kern w:val="0"/>
      <w:sz w:val="24"/>
      <w:szCs w:val="24"/>
      <w:lang w:val="en-US" w:eastAsia="zh-CN" w:bidi="ar-SA"/>
    </w:rPr>
  </w:style>
  <w:style w:type="paragraph" w:styleId="3">
    <w:name w:val="heading 1"/>
    <w:basedOn w:val="1"/>
    <w:next w:val="1"/>
    <w:link w:val="23"/>
    <w:qFormat/>
    <w:uiPriority w:val="99"/>
    <w:pPr>
      <w:keepNext/>
      <w:keepLines/>
      <w:widowControl w:val="0"/>
      <w:spacing w:before="340" w:after="330" w:line="578" w:lineRule="auto"/>
      <w:jc w:val="both"/>
      <w:outlineLvl w:val="0"/>
    </w:pPr>
    <w:rPr>
      <w:rFonts w:ascii="等线" w:hAnsi="等线" w:eastAsia="等线" w:cs="Times New Roman"/>
      <w:b/>
      <w:bCs/>
      <w:kern w:val="44"/>
      <w:sz w:val="44"/>
      <w:szCs w:val="44"/>
    </w:rPr>
  </w:style>
  <w:style w:type="paragraph" w:styleId="4">
    <w:name w:val="heading 2"/>
    <w:basedOn w:val="1"/>
    <w:next w:val="1"/>
    <w:link w:val="24"/>
    <w:qFormat/>
    <w:uiPriority w:val="99"/>
    <w:pPr>
      <w:keepNext/>
      <w:keepLines/>
      <w:widowControl w:val="0"/>
      <w:spacing w:before="260" w:after="260" w:line="416" w:lineRule="auto"/>
      <w:jc w:val="both"/>
      <w:outlineLvl w:val="1"/>
    </w:pPr>
    <w:rPr>
      <w:rFonts w:ascii="等线 Light" w:hAnsi="等线 Light" w:eastAsia="等线 Light" w:cs="Times New Roman"/>
      <w:b/>
      <w:bCs/>
      <w:kern w:val="2"/>
      <w:sz w:val="32"/>
      <w:szCs w:val="32"/>
    </w:rPr>
  </w:style>
  <w:style w:type="paragraph" w:styleId="5">
    <w:name w:val="heading 3"/>
    <w:basedOn w:val="1"/>
    <w:next w:val="1"/>
    <w:link w:val="25"/>
    <w:qFormat/>
    <w:uiPriority w:val="99"/>
    <w:pPr>
      <w:keepNext/>
      <w:keepLines/>
      <w:widowControl w:val="0"/>
      <w:spacing w:before="260" w:after="260" w:line="416" w:lineRule="auto"/>
      <w:jc w:val="both"/>
      <w:outlineLvl w:val="2"/>
    </w:pPr>
    <w:rPr>
      <w:rFonts w:ascii="等线" w:hAnsi="等线" w:eastAsia="仿宋" w:cs="Times New Roman"/>
      <w:b/>
      <w:bCs/>
      <w:kern w:val="2"/>
      <w:sz w:val="32"/>
      <w:szCs w:val="32"/>
    </w:rPr>
  </w:style>
  <w:style w:type="paragraph" w:styleId="6">
    <w:name w:val="heading 4"/>
    <w:basedOn w:val="1"/>
    <w:next w:val="1"/>
    <w:link w:val="26"/>
    <w:qFormat/>
    <w:uiPriority w:val="99"/>
    <w:pPr>
      <w:keepNext/>
      <w:keepLines/>
      <w:spacing w:before="280" w:after="290" w:line="376" w:lineRule="auto"/>
      <w:outlineLvl w:val="3"/>
    </w:pPr>
    <w:rPr>
      <w:rFonts w:ascii="等线 Light" w:hAnsi="等线 Light" w:eastAsia="等线 Light" w:cs="Times New Roman"/>
      <w:b/>
      <w:bCs/>
      <w:sz w:val="28"/>
      <w:szCs w:val="28"/>
    </w:rPr>
  </w:style>
  <w:style w:type="character" w:default="1" w:styleId="20">
    <w:name w:val="Default Paragraph Font"/>
    <w:semiHidden/>
    <w:qFormat/>
    <w:uiPriority w:val="99"/>
  </w:style>
  <w:style w:type="table" w:default="1" w:styleId="18">
    <w:name w:val="Normal Table"/>
    <w:unhideWhenUsed/>
    <w:qFormat/>
    <w:uiPriority w:val="99"/>
    <w:tblPr>
      <w:tblCellMar>
        <w:top w:w="0" w:type="dxa"/>
        <w:left w:w="108" w:type="dxa"/>
        <w:bottom w:w="0" w:type="dxa"/>
        <w:right w:w="108" w:type="dxa"/>
      </w:tblCellMar>
    </w:tblPr>
  </w:style>
  <w:style w:type="paragraph" w:customStyle="1" w:styleId="2">
    <w:name w:val="BodyText"/>
    <w:qFormat/>
    <w:uiPriority w:val="0"/>
    <w:pPr>
      <w:widowControl w:val="0"/>
      <w:spacing w:line="360" w:lineRule="auto"/>
      <w:ind w:firstLine="972" w:firstLineChars="200"/>
    </w:pPr>
    <w:rPr>
      <w:rFonts w:ascii="仿宋_GB2312" w:hAnsi="仿宋_GB2312" w:eastAsia="仿宋_GB2312" w:cs="Arial"/>
      <w:b/>
      <w:kern w:val="2"/>
      <w:sz w:val="44"/>
      <w:szCs w:val="22"/>
      <w:lang w:val="en-US" w:eastAsia="zh-CN" w:bidi="ar-SA"/>
    </w:rPr>
  </w:style>
  <w:style w:type="paragraph" w:styleId="7">
    <w:name w:val="Normal Indent"/>
    <w:basedOn w:val="1"/>
    <w:next w:val="1"/>
    <w:qFormat/>
    <w:uiPriority w:val="99"/>
    <w:pPr>
      <w:spacing w:line="590" w:lineRule="exact"/>
    </w:pPr>
    <w:rPr>
      <w:rFonts w:cs="仿宋_GB2312"/>
      <w:szCs w:val="22"/>
    </w:rPr>
  </w:style>
  <w:style w:type="paragraph" w:styleId="8">
    <w:name w:val="annotation text"/>
    <w:basedOn w:val="1"/>
    <w:link w:val="27"/>
    <w:semiHidden/>
    <w:qFormat/>
    <w:uiPriority w:val="99"/>
  </w:style>
  <w:style w:type="paragraph" w:styleId="9">
    <w:name w:val="Body Text"/>
    <w:basedOn w:val="1"/>
    <w:unhideWhenUsed/>
    <w:qFormat/>
    <w:locked/>
    <w:uiPriority w:val="99"/>
    <w:pPr>
      <w:spacing w:after="120"/>
    </w:pPr>
  </w:style>
  <w:style w:type="paragraph" w:styleId="10">
    <w:name w:val="Date"/>
    <w:basedOn w:val="1"/>
    <w:next w:val="1"/>
    <w:link w:val="28"/>
    <w:semiHidden/>
    <w:qFormat/>
    <w:uiPriority w:val="99"/>
    <w:pPr>
      <w:widowControl w:val="0"/>
      <w:ind w:left="100" w:leftChars="2500"/>
      <w:jc w:val="both"/>
    </w:pPr>
    <w:rPr>
      <w:rFonts w:ascii="等线" w:hAnsi="等线" w:eastAsia="等线" w:cs="Times New Roman"/>
      <w:kern w:val="2"/>
      <w:sz w:val="21"/>
      <w:szCs w:val="22"/>
    </w:rPr>
  </w:style>
  <w:style w:type="paragraph" w:styleId="11">
    <w:name w:val="Balloon Text"/>
    <w:basedOn w:val="1"/>
    <w:link w:val="29"/>
    <w:semiHidden/>
    <w:qFormat/>
    <w:uiPriority w:val="99"/>
    <w:pPr>
      <w:widowControl w:val="0"/>
      <w:jc w:val="both"/>
    </w:pPr>
    <w:rPr>
      <w:rFonts w:ascii="等线" w:hAnsi="等线" w:eastAsia="仿宋" w:cs="Times New Roman"/>
      <w:kern w:val="2"/>
      <w:sz w:val="18"/>
      <w:szCs w:val="18"/>
    </w:rPr>
  </w:style>
  <w:style w:type="paragraph" w:styleId="12">
    <w:name w:val="footer"/>
    <w:basedOn w:val="1"/>
    <w:link w:val="30"/>
    <w:qFormat/>
    <w:uiPriority w:val="99"/>
    <w:pPr>
      <w:widowControl w:val="0"/>
      <w:tabs>
        <w:tab w:val="center" w:pos="4153"/>
        <w:tab w:val="right" w:pos="8306"/>
      </w:tabs>
      <w:snapToGrid w:val="0"/>
    </w:pPr>
    <w:rPr>
      <w:rFonts w:ascii="等线" w:hAnsi="等线" w:eastAsia="等线" w:cs="Times New Roman"/>
      <w:kern w:val="2"/>
      <w:sz w:val="18"/>
      <w:szCs w:val="18"/>
    </w:rPr>
  </w:style>
  <w:style w:type="paragraph" w:styleId="13">
    <w:name w:val="header"/>
    <w:basedOn w:val="1"/>
    <w:link w:val="31"/>
    <w:qFormat/>
    <w:uiPriority w:val="99"/>
    <w:pPr>
      <w:widowControl w:val="0"/>
      <w:pBdr>
        <w:bottom w:val="single" w:color="auto" w:sz="6" w:space="1"/>
      </w:pBdr>
      <w:tabs>
        <w:tab w:val="center" w:pos="4153"/>
        <w:tab w:val="right" w:pos="8306"/>
      </w:tabs>
      <w:snapToGrid w:val="0"/>
      <w:jc w:val="center"/>
    </w:pPr>
    <w:rPr>
      <w:rFonts w:ascii="等线" w:hAnsi="等线" w:eastAsia="等线" w:cs="Times New Roman"/>
      <w:kern w:val="2"/>
      <w:sz w:val="18"/>
      <w:szCs w:val="18"/>
    </w:rPr>
  </w:style>
  <w:style w:type="paragraph" w:styleId="14">
    <w:name w:val="toc 1"/>
    <w:basedOn w:val="1"/>
    <w:next w:val="1"/>
    <w:qFormat/>
    <w:uiPriority w:val="99"/>
    <w:pPr>
      <w:widowControl w:val="0"/>
      <w:tabs>
        <w:tab w:val="right" w:leader="dot" w:pos="8296"/>
      </w:tabs>
      <w:kinsoku w:val="0"/>
      <w:overflowPunct w:val="0"/>
      <w:autoSpaceDE w:val="0"/>
      <w:autoSpaceDN w:val="0"/>
      <w:adjustRightInd w:val="0"/>
      <w:snapToGrid w:val="0"/>
      <w:spacing w:line="600" w:lineRule="atLeast"/>
      <w:jc w:val="center"/>
    </w:pPr>
    <w:rPr>
      <w:rFonts w:ascii="等线" w:hAnsi="等线" w:eastAsia="等线" w:cs="Times New Roman"/>
      <w:kern w:val="2"/>
      <w:sz w:val="21"/>
      <w:szCs w:val="22"/>
    </w:rPr>
  </w:style>
  <w:style w:type="paragraph" w:styleId="15">
    <w:name w:val="footnote text"/>
    <w:basedOn w:val="1"/>
    <w:link w:val="32"/>
    <w:semiHidden/>
    <w:qFormat/>
    <w:uiPriority w:val="99"/>
    <w:pPr>
      <w:snapToGrid w:val="0"/>
    </w:pPr>
    <w:rPr>
      <w:sz w:val="18"/>
      <w:szCs w:val="18"/>
    </w:rPr>
  </w:style>
  <w:style w:type="paragraph" w:styleId="16">
    <w:name w:val="toc 2"/>
    <w:basedOn w:val="1"/>
    <w:next w:val="1"/>
    <w:qFormat/>
    <w:uiPriority w:val="99"/>
    <w:pPr>
      <w:widowControl w:val="0"/>
      <w:tabs>
        <w:tab w:val="right" w:leader="dot" w:pos="8296"/>
      </w:tabs>
      <w:spacing w:line="600" w:lineRule="exact"/>
      <w:ind w:left="480" w:leftChars="200"/>
      <w:jc w:val="both"/>
    </w:pPr>
    <w:rPr>
      <w:rFonts w:ascii="Times New Roman" w:hAnsi="Times New Roman" w:eastAsia="楷体_GB2312" w:cs="Times New Roman"/>
      <w:kern w:val="2"/>
      <w:szCs w:val="22"/>
    </w:rPr>
  </w:style>
  <w:style w:type="paragraph" w:styleId="17">
    <w:name w:val="Body Text First Indent"/>
    <w:basedOn w:val="9"/>
    <w:unhideWhenUsed/>
    <w:qFormat/>
    <w:locked/>
    <w:uiPriority w:val="99"/>
    <w:pPr>
      <w:spacing w:after="0" w:line="600" w:lineRule="exact"/>
      <w:ind w:firstLine="420"/>
    </w:pPr>
    <w:rPr>
      <w:sz w:val="30"/>
      <w:szCs w:val="30"/>
    </w:rPr>
  </w:style>
  <w:style w:type="table" w:styleId="19">
    <w:name w:val="Table Grid"/>
    <w:basedOn w:val="18"/>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qFormat/>
    <w:uiPriority w:val="99"/>
    <w:rPr>
      <w:rFonts w:cs="Times New Roman"/>
      <w:color w:val="0563C1"/>
      <w:u w:val="single"/>
    </w:rPr>
  </w:style>
  <w:style w:type="character" w:styleId="22">
    <w:name w:val="footnote reference"/>
    <w:basedOn w:val="20"/>
    <w:semiHidden/>
    <w:qFormat/>
    <w:uiPriority w:val="99"/>
    <w:rPr>
      <w:rFonts w:cs="Times New Roman"/>
      <w:vertAlign w:val="superscript"/>
    </w:rPr>
  </w:style>
  <w:style w:type="character" w:customStyle="1" w:styleId="23">
    <w:name w:val="Heading 1 Char"/>
    <w:basedOn w:val="20"/>
    <w:link w:val="3"/>
    <w:qFormat/>
    <w:locked/>
    <w:uiPriority w:val="99"/>
    <w:rPr>
      <w:rFonts w:cs="Times New Roman"/>
      <w:b/>
      <w:bCs/>
      <w:kern w:val="44"/>
      <w:sz w:val="44"/>
      <w:szCs w:val="44"/>
    </w:rPr>
  </w:style>
  <w:style w:type="character" w:customStyle="1" w:styleId="24">
    <w:name w:val="Heading 2 Char"/>
    <w:basedOn w:val="20"/>
    <w:link w:val="4"/>
    <w:qFormat/>
    <w:locked/>
    <w:uiPriority w:val="99"/>
    <w:rPr>
      <w:rFonts w:ascii="等线 Light" w:hAnsi="等线 Light" w:eastAsia="等线 Light" w:cs="Times New Roman"/>
      <w:b/>
      <w:bCs/>
      <w:sz w:val="32"/>
      <w:szCs w:val="32"/>
    </w:rPr>
  </w:style>
  <w:style w:type="character" w:customStyle="1" w:styleId="25">
    <w:name w:val="Heading 3 Char"/>
    <w:basedOn w:val="20"/>
    <w:link w:val="5"/>
    <w:semiHidden/>
    <w:qFormat/>
    <w:locked/>
    <w:uiPriority w:val="99"/>
    <w:rPr>
      <w:rFonts w:eastAsia="仿宋" w:cs="Times New Roman"/>
      <w:b/>
      <w:bCs/>
      <w:sz w:val="32"/>
      <w:szCs w:val="32"/>
    </w:rPr>
  </w:style>
  <w:style w:type="character" w:customStyle="1" w:styleId="26">
    <w:name w:val="Heading 4 Char"/>
    <w:basedOn w:val="20"/>
    <w:link w:val="6"/>
    <w:qFormat/>
    <w:locked/>
    <w:uiPriority w:val="99"/>
    <w:rPr>
      <w:rFonts w:ascii="等线 Light" w:hAnsi="等线 Light" w:eastAsia="等线 Light" w:cs="Times New Roman"/>
      <w:b/>
      <w:bCs/>
      <w:kern w:val="0"/>
      <w:sz w:val="28"/>
      <w:szCs w:val="28"/>
    </w:rPr>
  </w:style>
  <w:style w:type="character" w:customStyle="1" w:styleId="27">
    <w:name w:val="Comment Text Char"/>
    <w:basedOn w:val="20"/>
    <w:link w:val="8"/>
    <w:semiHidden/>
    <w:qFormat/>
    <w:locked/>
    <w:uiPriority w:val="99"/>
    <w:rPr>
      <w:rFonts w:ascii="宋体" w:eastAsia="宋体" w:cs="宋体"/>
      <w:kern w:val="0"/>
      <w:sz w:val="24"/>
      <w:szCs w:val="24"/>
    </w:rPr>
  </w:style>
  <w:style w:type="character" w:customStyle="1" w:styleId="28">
    <w:name w:val="Date Char"/>
    <w:basedOn w:val="20"/>
    <w:link w:val="10"/>
    <w:semiHidden/>
    <w:qFormat/>
    <w:locked/>
    <w:uiPriority w:val="99"/>
    <w:rPr>
      <w:rFonts w:cs="Times New Roman"/>
    </w:rPr>
  </w:style>
  <w:style w:type="character" w:customStyle="1" w:styleId="29">
    <w:name w:val="Balloon Text Char"/>
    <w:basedOn w:val="20"/>
    <w:link w:val="11"/>
    <w:semiHidden/>
    <w:qFormat/>
    <w:locked/>
    <w:uiPriority w:val="99"/>
    <w:rPr>
      <w:rFonts w:eastAsia="仿宋" w:cs="Times New Roman"/>
      <w:sz w:val="18"/>
      <w:szCs w:val="18"/>
    </w:rPr>
  </w:style>
  <w:style w:type="character" w:customStyle="1" w:styleId="30">
    <w:name w:val="Footer Char"/>
    <w:basedOn w:val="20"/>
    <w:link w:val="12"/>
    <w:qFormat/>
    <w:locked/>
    <w:uiPriority w:val="99"/>
    <w:rPr>
      <w:rFonts w:cs="Times New Roman"/>
      <w:sz w:val="18"/>
      <w:szCs w:val="18"/>
    </w:rPr>
  </w:style>
  <w:style w:type="character" w:customStyle="1" w:styleId="31">
    <w:name w:val="Header Char"/>
    <w:basedOn w:val="20"/>
    <w:link w:val="13"/>
    <w:qFormat/>
    <w:locked/>
    <w:uiPriority w:val="99"/>
    <w:rPr>
      <w:rFonts w:cs="Times New Roman"/>
      <w:sz w:val="18"/>
      <w:szCs w:val="18"/>
    </w:rPr>
  </w:style>
  <w:style w:type="character" w:customStyle="1" w:styleId="32">
    <w:name w:val="Footnote Text Char"/>
    <w:basedOn w:val="20"/>
    <w:link w:val="15"/>
    <w:semiHidden/>
    <w:qFormat/>
    <w:locked/>
    <w:uiPriority w:val="99"/>
    <w:rPr>
      <w:rFonts w:ascii="宋体" w:hAnsi="宋体" w:eastAsia="宋体" w:cs="宋体"/>
      <w:kern w:val="0"/>
      <w:sz w:val="18"/>
      <w:szCs w:val="18"/>
    </w:rPr>
  </w:style>
  <w:style w:type="paragraph" w:customStyle="1" w:styleId="33">
    <w:name w:val="TOC 标题1"/>
    <w:basedOn w:val="3"/>
    <w:next w:val="1"/>
    <w:qFormat/>
    <w:uiPriority w:val="9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customStyle="1" w:styleId="34">
    <w:name w:val="No Spacing"/>
    <w:qFormat/>
    <w:uiPriority w:val="99"/>
    <w:rPr>
      <w:rFonts w:ascii="宋体" w:hAnsi="宋体" w:eastAsia="宋体" w:cs="宋体"/>
      <w:kern w:val="0"/>
      <w:sz w:val="24"/>
      <w:szCs w:val="24"/>
      <w:lang w:val="en-US" w:eastAsia="zh-CN" w:bidi="ar-SA"/>
    </w:rPr>
  </w:style>
  <w:style w:type="character" w:customStyle="1" w:styleId="35">
    <w:name w:val="font21"/>
    <w:basedOn w:val="20"/>
    <w:qFormat/>
    <w:uiPriority w:val="99"/>
    <w:rPr>
      <w:rFonts w:ascii="Calibri" w:hAnsi="Calibri" w:cs="Calibri"/>
      <w:color w:val="000000"/>
      <w:sz w:val="16"/>
      <w:szCs w:val="16"/>
      <w:u w:val="none"/>
    </w:rPr>
  </w:style>
  <w:style w:type="character" w:customStyle="1" w:styleId="36">
    <w:name w:val="font11"/>
    <w:basedOn w:val="20"/>
    <w:qFormat/>
    <w:uiPriority w:val="99"/>
    <w:rPr>
      <w:rFonts w:ascii="宋体" w:hAnsi="宋体" w:eastAsia="宋体" w:cs="宋体"/>
      <w:color w:val="000000"/>
      <w:sz w:val="16"/>
      <w:szCs w:val="16"/>
      <w:u w:val="none"/>
    </w:rPr>
  </w:style>
  <w:style w:type="character" w:customStyle="1" w:styleId="37">
    <w:name w:val="未处理的提及1"/>
    <w:basedOn w:val="20"/>
    <w:semiHidden/>
    <w:qFormat/>
    <w:uiPriority w:val="99"/>
    <w:rPr>
      <w:rFonts w:cs="Times New Roman"/>
      <w:color w:val="605E5C"/>
      <w:shd w:val="clear" w:color="auto" w:fill="E1DFDD"/>
    </w:rPr>
  </w:style>
  <w:style w:type="paragraph" w:customStyle="1" w:styleId="38">
    <w:name w:val="List Paragraph"/>
    <w:basedOn w:val="1"/>
    <w:qFormat/>
    <w:uiPriority w:val="99"/>
    <w:pPr>
      <w:ind w:firstLine="420" w:firstLineChars="200"/>
    </w:pPr>
  </w:style>
  <w:style w:type="character" w:customStyle="1" w:styleId="39">
    <w:name w:val="批注框文本 字符1"/>
    <w:basedOn w:val="20"/>
    <w:semiHidden/>
    <w:qFormat/>
    <w:uiPriority w:val="99"/>
    <w:rPr>
      <w:rFonts w:ascii="宋体" w:hAnsi="宋体" w:eastAsia="宋体" w:cs="宋体"/>
      <w:kern w:val="0"/>
      <w:sz w:val="18"/>
      <w:szCs w:val="18"/>
    </w:rPr>
  </w:style>
  <w:style w:type="paragraph" w:customStyle="1" w:styleId="40">
    <w:name w:val="正文1"/>
    <w:basedOn w:val="1"/>
    <w:qFormat/>
    <w:uiPriority w:val="99"/>
    <w:pPr>
      <w:widowControl w:val="0"/>
      <w:spacing w:line="500" w:lineRule="exact"/>
      <w:ind w:firstLine="560" w:firstLineChars="200"/>
      <w:jc w:val="both"/>
    </w:pPr>
    <w:rPr>
      <w:rFonts w:ascii="Times New Roman" w:hAnsi="Times New Roman" w:eastAsia="仿宋_GB2312" w:cs="Times New Roman"/>
      <w:sz w:val="28"/>
      <w:szCs w:val="28"/>
    </w:rPr>
  </w:style>
  <w:style w:type="paragraph" w:customStyle="1" w:styleId="41">
    <w:name w:val="Table Paragraph"/>
    <w:basedOn w:val="1"/>
    <w:qFormat/>
    <w:uiPriority w:val="99"/>
    <w:pPr>
      <w:widowControl w:val="0"/>
      <w:jc w:val="both"/>
    </w:pPr>
    <w:rPr>
      <w:rFonts w:ascii="等线" w:hAnsi="等线" w:eastAsia="仿宋" w:cs="Times New Roman"/>
      <w:kern w:val="2"/>
      <w:sz w:val="32"/>
      <w:szCs w:val="22"/>
    </w:rPr>
  </w:style>
  <w:style w:type="paragraph" w:customStyle="1" w:styleId="42">
    <w:name w:val="闻政标题4"/>
    <w:basedOn w:val="4"/>
    <w:qFormat/>
    <w:uiPriority w:val="99"/>
    <w:pPr>
      <w:spacing w:before="120" w:after="60" w:line="500" w:lineRule="exact"/>
      <w:ind w:firstLine="200" w:firstLineChars="200"/>
      <w:jc w:val="left"/>
    </w:pPr>
    <w:rPr>
      <w:rFonts w:ascii="Times New Roman" w:hAnsi="Times New Roman" w:eastAsia="仿宋_GB2312"/>
      <w:kern w:val="0"/>
      <w:sz w:val="28"/>
    </w:rPr>
  </w:style>
  <w:style w:type="paragraph" w:customStyle="1" w:styleId="43">
    <w:name w:val="TOC 标题11"/>
    <w:basedOn w:val="3"/>
    <w:next w:val="1"/>
    <w:qFormat/>
    <w:uiPriority w:val="9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customStyle="1" w:styleId="44">
    <w:name w:val="C图标注"/>
    <w:basedOn w:val="1"/>
    <w:qFormat/>
    <w:uiPriority w:val="99"/>
    <w:pPr>
      <w:widowControl w:val="0"/>
      <w:adjustRightInd w:val="0"/>
      <w:snapToGrid w:val="0"/>
      <w:spacing w:line="480" w:lineRule="exact"/>
      <w:jc w:val="center"/>
    </w:pPr>
    <w:rPr>
      <w:rFonts w:ascii="仿宋" w:hAnsi="仿宋" w:eastAsia="仿宋" w:cs="Times New Roman"/>
      <w:b/>
      <w:spacing w:val="4"/>
      <w:sz w:val="21"/>
    </w:rPr>
  </w:style>
  <w:style w:type="table" w:customStyle="1" w:styleId="45">
    <w:name w:val="网格型14"/>
    <w:qFormat/>
    <w:uiPriority w:val="99"/>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
    <w:name w:val="WPSOffice手动目录 1"/>
    <w:qFormat/>
    <w:uiPriority w:val="0"/>
    <w:pPr>
      <w:ind w:leftChars="0"/>
    </w:pPr>
    <w:rPr>
      <w:rFonts w:ascii="Times New Roman" w:hAnsi="Times New Roman" w:eastAsia="宋体" w:cs="Times New Roman"/>
      <w:sz w:val="20"/>
      <w:szCs w:val="20"/>
    </w:rPr>
  </w:style>
  <w:style w:type="paragraph" w:customStyle="1" w:styleId="4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P R C</Company>
  <Pages>26</Pages>
  <Words>11549</Words>
  <Characters>12257</Characters>
  <Lines>0</Lines>
  <Paragraphs>0</Paragraphs>
  <TotalTime>26</TotalTime>
  <ScaleCrop>false</ScaleCrop>
  <LinksUpToDate>false</LinksUpToDate>
  <CharactersWithSpaces>12583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2021-06-27T05:21:00Z</dcterms:created>
  <dc:creator>he jingbin</dc:creator>
  <cp:lastModifiedBy>我想为你淋雨</cp:lastModifiedBy>
  <cp:lastPrinted>2022-06-24T03:07:00Z</cp:lastPrinted>
  <dcterms:modified xsi:type="dcterms:W3CDTF">2022-12-30T01:02:13Z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DEA91B7FBFC44155B5217D45918FE5A6</vt:lpwstr>
  </property>
</Properties>
</file>