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pPr>
    </w:p>
    <w:p>
      <w:pPr>
        <w:pStyle w:val="6"/>
        <w:ind w:left="0" w:leftChars="0" w:firstLine="0" w:firstLineChars="0"/>
      </w:pPr>
    </w:p>
    <w:p>
      <w:pPr>
        <w:pStyle w:val="6"/>
        <w:ind w:left="0" w:leftChars="0" w:firstLine="0" w:firstLineChars="0"/>
      </w:pPr>
    </w:p>
    <w:p>
      <w:pPr>
        <w:pStyle w:val="6"/>
      </w:pPr>
    </w:p>
    <w:p>
      <w:pPr>
        <w:spacing w:line="560" w:lineRule="atLeast"/>
        <w:jc w:val="center"/>
        <w:rPr>
          <w:rFonts w:cs="宋体"/>
          <w:b/>
          <w:bCs/>
          <w:sz w:val="52"/>
          <w:szCs w:val="52"/>
        </w:rPr>
      </w:pPr>
      <w:r>
        <w:rPr>
          <w:rFonts w:hint="eastAsia" w:cs="宋体"/>
          <w:b/>
          <w:bCs/>
          <w:sz w:val="52"/>
          <w:szCs w:val="52"/>
          <w:lang w:val="en-US" w:eastAsia="zh-CN"/>
        </w:rPr>
        <w:t>安阳县</w:t>
      </w:r>
      <w:r>
        <w:rPr>
          <w:rFonts w:hint="eastAsia" w:cs="宋体"/>
          <w:b/>
          <w:bCs/>
          <w:sz w:val="52"/>
          <w:szCs w:val="52"/>
        </w:rPr>
        <w:t>财政支出项目</w:t>
      </w:r>
    </w:p>
    <w:p>
      <w:pPr>
        <w:spacing w:line="560" w:lineRule="atLeast"/>
        <w:jc w:val="center"/>
        <w:rPr>
          <w:rFonts w:hint="eastAsia" w:cs="宋体"/>
          <w:b/>
          <w:bCs/>
          <w:sz w:val="52"/>
          <w:szCs w:val="52"/>
        </w:rPr>
      </w:pPr>
      <w:r>
        <w:rPr>
          <w:rFonts w:hint="eastAsia" w:cs="宋体"/>
          <w:b/>
          <w:bCs/>
          <w:sz w:val="52"/>
          <w:szCs w:val="52"/>
        </w:rPr>
        <w:t>绩效评价报告</w:t>
      </w:r>
    </w:p>
    <w:p>
      <w:pPr>
        <w:pStyle w:val="2"/>
        <w:jc w:val="center"/>
        <w:rPr>
          <w:rFonts w:hint="default" w:eastAsia="仿宋" w:cs="宋体"/>
          <w:b/>
          <w:bCs/>
          <w:sz w:val="28"/>
          <w:szCs w:val="28"/>
          <w:lang w:val="en-US" w:eastAsia="zh-CN"/>
        </w:rPr>
      </w:pPr>
      <w:r>
        <w:rPr>
          <w:rFonts w:hint="eastAsia" w:cs="宋体"/>
          <w:b/>
          <w:bCs/>
          <w:sz w:val="28"/>
          <w:szCs w:val="28"/>
          <w:lang w:val="en-US" w:eastAsia="zh-CN"/>
        </w:rPr>
        <w:t>高审咨字【2022】第1001号</w:t>
      </w:r>
    </w:p>
    <w:p>
      <w:pPr>
        <w:pStyle w:val="2"/>
        <w:jc w:val="center"/>
        <w:rPr>
          <w:rFonts w:hint="eastAsia" w:eastAsia="仿宋" w:cs="宋体"/>
          <w:b/>
          <w:bCs/>
          <w:sz w:val="52"/>
          <w:szCs w:val="52"/>
          <w:lang w:eastAsia="zh-CN"/>
        </w:rPr>
      </w:pPr>
      <w:r>
        <w:rPr>
          <w:rFonts w:hint="eastAsia" w:eastAsia="仿宋" w:cs="宋体"/>
          <w:b/>
          <w:bCs/>
          <w:sz w:val="52"/>
          <w:szCs w:val="52"/>
          <w:lang w:eastAsia="zh-CN"/>
        </w:rPr>
        <w:pict>
          <v:shape id="_x0000_i1025" o:spt="75" alt="127211b916f5180450df6a4e4f4833e" type="#_x0000_t75" style="height:164.75pt;width:160.95pt;" filled="f" o:preferrelative="t" stroked="f" coordsize="21600,21600">
            <v:path/>
            <v:fill on="f" focussize="0,0"/>
            <v:stroke on="f"/>
            <v:imagedata r:id="rId12" o:title="127211b916f5180450df6a4e4f4833e"/>
            <o:lock v:ext="edit" aspectratio="t"/>
            <w10:wrap type="none"/>
            <w10:anchorlock/>
          </v:shape>
        </w:pict>
      </w:r>
    </w:p>
    <w:p>
      <w:pPr>
        <w:pStyle w:val="2"/>
        <w:rPr>
          <w:rFonts w:hint="eastAsia" w:cs="宋体"/>
          <w:b/>
          <w:bCs/>
          <w:sz w:val="52"/>
          <w:szCs w:val="52"/>
        </w:rPr>
      </w:pPr>
    </w:p>
    <w:p>
      <w:pPr>
        <w:autoSpaceDE w:val="0"/>
        <w:autoSpaceDN w:val="0"/>
        <w:adjustRightInd w:val="0"/>
        <w:spacing w:line="584" w:lineRule="exact"/>
        <w:jc w:val="both"/>
        <w:rPr>
          <w:rFonts w:eastAsia="楷体_GB2312"/>
          <w:b/>
          <w:bCs/>
          <w:kern w:val="0"/>
          <w:sz w:val="32"/>
          <w:szCs w:val="32"/>
          <w:lang w:val="zh-CN"/>
        </w:rPr>
      </w:pPr>
    </w:p>
    <w:p>
      <w:pPr>
        <w:spacing w:line="560" w:lineRule="atLeast"/>
        <w:ind w:left="2238" w:leftChars="456" w:hanging="1280" w:hangingChars="400"/>
        <w:jc w:val="left"/>
        <w:rPr>
          <w:rFonts w:hint="eastAsia" w:ascii="宋体" w:hAnsi="宋体" w:cs="宋体"/>
          <w:sz w:val="32"/>
          <w:szCs w:val="32"/>
        </w:rPr>
      </w:pPr>
    </w:p>
    <w:p>
      <w:pPr>
        <w:spacing w:line="560" w:lineRule="atLeast"/>
        <w:ind w:left="2238" w:leftChars="456" w:hanging="1280" w:hangingChars="400"/>
        <w:jc w:val="left"/>
        <w:rPr>
          <w:rFonts w:hint="eastAsia" w:ascii="宋体" w:hAnsi="宋体" w:cs="宋体"/>
          <w:sz w:val="32"/>
          <w:szCs w:val="32"/>
        </w:rPr>
      </w:pPr>
    </w:p>
    <w:p>
      <w:pPr>
        <w:spacing w:line="560" w:lineRule="atLeast"/>
        <w:ind w:firstLine="904" w:firstLineChars="300"/>
        <w:jc w:val="left"/>
        <w:rPr>
          <w:rFonts w:hint="default" w:ascii="宋体" w:cs="宋体"/>
          <w:b/>
          <w:bCs/>
          <w:sz w:val="30"/>
          <w:szCs w:val="30"/>
          <w:u w:val="single"/>
          <w:lang w:val="en-US"/>
        </w:rPr>
      </w:pPr>
      <w:r>
        <w:rPr>
          <w:rFonts w:hint="eastAsia" w:ascii="宋体" w:hAnsi="宋体" w:cs="宋体"/>
          <w:b/>
          <w:bCs/>
          <w:sz w:val="30"/>
          <w:szCs w:val="30"/>
        </w:rPr>
        <w:t>项目名称：</w:t>
      </w:r>
      <w:r>
        <w:rPr>
          <w:rFonts w:ascii="宋体" w:hAnsi="宋体" w:cs="宋体"/>
          <w:b/>
          <w:bCs/>
          <w:sz w:val="30"/>
          <w:szCs w:val="30"/>
          <w:u w:val="single"/>
        </w:rPr>
        <w:t xml:space="preserve"> </w:t>
      </w:r>
      <w:r>
        <w:rPr>
          <w:rFonts w:hint="eastAsia" w:ascii="宋体" w:hAnsi="宋体" w:cs="宋体"/>
          <w:b/>
          <w:bCs/>
          <w:sz w:val="30"/>
          <w:szCs w:val="30"/>
          <w:u w:val="single"/>
          <w:lang w:val="en-US" w:eastAsia="zh-CN"/>
        </w:rPr>
        <w:t xml:space="preserve">      2021年度高龄津贴        </w:t>
      </w:r>
    </w:p>
    <w:p>
      <w:pPr>
        <w:spacing w:line="560" w:lineRule="atLeast"/>
        <w:ind w:firstLine="904" w:firstLineChars="300"/>
        <w:jc w:val="left"/>
        <w:rPr>
          <w:rFonts w:hint="default" w:ascii="宋体" w:eastAsia="宋体" w:cs="宋体"/>
          <w:b/>
          <w:bCs/>
          <w:sz w:val="30"/>
          <w:szCs w:val="30"/>
          <w:u w:val="single"/>
          <w:lang w:val="en-US" w:eastAsia="zh-CN"/>
        </w:rPr>
      </w:pPr>
      <w:r>
        <w:rPr>
          <w:rFonts w:hint="eastAsia" w:ascii="宋体" w:hAnsi="宋体" w:cs="宋体"/>
          <w:b/>
          <w:bCs/>
          <w:sz w:val="30"/>
          <w:szCs w:val="30"/>
        </w:rPr>
        <w:t>项目单位：</w:t>
      </w:r>
      <w:r>
        <w:rPr>
          <w:rFonts w:ascii="宋体" w:hAnsi="宋体" w:cs="宋体"/>
          <w:b/>
          <w:bCs/>
          <w:sz w:val="30"/>
          <w:szCs w:val="30"/>
          <w:u w:val="single"/>
        </w:rPr>
        <w:t xml:space="preserve">    </w:t>
      </w:r>
      <w:r>
        <w:rPr>
          <w:rFonts w:hint="eastAsia" w:ascii="宋体" w:hAnsi="宋体" w:cs="宋体"/>
          <w:b/>
          <w:bCs/>
          <w:sz w:val="30"/>
          <w:szCs w:val="30"/>
          <w:u w:val="single"/>
          <w:lang w:val="en-US" w:eastAsia="zh-CN"/>
        </w:rPr>
        <w:t xml:space="preserve"> </w:t>
      </w:r>
      <w:r>
        <w:rPr>
          <w:rFonts w:ascii="宋体" w:hAnsi="宋体" w:cs="宋体"/>
          <w:b/>
          <w:bCs/>
          <w:sz w:val="30"/>
          <w:szCs w:val="30"/>
          <w:u w:val="single"/>
        </w:rPr>
        <w:t xml:space="preserve">  </w:t>
      </w:r>
      <w:r>
        <w:rPr>
          <w:rFonts w:hint="eastAsia" w:ascii="宋体" w:hAnsi="宋体" w:cs="宋体"/>
          <w:b/>
          <w:bCs/>
          <w:sz w:val="30"/>
          <w:szCs w:val="30"/>
          <w:u w:val="single"/>
          <w:lang w:val="en-US" w:eastAsia="zh-CN"/>
        </w:rPr>
        <w:t xml:space="preserve">安阳县民政局       </w:t>
      </w:r>
      <w:r>
        <w:rPr>
          <w:rFonts w:ascii="宋体" w:hAnsi="宋体" w:cs="宋体"/>
          <w:b/>
          <w:bCs/>
          <w:sz w:val="30"/>
          <w:szCs w:val="30"/>
          <w:u w:val="single"/>
        </w:rPr>
        <w:t xml:space="preserve">  </w:t>
      </w:r>
      <w:r>
        <w:rPr>
          <w:rFonts w:hint="eastAsia" w:ascii="宋体" w:hAnsi="宋体" w:cs="宋体"/>
          <w:b/>
          <w:bCs/>
          <w:sz w:val="30"/>
          <w:szCs w:val="30"/>
          <w:u w:val="single"/>
          <w:lang w:val="en-US" w:eastAsia="zh-CN"/>
        </w:rPr>
        <w:t xml:space="preserve">    </w:t>
      </w:r>
    </w:p>
    <w:p>
      <w:pPr>
        <w:spacing w:line="560" w:lineRule="atLeast"/>
        <w:ind w:firstLine="904" w:firstLineChars="300"/>
        <w:jc w:val="left"/>
        <w:rPr>
          <w:rFonts w:hint="default" w:ascii="宋体" w:eastAsia="宋体" w:cs="宋体"/>
          <w:b/>
          <w:bCs/>
          <w:sz w:val="30"/>
          <w:szCs w:val="30"/>
          <w:u w:val="single"/>
          <w:lang w:val="en-US" w:eastAsia="zh-CN"/>
        </w:rPr>
      </w:pPr>
      <w:r>
        <w:rPr>
          <w:rFonts w:hint="eastAsia" w:ascii="宋体" w:hAnsi="宋体" w:cs="宋体"/>
          <w:b/>
          <w:bCs/>
          <w:sz w:val="30"/>
          <w:szCs w:val="30"/>
        </w:rPr>
        <w:t>委托单位：</w:t>
      </w:r>
      <w:r>
        <w:rPr>
          <w:rFonts w:ascii="宋体" w:hAnsi="宋体" w:cs="宋体"/>
          <w:b/>
          <w:bCs/>
          <w:sz w:val="30"/>
          <w:szCs w:val="30"/>
          <w:u w:val="single"/>
        </w:rPr>
        <w:t xml:space="preserve">       </w:t>
      </w:r>
      <w:r>
        <w:rPr>
          <w:rFonts w:hint="eastAsia" w:ascii="宋体" w:hAnsi="宋体" w:cs="宋体"/>
          <w:b/>
          <w:bCs/>
          <w:sz w:val="30"/>
          <w:szCs w:val="30"/>
          <w:u w:val="single"/>
          <w:lang w:val="en-US" w:eastAsia="zh-CN"/>
        </w:rPr>
        <w:t>安阳县</w:t>
      </w:r>
      <w:r>
        <w:rPr>
          <w:rFonts w:hint="eastAsia" w:ascii="宋体" w:hAnsi="宋体" w:cs="宋体"/>
          <w:b/>
          <w:bCs/>
          <w:sz w:val="30"/>
          <w:szCs w:val="30"/>
          <w:u w:val="single"/>
        </w:rPr>
        <w:t>财政局</w:t>
      </w:r>
      <w:r>
        <w:rPr>
          <w:rFonts w:ascii="宋体" w:hAnsi="宋体" w:cs="宋体"/>
          <w:b/>
          <w:bCs/>
          <w:sz w:val="30"/>
          <w:szCs w:val="30"/>
          <w:u w:val="single"/>
        </w:rPr>
        <w:t xml:space="preserve">      </w:t>
      </w:r>
      <w:r>
        <w:rPr>
          <w:rFonts w:hint="eastAsia" w:ascii="宋体" w:hAnsi="宋体" w:cs="宋体"/>
          <w:b/>
          <w:bCs/>
          <w:sz w:val="30"/>
          <w:szCs w:val="30"/>
          <w:u w:val="single"/>
          <w:lang w:val="en-US" w:eastAsia="zh-CN"/>
        </w:rPr>
        <w:t xml:space="preserve">       </w:t>
      </w:r>
    </w:p>
    <w:p>
      <w:pPr>
        <w:autoSpaceDE w:val="0"/>
        <w:autoSpaceDN w:val="0"/>
        <w:adjustRightInd w:val="0"/>
        <w:spacing w:line="584" w:lineRule="exact"/>
        <w:ind w:firstLine="904" w:firstLineChars="300"/>
        <w:rPr>
          <w:rFonts w:hint="default" w:ascii="宋体" w:hAnsi="宋体" w:cs="宋体"/>
          <w:b/>
          <w:bCs/>
          <w:sz w:val="30"/>
          <w:szCs w:val="30"/>
          <w:u w:val="single"/>
          <w:lang w:val="en-US" w:eastAsia="zh-CN"/>
        </w:rPr>
      </w:pPr>
      <w:r>
        <w:rPr>
          <w:rFonts w:hint="eastAsia" w:ascii="宋体" w:hAnsi="宋体" w:cs="宋体"/>
          <w:b/>
          <w:bCs/>
          <w:sz w:val="30"/>
          <w:szCs w:val="30"/>
          <w:lang w:val="en-US" w:eastAsia="zh-CN"/>
        </w:rPr>
        <w:t>评价机构：</w:t>
      </w:r>
      <w:r>
        <w:rPr>
          <w:rFonts w:hint="eastAsia" w:ascii="宋体" w:hAnsi="宋体" w:cs="宋体"/>
          <w:b/>
          <w:bCs/>
          <w:sz w:val="30"/>
          <w:szCs w:val="30"/>
          <w:u w:val="single"/>
          <w:lang w:val="en-US" w:eastAsia="zh-CN"/>
        </w:rPr>
        <w:t>河南高审会计师事务所（普通合伙）</w:t>
      </w:r>
    </w:p>
    <w:p>
      <w:pPr>
        <w:tabs>
          <w:tab w:val="left" w:pos="7200"/>
        </w:tabs>
        <w:spacing w:line="560" w:lineRule="atLeast"/>
        <w:ind w:firstLine="250"/>
        <w:jc w:val="center"/>
        <w:rPr>
          <w:rFonts w:ascii="黑体" w:eastAsia="黑体" w:cs="黑体"/>
          <w:b/>
          <w:bCs/>
          <w:sz w:val="36"/>
          <w:szCs w:val="36"/>
        </w:rPr>
      </w:pPr>
    </w:p>
    <w:p>
      <w:pPr>
        <w:tabs>
          <w:tab w:val="left" w:pos="7200"/>
        </w:tabs>
        <w:spacing w:line="560" w:lineRule="atLeast"/>
        <w:ind w:firstLine="250"/>
        <w:jc w:val="center"/>
        <w:rPr>
          <w:rFonts w:ascii="黑体" w:eastAsia="黑体" w:cs="黑体"/>
          <w:sz w:val="36"/>
          <w:szCs w:val="36"/>
        </w:rPr>
      </w:pPr>
    </w:p>
    <w:p>
      <w:pPr>
        <w:tabs>
          <w:tab w:val="left" w:pos="7200"/>
        </w:tabs>
        <w:spacing w:line="560" w:lineRule="atLeast"/>
        <w:ind w:firstLine="250"/>
        <w:jc w:val="center"/>
        <w:rPr>
          <w:rFonts w:ascii="黑体" w:eastAsia="黑体" w:cs="黑体"/>
          <w:sz w:val="36"/>
          <w:szCs w:val="36"/>
        </w:rPr>
      </w:pPr>
    </w:p>
    <w:p>
      <w:pPr>
        <w:tabs>
          <w:tab w:val="left" w:pos="7200"/>
        </w:tabs>
        <w:spacing w:line="560" w:lineRule="atLeast"/>
        <w:ind w:firstLine="250"/>
        <w:jc w:val="center"/>
        <w:rPr>
          <w:rFonts w:hint="eastAsia" w:ascii="黑体" w:eastAsia="黑体" w:cs="黑体"/>
          <w:sz w:val="36"/>
          <w:szCs w:val="36"/>
          <w:lang w:val="en-US" w:eastAsia="zh-CN"/>
        </w:rPr>
      </w:pPr>
    </w:p>
    <w:p>
      <w:pPr>
        <w:tabs>
          <w:tab w:val="left" w:pos="7200"/>
        </w:tabs>
        <w:spacing w:line="560" w:lineRule="atLeast"/>
        <w:ind w:firstLine="250"/>
        <w:jc w:val="center"/>
        <w:rPr>
          <w:rFonts w:hint="eastAsia" w:ascii="黑体" w:hAnsi="黑体" w:eastAsia="黑体" w:cs="黑体"/>
          <w:sz w:val="36"/>
          <w:szCs w:val="36"/>
          <w:lang w:val="en-US" w:eastAsia="zh-CN"/>
        </w:rPr>
      </w:pPr>
    </w:p>
    <w:p>
      <w:pPr>
        <w:tabs>
          <w:tab w:val="left" w:pos="7200"/>
        </w:tabs>
        <w:spacing w:line="560" w:lineRule="atLeast"/>
        <w:ind w:firstLine="250"/>
        <w:jc w:val="center"/>
        <w:rPr>
          <w:rFonts w:hint="eastAsia" w:ascii="黑体" w:hAnsi="黑体" w:eastAsia="黑体" w:cs="黑体"/>
          <w:sz w:val="36"/>
          <w:szCs w:val="36"/>
        </w:rPr>
      </w:pPr>
      <w:r>
        <w:rPr>
          <w:rFonts w:hint="eastAsia" w:ascii="黑体" w:hAnsi="黑体" w:eastAsia="黑体" w:cs="黑体"/>
          <w:sz w:val="36"/>
          <w:szCs w:val="36"/>
          <w:lang w:val="en-US" w:eastAsia="zh-CN"/>
        </w:rPr>
        <w:t>安阳县</w:t>
      </w:r>
      <w:r>
        <w:rPr>
          <w:rFonts w:hint="eastAsia" w:ascii="黑体" w:hAnsi="黑体" w:eastAsia="黑体" w:cs="黑体"/>
          <w:sz w:val="36"/>
          <w:szCs w:val="36"/>
        </w:rPr>
        <w:t>财政局</w:t>
      </w:r>
    </w:p>
    <w:p>
      <w:pPr>
        <w:tabs>
          <w:tab w:val="left" w:pos="7200"/>
        </w:tabs>
        <w:spacing w:line="560" w:lineRule="atLeast"/>
        <w:ind w:firstLine="250"/>
        <w:jc w:val="center"/>
        <w:rPr>
          <w:rFonts w:hint="eastAsia" w:ascii="黑体" w:hAnsi="黑体" w:eastAsia="黑体" w:cs="黑体"/>
          <w:sz w:val="36"/>
          <w:szCs w:val="36"/>
          <w:u w:val="single"/>
        </w:rPr>
      </w:pPr>
      <w:r>
        <w:rPr>
          <w:rFonts w:hint="eastAsia" w:ascii="黑体" w:hAnsi="黑体" w:eastAsia="黑体" w:cs="黑体"/>
          <w:sz w:val="36"/>
          <w:szCs w:val="36"/>
        </w:rPr>
        <w:t>二○二</w:t>
      </w:r>
      <w:r>
        <w:rPr>
          <w:rFonts w:hint="eastAsia" w:ascii="黑体" w:hAnsi="黑体" w:eastAsia="黑体" w:cs="黑体"/>
          <w:sz w:val="36"/>
          <w:szCs w:val="36"/>
          <w:lang w:val="en-US" w:eastAsia="zh-CN"/>
        </w:rPr>
        <w:t>二</w:t>
      </w:r>
      <w:r>
        <w:rPr>
          <w:rFonts w:hint="eastAsia" w:ascii="黑体" w:hAnsi="黑体" w:eastAsia="黑体" w:cs="黑体"/>
          <w:sz w:val="36"/>
          <w:szCs w:val="36"/>
        </w:rPr>
        <w:t>年</w:t>
      </w:r>
      <w:r>
        <w:rPr>
          <w:rFonts w:hint="eastAsia" w:ascii="黑体" w:hAnsi="黑体" w:eastAsia="黑体" w:cs="黑体"/>
          <w:sz w:val="36"/>
          <w:szCs w:val="36"/>
          <w:lang w:val="en-US" w:eastAsia="zh-CN"/>
        </w:rPr>
        <w:t>十</w:t>
      </w:r>
      <w:r>
        <w:rPr>
          <w:rFonts w:hint="eastAsia" w:ascii="黑体" w:hAnsi="黑体" w:eastAsia="黑体" w:cs="黑体"/>
          <w:sz w:val="36"/>
          <w:szCs w:val="36"/>
        </w:rPr>
        <w:t>月</w:t>
      </w:r>
    </w:p>
    <w:p>
      <w:pPr>
        <w:jc w:val="center"/>
        <w:rPr>
          <w:rFonts w:hint="eastAsia" w:ascii="黑体" w:hAnsi="黑体" w:eastAsia="黑体" w:cs="黑体"/>
          <w:b/>
          <w:bCs/>
          <w:color w:val="000000"/>
          <w:kern w:val="32"/>
          <w:sz w:val="36"/>
          <w:szCs w:val="36"/>
        </w:rPr>
      </w:pPr>
      <w:bookmarkStart w:id="0" w:name="_Toc6266"/>
      <w:r>
        <w:rPr>
          <w:rFonts w:hint="eastAsia" w:ascii="黑体" w:hAnsi="黑体" w:eastAsia="黑体" w:cs="黑体"/>
          <w:b/>
          <w:kern w:val="0"/>
          <w:sz w:val="36"/>
          <w:szCs w:val="36"/>
        </w:rPr>
        <w:t>摘  要</w:t>
      </w:r>
      <w:bookmarkEnd w:id="0"/>
    </w:p>
    <w:p>
      <w:pPr>
        <w:pStyle w:val="6"/>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rPr>
        <w:t>根据省委办公厅、省政府办公厅《2019年河南省重点民生实事工作方案》预办【2019】5号；安阳市民政局安阳市财政局《关于印发安阳市高龄津贴发放和管理办法的通知》的文件精神。</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项目预算资金</w:t>
      </w:r>
      <w:r>
        <w:rPr>
          <w:rFonts w:hint="eastAsia" w:ascii="仿宋" w:hAnsi="仿宋" w:eastAsia="仿宋" w:cs="仿宋"/>
          <w:color w:val="000000"/>
          <w:kern w:val="32"/>
          <w:sz w:val="28"/>
          <w:szCs w:val="28"/>
          <w:lang w:val="en-US" w:eastAsia="zh-CN"/>
        </w:rPr>
        <w:t>505.57</w:t>
      </w:r>
      <w:r>
        <w:rPr>
          <w:rFonts w:hint="eastAsia" w:ascii="仿宋" w:hAnsi="仿宋" w:eastAsia="仿宋" w:cs="仿宋"/>
          <w:color w:val="000000"/>
          <w:kern w:val="32"/>
          <w:sz w:val="28"/>
          <w:szCs w:val="28"/>
        </w:rPr>
        <w:t>万元，实际执行</w:t>
      </w:r>
      <w:r>
        <w:rPr>
          <w:rFonts w:hint="eastAsia" w:ascii="仿宋" w:hAnsi="仿宋" w:eastAsia="仿宋" w:cs="仿宋"/>
          <w:color w:val="000000"/>
          <w:kern w:val="32"/>
          <w:sz w:val="28"/>
          <w:szCs w:val="28"/>
          <w:lang w:val="en-US" w:eastAsia="zh-CN"/>
        </w:rPr>
        <w:t>778.36</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其中：县级财政资金699.36万元，省财政匹配资金79万元）</w:t>
      </w:r>
      <w:r>
        <w:rPr>
          <w:rFonts w:hint="eastAsia" w:ascii="仿宋" w:hAnsi="仿宋" w:eastAsia="仿宋" w:cs="仿宋"/>
          <w:color w:val="000000"/>
          <w:kern w:val="32"/>
          <w:sz w:val="28"/>
          <w:szCs w:val="28"/>
        </w:rPr>
        <w:t>，结余</w:t>
      </w:r>
      <w:r>
        <w:rPr>
          <w:rFonts w:hint="eastAsia" w:ascii="仿宋" w:hAnsi="仿宋" w:eastAsia="仿宋" w:cs="仿宋"/>
          <w:color w:val="000000"/>
          <w:kern w:val="32"/>
          <w:sz w:val="28"/>
          <w:szCs w:val="28"/>
          <w:lang w:val="en-US" w:eastAsia="zh-CN"/>
        </w:rPr>
        <w:t>0</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实际执行金额大于预算资金原因为，根据《安阳市民政局安阳市财政局关于做好调整高龄津贴发放标准工作的通知》的文件精神，从2021年7月1日起，高龄津贴发放标准每人每月增加50元</w:t>
      </w:r>
      <w:r>
        <w:rPr>
          <w:rFonts w:hint="eastAsia" w:ascii="仿宋" w:hAnsi="仿宋" w:eastAsia="仿宋" w:cs="仿宋"/>
          <w:color w:val="000000"/>
          <w:kern w:val="32"/>
          <w:sz w:val="28"/>
          <w:szCs w:val="28"/>
        </w:rPr>
        <w:t>。</w:t>
      </w:r>
    </w:p>
    <w:p>
      <w:pPr>
        <w:widowControl/>
        <w:ind w:firstLine="560" w:firstLineChars="200"/>
        <w:jc w:val="left"/>
        <w:textAlignment w:val="center"/>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rPr>
        <w:t>经评价，</w:t>
      </w:r>
      <w:r>
        <w:rPr>
          <w:rFonts w:hint="eastAsia" w:ascii="仿宋" w:hAnsi="仿宋" w:eastAsia="仿宋" w:cs="仿宋"/>
          <w:color w:val="000000"/>
          <w:kern w:val="32"/>
          <w:sz w:val="28"/>
          <w:szCs w:val="28"/>
          <w:highlight w:val="none"/>
        </w:rPr>
        <w:t>该项目评价综合得分</w:t>
      </w:r>
      <w:r>
        <w:rPr>
          <w:rFonts w:hint="eastAsia" w:ascii="仿宋" w:hAnsi="仿宋" w:eastAsia="仿宋" w:cs="仿宋"/>
          <w:color w:val="000000"/>
          <w:kern w:val="32"/>
          <w:sz w:val="28"/>
          <w:szCs w:val="28"/>
          <w:highlight w:val="none"/>
          <w:lang w:val="en-US" w:eastAsia="zh-CN"/>
        </w:rPr>
        <w:t>93.64</w:t>
      </w:r>
      <w:r>
        <w:rPr>
          <w:rFonts w:hint="eastAsia" w:ascii="仿宋" w:hAnsi="仿宋" w:eastAsia="仿宋" w:cs="仿宋"/>
          <w:color w:val="000000"/>
          <w:kern w:val="32"/>
          <w:sz w:val="28"/>
          <w:szCs w:val="28"/>
          <w:highlight w:val="none"/>
        </w:rPr>
        <w:t>分，其中：项目决策评价得分</w:t>
      </w:r>
      <w:r>
        <w:rPr>
          <w:rFonts w:hint="eastAsia" w:ascii="仿宋" w:hAnsi="仿宋" w:eastAsia="仿宋" w:cs="仿宋"/>
          <w:color w:val="000000"/>
          <w:kern w:val="32"/>
          <w:sz w:val="28"/>
          <w:szCs w:val="28"/>
          <w:highlight w:val="none"/>
          <w:lang w:val="en-US" w:eastAsia="zh-CN"/>
        </w:rPr>
        <w:t>13</w:t>
      </w:r>
      <w:r>
        <w:rPr>
          <w:rFonts w:hint="eastAsia" w:ascii="仿宋" w:hAnsi="仿宋" w:eastAsia="仿宋" w:cs="仿宋"/>
          <w:color w:val="000000"/>
          <w:kern w:val="32"/>
          <w:sz w:val="28"/>
          <w:szCs w:val="28"/>
          <w:highlight w:val="none"/>
        </w:rPr>
        <w:t>分，项目过程评价得分</w:t>
      </w:r>
      <w:r>
        <w:rPr>
          <w:rFonts w:hint="eastAsia" w:ascii="仿宋" w:hAnsi="仿宋" w:eastAsia="仿宋" w:cs="仿宋"/>
          <w:color w:val="000000"/>
          <w:kern w:val="32"/>
          <w:sz w:val="28"/>
          <w:szCs w:val="28"/>
          <w:highlight w:val="none"/>
          <w:lang w:val="en-US" w:eastAsia="zh-CN"/>
        </w:rPr>
        <w:t>26</w:t>
      </w:r>
      <w:r>
        <w:rPr>
          <w:rFonts w:hint="eastAsia" w:ascii="仿宋" w:hAnsi="仿宋" w:eastAsia="仿宋" w:cs="仿宋"/>
          <w:color w:val="000000"/>
          <w:kern w:val="32"/>
          <w:sz w:val="28"/>
          <w:szCs w:val="28"/>
          <w:highlight w:val="none"/>
        </w:rPr>
        <w:t>分，项目</w:t>
      </w:r>
      <w:r>
        <w:rPr>
          <w:rFonts w:hint="eastAsia" w:ascii="仿宋" w:hAnsi="仿宋" w:eastAsia="仿宋" w:cs="仿宋"/>
          <w:color w:val="000000"/>
          <w:kern w:val="32"/>
          <w:sz w:val="28"/>
          <w:szCs w:val="28"/>
          <w:highlight w:val="none"/>
          <w:lang w:val="en-US" w:eastAsia="zh-CN"/>
        </w:rPr>
        <w:t>绩效</w:t>
      </w:r>
      <w:r>
        <w:rPr>
          <w:rFonts w:hint="eastAsia" w:ascii="仿宋" w:hAnsi="仿宋" w:eastAsia="仿宋" w:cs="仿宋"/>
          <w:color w:val="000000"/>
          <w:kern w:val="32"/>
          <w:sz w:val="28"/>
          <w:szCs w:val="28"/>
          <w:highlight w:val="none"/>
        </w:rPr>
        <w:t>评价得分</w:t>
      </w:r>
      <w:r>
        <w:rPr>
          <w:rFonts w:hint="eastAsia" w:ascii="仿宋" w:hAnsi="仿宋" w:eastAsia="仿宋" w:cs="仿宋"/>
          <w:color w:val="000000"/>
          <w:kern w:val="32"/>
          <w:sz w:val="28"/>
          <w:szCs w:val="28"/>
          <w:highlight w:val="none"/>
          <w:lang w:val="en-US" w:eastAsia="zh-CN"/>
        </w:rPr>
        <w:t>54.64</w:t>
      </w:r>
      <w:r>
        <w:rPr>
          <w:rFonts w:hint="eastAsia" w:ascii="仿宋" w:hAnsi="仿宋" w:eastAsia="仿宋" w:cs="仿宋"/>
          <w:color w:val="000000"/>
          <w:kern w:val="32"/>
          <w:sz w:val="28"/>
          <w:szCs w:val="28"/>
          <w:highlight w:val="none"/>
        </w:rPr>
        <w:t>分，绩效级别评定为“</w:t>
      </w:r>
      <w:r>
        <w:rPr>
          <w:rFonts w:hint="eastAsia" w:ascii="仿宋" w:hAnsi="仿宋" w:eastAsia="仿宋" w:cs="仿宋"/>
          <w:color w:val="000000"/>
          <w:kern w:val="32"/>
          <w:sz w:val="28"/>
          <w:szCs w:val="28"/>
          <w:highlight w:val="none"/>
          <w:lang w:val="en-US" w:eastAsia="zh-CN"/>
        </w:rPr>
        <w:t>优</w:t>
      </w:r>
      <w:r>
        <w:rPr>
          <w:rFonts w:hint="eastAsia" w:ascii="仿宋" w:hAnsi="仿宋" w:eastAsia="仿宋" w:cs="仿宋"/>
          <w:color w:val="000000"/>
          <w:kern w:val="32"/>
          <w:sz w:val="28"/>
          <w:szCs w:val="28"/>
          <w:highlight w:val="none"/>
        </w:rPr>
        <w:t>”。</w:t>
      </w:r>
    </w:p>
    <w:p>
      <w:pPr>
        <w:pStyle w:val="6"/>
        <w:rPr>
          <w:rFonts w:ascii="仿宋_GB2312" w:eastAsia="仿宋_GB2312"/>
          <w:sz w:val="32"/>
          <w:szCs w:val="32"/>
        </w:rPr>
      </w:pPr>
      <w:r>
        <w:rPr>
          <w:rFonts w:ascii="仿宋_GB2312" w:eastAsia="仿宋_GB2312"/>
          <w:sz w:val="32"/>
          <w:szCs w:val="32"/>
        </w:rPr>
        <w:t xml:space="preserve"> </w:t>
      </w: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both"/>
        <w:textAlignment w:val="center"/>
        <w:rPr>
          <w:rFonts w:ascii="宋体"/>
          <w:kern w:val="0"/>
          <w:sz w:val="30"/>
          <w:szCs w:val="30"/>
        </w:rPr>
      </w:pPr>
    </w:p>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r>
        <w:rPr>
          <w:rFonts w:hint="eastAsia" w:ascii="仿宋" w:hAnsi="仿宋" w:eastAsia="仿宋" w:cs="仿宋"/>
          <w:sz w:val="32"/>
          <w:szCs w:val="32"/>
        </w:rPr>
        <w:t>目</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录</w:t>
      </w:r>
    </w:p>
    <w:p>
      <w:pPr>
        <w:pStyle w:val="13"/>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_Toc6205 </w:instrText>
      </w:r>
      <w:r>
        <w:rPr>
          <w:rFonts w:hint="eastAsia" w:ascii="仿宋" w:hAnsi="仿宋" w:eastAsia="仿宋" w:cs="仿宋"/>
          <w:sz w:val="28"/>
          <w:szCs w:val="28"/>
        </w:rPr>
        <w:fldChar w:fldCharType="separate"/>
      </w:r>
      <w:r>
        <w:rPr>
          <w:rFonts w:hint="eastAsia" w:ascii="仿宋" w:hAnsi="仿宋" w:eastAsia="仿宋" w:cs="仿宋"/>
          <w:bCs w:val="0"/>
          <w:sz w:val="28"/>
          <w:szCs w:val="28"/>
        </w:rPr>
        <w:t>一、项目基本情况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_Toc6205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_Toc19273 </w:instrText>
      </w:r>
      <w:r>
        <w:rPr>
          <w:rFonts w:hint="eastAsia" w:ascii="仿宋" w:hAnsi="仿宋" w:eastAsia="仿宋" w:cs="仿宋"/>
          <w:sz w:val="28"/>
          <w:szCs w:val="28"/>
        </w:rPr>
        <w:fldChar w:fldCharType="separate"/>
      </w:r>
      <w:r>
        <w:rPr>
          <w:rFonts w:hint="eastAsia" w:ascii="仿宋" w:hAnsi="仿宋" w:eastAsia="仿宋" w:cs="仿宋"/>
          <w:bCs w:val="0"/>
          <w:sz w:val="28"/>
          <w:szCs w:val="28"/>
        </w:rPr>
        <w:t>（一）概况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_Toc19273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_Toc6866 </w:instrText>
      </w:r>
      <w:r>
        <w:rPr>
          <w:rFonts w:hint="eastAsia" w:ascii="仿宋" w:hAnsi="仿宋" w:eastAsia="仿宋" w:cs="仿宋"/>
          <w:sz w:val="28"/>
          <w:szCs w:val="28"/>
        </w:rPr>
        <w:fldChar w:fldCharType="separate"/>
      </w:r>
      <w:r>
        <w:rPr>
          <w:rFonts w:hint="eastAsia" w:ascii="仿宋" w:hAnsi="仿宋" w:eastAsia="仿宋" w:cs="仿宋"/>
          <w:bCs w:val="0"/>
          <w:sz w:val="28"/>
          <w:szCs w:val="28"/>
        </w:rPr>
        <w:t>（二）绩效目标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_Toc6866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_Toc30175 </w:instrText>
      </w:r>
      <w:r>
        <w:rPr>
          <w:rFonts w:hint="eastAsia" w:ascii="仿宋" w:hAnsi="仿宋" w:eastAsia="仿宋" w:cs="仿宋"/>
          <w:sz w:val="28"/>
          <w:szCs w:val="28"/>
        </w:rPr>
        <w:fldChar w:fldCharType="separate"/>
      </w:r>
      <w:r>
        <w:rPr>
          <w:rFonts w:hint="eastAsia" w:ascii="仿宋" w:hAnsi="仿宋" w:eastAsia="仿宋" w:cs="仿宋"/>
          <w:kern w:val="0"/>
          <w:sz w:val="28"/>
          <w:szCs w:val="28"/>
        </w:rPr>
        <w:t>二、绩效评价工作情况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_Toc30175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_Toc15533 </w:instrText>
      </w:r>
      <w:r>
        <w:rPr>
          <w:rFonts w:hint="eastAsia" w:ascii="仿宋" w:hAnsi="仿宋" w:eastAsia="仿宋" w:cs="仿宋"/>
          <w:sz w:val="28"/>
          <w:szCs w:val="28"/>
        </w:rPr>
        <w:fldChar w:fldCharType="separate"/>
      </w:r>
      <w:r>
        <w:rPr>
          <w:rFonts w:hint="eastAsia" w:ascii="仿宋" w:hAnsi="仿宋" w:eastAsia="仿宋" w:cs="仿宋"/>
          <w:bCs w:val="0"/>
          <w:kern w:val="32"/>
          <w:sz w:val="28"/>
          <w:szCs w:val="28"/>
        </w:rPr>
        <w:t>（一）绩效评价目的</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_Toc15533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_Toc400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rPr>
        <w:t>（二）绩效评价工作方案制定过程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_Toc400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_Toc17266 </w:instrText>
      </w:r>
      <w:r>
        <w:rPr>
          <w:rFonts w:hint="eastAsia" w:ascii="仿宋" w:hAnsi="仿宋" w:eastAsia="仿宋" w:cs="仿宋"/>
          <w:sz w:val="28"/>
          <w:szCs w:val="28"/>
        </w:rPr>
        <w:fldChar w:fldCharType="separate"/>
      </w:r>
      <w:r>
        <w:rPr>
          <w:rFonts w:hint="eastAsia" w:ascii="仿宋" w:hAnsi="仿宋" w:eastAsia="仿宋" w:cs="仿宋"/>
          <w:bCs w:val="0"/>
          <w:kern w:val="32"/>
          <w:sz w:val="28"/>
          <w:szCs w:val="28"/>
        </w:rPr>
        <w:t>（三）</w:t>
      </w:r>
      <w:r>
        <w:rPr>
          <w:rFonts w:hint="eastAsia" w:ascii="仿宋" w:hAnsi="仿宋" w:eastAsia="仿宋" w:cs="仿宋"/>
          <w:bCs w:val="0"/>
          <w:kern w:val="0"/>
          <w:sz w:val="28"/>
          <w:szCs w:val="28"/>
        </w:rPr>
        <w:t>绩效评价原则、评价方法等</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_Toc17266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_Toc30427 </w:instrText>
      </w:r>
      <w:r>
        <w:rPr>
          <w:rFonts w:hint="eastAsia" w:ascii="仿宋" w:hAnsi="仿宋" w:eastAsia="仿宋" w:cs="仿宋"/>
          <w:sz w:val="28"/>
          <w:szCs w:val="28"/>
        </w:rPr>
        <w:fldChar w:fldCharType="separate"/>
      </w:r>
      <w:r>
        <w:rPr>
          <w:rFonts w:hint="eastAsia" w:ascii="仿宋" w:hAnsi="仿宋" w:eastAsia="仿宋" w:cs="仿宋"/>
          <w:bCs w:val="0"/>
          <w:kern w:val="32"/>
          <w:sz w:val="28"/>
          <w:szCs w:val="28"/>
        </w:rPr>
        <w:t>（四）数据采集方法及过程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_Toc30427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_Toc12643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rPr>
        <w:t>（五）绩效评价实施过程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_Toc12643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_Toc948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highlight w:val="none"/>
        </w:rPr>
        <w:t>（六）绩效评价的局限性</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_Toc948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_Toc18036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rPr>
        <w:t>三、评价结论和绩效分析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_Toc18036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_Toc21191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rPr>
        <w:t>（一）评价结论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_Toc21191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_Toc27400 </w:instrText>
      </w:r>
      <w:r>
        <w:rPr>
          <w:rFonts w:hint="eastAsia" w:ascii="仿宋" w:hAnsi="仿宋" w:eastAsia="仿宋" w:cs="仿宋"/>
          <w:sz w:val="28"/>
          <w:szCs w:val="28"/>
        </w:rPr>
        <w:fldChar w:fldCharType="separate"/>
      </w:r>
      <w:r>
        <w:rPr>
          <w:rFonts w:hint="eastAsia" w:ascii="仿宋" w:hAnsi="仿宋" w:eastAsia="仿宋" w:cs="仿宋"/>
          <w:bCs/>
          <w:sz w:val="28"/>
          <w:szCs w:val="28"/>
        </w:rPr>
        <w:t>（</w:t>
      </w:r>
      <w:r>
        <w:rPr>
          <w:rFonts w:hint="eastAsia" w:ascii="仿宋" w:hAnsi="仿宋" w:eastAsia="仿宋" w:cs="仿宋"/>
          <w:bCs/>
          <w:sz w:val="28"/>
          <w:szCs w:val="28"/>
          <w:lang w:val="en-US" w:eastAsia="zh-CN"/>
        </w:rPr>
        <w:t>二</w:t>
      </w:r>
      <w:r>
        <w:rPr>
          <w:rFonts w:hint="eastAsia" w:ascii="仿宋" w:hAnsi="仿宋" w:eastAsia="仿宋" w:cs="仿宋"/>
          <w:bCs/>
          <w:sz w:val="28"/>
          <w:szCs w:val="28"/>
        </w:rPr>
        <w:t>）绩效指标对比分析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_Toc27400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_Toc22900 </w:instrText>
      </w:r>
      <w:r>
        <w:rPr>
          <w:rFonts w:hint="eastAsia" w:ascii="仿宋" w:hAnsi="仿宋" w:eastAsia="仿宋" w:cs="仿宋"/>
          <w:sz w:val="28"/>
          <w:szCs w:val="28"/>
        </w:rPr>
        <w:fldChar w:fldCharType="separate"/>
      </w:r>
      <w:r>
        <w:rPr>
          <w:rFonts w:hint="eastAsia" w:ascii="仿宋" w:hAnsi="仿宋" w:eastAsia="仿宋" w:cs="仿宋"/>
          <w:bCs w:val="0"/>
          <w:kern w:val="32"/>
          <w:sz w:val="28"/>
          <w:szCs w:val="28"/>
        </w:rPr>
        <w:t>（</w:t>
      </w:r>
      <w:r>
        <w:rPr>
          <w:rFonts w:hint="eastAsia" w:ascii="仿宋" w:hAnsi="仿宋" w:eastAsia="仿宋" w:cs="仿宋"/>
          <w:bCs w:val="0"/>
          <w:kern w:val="32"/>
          <w:sz w:val="28"/>
          <w:szCs w:val="28"/>
          <w:lang w:val="en-US" w:eastAsia="zh-CN"/>
        </w:rPr>
        <w:t>三</w:t>
      </w:r>
      <w:r>
        <w:rPr>
          <w:rFonts w:hint="eastAsia" w:ascii="仿宋" w:hAnsi="仿宋" w:eastAsia="仿宋" w:cs="仿宋"/>
          <w:bCs w:val="0"/>
          <w:kern w:val="32"/>
          <w:sz w:val="28"/>
          <w:szCs w:val="28"/>
        </w:rPr>
        <w:t>）具体绩效分析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_Toc22900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_Toc8031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rPr>
        <w:t>四、 评价中发现的主要问题及有关建议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_Toc8031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_Toc17596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rPr>
        <w:t>五、其他需说明的问题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_Toc17596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_Toc15738 </w:instrText>
      </w:r>
      <w:r>
        <w:rPr>
          <w:rFonts w:hint="eastAsia" w:ascii="仿宋" w:hAnsi="仿宋" w:eastAsia="仿宋" w:cs="仿宋"/>
          <w:sz w:val="28"/>
          <w:szCs w:val="28"/>
        </w:rPr>
        <w:fldChar w:fldCharType="separate"/>
      </w:r>
      <w:r>
        <w:rPr>
          <w:rFonts w:hint="eastAsia" w:ascii="仿宋" w:hAnsi="仿宋" w:eastAsia="仿宋" w:cs="仿宋"/>
          <w:bCs w:val="0"/>
          <w:kern w:val="0"/>
          <w:sz w:val="28"/>
          <w:szCs w:val="28"/>
        </w:rPr>
        <w:t>六、附件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_Toc15738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spacing w:before="0" w:beforeLines="0" w:after="0" w:afterLines="0" w:line="240" w:lineRule="auto"/>
        <w:ind w:left="0" w:leftChars="0" w:right="0" w:rightChars="0" w:firstLine="0" w:firstLineChars="0"/>
        <w:jc w:val="center"/>
        <w:outlineLvl w:val="1"/>
        <w:rPr>
          <w:rFonts w:hint="eastAsia" w:ascii="仿宋" w:hAnsi="仿宋" w:eastAsia="仿宋" w:cs="仿宋"/>
          <w:sz w:val="28"/>
          <w:szCs w:val="28"/>
        </w:rPr>
      </w:pPr>
      <w:r>
        <w:rPr>
          <w:rFonts w:hint="eastAsia" w:ascii="仿宋" w:hAnsi="仿宋" w:eastAsia="仿宋" w:cs="仿宋"/>
          <w:sz w:val="28"/>
          <w:szCs w:val="28"/>
        </w:rPr>
        <w:fldChar w:fldCharType="end"/>
      </w:r>
    </w:p>
    <w:p/>
    <w:p>
      <w:pPr>
        <w:autoSpaceDE w:val="0"/>
        <w:autoSpaceDN w:val="0"/>
        <w:adjustRightInd w:val="0"/>
        <w:snapToGrid w:val="0"/>
        <w:spacing w:line="584" w:lineRule="exact"/>
        <w:jc w:val="center"/>
        <w:outlineLvl w:val="9"/>
        <w:rPr>
          <w:rFonts w:ascii="黑体" w:eastAsia="黑体"/>
          <w:bCs/>
          <w:kern w:val="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425" w:num="1"/>
          <w:docGrid w:type="lines" w:linePitch="312" w:charSpace="0"/>
        </w:sectPr>
      </w:pPr>
    </w:p>
    <w:p>
      <w:pPr>
        <w:pStyle w:val="17"/>
        <w:keepNext w:val="0"/>
        <w:keepLines w:val="0"/>
        <w:pageBreakBefore w:val="0"/>
        <w:widowControl w:val="0"/>
        <w:kinsoku/>
        <w:wordWrap/>
        <w:overflowPunct/>
        <w:topLinePunct w:val="0"/>
        <w:autoSpaceDE/>
        <w:autoSpaceDN/>
        <w:bidi w:val="0"/>
        <w:adjustRightInd/>
        <w:snapToGrid/>
        <w:spacing w:before="0" w:after="0"/>
        <w:ind w:firstLine="0" w:firstLineChars="0"/>
        <w:textAlignment w:val="auto"/>
        <w:outlineLvl w:val="9"/>
        <w:rPr>
          <w:rFonts w:hint="default" w:eastAsia="宋体"/>
          <w:sz w:val="36"/>
          <w:szCs w:val="36"/>
          <w:lang w:val="en-US" w:eastAsia="zh-CN"/>
        </w:rPr>
      </w:pPr>
      <w:bookmarkStart w:id="1" w:name="_Toc21186"/>
      <w:bookmarkStart w:id="2" w:name="_Toc4591"/>
      <w:bookmarkStart w:id="3" w:name="_Toc5165"/>
      <w:bookmarkStart w:id="4" w:name="_Toc9210"/>
      <w:bookmarkStart w:id="5" w:name="_Toc7016"/>
      <w:bookmarkStart w:id="6" w:name="_Toc11922"/>
      <w:r>
        <w:rPr>
          <w:rFonts w:hint="eastAsia"/>
          <w:sz w:val="36"/>
          <w:szCs w:val="36"/>
          <w:lang w:val="en-US" w:eastAsia="zh-CN"/>
        </w:rPr>
        <w:t>安阳县民政局2021年度</w:t>
      </w:r>
      <w:bookmarkEnd w:id="1"/>
      <w:bookmarkEnd w:id="2"/>
      <w:bookmarkEnd w:id="3"/>
      <w:bookmarkEnd w:id="4"/>
      <w:bookmarkEnd w:id="5"/>
      <w:bookmarkEnd w:id="6"/>
    </w:p>
    <w:p>
      <w:pPr>
        <w:pStyle w:val="17"/>
        <w:keepNext w:val="0"/>
        <w:keepLines w:val="0"/>
        <w:pageBreakBefore w:val="0"/>
        <w:widowControl w:val="0"/>
        <w:kinsoku/>
        <w:wordWrap/>
        <w:overflowPunct/>
        <w:topLinePunct w:val="0"/>
        <w:autoSpaceDE/>
        <w:autoSpaceDN/>
        <w:bidi w:val="0"/>
        <w:adjustRightInd/>
        <w:snapToGrid/>
        <w:spacing w:before="0" w:after="0"/>
        <w:ind w:firstLine="0" w:firstLineChars="0"/>
        <w:textAlignment w:val="auto"/>
        <w:outlineLvl w:val="9"/>
        <w:rPr>
          <w:rFonts w:hint="eastAsia"/>
          <w:sz w:val="24"/>
          <w:szCs w:val="24"/>
          <w:lang w:val="en-US" w:eastAsia="zh-CN"/>
        </w:rPr>
      </w:pPr>
      <w:bookmarkStart w:id="7" w:name="_Toc19105"/>
      <w:bookmarkStart w:id="8" w:name="_Toc5493"/>
      <w:bookmarkStart w:id="9" w:name="_Toc237"/>
      <w:bookmarkStart w:id="10" w:name="_Toc28743"/>
      <w:bookmarkStart w:id="11" w:name="_Toc21535"/>
      <w:bookmarkStart w:id="12" w:name="_Toc29543"/>
      <w:bookmarkStart w:id="13" w:name="_Toc25714"/>
      <w:r>
        <w:rPr>
          <w:rFonts w:hint="eastAsia"/>
          <w:sz w:val="36"/>
          <w:szCs w:val="36"/>
        </w:rPr>
        <w:t>“</w:t>
      </w:r>
      <w:r>
        <w:rPr>
          <w:rFonts w:hint="eastAsia"/>
          <w:sz w:val="36"/>
          <w:szCs w:val="36"/>
          <w:lang w:val="en-US" w:eastAsia="zh-CN"/>
        </w:rPr>
        <w:t>高龄津贴</w:t>
      </w:r>
      <w:r>
        <w:rPr>
          <w:rFonts w:hint="eastAsia"/>
          <w:sz w:val="36"/>
          <w:szCs w:val="36"/>
        </w:rPr>
        <w:t>”</w:t>
      </w:r>
      <w:bookmarkEnd w:id="7"/>
      <w:r>
        <w:rPr>
          <w:rFonts w:hint="eastAsia"/>
          <w:sz w:val="36"/>
          <w:szCs w:val="36"/>
        </w:rPr>
        <w:t>项目</w:t>
      </w:r>
      <w:bookmarkStart w:id="14" w:name="_Toc15449"/>
      <w:r>
        <w:rPr>
          <w:rFonts w:hint="eastAsia"/>
          <w:sz w:val="36"/>
          <w:szCs w:val="36"/>
        </w:rPr>
        <w:t>绩效评价报告</w:t>
      </w:r>
      <w:bookmarkEnd w:id="8"/>
      <w:bookmarkEnd w:id="9"/>
      <w:bookmarkEnd w:id="10"/>
      <w:bookmarkEnd w:id="11"/>
      <w:bookmarkEnd w:id="12"/>
      <w:bookmarkEnd w:id="13"/>
      <w:bookmarkEnd w:id="14"/>
    </w:p>
    <w:p>
      <w:pPr>
        <w:keepNext w:val="0"/>
        <w:keepLines w:val="0"/>
        <w:pageBreakBefore w:val="0"/>
        <w:widowControl w:val="0"/>
        <w:kinsoku/>
        <w:wordWrap/>
        <w:overflowPunct/>
        <w:topLinePunct w:val="0"/>
        <w:autoSpaceDE/>
        <w:autoSpaceDN/>
        <w:bidi w:val="0"/>
        <w:adjustRightInd/>
        <w:snapToGrid/>
        <w:spacing w:line="360" w:lineRule="auto"/>
        <w:ind w:firstLine="561"/>
        <w:jc w:val="right"/>
        <w:textAlignment w:val="auto"/>
        <w:outlineLvl w:val="9"/>
        <w:rPr>
          <w:rFonts w:hint="eastAsia"/>
          <w:sz w:val="24"/>
          <w:szCs w:val="24"/>
          <w:lang w:val="en-US" w:eastAsia="zh-CN"/>
        </w:rPr>
      </w:pPr>
      <w:bookmarkStart w:id="15" w:name="_Toc23821"/>
      <w:bookmarkStart w:id="16" w:name="_Toc7740"/>
      <w:bookmarkStart w:id="17" w:name="_Toc3789"/>
      <w:bookmarkStart w:id="18" w:name="_Toc7989"/>
      <w:bookmarkStart w:id="19" w:name="_Toc25697"/>
      <w:r>
        <w:rPr>
          <w:rFonts w:hint="eastAsia"/>
          <w:sz w:val="24"/>
          <w:szCs w:val="24"/>
          <w:lang w:val="en-US" w:eastAsia="zh-CN"/>
        </w:rPr>
        <w:t>高审咨字【2022】第1001号</w:t>
      </w:r>
      <w:bookmarkEnd w:id="15"/>
      <w:bookmarkEnd w:id="16"/>
      <w:bookmarkEnd w:id="17"/>
      <w:bookmarkEnd w:id="18"/>
      <w:bookmarkEnd w:id="19"/>
      <w:bookmarkStart w:id="20" w:name="_Toc424220293"/>
      <w:bookmarkStart w:id="21" w:name="_Toc424220248"/>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rPr>
      </w:pPr>
      <w:bookmarkStart w:id="22" w:name="_Toc25551"/>
      <w:bookmarkStart w:id="23" w:name="_Toc14224"/>
      <w:bookmarkStart w:id="24" w:name="_Toc20073"/>
      <w:bookmarkStart w:id="25" w:name="_Toc18851"/>
      <w:bookmarkStart w:id="26" w:name="_Toc25293"/>
      <w:r>
        <w:rPr>
          <w:rFonts w:hint="eastAsia" w:ascii="仿宋" w:hAnsi="仿宋" w:eastAsia="仿宋" w:cs="仿宋"/>
          <w:b/>
          <w:bCs/>
          <w:color w:val="000000"/>
          <w:kern w:val="32"/>
          <w:sz w:val="28"/>
          <w:szCs w:val="28"/>
          <w:lang w:val="en-US" w:eastAsia="zh-CN" w:bidi="ar-SA"/>
        </w:rPr>
        <w:t>安阳县财政局：</w:t>
      </w:r>
      <w:bookmarkEnd w:id="22"/>
      <w:bookmarkEnd w:id="23"/>
      <w:bookmarkEnd w:id="24"/>
      <w:bookmarkEnd w:id="25"/>
      <w:bookmarkEnd w:id="26"/>
    </w:p>
    <w:p>
      <w:pPr>
        <w:pStyle w:val="6"/>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lang w:val="en-US" w:eastAsia="zh-CN"/>
        </w:rPr>
        <w:t>我们接受贵单位委托，</w:t>
      </w:r>
      <w:r>
        <w:rPr>
          <w:rFonts w:hint="eastAsia" w:ascii="仿宋" w:hAnsi="仿宋" w:eastAsia="仿宋" w:cs="仿宋"/>
          <w:color w:val="000000"/>
          <w:kern w:val="32"/>
          <w:sz w:val="28"/>
          <w:szCs w:val="28"/>
        </w:rPr>
        <w:t>为进一步加强预算绩效管理，提高绩效意识，强化支出责任，提高财政资金使用效益和财政支出管理水平</w:t>
      </w:r>
      <w:r>
        <w:rPr>
          <w:rFonts w:hint="eastAsia" w:ascii="仿宋" w:hAnsi="仿宋" w:eastAsia="仿宋" w:cs="仿宋"/>
          <w:color w:val="000000"/>
          <w:kern w:val="32"/>
          <w:sz w:val="28"/>
          <w:szCs w:val="28"/>
          <w:lang w:val="en-US" w:eastAsia="zh-CN"/>
        </w:rPr>
        <w:t>，根据《中华人民共和国预算法》、《财政支出绩效评价管理办法》(财预〔2020〕10号）以及《关于做好2021年财政支出重点项目及部门绩效评价工作的通知》（安县财效【2022】4号）</w:t>
      </w:r>
      <w:r>
        <w:rPr>
          <w:rFonts w:hint="eastAsia" w:ascii="仿宋" w:hAnsi="仿宋" w:eastAsia="仿宋" w:cs="仿宋"/>
          <w:spacing w:val="-6"/>
          <w:sz w:val="28"/>
          <w:szCs w:val="28"/>
        </w:rPr>
        <w:t>等</w:t>
      </w:r>
      <w:r>
        <w:rPr>
          <w:rFonts w:hint="eastAsia" w:ascii="仿宋" w:hAnsi="仿宋" w:eastAsia="仿宋" w:cs="仿宋"/>
          <w:color w:val="000000"/>
          <w:sz w:val="28"/>
          <w:szCs w:val="28"/>
        </w:rPr>
        <w:t>文件要求，</w:t>
      </w:r>
      <w:r>
        <w:rPr>
          <w:rFonts w:hint="eastAsia" w:ascii="仿宋" w:hAnsi="仿宋" w:eastAsia="仿宋" w:cs="仿宋"/>
          <w:color w:val="000000"/>
          <w:kern w:val="32"/>
          <w:sz w:val="28"/>
          <w:szCs w:val="28"/>
        </w:rPr>
        <w:t>对</w:t>
      </w:r>
      <w:r>
        <w:rPr>
          <w:rFonts w:hint="eastAsia" w:ascii="仿宋" w:hAnsi="仿宋" w:eastAsia="仿宋" w:cs="仿宋"/>
          <w:color w:val="000000"/>
          <w:kern w:val="32"/>
          <w:sz w:val="28"/>
          <w:szCs w:val="28"/>
          <w:lang w:val="en-US" w:eastAsia="zh-CN"/>
        </w:rPr>
        <w:t>安阳县民政局2021</w:t>
      </w:r>
      <w:r>
        <w:rPr>
          <w:rFonts w:hint="eastAsia" w:ascii="仿宋" w:hAnsi="仿宋" w:eastAsia="仿宋" w:cs="仿宋"/>
          <w:color w:val="000000"/>
          <w:kern w:val="32"/>
          <w:sz w:val="28"/>
          <w:szCs w:val="28"/>
        </w:rPr>
        <w:t>年度“</w:t>
      </w:r>
      <w:r>
        <w:rPr>
          <w:rFonts w:hint="eastAsia" w:ascii="仿宋" w:hAnsi="仿宋" w:eastAsia="仿宋" w:cs="仿宋"/>
          <w:color w:val="000000"/>
          <w:kern w:val="32"/>
          <w:sz w:val="28"/>
          <w:szCs w:val="28"/>
          <w:lang w:val="en-US" w:eastAsia="zh-CN"/>
        </w:rPr>
        <w:t>高龄津贴</w:t>
      </w:r>
      <w:r>
        <w:rPr>
          <w:rFonts w:hint="eastAsia" w:ascii="仿宋" w:hAnsi="仿宋" w:eastAsia="仿宋" w:cs="仿宋"/>
          <w:color w:val="000000"/>
          <w:kern w:val="32"/>
          <w:sz w:val="28"/>
          <w:szCs w:val="28"/>
        </w:rPr>
        <w:t>”项目的绩效完成情况实施绩效评价，形成本绩效评价报告。</w:t>
      </w:r>
      <w:bookmarkEnd w:id="20"/>
      <w:bookmarkEnd w:id="21"/>
    </w:p>
    <w:p>
      <w:pPr>
        <w:pStyle w:val="5"/>
        <w:spacing w:before="0" w:after="0" w:line="360" w:lineRule="auto"/>
        <w:ind w:firstLine="562" w:firstLineChars="200"/>
        <w:outlineLvl w:val="0"/>
        <w:rPr>
          <w:rFonts w:hint="eastAsia" w:ascii="仿宋" w:hAnsi="仿宋" w:eastAsia="仿宋" w:cs="仿宋"/>
          <w:b/>
          <w:bCs w:val="0"/>
          <w:sz w:val="28"/>
          <w:szCs w:val="28"/>
        </w:rPr>
      </w:pPr>
      <w:bookmarkStart w:id="27" w:name="_Toc17190"/>
      <w:bookmarkStart w:id="28" w:name="_Toc22680"/>
      <w:bookmarkStart w:id="29" w:name="_Toc31803"/>
      <w:bookmarkStart w:id="30" w:name="_Toc31111"/>
      <w:bookmarkStart w:id="31" w:name="_Toc31573"/>
      <w:bookmarkStart w:id="32" w:name="_Toc29541"/>
      <w:bookmarkStart w:id="33" w:name="_Toc6205"/>
      <w:bookmarkStart w:id="34" w:name="_Toc47736003"/>
      <w:r>
        <w:rPr>
          <w:rFonts w:hint="eastAsia" w:ascii="仿宋" w:hAnsi="仿宋" w:eastAsia="仿宋" w:cs="仿宋"/>
          <w:b/>
          <w:bCs w:val="0"/>
          <w:sz w:val="28"/>
          <w:szCs w:val="28"/>
        </w:rPr>
        <w:t>一、项目基本情况</w:t>
      </w:r>
      <w:bookmarkEnd w:id="27"/>
      <w:bookmarkEnd w:id="28"/>
      <w:bookmarkEnd w:id="29"/>
      <w:bookmarkEnd w:id="30"/>
      <w:bookmarkEnd w:id="31"/>
      <w:bookmarkEnd w:id="32"/>
      <w:bookmarkEnd w:id="33"/>
      <w:bookmarkEnd w:id="34"/>
    </w:p>
    <w:p>
      <w:pPr>
        <w:spacing w:before="0" w:after="0" w:line="360" w:lineRule="auto"/>
        <w:ind w:firstLine="562" w:firstLineChars="200"/>
        <w:outlineLvl w:val="1"/>
        <w:rPr>
          <w:rFonts w:hint="eastAsia" w:ascii="仿宋" w:hAnsi="仿宋" w:eastAsia="仿宋" w:cs="仿宋"/>
          <w:b/>
          <w:bCs w:val="0"/>
          <w:sz w:val="28"/>
          <w:szCs w:val="28"/>
        </w:rPr>
      </w:pPr>
      <w:bookmarkStart w:id="35" w:name="_Toc17320"/>
      <w:bookmarkStart w:id="36" w:name="_Toc29381"/>
      <w:bookmarkStart w:id="37" w:name="_Toc9001"/>
      <w:bookmarkStart w:id="38" w:name="_Toc5037"/>
      <w:bookmarkStart w:id="39" w:name="_Toc22132"/>
      <w:bookmarkStart w:id="40" w:name="_Toc19273"/>
      <w:bookmarkStart w:id="41" w:name="_Toc47736004"/>
      <w:bookmarkStart w:id="42" w:name="_Toc31187"/>
      <w:r>
        <w:rPr>
          <w:rFonts w:hint="eastAsia" w:ascii="仿宋" w:hAnsi="仿宋" w:eastAsia="仿宋" w:cs="仿宋"/>
          <w:b/>
          <w:bCs w:val="0"/>
          <w:sz w:val="28"/>
          <w:szCs w:val="28"/>
        </w:rPr>
        <w:t>（一）概况</w:t>
      </w:r>
      <w:bookmarkEnd w:id="35"/>
      <w:bookmarkEnd w:id="36"/>
      <w:bookmarkEnd w:id="37"/>
      <w:bookmarkEnd w:id="38"/>
      <w:bookmarkEnd w:id="39"/>
      <w:bookmarkEnd w:id="40"/>
      <w:bookmarkEnd w:id="41"/>
      <w:bookmarkEnd w:id="42"/>
    </w:p>
    <w:p>
      <w:pPr>
        <w:tabs>
          <w:tab w:val="left" w:pos="709"/>
        </w:tabs>
        <w:spacing w:line="360" w:lineRule="auto"/>
        <w:ind w:firstLine="560" w:firstLineChars="200"/>
        <w:outlineLvl w:val="3"/>
        <w:rPr>
          <w:rFonts w:hint="eastAsia" w:ascii="仿宋" w:hAnsi="仿宋" w:eastAsia="仿宋" w:cs="仿宋"/>
          <w:color w:val="000000"/>
          <w:kern w:val="32"/>
          <w:sz w:val="28"/>
          <w:szCs w:val="28"/>
        </w:rPr>
      </w:pPr>
      <w:bookmarkStart w:id="43" w:name="_Toc21783"/>
      <w:bookmarkStart w:id="44" w:name="_Toc26617"/>
      <w:r>
        <w:rPr>
          <w:rFonts w:hint="eastAsia" w:ascii="仿宋" w:hAnsi="仿宋" w:eastAsia="仿宋" w:cs="仿宋"/>
          <w:kern w:val="0"/>
          <w:sz w:val="28"/>
          <w:szCs w:val="28"/>
        </w:rPr>
        <w:t>1.</w:t>
      </w:r>
      <w:r>
        <w:rPr>
          <w:rFonts w:hint="eastAsia" w:ascii="仿宋" w:hAnsi="仿宋" w:eastAsia="仿宋" w:cs="仿宋"/>
          <w:color w:val="000000"/>
          <w:kern w:val="32"/>
          <w:sz w:val="28"/>
          <w:szCs w:val="28"/>
        </w:rPr>
        <w:t>立项背景及目的</w:t>
      </w:r>
      <w:bookmarkEnd w:id="43"/>
      <w:bookmarkEnd w:id="44"/>
    </w:p>
    <w:p>
      <w:pPr>
        <w:pStyle w:val="6"/>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rPr>
        <w:t>根据《中华人民共和国老年人权益保障法》、《国务院办公厅关于推进养老服务发展的竟见》（国办发[2019]5号）精神及《中共河南省委办公厅、省政府办公厅&lt;2019年河南省重点民生实事工作方案&gt;的通知》（豫办[2019]5号）、《河南省民政厅 河南省财政厅关于实施高龄津贴制度的通知》（豫民文[2019]109号）要求，结合安阳市民政局、安阳市财政局《关于印发安阳市高龄津贴发放和管理办法的通知》。</w:t>
      </w:r>
    </w:p>
    <w:p>
      <w:pPr>
        <w:pStyle w:val="6"/>
        <w:ind w:firstLine="560" w:firstLineChars="200"/>
        <w:outlineLvl w:val="3"/>
        <w:rPr>
          <w:rFonts w:hint="eastAsia" w:ascii="仿宋" w:hAnsi="仿宋" w:eastAsia="仿宋" w:cs="仿宋"/>
          <w:kern w:val="0"/>
          <w:sz w:val="28"/>
          <w:szCs w:val="28"/>
        </w:rPr>
      </w:pPr>
      <w:bookmarkStart w:id="45" w:name="_Toc18513"/>
      <w:bookmarkStart w:id="46" w:name="_Toc3395"/>
      <w:r>
        <w:rPr>
          <w:rFonts w:hint="eastAsia" w:ascii="仿宋" w:hAnsi="仿宋" w:eastAsia="仿宋" w:cs="仿宋"/>
          <w:kern w:val="0"/>
          <w:sz w:val="28"/>
          <w:szCs w:val="28"/>
        </w:rPr>
        <w:t>2.预算资金来源及使用情况</w:t>
      </w:r>
      <w:bookmarkEnd w:id="45"/>
      <w:bookmarkEnd w:id="46"/>
    </w:p>
    <w:p>
      <w:pPr>
        <w:pStyle w:val="6"/>
        <w:ind w:firstLine="560" w:firstLineChars="200"/>
        <w:rPr>
          <w:rFonts w:hint="eastAsia" w:ascii="仿宋" w:hAnsi="仿宋" w:eastAsia="仿宋" w:cs="仿宋"/>
          <w:color w:val="000000"/>
          <w:kern w:val="32"/>
          <w:sz w:val="28"/>
          <w:szCs w:val="28"/>
          <w:highlight w:val="yellow"/>
          <w:lang w:val="en-US" w:eastAsia="zh-CN"/>
        </w:rPr>
      </w:pPr>
      <w:r>
        <w:rPr>
          <w:rFonts w:hint="eastAsia" w:ascii="仿宋" w:hAnsi="仿宋" w:eastAsia="仿宋" w:cs="仿宋"/>
          <w:color w:val="000000"/>
          <w:kern w:val="32"/>
          <w:sz w:val="28"/>
          <w:szCs w:val="28"/>
        </w:rPr>
        <w:t>该项目</w:t>
      </w:r>
      <w:r>
        <w:rPr>
          <w:rFonts w:hint="eastAsia" w:ascii="仿宋" w:hAnsi="仿宋" w:eastAsia="仿宋" w:cs="仿宋"/>
          <w:color w:val="000000"/>
          <w:kern w:val="32"/>
          <w:sz w:val="28"/>
          <w:szCs w:val="28"/>
          <w:lang w:val="en-US" w:eastAsia="zh-CN"/>
        </w:rPr>
        <w:t>2021年全年</w:t>
      </w:r>
      <w:r>
        <w:rPr>
          <w:rFonts w:hint="eastAsia" w:ascii="仿宋" w:hAnsi="仿宋" w:eastAsia="仿宋" w:cs="仿宋"/>
          <w:color w:val="000000"/>
          <w:kern w:val="32"/>
          <w:sz w:val="28"/>
          <w:szCs w:val="28"/>
        </w:rPr>
        <w:t>预算资金</w:t>
      </w:r>
      <w:r>
        <w:rPr>
          <w:rFonts w:hint="eastAsia" w:ascii="仿宋" w:hAnsi="仿宋" w:eastAsia="仿宋" w:cs="仿宋"/>
          <w:color w:val="000000"/>
          <w:kern w:val="32"/>
          <w:sz w:val="28"/>
          <w:szCs w:val="28"/>
          <w:lang w:val="en-US" w:eastAsia="zh-CN"/>
        </w:rPr>
        <w:t>505.57</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lang w:val="en-US" w:eastAsia="zh-CN"/>
        </w:rPr>
        <w:t>主要用于按月发放80周岁以上老人高龄津贴。</w:t>
      </w:r>
    </w:p>
    <w:p>
      <w:pPr>
        <w:ind w:firstLine="64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rPr>
        <w:t>2021年1月1日</w:t>
      </w:r>
      <w:r>
        <w:rPr>
          <w:rFonts w:hint="eastAsia" w:ascii="仿宋" w:hAnsi="仿宋" w:eastAsia="仿宋" w:cs="仿宋"/>
          <w:color w:val="000000"/>
          <w:kern w:val="32"/>
          <w:sz w:val="28"/>
          <w:szCs w:val="28"/>
        </w:rPr>
        <w:t>至20</w:t>
      </w:r>
      <w:r>
        <w:rPr>
          <w:rFonts w:hint="eastAsia" w:ascii="仿宋" w:hAnsi="仿宋" w:eastAsia="仿宋" w:cs="仿宋"/>
          <w:color w:val="000000"/>
          <w:kern w:val="32"/>
          <w:sz w:val="28"/>
          <w:szCs w:val="28"/>
          <w:lang w:val="en-US" w:eastAsia="zh-CN"/>
        </w:rPr>
        <w:t>21</w:t>
      </w:r>
      <w:r>
        <w:rPr>
          <w:rFonts w:hint="eastAsia" w:ascii="仿宋" w:hAnsi="仿宋" w:eastAsia="仿宋" w:cs="仿宋"/>
          <w:color w:val="000000"/>
          <w:kern w:val="32"/>
          <w:sz w:val="28"/>
          <w:szCs w:val="28"/>
        </w:rPr>
        <w:t>年12月31日，该项目共支出</w:t>
      </w:r>
      <w:r>
        <w:rPr>
          <w:rFonts w:hint="eastAsia" w:ascii="仿宋" w:hAnsi="仿宋" w:eastAsia="仿宋" w:cs="仿宋"/>
          <w:color w:val="000000"/>
          <w:kern w:val="32"/>
          <w:sz w:val="28"/>
          <w:szCs w:val="28"/>
          <w:lang w:val="en-US" w:eastAsia="zh-CN"/>
        </w:rPr>
        <w:t>金额778.36</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其中：</w:t>
      </w:r>
      <w:r>
        <w:rPr>
          <w:rFonts w:hint="eastAsia" w:ascii="仿宋" w:hAnsi="仿宋" w:eastAsia="仿宋" w:cs="仿宋"/>
          <w:color w:val="000000"/>
          <w:kern w:val="32"/>
          <w:sz w:val="28"/>
          <w:szCs w:val="28"/>
        </w:rPr>
        <w:t>省级高龄津贴补助资金（</w:t>
      </w:r>
      <w:r>
        <w:rPr>
          <w:rFonts w:hint="eastAsia" w:ascii="仿宋" w:hAnsi="仿宋" w:eastAsia="仿宋" w:cs="仿宋"/>
          <w:color w:val="000000"/>
          <w:kern w:val="32"/>
          <w:sz w:val="28"/>
          <w:szCs w:val="28"/>
          <w:lang w:val="en-US" w:eastAsia="zh-CN"/>
        </w:rPr>
        <w:t>安财预</w:t>
      </w:r>
      <w:r>
        <w:rPr>
          <w:rFonts w:hint="eastAsia" w:ascii="仿宋" w:hAnsi="仿宋" w:eastAsia="仿宋" w:cs="仿宋"/>
          <w:color w:val="000000"/>
          <w:kern w:val="32"/>
          <w:sz w:val="28"/>
          <w:szCs w:val="28"/>
        </w:rPr>
        <w:t>〔2021〕</w:t>
      </w:r>
      <w:r>
        <w:rPr>
          <w:rFonts w:hint="eastAsia" w:ascii="仿宋" w:hAnsi="仿宋" w:eastAsia="仿宋" w:cs="仿宋"/>
          <w:color w:val="000000"/>
          <w:kern w:val="32"/>
          <w:sz w:val="28"/>
          <w:szCs w:val="28"/>
          <w:lang w:val="en-US" w:eastAsia="zh-CN"/>
        </w:rPr>
        <w:t>2</w:t>
      </w:r>
      <w:r>
        <w:rPr>
          <w:rFonts w:hint="eastAsia" w:ascii="仿宋" w:hAnsi="仿宋" w:eastAsia="仿宋" w:cs="仿宋"/>
          <w:color w:val="000000"/>
          <w:kern w:val="32"/>
          <w:sz w:val="28"/>
          <w:szCs w:val="28"/>
        </w:rPr>
        <w:t>号）到位</w:t>
      </w:r>
      <w:r>
        <w:rPr>
          <w:rFonts w:hint="eastAsia" w:ascii="仿宋" w:hAnsi="仿宋" w:eastAsia="仿宋" w:cs="仿宋"/>
          <w:color w:val="000000"/>
          <w:kern w:val="32"/>
          <w:sz w:val="28"/>
          <w:szCs w:val="28"/>
          <w:lang w:val="en-US" w:eastAsia="zh-CN"/>
        </w:rPr>
        <w:t>79</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rPr>
        <w:t>，预算执行率为</w:t>
      </w:r>
      <w:r>
        <w:rPr>
          <w:rFonts w:hint="eastAsia" w:ascii="仿宋" w:hAnsi="仿宋" w:eastAsia="仿宋" w:cs="仿宋"/>
          <w:color w:val="000000"/>
          <w:kern w:val="32"/>
          <w:sz w:val="28"/>
          <w:szCs w:val="28"/>
          <w:lang w:val="en-US" w:eastAsia="zh-CN"/>
        </w:rPr>
        <w:t>100</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支出金额大于预算资金原因为：为增进高龄老人的幸福感、获得感，使高龄老人享受到改革发展的成果，根据《安阳市民政局安阳市财政局关于做好调整高龄津贴发放标准工作的通知》的文件精神，从2021年7月1日起，高龄津贴发放标准每人每月增加50元。</w:t>
      </w:r>
    </w:p>
    <w:tbl>
      <w:tblPr>
        <w:tblStyle w:val="19"/>
        <w:tblW w:w="86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3"/>
        <w:gridCol w:w="820"/>
        <w:gridCol w:w="1490"/>
        <w:gridCol w:w="730"/>
        <w:gridCol w:w="1549"/>
        <w:gridCol w:w="635"/>
        <w:gridCol w:w="1254"/>
        <w:gridCol w:w="1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69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2021年度高龄津贴发放明细表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月份</w:t>
            </w:r>
          </w:p>
        </w:tc>
        <w:tc>
          <w:tcPr>
            <w:tcW w:w="231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80-89岁</w:t>
            </w:r>
          </w:p>
        </w:tc>
        <w:tc>
          <w:tcPr>
            <w:tcW w:w="22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90-99</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100岁以上</w:t>
            </w:r>
          </w:p>
        </w:tc>
        <w:tc>
          <w:tcPr>
            <w:tcW w:w="15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合计金额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人数</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金额（元）</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人数</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金额（元）</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人数</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金额（元）</w:t>
            </w:r>
          </w:p>
        </w:tc>
        <w:tc>
          <w:tcPr>
            <w:tcW w:w="15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6706</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335,300.00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1047</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104,700.00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6,900.00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446,900.00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6742</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337,100.00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1069</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106,900.00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7,500.00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451,500.00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6744</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337,200.00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1058</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105,800.00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7,200.00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450,200.00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6733</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336,650.00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1058</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105,800.00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7,500.00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449,950.00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6740</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337,000.00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1061</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106,100.00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7,500.00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450,600.00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6765</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338,250.00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1063</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106,300.00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7,500.00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452,050.00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6740</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674,000.00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1069</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160,350.00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8,750.00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843,100.00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6709</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670,900.00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1074</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161,100.00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8,750.00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840,750.00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6720</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672,000.00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1091</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163,650.00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8,750.00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844,400.00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6755</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675,500.00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1109</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166,350.00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8,750.00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850,600.00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6762</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676,200.00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1112</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166,800.00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8,400.00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851,400.00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12月</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6761</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676,100.00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1120</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168,000.00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8,050.00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852,150.00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80877</w:t>
            </w:r>
          </w:p>
        </w:tc>
        <w:tc>
          <w:tcPr>
            <w:tcW w:w="14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6,066,200.00 </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12931</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1,621,850.00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95,550.00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7,783,600.00 </w:t>
            </w:r>
          </w:p>
        </w:tc>
      </w:tr>
    </w:tbl>
    <w:p>
      <w:pPr>
        <w:pStyle w:val="6"/>
        <w:ind w:left="0" w:leftChars="0" w:firstLine="560" w:firstLineChars="200"/>
        <w:outlineLvl w:val="3"/>
        <w:rPr>
          <w:rFonts w:hint="eastAsia" w:ascii="仿宋" w:hAnsi="仿宋" w:eastAsia="仿宋" w:cs="仿宋"/>
          <w:kern w:val="0"/>
          <w:sz w:val="28"/>
          <w:szCs w:val="28"/>
        </w:rPr>
      </w:pPr>
      <w:bookmarkStart w:id="47" w:name="_Toc23626"/>
      <w:bookmarkStart w:id="48" w:name="_Toc1535"/>
      <w:r>
        <w:rPr>
          <w:rFonts w:hint="eastAsia" w:ascii="仿宋" w:hAnsi="仿宋" w:eastAsia="仿宋" w:cs="仿宋"/>
          <w:kern w:val="0"/>
          <w:sz w:val="28"/>
          <w:szCs w:val="28"/>
        </w:rPr>
        <w:t>3.项目实施情况</w:t>
      </w:r>
      <w:bookmarkEnd w:id="47"/>
      <w:bookmarkEnd w:id="48"/>
    </w:p>
    <w:p>
      <w:pPr>
        <w:autoSpaceDE w:val="0"/>
        <w:autoSpaceDN w:val="0"/>
        <w:adjustRightInd w:val="0"/>
        <w:snapToGrid w:val="0"/>
        <w:spacing w:line="584" w:lineRule="exact"/>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rPr>
        <w:t>该项目2021年度高龄津贴发放共计94102人次。根据《安阳市民政局安阳市财政局关于印发安阳市高龄津贴发放和管理办法的通知》安民文【2019】124号文件，执行高龄补助标准为80岁-89岁、90-99岁、100岁以上老人，发放的高龄津贴金额分别为50、100、300元；从7月份起根据《安阳市民政局安阳市财政局关于做好调整高龄津贴发放标准工作的通知》安民文【2021】62号文件，对高龄补助标准进行了提高，分别提高至100、150、350元。</w:t>
      </w:r>
    </w:p>
    <w:p>
      <w:pPr>
        <w:pStyle w:val="2"/>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color w:val="000000"/>
          <w:kern w:val="32"/>
          <w:sz w:val="28"/>
          <w:szCs w:val="28"/>
          <w:lang w:val="en-US" w:eastAsia="zh-CN"/>
        </w:rPr>
        <w:t>截止2021年12月份共有80周岁以上老年人7904人，1-12月份共发放老年人生活</w:t>
      </w:r>
      <w:r>
        <w:rPr>
          <w:rFonts w:hint="eastAsia" w:cs="仿宋"/>
          <w:color w:val="000000"/>
          <w:kern w:val="32"/>
          <w:sz w:val="28"/>
          <w:szCs w:val="28"/>
          <w:lang w:val="en-US" w:eastAsia="zh-CN"/>
        </w:rPr>
        <w:t>津贴</w:t>
      </w:r>
      <w:r>
        <w:rPr>
          <w:rFonts w:hint="eastAsia" w:ascii="仿宋" w:hAnsi="仿宋" w:eastAsia="仿宋" w:cs="仿宋"/>
          <w:color w:val="000000"/>
          <w:kern w:val="32"/>
          <w:sz w:val="28"/>
          <w:szCs w:val="28"/>
          <w:lang w:val="en-US" w:eastAsia="zh-CN"/>
        </w:rPr>
        <w:t>7</w:t>
      </w:r>
      <w:r>
        <w:rPr>
          <w:rFonts w:hint="eastAsia" w:cs="仿宋"/>
          <w:color w:val="000000"/>
          <w:kern w:val="32"/>
          <w:sz w:val="28"/>
          <w:szCs w:val="28"/>
          <w:lang w:val="en-US" w:eastAsia="zh-CN"/>
        </w:rPr>
        <w:t>,</w:t>
      </w:r>
      <w:r>
        <w:rPr>
          <w:rFonts w:hint="eastAsia" w:ascii="仿宋" w:hAnsi="仿宋" w:eastAsia="仿宋" w:cs="仿宋"/>
          <w:color w:val="000000"/>
          <w:kern w:val="32"/>
          <w:sz w:val="28"/>
          <w:szCs w:val="28"/>
          <w:lang w:val="en-US" w:eastAsia="zh-CN"/>
        </w:rPr>
        <w:t>783</w:t>
      </w:r>
      <w:r>
        <w:rPr>
          <w:rFonts w:hint="eastAsia" w:cs="仿宋"/>
          <w:color w:val="000000"/>
          <w:kern w:val="32"/>
          <w:sz w:val="28"/>
          <w:szCs w:val="28"/>
          <w:lang w:val="en-US" w:eastAsia="zh-CN"/>
        </w:rPr>
        <w:t>,</w:t>
      </w:r>
      <w:r>
        <w:rPr>
          <w:rFonts w:hint="eastAsia" w:ascii="仿宋" w:hAnsi="仿宋" w:eastAsia="仿宋" w:cs="仿宋"/>
          <w:color w:val="000000"/>
          <w:kern w:val="32"/>
          <w:sz w:val="28"/>
          <w:szCs w:val="28"/>
          <w:lang w:val="en-US" w:eastAsia="zh-CN"/>
        </w:rPr>
        <w:t>600</w:t>
      </w:r>
      <w:r>
        <w:rPr>
          <w:rFonts w:hint="eastAsia" w:cs="仿宋"/>
          <w:color w:val="000000"/>
          <w:kern w:val="32"/>
          <w:sz w:val="28"/>
          <w:szCs w:val="28"/>
          <w:lang w:val="en-US" w:eastAsia="zh-CN"/>
        </w:rPr>
        <w:t>.00</w:t>
      </w:r>
      <w:r>
        <w:rPr>
          <w:rFonts w:hint="eastAsia" w:ascii="仿宋" w:hAnsi="仿宋" w:eastAsia="仿宋" w:cs="仿宋"/>
          <w:color w:val="000000"/>
          <w:kern w:val="32"/>
          <w:sz w:val="28"/>
          <w:szCs w:val="28"/>
          <w:lang w:val="en-US" w:eastAsia="zh-CN"/>
        </w:rPr>
        <w:t>元（其中：80-89周岁老年人7661人，发放生活</w:t>
      </w:r>
      <w:r>
        <w:rPr>
          <w:rFonts w:hint="eastAsia" w:cs="仿宋"/>
          <w:color w:val="000000"/>
          <w:kern w:val="32"/>
          <w:sz w:val="28"/>
          <w:szCs w:val="28"/>
          <w:lang w:val="en-US" w:eastAsia="zh-CN"/>
        </w:rPr>
        <w:t>津贴</w:t>
      </w:r>
      <w:r>
        <w:rPr>
          <w:rFonts w:hint="eastAsia" w:ascii="仿宋" w:hAnsi="仿宋" w:eastAsia="仿宋" w:cs="仿宋"/>
          <w:color w:val="000000"/>
          <w:kern w:val="32"/>
          <w:sz w:val="28"/>
          <w:szCs w:val="28"/>
          <w:lang w:val="en-US" w:eastAsia="zh-CN"/>
        </w:rPr>
        <w:t>6</w:t>
      </w:r>
      <w:r>
        <w:rPr>
          <w:rFonts w:hint="eastAsia" w:cs="仿宋"/>
          <w:color w:val="000000"/>
          <w:kern w:val="32"/>
          <w:sz w:val="28"/>
          <w:szCs w:val="28"/>
          <w:lang w:val="en-US" w:eastAsia="zh-CN"/>
        </w:rPr>
        <w:t>,</w:t>
      </w:r>
      <w:r>
        <w:rPr>
          <w:rFonts w:hint="eastAsia" w:ascii="仿宋" w:hAnsi="仿宋" w:eastAsia="仿宋" w:cs="仿宋"/>
          <w:color w:val="000000"/>
          <w:kern w:val="32"/>
          <w:sz w:val="28"/>
          <w:szCs w:val="28"/>
          <w:lang w:val="en-US" w:eastAsia="zh-CN"/>
        </w:rPr>
        <w:t>066</w:t>
      </w:r>
      <w:r>
        <w:rPr>
          <w:rFonts w:hint="eastAsia" w:cs="仿宋"/>
          <w:color w:val="000000"/>
          <w:kern w:val="32"/>
          <w:sz w:val="28"/>
          <w:szCs w:val="28"/>
          <w:lang w:val="en-US" w:eastAsia="zh-CN"/>
        </w:rPr>
        <w:t>,</w:t>
      </w:r>
      <w:r>
        <w:rPr>
          <w:rFonts w:hint="eastAsia" w:ascii="仿宋" w:hAnsi="仿宋" w:eastAsia="仿宋" w:cs="仿宋"/>
          <w:color w:val="000000"/>
          <w:kern w:val="32"/>
          <w:sz w:val="28"/>
          <w:szCs w:val="28"/>
          <w:lang w:val="en-US" w:eastAsia="zh-CN"/>
        </w:rPr>
        <w:t>200</w:t>
      </w:r>
      <w:r>
        <w:rPr>
          <w:rFonts w:hint="eastAsia" w:cs="仿宋"/>
          <w:color w:val="000000"/>
          <w:kern w:val="32"/>
          <w:sz w:val="28"/>
          <w:szCs w:val="28"/>
          <w:lang w:val="en-US" w:eastAsia="zh-CN"/>
        </w:rPr>
        <w:t>.00</w:t>
      </w:r>
      <w:r>
        <w:rPr>
          <w:rFonts w:hint="eastAsia" w:ascii="仿宋" w:hAnsi="仿宋" w:eastAsia="仿宋" w:cs="仿宋"/>
          <w:color w:val="000000"/>
          <w:kern w:val="32"/>
          <w:sz w:val="28"/>
          <w:szCs w:val="28"/>
          <w:lang w:val="en-US" w:eastAsia="zh-CN"/>
        </w:rPr>
        <w:t>元；90-99周岁老年人1120人，发放生活</w:t>
      </w:r>
      <w:r>
        <w:rPr>
          <w:rFonts w:hint="eastAsia" w:cs="仿宋"/>
          <w:color w:val="000000"/>
          <w:kern w:val="32"/>
          <w:sz w:val="28"/>
          <w:szCs w:val="28"/>
          <w:lang w:val="en-US" w:eastAsia="zh-CN"/>
        </w:rPr>
        <w:t>津贴</w:t>
      </w:r>
      <w:r>
        <w:rPr>
          <w:rFonts w:hint="eastAsia" w:ascii="仿宋" w:hAnsi="仿宋" w:eastAsia="仿宋" w:cs="仿宋"/>
          <w:color w:val="000000"/>
          <w:kern w:val="32"/>
          <w:sz w:val="28"/>
          <w:szCs w:val="28"/>
          <w:lang w:val="en-US" w:eastAsia="zh-CN"/>
        </w:rPr>
        <w:t>1</w:t>
      </w:r>
      <w:r>
        <w:rPr>
          <w:rFonts w:hint="eastAsia" w:cs="仿宋"/>
          <w:color w:val="000000"/>
          <w:kern w:val="32"/>
          <w:sz w:val="28"/>
          <w:szCs w:val="28"/>
          <w:lang w:val="en-US" w:eastAsia="zh-CN"/>
        </w:rPr>
        <w:t>,</w:t>
      </w:r>
      <w:r>
        <w:rPr>
          <w:rFonts w:hint="eastAsia" w:ascii="仿宋" w:hAnsi="仿宋" w:eastAsia="仿宋" w:cs="仿宋"/>
          <w:color w:val="000000"/>
          <w:kern w:val="32"/>
          <w:sz w:val="28"/>
          <w:szCs w:val="28"/>
          <w:lang w:val="en-US" w:eastAsia="zh-CN"/>
        </w:rPr>
        <w:t>621</w:t>
      </w:r>
      <w:r>
        <w:rPr>
          <w:rFonts w:hint="eastAsia" w:cs="仿宋"/>
          <w:color w:val="000000"/>
          <w:kern w:val="32"/>
          <w:sz w:val="28"/>
          <w:szCs w:val="28"/>
          <w:lang w:val="en-US" w:eastAsia="zh-CN"/>
        </w:rPr>
        <w:t>,</w:t>
      </w:r>
      <w:r>
        <w:rPr>
          <w:rFonts w:hint="eastAsia" w:ascii="仿宋" w:hAnsi="仿宋" w:eastAsia="仿宋" w:cs="仿宋"/>
          <w:color w:val="000000"/>
          <w:kern w:val="32"/>
          <w:sz w:val="28"/>
          <w:szCs w:val="28"/>
          <w:lang w:val="en-US" w:eastAsia="zh-CN"/>
        </w:rPr>
        <w:t>850</w:t>
      </w:r>
      <w:r>
        <w:rPr>
          <w:rFonts w:hint="eastAsia" w:cs="仿宋"/>
          <w:color w:val="000000"/>
          <w:kern w:val="32"/>
          <w:sz w:val="28"/>
          <w:szCs w:val="28"/>
          <w:lang w:val="en-US" w:eastAsia="zh-CN"/>
        </w:rPr>
        <w:t>.00</w:t>
      </w:r>
      <w:r>
        <w:rPr>
          <w:rFonts w:hint="eastAsia" w:ascii="仿宋" w:hAnsi="仿宋" w:eastAsia="仿宋" w:cs="仿宋"/>
          <w:color w:val="000000"/>
          <w:kern w:val="32"/>
          <w:sz w:val="28"/>
          <w:szCs w:val="28"/>
          <w:lang w:val="en-US" w:eastAsia="zh-CN"/>
        </w:rPr>
        <w:t>元；100周岁以上老年人23人，发放老年人生活</w:t>
      </w:r>
      <w:r>
        <w:rPr>
          <w:rFonts w:hint="eastAsia" w:cs="仿宋"/>
          <w:color w:val="000000"/>
          <w:kern w:val="32"/>
          <w:sz w:val="28"/>
          <w:szCs w:val="28"/>
          <w:lang w:val="en-US" w:eastAsia="zh-CN"/>
        </w:rPr>
        <w:t>津贴</w:t>
      </w:r>
      <w:r>
        <w:rPr>
          <w:rFonts w:hint="eastAsia" w:ascii="仿宋" w:hAnsi="仿宋" w:eastAsia="仿宋" w:cs="仿宋"/>
          <w:color w:val="000000"/>
          <w:kern w:val="32"/>
          <w:sz w:val="28"/>
          <w:szCs w:val="28"/>
          <w:lang w:val="en-US" w:eastAsia="zh-CN"/>
        </w:rPr>
        <w:t>95</w:t>
      </w:r>
      <w:r>
        <w:rPr>
          <w:rFonts w:hint="eastAsia" w:cs="仿宋"/>
          <w:color w:val="000000"/>
          <w:kern w:val="32"/>
          <w:sz w:val="28"/>
          <w:szCs w:val="28"/>
          <w:lang w:val="en-US" w:eastAsia="zh-CN"/>
        </w:rPr>
        <w:t>,</w:t>
      </w:r>
      <w:r>
        <w:rPr>
          <w:rFonts w:hint="eastAsia" w:ascii="仿宋" w:hAnsi="仿宋" w:eastAsia="仿宋" w:cs="仿宋"/>
          <w:color w:val="000000"/>
          <w:kern w:val="32"/>
          <w:sz w:val="28"/>
          <w:szCs w:val="28"/>
          <w:lang w:val="en-US" w:eastAsia="zh-CN"/>
        </w:rPr>
        <w:t>550</w:t>
      </w:r>
      <w:r>
        <w:rPr>
          <w:rFonts w:hint="eastAsia" w:cs="仿宋"/>
          <w:color w:val="000000"/>
          <w:kern w:val="32"/>
          <w:sz w:val="28"/>
          <w:szCs w:val="28"/>
          <w:lang w:val="en-US" w:eastAsia="zh-CN"/>
        </w:rPr>
        <w:t>.00</w:t>
      </w:r>
      <w:r>
        <w:rPr>
          <w:rFonts w:hint="eastAsia" w:ascii="仿宋" w:hAnsi="仿宋" w:eastAsia="仿宋" w:cs="仿宋"/>
          <w:color w:val="000000"/>
          <w:kern w:val="32"/>
          <w:sz w:val="28"/>
          <w:szCs w:val="28"/>
          <w:lang w:val="en-US" w:eastAsia="zh-CN"/>
        </w:rPr>
        <w:t>元）。</w:t>
      </w:r>
    </w:p>
    <w:p>
      <w:pPr>
        <w:autoSpaceDE w:val="0"/>
        <w:autoSpaceDN w:val="0"/>
        <w:adjustRightInd w:val="0"/>
        <w:snapToGrid w:val="0"/>
        <w:spacing w:line="584" w:lineRule="exact"/>
        <w:ind w:firstLine="560" w:firstLineChars="200"/>
        <w:jc w:val="left"/>
        <w:outlineLvl w:val="3"/>
        <w:rPr>
          <w:rFonts w:hint="eastAsia" w:ascii="仿宋" w:hAnsi="仿宋" w:eastAsia="仿宋" w:cs="仿宋"/>
          <w:kern w:val="0"/>
          <w:sz w:val="28"/>
          <w:szCs w:val="28"/>
        </w:rPr>
      </w:pPr>
      <w:bookmarkStart w:id="49" w:name="_Toc18495"/>
      <w:bookmarkStart w:id="50" w:name="_Toc6274"/>
      <w:r>
        <w:rPr>
          <w:rFonts w:hint="eastAsia" w:ascii="仿宋" w:hAnsi="仿宋" w:eastAsia="仿宋" w:cs="仿宋"/>
          <w:kern w:val="0"/>
          <w:sz w:val="28"/>
          <w:szCs w:val="28"/>
        </w:rPr>
        <w:t>4.组织及管理</w:t>
      </w:r>
      <w:bookmarkEnd w:id="49"/>
      <w:bookmarkEnd w:id="50"/>
    </w:p>
    <w:p>
      <w:pPr>
        <w:pStyle w:val="6"/>
        <w:ind w:firstLine="560" w:firstLineChars="200"/>
        <w:rPr>
          <w:rFonts w:hint="eastAsia" w:ascii="仿宋" w:hAnsi="仿宋" w:eastAsia="仿宋" w:cs="仿宋"/>
          <w:sz w:val="28"/>
          <w:szCs w:val="28"/>
        </w:rPr>
      </w:pPr>
      <w:r>
        <w:rPr>
          <w:rFonts w:hint="eastAsia" w:ascii="仿宋" w:hAnsi="仿宋" w:eastAsia="仿宋" w:cs="仿宋"/>
          <w:sz w:val="28"/>
          <w:szCs w:val="28"/>
        </w:rPr>
        <w:t>（1）项目组织情况</w:t>
      </w:r>
    </w:p>
    <w:p>
      <w:pPr>
        <w:pStyle w:val="6"/>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该项目</w:t>
      </w:r>
      <w:r>
        <w:rPr>
          <w:rFonts w:hint="eastAsia" w:ascii="仿宋" w:hAnsi="仿宋" w:eastAsia="仿宋" w:cs="仿宋"/>
          <w:color w:val="000000"/>
          <w:sz w:val="28"/>
          <w:szCs w:val="28"/>
          <w:lang w:val="en-US" w:eastAsia="zh-CN"/>
        </w:rPr>
        <w:t>依据安阳县民政局安阳县财政局关于转发《安阳市民政局安阳市财政局关于印发安阳市高龄津贴发放和管理办法的通知》（安县民[2019]85号）文件的规定：对安阳县80周岁以上高龄老人发放高龄津贴。</w:t>
      </w:r>
      <w:r>
        <w:rPr>
          <w:rFonts w:hint="eastAsia" w:ascii="仿宋" w:hAnsi="仿宋" w:eastAsia="仿宋" w:cs="仿宋"/>
          <w:color w:val="000000"/>
          <w:sz w:val="28"/>
          <w:szCs w:val="28"/>
        </w:rPr>
        <w:t>由</w:t>
      </w:r>
      <w:r>
        <w:rPr>
          <w:rFonts w:hint="eastAsia" w:ascii="仿宋" w:hAnsi="仿宋" w:eastAsia="仿宋" w:cs="仿宋"/>
          <w:color w:val="000000"/>
          <w:sz w:val="28"/>
          <w:szCs w:val="28"/>
          <w:lang w:val="en-US" w:eastAsia="zh-CN"/>
        </w:rPr>
        <w:t>符合高龄津贴申请条件的老人提出申请，社区（村委会）核实材料，乡民政所进行审核，县民政局审批（统一登记造册，社会化发放）。</w:t>
      </w:r>
    </w:p>
    <w:p>
      <w:pPr>
        <w:pStyle w:val="6"/>
        <w:rPr>
          <w:rFonts w:hint="eastAsia" w:ascii="仿宋" w:hAnsi="仿宋" w:eastAsia="仿宋" w:cs="仿宋"/>
          <w:sz w:val="28"/>
          <w:szCs w:val="28"/>
        </w:rPr>
      </w:pPr>
      <w:r>
        <w:rPr>
          <w:rFonts w:hint="eastAsia" w:ascii="仿宋" w:hAnsi="仿宋" w:eastAsia="仿宋" w:cs="仿宋"/>
          <w:sz w:val="28"/>
          <w:szCs w:val="28"/>
        </w:rPr>
        <w:t>（2）项目管理情况</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①项目资金管理情况</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在资金的管理使用过程中，严格执行《会计法》和相关的财务制度，专款专用，不挤占、不挪用。建立信息台账，按照“属地管理”的原则，由乡（镇）建立起基本信息台账，实行动态管理，做到进出有序，确保信息真实、准确、完整，确保</w:t>
      </w:r>
      <w:r>
        <w:rPr>
          <w:rFonts w:hint="eastAsia" w:ascii="仿宋" w:hAnsi="仿宋" w:eastAsia="仿宋" w:cs="仿宋"/>
          <w:color w:val="000000"/>
          <w:kern w:val="32"/>
          <w:sz w:val="28"/>
          <w:szCs w:val="28"/>
          <w:lang w:eastAsia="zh-CN"/>
        </w:rPr>
        <w:t>津贴</w:t>
      </w:r>
      <w:r>
        <w:rPr>
          <w:rFonts w:hint="eastAsia" w:ascii="仿宋" w:hAnsi="仿宋" w:eastAsia="仿宋" w:cs="仿宋"/>
          <w:color w:val="000000"/>
          <w:kern w:val="32"/>
          <w:sz w:val="28"/>
          <w:szCs w:val="28"/>
        </w:rPr>
        <w:t>经费发放及时到位。</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②项目管理制度及执行情况</w:t>
      </w:r>
    </w:p>
    <w:p>
      <w:pPr>
        <w:spacing w:line="620" w:lineRule="exact"/>
        <w:ind w:firstLine="64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为加强</w:t>
      </w:r>
      <w:r>
        <w:rPr>
          <w:rFonts w:hint="eastAsia" w:ascii="仿宋" w:hAnsi="仿宋" w:eastAsia="仿宋" w:cs="仿宋"/>
          <w:color w:val="000000"/>
          <w:kern w:val="32"/>
          <w:sz w:val="28"/>
          <w:szCs w:val="28"/>
          <w:lang w:val="en-US" w:eastAsia="zh-CN"/>
        </w:rPr>
        <w:t>项目</w:t>
      </w:r>
      <w:r>
        <w:rPr>
          <w:rFonts w:hint="eastAsia" w:ascii="仿宋" w:hAnsi="仿宋" w:eastAsia="仿宋" w:cs="仿宋"/>
          <w:color w:val="000000"/>
          <w:kern w:val="32"/>
          <w:sz w:val="28"/>
          <w:szCs w:val="28"/>
        </w:rPr>
        <w:t>的管理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安</w:t>
      </w:r>
      <w:r>
        <w:rPr>
          <w:rFonts w:hint="eastAsia" w:ascii="仿宋" w:hAnsi="仿宋" w:eastAsia="仿宋" w:cs="仿宋"/>
          <w:color w:val="000000"/>
          <w:kern w:val="32"/>
          <w:sz w:val="28"/>
          <w:szCs w:val="28"/>
          <w:lang w:eastAsia="zh-CN"/>
        </w:rPr>
        <w:t>阳县</w:t>
      </w:r>
      <w:r>
        <w:rPr>
          <w:rFonts w:hint="eastAsia" w:ascii="仿宋" w:hAnsi="仿宋" w:eastAsia="仿宋" w:cs="仿宋"/>
          <w:color w:val="000000"/>
          <w:kern w:val="32"/>
          <w:sz w:val="28"/>
          <w:szCs w:val="28"/>
          <w:lang w:val="en-US" w:eastAsia="zh-CN"/>
        </w:rPr>
        <w:t>民政</w:t>
      </w:r>
      <w:r>
        <w:rPr>
          <w:rFonts w:hint="eastAsia" w:ascii="仿宋" w:hAnsi="仿宋" w:eastAsia="仿宋" w:cs="仿宋"/>
          <w:color w:val="000000"/>
          <w:kern w:val="32"/>
          <w:sz w:val="28"/>
          <w:szCs w:val="28"/>
          <w:lang w:eastAsia="zh-CN"/>
        </w:rPr>
        <w:t>局</w:t>
      </w:r>
      <w:r>
        <w:rPr>
          <w:rFonts w:hint="eastAsia" w:ascii="仿宋" w:hAnsi="仿宋" w:eastAsia="仿宋" w:cs="仿宋"/>
          <w:color w:val="000000"/>
          <w:kern w:val="32"/>
          <w:sz w:val="28"/>
          <w:szCs w:val="28"/>
          <w:lang w:val="en-US" w:eastAsia="zh-CN"/>
        </w:rPr>
        <w:t>制定了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实施高龄津贴制度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从2019年1月1日起，实施80岁以上老人高龄津贴制度，明确了津贴对象、津贴标准、审批流程及高龄津贴发放时效等要求。</w:t>
      </w:r>
    </w:p>
    <w:p>
      <w:pPr>
        <w:spacing w:before="0" w:after="0" w:line="360" w:lineRule="auto"/>
        <w:ind w:firstLine="562" w:firstLineChars="200"/>
        <w:outlineLvl w:val="1"/>
        <w:rPr>
          <w:rFonts w:hint="eastAsia" w:ascii="仿宋" w:hAnsi="仿宋" w:eastAsia="仿宋" w:cs="仿宋"/>
          <w:b/>
          <w:bCs w:val="0"/>
          <w:sz w:val="28"/>
          <w:szCs w:val="28"/>
        </w:rPr>
      </w:pPr>
      <w:bookmarkStart w:id="51" w:name="_Toc31278"/>
      <w:bookmarkStart w:id="52" w:name="_Toc1857"/>
      <w:bookmarkStart w:id="53" w:name="_Toc47736005"/>
      <w:bookmarkStart w:id="54" w:name="_Toc14832"/>
      <w:bookmarkStart w:id="55" w:name="_Toc15897"/>
      <w:bookmarkStart w:id="56" w:name="_Toc13462"/>
      <w:bookmarkStart w:id="57" w:name="_Toc6866"/>
      <w:bookmarkStart w:id="58" w:name="_Toc24413"/>
      <w:r>
        <w:rPr>
          <w:rFonts w:hint="eastAsia" w:ascii="仿宋" w:hAnsi="仿宋" w:eastAsia="仿宋" w:cs="仿宋"/>
          <w:b/>
          <w:bCs w:val="0"/>
          <w:sz w:val="28"/>
          <w:szCs w:val="28"/>
        </w:rPr>
        <w:t>（二）绩效目标</w:t>
      </w:r>
      <w:bookmarkEnd w:id="51"/>
      <w:bookmarkEnd w:id="52"/>
      <w:bookmarkEnd w:id="53"/>
      <w:bookmarkEnd w:id="54"/>
      <w:bookmarkEnd w:id="55"/>
      <w:bookmarkEnd w:id="56"/>
      <w:bookmarkEnd w:id="57"/>
      <w:bookmarkEnd w:id="58"/>
    </w:p>
    <w:p>
      <w:pPr>
        <w:pStyle w:val="6"/>
        <w:ind w:firstLine="560" w:firstLineChars="200"/>
        <w:outlineLvl w:val="3"/>
        <w:rPr>
          <w:rFonts w:hint="eastAsia" w:ascii="仿宋" w:hAnsi="仿宋" w:eastAsia="仿宋" w:cs="仿宋"/>
          <w:color w:val="000000"/>
          <w:kern w:val="32"/>
          <w:sz w:val="28"/>
          <w:szCs w:val="28"/>
        </w:rPr>
      </w:pPr>
      <w:bookmarkStart w:id="59" w:name="_Toc27998"/>
      <w:bookmarkStart w:id="60" w:name="_Toc16426"/>
      <w:r>
        <w:rPr>
          <w:rFonts w:hint="eastAsia" w:ascii="仿宋" w:hAnsi="仿宋" w:eastAsia="仿宋" w:cs="仿宋"/>
          <w:color w:val="000000"/>
          <w:kern w:val="32"/>
          <w:sz w:val="28"/>
          <w:szCs w:val="28"/>
        </w:rPr>
        <w:t>1.总体目标</w:t>
      </w:r>
      <w:bookmarkEnd w:id="59"/>
      <w:bookmarkEnd w:id="60"/>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lang w:val="en-US" w:eastAsia="zh-CN"/>
        </w:rPr>
        <w:t>落实《高龄津贴发放和管理办法的通知》保障高龄津贴及时足额发放，稳步提升高龄老人生活水平</w:t>
      </w:r>
      <w:r>
        <w:rPr>
          <w:rFonts w:hint="eastAsia" w:ascii="仿宋" w:hAnsi="仿宋" w:eastAsia="仿宋" w:cs="仿宋"/>
          <w:color w:val="000000"/>
          <w:kern w:val="32"/>
          <w:sz w:val="28"/>
          <w:szCs w:val="28"/>
        </w:rPr>
        <w:t>。</w:t>
      </w:r>
    </w:p>
    <w:p>
      <w:pPr>
        <w:pStyle w:val="6"/>
        <w:ind w:firstLine="560" w:firstLineChars="200"/>
        <w:outlineLvl w:val="3"/>
        <w:rPr>
          <w:rFonts w:hint="eastAsia" w:ascii="仿宋" w:hAnsi="仿宋" w:eastAsia="仿宋" w:cs="仿宋"/>
          <w:color w:val="000000"/>
          <w:kern w:val="32"/>
          <w:sz w:val="28"/>
          <w:szCs w:val="28"/>
        </w:rPr>
      </w:pPr>
      <w:bookmarkStart w:id="61" w:name="_Toc29802"/>
      <w:bookmarkStart w:id="62" w:name="_Toc25422"/>
      <w:r>
        <w:rPr>
          <w:rFonts w:hint="eastAsia" w:ascii="仿宋" w:hAnsi="仿宋" w:eastAsia="仿宋" w:cs="仿宋"/>
          <w:color w:val="000000"/>
          <w:kern w:val="32"/>
          <w:sz w:val="28"/>
          <w:szCs w:val="28"/>
        </w:rPr>
        <w:t>2.阶段性目标</w:t>
      </w:r>
      <w:bookmarkEnd w:id="61"/>
      <w:bookmarkEnd w:id="62"/>
    </w:p>
    <w:p>
      <w:pPr>
        <w:keepNext/>
        <w:keepLines/>
        <w:pageBreakBefore w:val="0"/>
        <w:widowControl w:val="0"/>
        <w:kinsoku/>
        <w:wordWrap/>
        <w:overflowPunct/>
        <w:topLinePunct w:val="0"/>
        <w:autoSpaceDE/>
        <w:autoSpaceDN/>
        <w:bidi w:val="0"/>
        <w:adjustRightInd/>
        <w:snapToGrid/>
        <w:spacing w:before="0" w:after="0" w:line="360" w:lineRule="auto"/>
        <w:ind w:firstLine="560" w:firstLineChars="200"/>
        <w:textAlignment w:val="auto"/>
        <w:outlineLvl w:val="9"/>
        <w:rPr>
          <w:rFonts w:hint="eastAsia" w:ascii="仿宋" w:hAnsi="仿宋" w:eastAsia="仿宋" w:cs="仿宋"/>
          <w:b w:val="0"/>
          <w:bCs w:val="0"/>
          <w:color w:val="000000"/>
          <w:kern w:val="32"/>
          <w:sz w:val="28"/>
          <w:szCs w:val="28"/>
          <w:lang w:val="en-US" w:eastAsia="zh-CN" w:bidi="ar-SA"/>
        </w:rPr>
      </w:pPr>
      <w:bookmarkStart w:id="63" w:name="_Toc458"/>
      <w:bookmarkStart w:id="64" w:name="_Toc15315"/>
      <w:bookmarkStart w:id="65" w:name="_Toc9419"/>
      <w:bookmarkStart w:id="66" w:name="_Toc16709"/>
      <w:bookmarkStart w:id="67" w:name="_Toc47736006"/>
      <w:bookmarkStart w:id="68" w:name="_Toc6179"/>
      <w:r>
        <w:rPr>
          <w:rFonts w:hint="eastAsia" w:ascii="仿宋" w:hAnsi="仿宋" w:eastAsia="仿宋" w:cs="仿宋"/>
          <w:b w:val="0"/>
          <w:bCs w:val="0"/>
          <w:color w:val="000000"/>
          <w:kern w:val="32"/>
          <w:sz w:val="28"/>
          <w:szCs w:val="28"/>
          <w:lang w:val="en-US" w:eastAsia="zh-CN" w:bidi="ar-SA"/>
        </w:rPr>
        <w:t>完成辖区内2021年1月至2021年12月的80岁以上老年人高龄津贴发放工作。</w:t>
      </w:r>
      <w:bookmarkEnd w:id="63"/>
      <w:bookmarkEnd w:id="64"/>
      <w:bookmarkEnd w:id="65"/>
      <w:bookmarkEnd w:id="66"/>
    </w:p>
    <w:p>
      <w:pPr>
        <w:pStyle w:val="4"/>
        <w:spacing w:before="0" w:after="0" w:line="360" w:lineRule="auto"/>
        <w:ind w:firstLine="562" w:firstLineChars="200"/>
        <w:rPr>
          <w:rFonts w:hint="eastAsia" w:ascii="仿宋" w:hAnsi="仿宋" w:eastAsia="仿宋" w:cs="仿宋"/>
          <w:bCs w:val="0"/>
          <w:kern w:val="0"/>
          <w:sz w:val="28"/>
          <w:szCs w:val="28"/>
        </w:rPr>
      </w:pPr>
      <w:bookmarkStart w:id="69" w:name="_Toc17933"/>
      <w:bookmarkStart w:id="70" w:name="_Toc7464"/>
      <w:bookmarkStart w:id="71" w:name="_Toc627"/>
      <w:bookmarkStart w:id="72" w:name="_Toc31756"/>
      <w:bookmarkStart w:id="73" w:name="_Toc30175"/>
      <w:bookmarkStart w:id="74" w:name="_Toc31288"/>
      <w:r>
        <w:rPr>
          <w:rFonts w:hint="eastAsia" w:ascii="仿宋" w:hAnsi="仿宋" w:eastAsia="仿宋" w:cs="仿宋"/>
          <w:kern w:val="0"/>
          <w:sz w:val="28"/>
          <w:szCs w:val="28"/>
        </w:rPr>
        <w:t>二、绩效评价工作情况</w:t>
      </w:r>
      <w:bookmarkEnd w:id="67"/>
      <w:bookmarkEnd w:id="68"/>
      <w:bookmarkEnd w:id="69"/>
      <w:bookmarkEnd w:id="70"/>
      <w:bookmarkEnd w:id="71"/>
      <w:bookmarkEnd w:id="72"/>
      <w:bookmarkEnd w:id="73"/>
      <w:bookmarkEnd w:id="74"/>
    </w:p>
    <w:p>
      <w:pPr>
        <w:pStyle w:val="5"/>
        <w:spacing w:before="0" w:after="0" w:line="360" w:lineRule="auto"/>
        <w:ind w:firstLine="562" w:firstLineChars="200"/>
        <w:rPr>
          <w:rFonts w:hint="eastAsia" w:ascii="仿宋" w:hAnsi="仿宋" w:eastAsia="仿宋" w:cs="仿宋"/>
          <w:b/>
          <w:bCs w:val="0"/>
          <w:color w:val="000000"/>
          <w:kern w:val="32"/>
          <w:sz w:val="28"/>
          <w:szCs w:val="28"/>
        </w:rPr>
      </w:pPr>
      <w:bookmarkStart w:id="75" w:name="_Toc1107"/>
      <w:bookmarkStart w:id="76" w:name="_Toc23709"/>
      <w:bookmarkStart w:id="77" w:name="_Toc7056"/>
      <w:bookmarkStart w:id="78" w:name="_Toc15533"/>
      <w:bookmarkStart w:id="79" w:name="_Toc26835"/>
      <w:bookmarkStart w:id="80" w:name="_Toc47736007"/>
      <w:bookmarkStart w:id="81" w:name="_Toc30796"/>
      <w:bookmarkStart w:id="82" w:name="_Toc28365"/>
      <w:bookmarkStart w:id="83" w:name="_Toc2502"/>
      <w:bookmarkStart w:id="84" w:name="_Toc11807"/>
      <w:bookmarkStart w:id="85" w:name="_Toc21436"/>
      <w:bookmarkStart w:id="86" w:name="_Toc47736008"/>
      <w:r>
        <w:rPr>
          <w:rFonts w:hint="eastAsia" w:ascii="仿宋" w:hAnsi="仿宋" w:eastAsia="仿宋" w:cs="仿宋"/>
          <w:b/>
          <w:bCs w:val="0"/>
          <w:color w:val="000000"/>
          <w:kern w:val="32"/>
          <w:sz w:val="28"/>
          <w:szCs w:val="28"/>
        </w:rPr>
        <w:t>（一）绩效评价目的</w:t>
      </w:r>
      <w:bookmarkEnd w:id="75"/>
      <w:bookmarkEnd w:id="76"/>
      <w:bookmarkEnd w:id="77"/>
      <w:bookmarkEnd w:id="78"/>
      <w:bookmarkEnd w:id="79"/>
      <w:bookmarkEnd w:id="80"/>
      <w:bookmarkEnd w:id="81"/>
      <w:bookmarkEnd w:id="82"/>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通过绩效评价，促进相关部门（单位）树立绩效理念；加强对财政资金的监督和管理，保证财政资金使用的规范性、安全性、有效性；为指导预算编制、申报绩效目标、优化财政支出结构、提高公共服务水平提供决策依据，更好地发挥财政资金的引导和放大作用。</w:t>
      </w:r>
    </w:p>
    <w:p>
      <w:pPr>
        <w:pStyle w:val="5"/>
        <w:spacing w:before="0" w:after="0" w:line="360" w:lineRule="auto"/>
        <w:ind w:firstLine="562" w:firstLineChars="200"/>
        <w:rPr>
          <w:rFonts w:hint="eastAsia" w:ascii="仿宋" w:hAnsi="仿宋" w:eastAsia="仿宋" w:cs="仿宋"/>
          <w:b/>
          <w:bCs w:val="0"/>
          <w:kern w:val="0"/>
          <w:sz w:val="28"/>
          <w:szCs w:val="28"/>
        </w:rPr>
      </w:pPr>
      <w:bookmarkStart w:id="87" w:name="_Toc22509"/>
      <w:bookmarkStart w:id="88" w:name="_Toc400"/>
      <w:bookmarkStart w:id="89" w:name="_Toc19952"/>
      <w:bookmarkStart w:id="90" w:name="_Toc26657"/>
      <w:r>
        <w:rPr>
          <w:rFonts w:hint="eastAsia" w:ascii="仿宋" w:hAnsi="仿宋" w:eastAsia="仿宋" w:cs="仿宋"/>
          <w:b/>
          <w:bCs w:val="0"/>
          <w:kern w:val="0"/>
          <w:sz w:val="28"/>
          <w:szCs w:val="28"/>
        </w:rPr>
        <w:t>（二）绩效评价工作方案制定过程</w:t>
      </w:r>
      <w:bookmarkEnd w:id="83"/>
      <w:bookmarkEnd w:id="84"/>
      <w:bookmarkEnd w:id="85"/>
      <w:bookmarkEnd w:id="86"/>
      <w:bookmarkEnd w:id="87"/>
      <w:bookmarkEnd w:id="88"/>
      <w:bookmarkEnd w:id="89"/>
      <w:bookmarkEnd w:id="90"/>
    </w:p>
    <w:p>
      <w:pPr>
        <w:tabs>
          <w:tab w:val="left" w:pos="709"/>
        </w:tabs>
        <w:spacing w:line="360" w:lineRule="auto"/>
        <w:ind w:firstLine="560" w:firstLineChars="200"/>
        <w:rPr>
          <w:rFonts w:hint="eastAsia" w:ascii="仿宋" w:hAnsi="仿宋" w:eastAsia="仿宋" w:cs="仿宋"/>
          <w:sz w:val="28"/>
          <w:szCs w:val="28"/>
        </w:rPr>
      </w:pPr>
      <w:r>
        <w:rPr>
          <w:rFonts w:hint="eastAsia" w:ascii="仿宋" w:hAnsi="仿宋" w:eastAsia="仿宋" w:cs="仿宋"/>
          <w:color w:val="000000"/>
          <w:kern w:val="32"/>
          <w:sz w:val="28"/>
          <w:szCs w:val="28"/>
        </w:rPr>
        <w:t>评价工作组在接受</w:t>
      </w:r>
      <w:r>
        <w:rPr>
          <w:rFonts w:hint="eastAsia" w:ascii="仿宋" w:hAnsi="仿宋" w:eastAsia="仿宋" w:cs="仿宋"/>
          <w:color w:val="000000"/>
          <w:kern w:val="32"/>
          <w:sz w:val="28"/>
          <w:szCs w:val="28"/>
          <w:lang w:val="en-US" w:eastAsia="zh-CN"/>
        </w:rPr>
        <w:t>安阳县</w:t>
      </w:r>
      <w:r>
        <w:rPr>
          <w:rFonts w:hint="eastAsia" w:ascii="仿宋" w:hAnsi="仿宋" w:eastAsia="仿宋" w:cs="仿宋"/>
          <w:color w:val="000000"/>
          <w:kern w:val="32"/>
          <w:sz w:val="28"/>
          <w:szCs w:val="28"/>
        </w:rPr>
        <w:t>财政局委托后，</w:t>
      </w:r>
      <w:r>
        <w:rPr>
          <w:rFonts w:hint="eastAsia" w:ascii="仿宋" w:hAnsi="仿宋" w:eastAsia="仿宋" w:cs="仿宋"/>
          <w:color w:val="000000"/>
          <w:kern w:val="32"/>
          <w:sz w:val="28"/>
          <w:szCs w:val="28"/>
          <w:lang w:val="en-US" w:eastAsia="zh-CN"/>
        </w:rPr>
        <w:t>按照</w:t>
      </w:r>
      <w:r>
        <w:rPr>
          <w:rFonts w:hint="eastAsia" w:ascii="仿宋" w:hAnsi="仿宋" w:eastAsia="仿宋" w:cs="仿宋"/>
          <w:color w:val="000000"/>
          <w:kern w:val="32"/>
          <w:sz w:val="28"/>
          <w:szCs w:val="28"/>
        </w:rPr>
        <w:t>财政部《财政支出绩效评价管理暂行办法》（财预【20</w:t>
      </w:r>
      <w:r>
        <w:rPr>
          <w:rFonts w:hint="eastAsia" w:ascii="仿宋" w:hAnsi="仿宋" w:eastAsia="仿宋" w:cs="仿宋"/>
          <w:color w:val="000000"/>
          <w:kern w:val="32"/>
          <w:sz w:val="28"/>
          <w:szCs w:val="28"/>
          <w:lang w:val="en-US" w:eastAsia="zh-CN"/>
        </w:rPr>
        <w:t>20</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10</w:t>
      </w:r>
      <w:r>
        <w:rPr>
          <w:rFonts w:hint="eastAsia" w:ascii="仿宋" w:hAnsi="仿宋" w:eastAsia="仿宋" w:cs="仿宋"/>
          <w:color w:val="000000"/>
          <w:kern w:val="32"/>
          <w:sz w:val="28"/>
          <w:szCs w:val="28"/>
        </w:rPr>
        <w:t>5号）及</w:t>
      </w:r>
      <w:r>
        <w:rPr>
          <w:rFonts w:hint="eastAsia" w:ascii="仿宋" w:hAnsi="仿宋" w:eastAsia="仿宋" w:cs="仿宋"/>
          <w:color w:val="000000"/>
          <w:kern w:val="32"/>
          <w:sz w:val="28"/>
          <w:szCs w:val="28"/>
          <w:lang w:val="en-US" w:eastAsia="zh-CN"/>
        </w:rPr>
        <w:t>《关于做好2021年财政支出重点项目及部门绩效评价工作的通知》（安县财效【2022】4号）要求</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制定</w:t>
      </w:r>
      <w:r>
        <w:rPr>
          <w:rFonts w:hint="eastAsia" w:ascii="仿宋" w:hAnsi="仿宋" w:eastAsia="仿宋" w:cs="仿宋"/>
          <w:color w:val="000000"/>
          <w:kern w:val="32"/>
          <w:sz w:val="28"/>
          <w:szCs w:val="28"/>
        </w:rPr>
        <w:t>了该项目绩效评价工作方案。</w:t>
      </w:r>
    </w:p>
    <w:p>
      <w:pPr>
        <w:pStyle w:val="5"/>
        <w:spacing w:before="0" w:after="0" w:line="360" w:lineRule="auto"/>
        <w:ind w:firstLine="562" w:firstLineChars="200"/>
        <w:rPr>
          <w:rFonts w:hint="eastAsia" w:ascii="仿宋" w:hAnsi="仿宋" w:eastAsia="仿宋" w:cs="仿宋"/>
          <w:b/>
          <w:bCs w:val="0"/>
          <w:color w:val="000000"/>
          <w:kern w:val="32"/>
          <w:sz w:val="28"/>
          <w:szCs w:val="28"/>
        </w:rPr>
      </w:pPr>
      <w:bookmarkStart w:id="91" w:name="_Toc11485"/>
      <w:bookmarkStart w:id="92" w:name="_Toc17266"/>
      <w:bookmarkStart w:id="93" w:name="_Toc21845"/>
      <w:bookmarkStart w:id="94" w:name="_Toc15264"/>
      <w:bookmarkStart w:id="95" w:name="_Toc47736009"/>
      <w:bookmarkStart w:id="96" w:name="_Toc16591"/>
      <w:bookmarkStart w:id="97" w:name="_Toc1603"/>
      <w:bookmarkStart w:id="98" w:name="_Toc11626"/>
      <w:r>
        <w:rPr>
          <w:rFonts w:hint="eastAsia" w:ascii="仿宋" w:hAnsi="仿宋" w:eastAsia="仿宋" w:cs="仿宋"/>
          <w:b/>
          <w:bCs w:val="0"/>
          <w:color w:val="000000"/>
          <w:kern w:val="32"/>
          <w:sz w:val="28"/>
          <w:szCs w:val="28"/>
        </w:rPr>
        <w:t>（三）</w:t>
      </w:r>
      <w:r>
        <w:rPr>
          <w:rFonts w:hint="eastAsia" w:ascii="仿宋" w:hAnsi="仿宋" w:eastAsia="仿宋" w:cs="仿宋"/>
          <w:b/>
          <w:bCs w:val="0"/>
          <w:kern w:val="0"/>
          <w:sz w:val="28"/>
          <w:szCs w:val="28"/>
        </w:rPr>
        <w:t>绩效评价原则、评价方法等</w:t>
      </w:r>
      <w:bookmarkEnd w:id="91"/>
      <w:bookmarkEnd w:id="92"/>
      <w:bookmarkEnd w:id="93"/>
      <w:bookmarkEnd w:id="94"/>
      <w:bookmarkEnd w:id="95"/>
      <w:bookmarkEnd w:id="96"/>
      <w:bookmarkEnd w:id="97"/>
      <w:bookmarkEnd w:id="98"/>
    </w:p>
    <w:p>
      <w:pPr>
        <w:tabs>
          <w:tab w:val="left" w:pos="8222"/>
          <w:tab w:val="left" w:pos="8505"/>
        </w:tabs>
        <w:spacing w:line="360" w:lineRule="auto"/>
        <w:ind w:firstLine="560" w:firstLineChars="200"/>
        <w:outlineLvl w:val="2"/>
        <w:rPr>
          <w:rFonts w:hint="eastAsia" w:ascii="仿宋" w:hAnsi="仿宋" w:eastAsia="仿宋" w:cs="仿宋"/>
          <w:color w:val="000000"/>
          <w:kern w:val="32"/>
          <w:sz w:val="28"/>
          <w:szCs w:val="28"/>
        </w:rPr>
      </w:pPr>
      <w:bookmarkStart w:id="99" w:name="_Toc6066"/>
      <w:bookmarkStart w:id="100" w:name="_Toc28990"/>
      <w:r>
        <w:rPr>
          <w:rFonts w:hint="eastAsia" w:ascii="仿宋" w:hAnsi="仿宋" w:eastAsia="仿宋" w:cs="仿宋"/>
          <w:color w:val="000000"/>
          <w:kern w:val="32"/>
          <w:sz w:val="28"/>
          <w:szCs w:val="28"/>
        </w:rPr>
        <w:t>1.</w:t>
      </w:r>
      <w:r>
        <w:rPr>
          <w:rFonts w:hint="eastAsia" w:ascii="仿宋" w:hAnsi="仿宋" w:eastAsia="仿宋" w:cs="仿宋"/>
          <w:bCs/>
          <w:kern w:val="0"/>
          <w:sz w:val="28"/>
          <w:szCs w:val="28"/>
        </w:rPr>
        <w:t>绩效评价原则</w:t>
      </w:r>
      <w:bookmarkEnd w:id="99"/>
      <w:bookmarkEnd w:id="100"/>
    </w:p>
    <w:p>
      <w:pPr>
        <w:tabs>
          <w:tab w:val="left" w:pos="8222"/>
          <w:tab w:val="left" w:pos="8505"/>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遵循“客观、公正、科学、规范”的原则，通过对该项目经济性、效率性、效益性的比较和分析，评价该项目财政资金的支出效率和效果。</w:t>
      </w:r>
    </w:p>
    <w:p>
      <w:pPr>
        <w:pStyle w:val="6"/>
        <w:ind w:firstLine="560" w:firstLineChars="200"/>
        <w:outlineLvl w:val="2"/>
        <w:rPr>
          <w:rFonts w:hint="eastAsia" w:ascii="仿宋" w:hAnsi="仿宋" w:eastAsia="仿宋" w:cs="仿宋"/>
          <w:color w:val="000000"/>
          <w:kern w:val="32"/>
          <w:sz w:val="28"/>
          <w:szCs w:val="28"/>
        </w:rPr>
      </w:pPr>
      <w:bookmarkStart w:id="101" w:name="_Toc47736010"/>
      <w:bookmarkStart w:id="102" w:name="_Toc25085"/>
      <w:bookmarkStart w:id="103" w:name="_Toc14888"/>
      <w:bookmarkStart w:id="104" w:name="_Toc298"/>
      <w:r>
        <w:rPr>
          <w:rFonts w:hint="eastAsia" w:ascii="仿宋" w:hAnsi="仿宋" w:eastAsia="仿宋" w:cs="仿宋"/>
          <w:color w:val="000000"/>
          <w:kern w:val="32"/>
          <w:sz w:val="28"/>
          <w:szCs w:val="28"/>
        </w:rPr>
        <w:t>2.绩效评价方法</w:t>
      </w:r>
      <w:bookmarkEnd w:id="101"/>
      <w:bookmarkEnd w:id="102"/>
      <w:bookmarkEnd w:id="103"/>
      <w:bookmarkEnd w:id="104"/>
    </w:p>
    <w:p>
      <w:pPr>
        <w:ind w:firstLine="641"/>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w:t>
      </w:r>
      <w:r>
        <w:rPr>
          <w:rFonts w:hint="eastAsia" w:ascii="仿宋" w:hAnsi="仿宋" w:eastAsia="仿宋" w:cs="仿宋"/>
          <w:color w:val="000000"/>
          <w:kern w:val="32"/>
          <w:sz w:val="28"/>
          <w:szCs w:val="28"/>
          <w:lang w:val="en-US" w:eastAsia="zh-CN"/>
        </w:rPr>
        <w:t>工作</w:t>
      </w:r>
      <w:r>
        <w:rPr>
          <w:rFonts w:hint="eastAsia" w:ascii="仿宋" w:hAnsi="仿宋" w:eastAsia="仿宋" w:cs="仿宋"/>
          <w:color w:val="000000"/>
          <w:kern w:val="32"/>
          <w:sz w:val="28"/>
          <w:szCs w:val="28"/>
        </w:rPr>
        <w:t>组采用政策文献研究、社会调查、综合比较等评价方式方法，对该项目进行评价。具体评价时，先进行定性分析，再对评价内容实施量化指标确定，进行量化分析评价，从而评价该项目整体绩效实施情况。</w:t>
      </w:r>
    </w:p>
    <w:p>
      <w:pPr>
        <w:pStyle w:val="2"/>
        <w:ind w:firstLine="560" w:firstLineChars="200"/>
        <w:outlineLvl w:val="2"/>
        <w:rPr>
          <w:rFonts w:hint="eastAsia" w:ascii="仿宋" w:hAnsi="仿宋" w:eastAsia="仿宋" w:cs="仿宋"/>
          <w:color w:val="000000"/>
          <w:kern w:val="32"/>
          <w:sz w:val="28"/>
          <w:szCs w:val="28"/>
          <w:lang w:val="en-US" w:eastAsia="zh-CN" w:bidi="ar-SA"/>
        </w:rPr>
      </w:pPr>
      <w:bookmarkStart w:id="105" w:name="_Toc21031"/>
      <w:bookmarkStart w:id="106" w:name="_Toc68"/>
      <w:r>
        <w:rPr>
          <w:rFonts w:hint="eastAsia" w:ascii="仿宋" w:hAnsi="仿宋" w:eastAsia="仿宋" w:cs="仿宋"/>
          <w:color w:val="000000"/>
          <w:kern w:val="32"/>
          <w:sz w:val="28"/>
          <w:szCs w:val="28"/>
          <w:lang w:val="en-US" w:eastAsia="zh-CN"/>
        </w:rPr>
        <w:t>3.</w:t>
      </w:r>
      <w:r>
        <w:rPr>
          <w:rFonts w:hint="eastAsia" w:ascii="仿宋" w:hAnsi="仿宋" w:eastAsia="仿宋" w:cs="仿宋"/>
          <w:color w:val="000000"/>
          <w:kern w:val="32"/>
          <w:sz w:val="28"/>
          <w:szCs w:val="28"/>
          <w:lang w:val="en-US" w:eastAsia="zh-CN" w:bidi="ar-SA"/>
        </w:rPr>
        <w:t>评价标准</w:t>
      </w:r>
      <w:bookmarkEnd w:id="105"/>
      <w:bookmarkEnd w:id="106"/>
    </w:p>
    <w:p>
      <w:pPr>
        <w:pStyle w:val="2"/>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在对评价项目的绩效情况进行全面分析的基础上，本着客观、公正、准确的原则，进行综合评分。评价结果包括综合评分和评级，分类如下：优（90 分（含）-100 分）、良 （80 分（含）-90 分）、中（60 分（含）-80 分）、差（0-60 分以下）。</w:t>
      </w:r>
    </w:p>
    <w:p>
      <w:pPr>
        <w:pStyle w:val="5"/>
        <w:spacing w:before="0" w:after="0" w:line="360" w:lineRule="auto"/>
        <w:ind w:firstLine="562" w:firstLineChars="200"/>
        <w:rPr>
          <w:rFonts w:hint="eastAsia" w:ascii="仿宋" w:hAnsi="仿宋" w:eastAsia="仿宋" w:cs="仿宋"/>
          <w:b/>
          <w:bCs w:val="0"/>
          <w:color w:val="000000"/>
          <w:kern w:val="32"/>
          <w:sz w:val="28"/>
          <w:szCs w:val="28"/>
          <w:highlight w:val="yellow"/>
        </w:rPr>
      </w:pPr>
      <w:bookmarkStart w:id="107" w:name="_Toc18659"/>
      <w:bookmarkStart w:id="108" w:name="_Toc47736011"/>
      <w:bookmarkStart w:id="109" w:name="_Toc20499"/>
      <w:bookmarkStart w:id="110" w:name="_Toc32360"/>
      <w:bookmarkStart w:id="111" w:name="_Toc11204"/>
      <w:bookmarkStart w:id="112" w:name="_Toc2480"/>
      <w:bookmarkStart w:id="113" w:name="_Toc25524"/>
      <w:bookmarkStart w:id="114" w:name="_Toc30427"/>
      <w:r>
        <w:rPr>
          <w:rFonts w:hint="eastAsia" w:ascii="仿宋" w:hAnsi="仿宋" w:eastAsia="仿宋" w:cs="仿宋"/>
          <w:b/>
          <w:bCs w:val="0"/>
          <w:color w:val="000000"/>
          <w:kern w:val="32"/>
          <w:sz w:val="28"/>
          <w:szCs w:val="28"/>
        </w:rPr>
        <w:t>（四）数据采集方法及过程</w:t>
      </w:r>
      <w:bookmarkEnd w:id="107"/>
      <w:bookmarkEnd w:id="108"/>
      <w:bookmarkEnd w:id="109"/>
      <w:bookmarkEnd w:id="110"/>
      <w:bookmarkEnd w:id="111"/>
      <w:bookmarkEnd w:id="112"/>
      <w:bookmarkEnd w:id="113"/>
      <w:bookmarkEnd w:id="114"/>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本次绩效评价相关数据的采集主要通过以下方法：一是通过项目单位提供资料采集；二是评价工作组通过各种途径采集；三是通过评价工作组进行满意度调查的方式采集。数据具体的采集过程如下：</w:t>
      </w:r>
    </w:p>
    <w:p>
      <w:pPr>
        <w:pStyle w:val="6"/>
        <w:ind w:firstLine="560" w:firstLineChars="200"/>
        <w:outlineLvl w:val="2"/>
        <w:rPr>
          <w:rFonts w:hint="eastAsia" w:ascii="仿宋" w:hAnsi="仿宋" w:eastAsia="仿宋" w:cs="仿宋"/>
          <w:color w:val="000000"/>
          <w:kern w:val="32"/>
          <w:sz w:val="28"/>
          <w:szCs w:val="28"/>
        </w:rPr>
      </w:pPr>
      <w:bookmarkStart w:id="115" w:name="_Toc11308"/>
      <w:bookmarkStart w:id="116" w:name="_Toc23404"/>
      <w:r>
        <w:rPr>
          <w:rFonts w:hint="eastAsia" w:ascii="仿宋" w:hAnsi="仿宋" w:eastAsia="仿宋" w:cs="仿宋"/>
          <w:color w:val="000000"/>
          <w:kern w:val="32"/>
          <w:sz w:val="28"/>
          <w:szCs w:val="28"/>
        </w:rPr>
        <w:t>1.项目单位提供资料的数据采集过程</w:t>
      </w:r>
      <w:bookmarkEnd w:id="115"/>
      <w:bookmarkEnd w:id="116"/>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向项目单位发放《绩效评价准备资料清单》，列明本次绩效评价应由项目单位提供的资料明细，要求项目单位在规定时间内提交给评价工作组，评价工作组相关工作人员通过整理资料，核实信息，分析确定并采集出相关评价数据，作为绩效评价的基础性依据资料，供本次绩效评价使用。</w:t>
      </w:r>
    </w:p>
    <w:p>
      <w:pPr>
        <w:pStyle w:val="6"/>
        <w:ind w:firstLine="560" w:firstLineChars="200"/>
        <w:outlineLvl w:val="2"/>
        <w:rPr>
          <w:rFonts w:hint="eastAsia" w:ascii="仿宋" w:hAnsi="仿宋" w:eastAsia="仿宋" w:cs="仿宋"/>
          <w:color w:val="000000"/>
          <w:kern w:val="32"/>
          <w:sz w:val="28"/>
          <w:szCs w:val="28"/>
        </w:rPr>
      </w:pPr>
      <w:bookmarkStart w:id="117" w:name="_Toc345"/>
      <w:bookmarkStart w:id="118" w:name="_Toc24451"/>
      <w:r>
        <w:rPr>
          <w:rFonts w:hint="eastAsia" w:ascii="仿宋" w:hAnsi="仿宋" w:eastAsia="仿宋" w:cs="仿宋"/>
          <w:color w:val="000000"/>
          <w:kern w:val="32"/>
          <w:sz w:val="28"/>
          <w:szCs w:val="28"/>
        </w:rPr>
        <w:t>2.评价工作组</w:t>
      </w:r>
      <w:r>
        <w:rPr>
          <w:rFonts w:hint="eastAsia" w:ascii="仿宋" w:hAnsi="仿宋" w:eastAsia="仿宋" w:cs="仿宋"/>
          <w:color w:val="000000"/>
          <w:kern w:val="32"/>
          <w:sz w:val="28"/>
          <w:szCs w:val="28"/>
          <w:lang w:val="en-US" w:eastAsia="zh-CN"/>
        </w:rPr>
        <w:t>自行的</w:t>
      </w:r>
      <w:r>
        <w:rPr>
          <w:rFonts w:hint="eastAsia" w:ascii="仿宋" w:hAnsi="仿宋" w:eastAsia="仿宋" w:cs="仿宋"/>
          <w:color w:val="000000"/>
          <w:kern w:val="32"/>
          <w:sz w:val="28"/>
          <w:szCs w:val="28"/>
        </w:rPr>
        <w:t>数据采集过程</w:t>
      </w:r>
      <w:bookmarkEnd w:id="117"/>
      <w:bookmarkEnd w:id="118"/>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评价工作组接到本次绩效评价任务后，通过网络查询、电话咨询专家等方式，了解与该项目绩效评价相关信息，并从中采集出绩效评价相关数据，供本次绩效评价使用。</w:t>
      </w:r>
    </w:p>
    <w:p>
      <w:pPr>
        <w:pStyle w:val="6"/>
        <w:ind w:firstLine="560" w:firstLineChars="200"/>
        <w:outlineLvl w:val="2"/>
        <w:rPr>
          <w:rFonts w:hint="eastAsia" w:ascii="仿宋" w:hAnsi="仿宋" w:eastAsia="仿宋" w:cs="仿宋"/>
          <w:color w:val="000000"/>
          <w:kern w:val="32"/>
          <w:sz w:val="28"/>
          <w:szCs w:val="28"/>
        </w:rPr>
      </w:pPr>
      <w:bookmarkStart w:id="119" w:name="_Toc12297"/>
      <w:bookmarkStart w:id="120" w:name="_Toc29127"/>
      <w:r>
        <w:rPr>
          <w:rFonts w:hint="eastAsia" w:ascii="仿宋" w:hAnsi="仿宋" w:eastAsia="仿宋" w:cs="仿宋"/>
          <w:color w:val="000000"/>
          <w:kern w:val="32"/>
          <w:sz w:val="28"/>
          <w:szCs w:val="28"/>
        </w:rPr>
        <w:t>3.评价工作组满意度调查方式的数据采集过程</w:t>
      </w:r>
      <w:bookmarkEnd w:id="119"/>
      <w:bookmarkEnd w:id="120"/>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评价工作组启动本次绩效评价工作后，通过首次入户了解到项目基本情况后，编制本次绩效评价调查问卷，并确定满意度调查针对</w:t>
      </w:r>
      <w:r>
        <w:rPr>
          <w:rFonts w:hint="eastAsia" w:ascii="仿宋" w:hAnsi="仿宋" w:eastAsia="仿宋" w:cs="仿宋"/>
          <w:color w:val="000000"/>
          <w:kern w:val="32"/>
          <w:sz w:val="28"/>
          <w:szCs w:val="28"/>
          <w:lang w:val="en-US" w:eastAsia="zh-CN"/>
        </w:rPr>
        <w:t>辖区内80岁以上老人进行满意度调查</w:t>
      </w:r>
      <w:r>
        <w:rPr>
          <w:rFonts w:hint="eastAsia" w:ascii="仿宋" w:hAnsi="仿宋" w:eastAsia="仿宋" w:cs="仿宋"/>
          <w:color w:val="000000"/>
          <w:kern w:val="32"/>
          <w:sz w:val="28"/>
          <w:szCs w:val="28"/>
        </w:rPr>
        <w:t>。</w:t>
      </w:r>
    </w:p>
    <w:p>
      <w:pPr>
        <w:pStyle w:val="5"/>
        <w:spacing w:before="0" w:after="0" w:line="360" w:lineRule="auto"/>
        <w:ind w:firstLine="562" w:firstLineChars="200"/>
        <w:rPr>
          <w:rFonts w:hint="eastAsia" w:ascii="仿宋" w:hAnsi="仿宋" w:eastAsia="仿宋" w:cs="仿宋"/>
          <w:b/>
          <w:bCs w:val="0"/>
          <w:kern w:val="0"/>
          <w:sz w:val="28"/>
          <w:szCs w:val="28"/>
        </w:rPr>
      </w:pPr>
      <w:bookmarkStart w:id="121" w:name="_Toc7564"/>
      <w:bookmarkStart w:id="122" w:name="_Toc31365"/>
      <w:bookmarkStart w:id="123" w:name="_Toc12643"/>
      <w:bookmarkStart w:id="124" w:name="_Toc24464"/>
      <w:bookmarkStart w:id="125" w:name="_Toc31835"/>
      <w:bookmarkStart w:id="126" w:name="_Toc47736012"/>
      <w:bookmarkStart w:id="127" w:name="_Toc29945"/>
      <w:bookmarkStart w:id="128" w:name="_Toc25488"/>
      <w:r>
        <w:rPr>
          <w:rFonts w:hint="eastAsia" w:ascii="仿宋" w:hAnsi="仿宋" w:eastAsia="仿宋" w:cs="仿宋"/>
          <w:b/>
          <w:bCs w:val="0"/>
          <w:kern w:val="0"/>
          <w:sz w:val="28"/>
          <w:szCs w:val="28"/>
        </w:rPr>
        <w:t>（五）绩效评价实施过程</w:t>
      </w:r>
      <w:bookmarkEnd w:id="121"/>
      <w:bookmarkEnd w:id="122"/>
      <w:bookmarkEnd w:id="123"/>
      <w:bookmarkEnd w:id="124"/>
      <w:bookmarkEnd w:id="125"/>
      <w:bookmarkEnd w:id="126"/>
      <w:bookmarkEnd w:id="127"/>
      <w:bookmarkEnd w:id="128"/>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lang w:eastAsia="zh-CN"/>
        </w:rPr>
        <w:t>安阳县</w:t>
      </w:r>
      <w:r>
        <w:rPr>
          <w:rFonts w:hint="eastAsia" w:ascii="仿宋" w:hAnsi="仿宋" w:eastAsia="仿宋" w:cs="仿宋"/>
          <w:color w:val="000000"/>
          <w:kern w:val="32"/>
          <w:sz w:val="28"/>
          <w:szCs w:val="28"/>
          <w:lang w:val="en-US" w:eastAsia="zh-CN"/>
        </w:rPr>
        <w:t>民政</w:t>
      </w:r>
      <w:r>
        <w:rPr>
          <w:rFonts w:hint="eastAsia" w:ascii="仿宋" w:hAnsi="仿宋" w:eastAsia="仿宋" w:cs="仿宋"/>
          <w:color w:val="000000"/>
          <w:kern w:val="32"/>
          <w:sz w:val="28"/>
          <w:szCs w:val="28"/>
          <w:lang w:eastAsia="zh-CN"/>
        </w:rPr>
        <w:t>局</w:t>
      </w:r>
      <w:r>
        <w:rPr>
          <w:rFonts w:hint="eastAsia" w:ascii="仿宋" w:hAnsi="仿宋" w:eastAsia="仿宋" w:cs="仿宋"/>
          <w:color w:val="000000"/>
          <w:kern w:val="32"/>
          <w:sz w:val="28"/>
          <w:szCs w:val="28"/>
          <w:highlight w:val="none"/>
        </w:rPr>
        <w:t>2021年</w:t>
      </w:r>
      <w:r>
        <w:rPr>
          <w:rFonts w:hint="eastAsia" w:ascii="仿宋" w:hAnsi="仿宋" w:eastAsia="仿宋" w:cs="仿宋"/>
          <w:color w:val="000000"/>
          <w:kern w:val="32"/>
          <w:sz w:val="28"/>
          <w:szCs w:val="28"/>
          <w:highlight w:val="none"/>
          <w:lang w:val="en-US" w:eastAsia="zh-CN"/>
        </w:rPr>
        <w:t>高龄津贴</w:t>
      </w:r>
      <w:r>
        <w:rPr>
          <w:rFonts w:hint="eastAsia" w:ascii="仿宋" w:hAnsi="仿宋" w:eastAsia="仿宋" w:cs="仿宋"/>
          <w:color w:val="000000"/>
          <w:kern w:val="32"/>
          <w:sz w:val="28"/>
          <w:szCs w:val="28"/>
          <w:highlight w:val="none"/>
        </w:rPr>
        <w:t>项目绩效评价主要从决策、管理（业务管理和预算管理）、绩效三个方面进行评价，重在评价预算执行效果。</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rPr>
        <w:t>本次绩效评价时</w:t>
      </w:r>
      <w:r>
        <w:rPr>
          <w:rFonts w:hint="eastAsia" w:ascii="仿宋" w:hAnsi="仿宋" w:eastAsia="仿宋" w:cs="仿宋"/>
          <w:color w:val="000000"/>
          <w:kern w:val="32"/>
          <w:sz w:val="28"/>
          <w:szCs w:val="28"/>
          <w:highlight w:val="none"/>
        </w:rPr>
        <w:t>间为2022年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16</w:t>
      </w:r>
      <w:r>
        <w:rPr>
          <w:rFonts w:hint="eastAsia" w:ascii="仿宋" w:hAnsi="仿宋" w:eastAsia="仿宋" w:cs="仿宋"/>
          <w:color w:val="000000"/>
          <w:kern w:val="32"/>
          <w:sz w:val="28"/>
          <w:szCs w:val="28"/>
          <w:highlight w:val="none"/>
        </w:rPr>
        <w:t>日到</w:t>
      </w:r>
      <w:r>
        <w:rPr>
          <w:rFonts w:hint="eastAsia" w:ascii="仿宋" w:hAnsi="仿宋" w:eastAsia="仿宋" w:cs="仿宋"/>
          <w:color w:val="000000"/>
          <w:kern w:val="32"/>
          <w:sz w:val="28"/>
          <w:szCs w:val="28"/>
          <w:highlight w:val="none"/>
          <w:lang w:val="en-US" w:eastAsia="zh-CN"/>
        </w:rPr>
        <w:t>10</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日，包括前期准备阶段、现场核查阶段、数据分析与报告撰写阶段、征求意见出具正式报告阶段四个阶段。</w:t>
      </w:r>
    </w:p>
    <w:p>
      <w:pPr>
        <w:tabs>
          <w:tab w:val="left" w:pos="709"/>
        </w:tabs>
        <w:spacing w:line="360" w:lineRule="auto"/>
        <w:ind w:firstLine="560" w:firstLineChars="200"/>
        <w:outlineLvl w:val="2"/>
        <w:rPr>
          <w:rFonts w:hint="eastAsia" w:ascii="仿宋" w:hAnsi="仿宋" w:eastAsia="仿宋" w:cs="仿宋"/>
          <w:color w:val="000000"/>
          <w:kern w:val="32"/>
          <w:sz w:val="28"/>
          <w:szCs w:val="28"/>
          <w:highlight w:val="none"/>
        </w:rPr>
      </w:pPr>
      <w:bookmarkStart w:id="129" w:name="_Toc30717"/>
      <w:bookmarkStart w:id="130" w:name="_Toc13271"/>
      <w:r>
        <w:rPr>
          <w:rFonts w:hint="eastAsia" w:ascii="仿宋" w:hAnsi="仿宋" w:eastAsia="仿宋" w:cs="仿宋"/>
          <w:color w:val="000000"/>
          <w:kern w:val="32"/>
          <w:sz w:val="28"/>
          <w:szCs w:val="28"/>
          <w:highlight w:val="none"/>
        </w:rPr>
        <w:t>1.前期准备阶段</w:t>
      </w:r>
      <w:bookmarkEnd w:id="129"/>
      <w:bookmarkEnd w:id="130"/>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18</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25</w:t>
      </w:r>
      <w:r>
        <w:rPr>
          <w:rFonts w:hint="eastAsia" w:ascii="仿宋" w:hAnsi="仿宋" w:eastAsia="仿宋" w:cs="仿宋"/>
          <w:color w:val="000000"/>
          <w:kern w:val="32"/>
          <w:sz w:val="28"/>
          <w:szCs w:val="28"/>
          <w:highlight w:val="none"/>
        </w:rPr>
        <w:t>日，开展前期准备工作。收集项目资料，与相关部门沟通项目情况，设计评价指标体系和评价方案；开展预调研，结合部门意见，调整确定评价指标体系和评价方案。</w:t>
      </w:r>
    </w:p>
    <w:p>
      <w:pPr>
        <w:tabs>
          <w:tab w:val="left" w:pos="709"/>
        </w:tabs>
        <w:spacing w:line="360" w:lineRule="auto"/>
        <w:ind w:firstLine="560" w:firstLineChars="200"/>
        <w:outlineLvl w:val="2"/>
        <w:rPr>
          <w:rFonts w:hint="eastAsia" w:ascii="仿宋" w:hAnsi="仿宋" w:eastAsia="仿宋" w:cs="仿宋"/>
          <w:color w:val="000000"/>
          <w:kern w:val="32"/>
          <w:sz w:val="28"/>
          <w:szCs w:val="28"/>
          <w:highlight w:val="none"/>
        </w:rPr>
      </w:pPr>
      <w:bookmarkStart w:id="131" w:name="_Toc5827"/>
      <w:bookmarkStart w:id="132" w:name="_Toc4254"/>
      <w:r>
        <w:rPr>
          <w:rFonts w:hint="eastAsia" w:ascii="仿宋" w:hAnsi="仿宋" w:eastAsia="仿宋" w:cs="仿宋"/>
          <w:color w:val="000000"/>
          <w:kern w:val="32"/>
          <w:sz w:val="28"/>
          <w:szCs w:val="28"/>
          <w:highlight w:val="none"/>
        </w:rPr>
        <w:t>2.现场核查阶段</w:t>
      </w:r>
      <w:bookmarkEnd w:id="131"/>
      <w:bookmarkEnd w:id="132"/>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26</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12</w:t>
      </w:r>
      <w:r>
        <w:rPr>
          <w:rFonts w:hint="eastAsia" w:ascii="仿宋" w:hAnsi="仿宋" w:eastAsia="仿宋" w:cs="仿宋"/>
          <w:color w:val="000000"/>
          <w:kern w:val="32"/>
          <w:sz w:val="28"/>
          <w:szCs w:val="28"/>
          <w:highlight w:val="none"/>
        </w:rPr>
        <w:t>日开展现场核查工作。</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我们要求</w:t>
      </w:r>
      <w:r>
        <w:rPr>
          <w:rFonts w:hint="eastAsia" w:ascii="仿宋" w:hAnsi="仿宋" w:eastAsia="仿宋" w:cs="仿宋"/>
          <w:color w:val="000000"/>
          <w:kern w:val="32"/>
          <w:sz w:val="28"/>
          <w:szCs w:val="28"/>
          <w:highlight w:val="none"/>
          <w:lang w:eastAsia="zh-CN"/>
        </w:rPr>
        <w:t>安阳县</w:t>
      </w:r>
      <w:r>
        <w:rPr>
          <w:rFonts w:hint="eastAsia" w:ascii="仿宋" w:hAnsi="仿宋" w:eastAsia="仿宋" w:cs="仿宋"/>
          <w:color w:val="000000"/>
          <w:kern w:val="32"/>
          <w:sz w:val="28"/>
          <w:szCs w:val="28"/>
          <w:highlight w:val="none"/>
          <w:lang w:val="en-US" w:eastAsia="zh-CN"/>
        </w:rPr>
        <w:t>民政</w:t>
      </w:r>
      <w:r>
        <w:rPr>
          <w:rFonts w:hint="eastAsia" w:ascii="仿宋" w:hAnsi="仿宋" w:eastAsia="仿宋" w:cs="仿宋"/>
          <w:color w:val="000000"/>
          <w:kern w:val="32"/>
          <w:sz w:val="28"/>
          <w:szCs w:val="28"/>
          <w:highlight w:val="none"/>
          <w:lang w:eastAsia="zh-CN"/>
        </w:rPr>
        <w:t>局</w:t>
      </w:r>
      <w:r>
        <w:rPr>
          <w:rFonts w:hint="eastAsia" w:ascii="仿宋" w:hAnsi="仿宋" w:eastAsia="仿宋" w:cs="仿宋"/>
          <w:color w:val="000000"/>
          <w:kern w:val="32"/>
          <w:sz w:val="28"/>
          <w:szCs w:val="28"/>
          <w:highlight w:val="none"/>
        </w:rPr>
        <w:t>提前填报基础数据表，按照文件内容准备相关材料；现场进行实地调研和勘查，通过听取主管部门介绍、现场核查、问询、复核等方式详细了解情况，对相关部门和单位提供的基础资料数据进行核实，并对主管部门及受益群体进行问卷调查。</w:t>
      </w:r>
    </w:p>
    <w:p>
      <w:pPr>
        <w:tabs>
          <w:tab w:val="left" w:pos="709"/>
        </w:tabs>
        <w:spacing w:line="360" w:lineRule="auto"/>
        <w:ind w:firstLine="560" w:firstLineChars="200"/>
        <w:outlineLvl w:val="2"/>
        <w:rPr>
          <w:rFonts w:hint="eastAsia" w:ascii="仿宋" w:hAnsi="仿宋" w:eastAsia="仿宋" w:cs="仿宋"/>
          <w:color w:val="000000"/>
          <w:kern w:val="32"/>
          <w:sz w:val="28"/>
          <w:szCs w:val="28"/>
          <w:highlight w:val="none"/>
        </w:rPr>
      </w:pPr>
      <w:bookmarkStart w:id="133" w:name="_Toc30153"/>
      <w:bookmarkStart w:id="134" w:name="_Toc19279"/>
      <w:r>
        <w:rPr>
          <w:rFonts w:hint="eastAsia" w:ascii="仿宋" w:hAnsi="仿宋" w:eastAsia="仿宋" w:cs="仿宋"/>
          <w:color w:val="000000"/>
          <w:kern w:val="32"/>
          <w:sz w:val="28"/>
          <w:szCs w:val="28"/>
          <w:highlight w:val="none"/>
        </w:rPr>
        <w:t>3.数据分析与报告撰写阶段</w:t>
      </w:r>
      <w:bookmarkEnd w:id="133"/>
      <w:bookmarkEnd w:id="134"/>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13</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月2</w:t>
      </w:r>
      <w:r>
        <w:rPr>
          <w:rFonts w:hint="eastAsia" w:ascii="仿宋" w:hAnsi="仿宋" w:eastAsia="仿宋" w:cs="仿宋"/>
          <w:color w:val="000000"/>
          <w:kern w:val="32"/>
          <w:sz w:val="28"/>
          <w:szCs w:val="28"/>
          <w:highlight w:val="none"/>
          <w:lang w:val="en-US" w:eastAsia="zh-CN"/>
        </w:rPr>
        <w:t>2</w:t>
      </w:r>
      <w:r>
        <w:rPr>
          <w:rFonts w:hint="eastAsia" w:ascii="仿宋" w:hAnsi="仿宋" w:eastAsia="仿宋" w:cs="仿宋"/>
          <w:color w:val="000000"/>
          <w:kern w:val="32"/>
          <w:sz w:val="28"/>
          <w:szCs w:val="28"/>
          <w:highlight w:val="none"/>
        </w:rPr>
        <w:t>日，根据现场勘查和资料收集情况，进行数据整理汇总分析，根据绩效评价指标体系进行打分，整理形成初步评价报告。</w:t>
      </w:r>
    </w:p>
    <w:p>
      <w:pPr>
        <w:tabs>
          <w:tab w:val="left" w:pos="709"/>
        </w:tabs>
        <w:spacing w:line="360" w:lineRule="auto"/>
        <w:ind w:firstLine="560" w:firstLineChars="200"/>
        <w:outlineLvl w:val="2"/>
        <w:rPr>
          <w:rFonts w:hint="eastAsia" w:ascii="仿宋" w:hAnsi="仿宋" w:eastAsia="仿宋" w:cs="仿宋"/>
          <w:color w:val="000000"/>
          <w:kern w:val="32"/>
          <w:sz w:val="28"/>
          <w:szCs w:val="28"/>
          <w:highlight w:val="none"/>
        </w:rPr>
      </w:pPr>
      <w:bookmarkStart w:id="135" w:name="_Toc25612"/>
      <w:bookmarkStart w:id="136" w:name="_Toc22577"/>
      <w:r>
        <w:rPr>
          <w:rFonts w:hint="eastAsia" w:ascii="仿宋" w:hAnsi="仿宋" w:eastAsia="仿宋" w:cs="仿宋"/>
          <w:color w:val="000000"/>
          <w:kern w:val="32"/>
          <w:sz w:val="28"/>
          <w:szCs w:val="28"/>
          <w:highlight w:val="none"/>
        </w:rPr>
        <w:t>4.征求意见出具正式报告阶段</w:t>
      </w:r>
      <w:bookmarkEnd w:id="135"/>
      <w:bookmarkEnd w:id="136"/>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月2</w:t>
      </w:r>
      <w:r>
        <w:rPr>
          <w:rFonts w:hint="eastAsia" w:ascii="仿宋" w:hAnsi="仿宋" w:eastAsia="仿宋" w:cs="仿宋"/>
          <w:color w:val="000000"/>
          <w:kern w:val="32"/>
          <w:sz w:val="28"/>
          <w:szCs w:val="28"/>
          <w:highlight w:val="none"/>
          <w:lang w:val="en-US" w:eastAsia="zh-CN"/>
        </w:rPr>
        <w:t>3</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10</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日，与相关部门及科室沟通，综合形成绩效评价报告，提交委托方。</w:t>
      </w:r>
    </w:p>
    <w:p>
      <w:pPr>
        <w:pStyle w:val="5"/>
        <w:spacing w:before="0" w:after="0" w:line="360" w:lineRule="auto"/>
        <w:ind w:firstLine="562" w:firstLineChars="200"/>
        <w:rPr>
          <w:rFonts w:hint="eastAsia" w:ascii="仿宋" w:hAnsi="仿宋" w:eastAsia="仿宋" w:cs="仿宋"/>
          <w:b/>
          <w:bCs w:val="0"/>
          <w:kern w:val="0"/>
          <w:sz w:val="28"/>
          <w:szCs w:val="28"/>
          <w:highlight w:val="none"/>
        </w:rPr>
      </w:pPr>
      <w:bookmarkStart w:id="137" w:name="_Toc12844"/>
      <w:bookmarkStart w:id="138" w:name="_Toc47736013"/>
      <w:bookmarkStart w:id="139" w:name="_Toc20274"/>
      <w:bookmarkStart w:id="140" w:name="_Toc948"/>
      <w:bookmarkStart w:id="141" w:name="_Toc19189"/>
      <w:bookmarkStart w:id="142" w:name="_Toc25024"/>
      <w:bookmarkStart w:id="143" w:name="_Toc7937"/>
      <w:bookmarkStart w:id="144" w:name="_Toc23191"/>
      <w:r>
        <w:rPr>
          <w:rFonts w:hint="eastAsia" w:ascii="仿宋" w:hAnsi="仿宋" w:eastAsia="仿宋" w:cs="仿宋"/>
          <w:b/>
          <w:bCs w:val="0"/>
          <w:kern w:val="0"/>
          <w:sz w:val="28"/>
          <w:szCs w:val="28"/>
          <w:highlight w:val="none"/>
        </w:rPr>
        <w:t>（六）绩效评价的局限性</w:t>
      </w:r>
      <w:bookmarkEnd w:id="137"/>
      <w:bookmarkEnd w:id="138"/>
      <w:bookmarkEnd w:id="139"/>
      <w:bookmarkEnd w:id="140"/>
      <w:bookmarkEnd w:id="141"/>
      <w:bookmarkEnd w:id="142"/>
      <w:bookmarkEnd w:id="143"/>
      <w:bookmarkEnd w:id="144"/>
    </w:p>
    <w:p>
      <w:pPr>
        <w:pStyle w:val="6"/>
        <w:ind w:firstLine="645"/>
        <w:outlineLvl w:val="2"/>
        <w:rPr>
          <w:rFonts w:hint="eastAsia" w:ascii="仿宋" w:hAnsi="仿宋" w:eastAsia="仿宋" w:cs="仿宋"/>
          <w:sz w:val="28"/>
          <w:szCs w:val="28"/>
          <w:highlight w:val="none"/>
        </w:rPr>
      </w:pPr>
      <w:bookmarkStart w:id="145" w:name="_Toc30837"/>
      <w:bookmarkStart w:id="146" w:name="_Toc9246"/>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.绩效目标编制不够完善，影响绩效评价效果</w:t>
      </w:r>
      <w:bookmarkEnd w:id="145"/>
      <w:bookmarkEnd w:id="146"/>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rPr>
        <w:t>项目支出绩效目标申报表是绩效评价的基础性资料之一，也是判断项目绩效实现情况的重要依据，但该项目原填报的绩效目标申报表过于简单，缺乏与该项目相关的量化指标，难以作为绩效评价的基础依据，故本次绩效评价之初，项目单位对原绩效目标申报表进行了调整，补充了部分与该项目相关的量化指标，但这也会在一定程度上影响绩效评价的效果。</w:t>
      </w:r>
    </w:p>
    <w:p>
      <w:pPr>
        <w:pStyle w:val="6"/>
        <w:ind w:firstLine="645"/>
        <w:outlineLvl w:val="2"/>
        <w:rPr>
          <w:rFonts w:hint="eastAsia" w:ascii="仿宋" w:hAnsi="仿宋" w:eastAsia="仿宋" w:cs="仿宋"/>
          <w:sz w:val="28"/>
          <w:szCs w:val="28"/>
          <w:highlight w:val="none"/>
        </w:rPr>
      </w:pPr>
      <w:bookmarkStart w:id="147" w:name="_Toc31150"/>
      <w:bookmarkStart w:id="148" w:name="_Toc3865"/>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.评价资料的完整准确性，影响绩效评价效果</w:t>
      </w:r>
      <w:bookmarkEnd w:id="147"/>
      <w:bookmarkEnd w:id="148"/>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rPr>
        <w:t>绩效评价采取定量和定性相结合的方式开展，具体评价有赖于资料收集的完整度和相关信息的准确度。虽然评价工作组在绩效评价开始时即向项目单位发放了需提供的资料清单，但鉴于项目单位首次参加绩效评价，对相关工作的理解和认识高度所限，加之绩效评价时间要求紧，故提供资料在完整性和准确性上必然存在一定的局限性，也会影响绩效评价效果。</w:t>
      </w:r>
    </w:p>
    <w:p>
      <w:pPr>
        <w:pStyle w:val="4"/>
        <w:spacing w:before="0" w:after="0" w:line="360" w:lineRule="auto"/>
        <w:ind w:firstLine="562" w:firstLineChars="200"/>
        <w:rPr>
          <w:rFonts w:hint="eastAsia" w:ascii="仿宋" w:hAnsi="仿宋" w:eastAsia="仿宋" w:cs="仿宋"/>
          <w:b/>
          <w:bCs w:val="0"/>
          <w:kern w:val="0"/>
          <w:sz w:val="28"/>
          <w:szCs w:val="28"/>
        </w:rPr>
      </w:pPr>
      <w:bookmarkStart w:id="149" w:name="_Toc18036"/>
      <w:bookmarkStart w:id="150" w:name="_Toc28719"/>
      <w:bookmarkStart w:id="151" w:name="_Toc47736014"/>
      <w:bookmarkStart w:id="152" w:name="_Toc19252"/>
      <w:bookmarkStart w:id="153" w:name="_Toc30135"/>
      <w:bookmarkStart w:id="154" w:name="_Toc15851"/>
      <w:bookmarkStart w:id="155" w:name="_Toc7208"/>
      <w:bookmarkStart w:id="156" w:name="_Toc17066"/>
      <w:r>
        <w:rPr>
          <w:rFonts w:hint="eastAsia" w:ascii="仿宋" w:hAnsi="仿宋" w:eastAsia="仿宋" w:cs="仿宋"/>
          <w:b/>
          <w:bCs w:val="0"/>
          <w:kern w:val="0"/>
          <w:sz w:val="28"/>
          <w:szCs w:val="28"/>
        </w:rPr>
        <w:t>三、评价结论和绩效分析</w:t>
      </w:r>
      <w:bookmarkEnd w:id="149"/>
      <w:bookmarkEnd w:id="150"/>
      <w:bookmarkEnd w:id="151"/>
      <w:bookmarkEnd w:id="152"/>
      <w:bookmarkEnd w:id="153"/>
      <w:bookmarkEnd w:id="154"/>
      <w:bookmarkEnd w:id="155"/>
      <w:bookmarkEnd w:id="156"/>
    </w:p>
    <w:p>
      <w:pPr>
        <w:pStyle w:val="5"/>
        <w:spacing w:before="0" w:after="0" w:line="360" w:lineRule="auto"/>
        <w:ind w:firstLine="562" w:firstLineChars="200"/>
        <w:rPr>
          <w:rFonts w:hint="eastAsia" w:ascii="仿宋" w:hAnsi="仿宋" w:eastAsia="仿宋" w:cs="仿宋"/>
          <w:b/>
          <w:bCs w:val="0"/>
          <w:kern w:val="0"/>
          <w:sz w:val="28"/>
          <w:szCs w:val="28"/>
        </w:rPr>
      </w:pPr>
      <w:bookmarkStart w:id="157" w:name="_Toc47736015"/>
      <w:bookmarkStart w:id="158" w:name="_Toc24162"/>
      <w:bookmarkStart w:id="159" w:name="_Toc21191"/>
      <w:bookmarkStart w:id="160" w:name="_Toc26843"/>
      <w:bookmarkStart w:id="161" w:name="_Toc3188"/>
      <w:bookmarkStart w:id="162" w:name="_Toc23804"/>
      <w:bookmarkStart w:id="163" w:name="_Toc4367"/>
      <w:bookmarkStart w:id="164" w:name="_Toc26678"/>
      <w:r>
        <w:rPr>
          <w:rFonts w:hint="eastAsia" w:ascii="仿宋" w:hAnsi="仿宋" w:eastAsia="仿宋" w:cs="仿宋"/>
          <w:b/>
          <w:bCs w:val="0"/>
          <w:kern w:val="0"/>
          <w:sz w:val="28"/>
          <w:szCs w:val="28"/>
        </w:rPr>
        <w:t>（一）评价结论</w:t>
      </w:r>
      <w:bookmarkEnd w:id="157"/>
      <w:bookmarkEnd w:id="158"/>
      <w:bookmarkEnd w:id="159"/>
      <w:bookmarkEnd w:id="160"/>
      <w:bookmarkEnd w:id="161"/>
      <w:bookmarkEnd w:id="162"/>
      <w:bookmarkEnd w:id="163"/>
      <w:bookmarkEnd w:id="164"/>
    </w:p>
    <w:p>
      <w:pPr>
        <w:pStyle w:val="6"/>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1.评价结果</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运用指标体系及评分标准，通过数据采集、访谈、问卷等形式对履职效能、管理效率、运行成本、可持续性、服务满意度进行全面综合评价。根据评价指标体系和评分标准对每个指标分别评分汇总后得出最终分数为</w:t>
      </w:r>
      <w:r>
        <w:rPr>
          <w:rFonts w:hint="eastAsia" w:ascii="仿宋" w:hAnsi="仿宋" w:eastAsia="仿宋" w:cs="仿宋"/>
          <w:color w:val="000000"/>
          <w:kern w:val="32"/>
          <w:sz w:val="28"/>
          <w:szCs w:val="28"/>
          <w:highlight w:val="none"/>
          <w:lang w:val="en-US" w:eastAsia="zh-CN"/>
        </w:rPr>
        <w:t>93.64</w:t>
      </w:r>
      <w:r>
        <w:rPr>
          <w:rFonts w:hint="eastAsia" w:ascii="仿宋" w:hAnsi="仿宋" w:eastAsia="仿宋" w:cs="仿宋"/>
          <w:color w:val="000000"/>
          <w:kern w:val="32"/>
          <w:sz w:val="28"/>
          <w:szCs w:val="28"/>
          <w:highlight w:val="none"/>
        </w:rPr>
        <w:t>分，该项目绩效评价等级为“优”，得分情况如下：</w:t>
      </w:r>
    </w:p>
    <w:tbl>
      <w:tblPr>
        <w:tblStyle w:val="19"/>
        <w:tblW w:w="797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90"/>
        <w:gridCol w:w="183"/>
        <w:gridCol w:w="1870"/>
        <w:gridCol w:w="2050"/>
        <w:gridCol w:w="2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973"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2021年度安阳县级指标体系及打分情况表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权重分值</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实际得分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8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项目决策</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b/>
                <w:bCs/>
                <w:i w:val="0"/>
                <w:iCs w:val="0"/>
                <w:color w:val="000000"/>
                <w:sz w:val="21"/>
                <w:szCs w:val="21"/>
                <w:u w:val="none"/>
                <w:lang w:val="en-US" w:eastAsia="zh-CN"/>
              </w:rPr>
            </w:pPr>
            <w:r>
              <w:rPr>
                <w:rFonts w:hint="eastAsia" w:ascii="仿宋" w:hAnsi="仿宋" w:eastAsia="仿宋" w:cs="仿宋"/>
                <w:b/>
                <w:bCs/>
                <w:i w:val="0"/>
                <w:iCs w:val="0"/>
                <w:color w:val="000000"/>
                <w:sz w:val="21"/>
                <w:szCs w:val="21"/>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项目目标</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决策过程</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资金投入</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8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项目管理</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资金执行</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资金管理</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组织实施</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8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项目绩效</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项目产出</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项目效果</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2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总分</w:t>
            </w: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100</w:t>
            </w:r>
          </w:p>
        </w:tc>
        <w:tc>
          <w:tcPr>
            <w:tcW w:w="2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93.64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84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绩效评定级别</w:t>
            </w:r>
          </w:p>
        </w:tc>
        <w:tc>
          <w:tcPr>
            <w:tcW w:w="41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优</w:t>
            </w:r>
          </w:p>
        </w:tc>
      </w:tr>
    </w:tbl>
    <w:p>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1"/>
        <w:rPr>
          <w:rFonts w:ascii="仿宋" w:hAnsi="仿宋" w:eastAsia="仿宋" w:cs="仿宋"/>
          <w:b/>
          <w:bCs/>
          <w:sz w:val="28"/>
          <w:szCs w:val="28"/>
        </w:rPr>
      </w:pPr>
      <w:bookmarkStart w:id="165" w:name="_Toc106986346"/>
      <w:bookmarkStart w:id="166" w:name="_Toc21817"/>
      <w:bookmarkStart w:id="167" w:name="_Toc11851"/>
      <w:bookmarkStart w:id="168" w:name="_Toc4520"/>
      <w:bookmarkStart w:id="169" w:name="_Toc27400"/>
      <w:bookmarkStart w:id="170" w:name="_Toc16202"/>
      <w:bookmarkStart w:id="171" w:name="_Toc18636"/>
      <w:bookmarkStart w:id="172" w:name="_Toc5797"/>
      <w:bookmarkStart w:id="173" w:name="_Toc17530"/>
      <w:bookmarkStart w:id="174" w:name="_Toc8041"/>
      <w:bookmarkStart w:id="175" w:name="_Toc13820"/>
      <w:bookmarkStart w:id="176" w:name="_Toc47736018"/>
      <w:bookmarkStart w:id="177" w:name="_Toc424220305"/>
      <w:bookmarkStart w:id="178" w:name="_Toc424220260"/>
      <w:bookmarkStart w:id="179" w:name="_Toc23870"/>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）绩效指标对比分析</w:t>
      </w:r>
      <w:bookmarkEnd w:id="165"/>
      <w:bookmarkEnd w:id="166"/>
      <w:bookmarkEnd w:id="167"/>
      <w:bookmarkEnd w:id="168"/>
      <w:bookmarkEnd w:id="169"/>
      <w:bookmarkEnd w:id="170"/>
      <w:bookmarkEnd w:id="171"/>
      <w:bookmarkEnd w:id="172"/>
      <w:bookmarkEnd w:id="173"/>
      <w:bookmarkEnd w:id="174"/>
    </w:p>
    <w:p>
      <w:pPr>
        <w:ind w:firstLine="560" w:firstLineChars="200"/>
        <w:rPr>
          <w:rFonts w:hint="eastAsia" w:ascii="仿宋" w:hAnsi="仿宋" w:eastAsia="仿宋" w:cs="仿宋"/>
          <w:b w:val="0"/>
          <w:kern w:val="32"/>
          <w:sz w:val="28"/>
          <w:szCs w:val="28"/>
          <w:lang w:eastAsia="zh-CN"/>
        </w:rPr>
      </w:pPr>
      <w:r>
        <w:rPr>
          <w:rFonts w:ascii="仿宋" w:hAnsi="仿宋" w:eastAsia="仿宋" w:cs="仿宋"/>
          <w:sz w:val="28"/>
          <w:szCs w:val="28"/>
        </w:rPr>
        <w:t>项目绩效评价指标</w:t>
      </w:r>
      <w:r>
        <w:rPr>
          <w:rFonts w:hint="eastAsia" w:ascii="仿宋" w:hAnsi="仿宋" w:eastAsia="仿宋" w:cs="仿宋"/>
          <w:sz w:val="28"/>
          <w:szCs w:val="28"/>
        </w:rPr>
        <w:t>按一级指标</w:t>
      </w:r>
      <w:r>
        <w:rPr>
          <w:rFonts w:ascii="仿宋" w:hAnsi="仿宋" w:eastAsia="仿宋" w:cs="仿宋"/>
          <w:sz w:val="28"/>
          <w:szCs w:val="28"/>
        </w:rPr>
        <w:t>分类</w:t>
      </w:r>
      <w:r>
        <w:rPr>
          <w:rFonts w:hint="eastAsia" w:ascii="仿宋" w:hAnsi="仿宋" w:eastAsia="仿宋" w:cs="仿宋"/>
          <w:sz w:val="28"/>
          <w:szCs w:val="28"/>
        </w:rPr>
        <w:t>对比</w:t>
      </w:r>
      <w:r>
        <w:rPr>
          <w:rFonts w:ascii="仿宋" w:hAnsi="仿宋" w:eastAsia="仿宋" w:cs="仿宋"/>
          <w:sz w:val="28"/>
          <w:szCs w:val="28"/>
        </w:rPr>
        <w:t>分析</w:t>
      </w:r>
      <w:r>
        <w:rPr>
          <w:rFonts w:hint="eastAsia" w:ascii="仿宋" w:hAnsi="仿宋" w:eastAsia="仿宋" w:cs="仿宋"/>
          <w:sz w:val="28"/>
          <w:szCs w:val="28"/>
        </w:rPr>
        <w:t>，一级指标</w:t>
      </w:r>
      <w:r>
        <w:rPr>
          <w:rFonts w:ascii="仿宋" w:hAnsi="仿宋" w:eastAsia="仿宋" w:cs="仿宋"/>
          <w:sz w:val="28"/>
          <w:szCs w:val="28"/>
        </w:rPr>
        <w:t>共分为</w:t>
      </w:r>
      <w:r>
        <w:rPr>
          <w:rFonts w:hint="eastAsia" w:ascii="仿宋" w:hAnsi="仿宋" w:eastAsia="仿宋" w:cs="仿宋"/>
          <w:sz w:val="28"/>
          <w:szCs w:val="28"/>
          <w:lang w:val="en-US" w:eastAsia="zh-CN"/>
        </w:rPr>
        <w:t>三</w:t>
      </w:r>
      <w:r>
        <w:rPr>
          <w:rFonts w:ascii="仿宋" w:hAnsi="仿宋" w:eastAsia="仿宋" w:cs="仿宋"/>
          <w:sz w:val="28"/>
          <w:szCs w:val="28"/>
        </w:rPr>
        <w:t>个部分：项目决策、项目</w:t>
      </w:r>
      <w:r>
        <w:rPr>
          <w:rFonts w:hint="eastAsia" w:ascii="仿宋" w:hAnsi="仿宋" w:eastAsia="仿宋" w:cs="仿宋"/>
          <w:sz w:val="28"/>
          <w:szCs w:val="28"/>
          <w:lang w:val="en-US" w:eastAsia="zh-CN"/>
        </w:rPr>
        <w:t>管理</w:t>
      </w:r>
      <w:r>
        <w:rPr>
          <w:rFonts w:ascii="仿宋" w:hAnsi="仿宋" w:eastAsia="仿宋" w:cs="仿宋"/>
          <w:sz w:val="28"/>
          <w:szCs w:val="28"/>
        </w:rPr>
        <w:t>、</w:t>
      </w:r>
      <w:r>
        <w:rPr>
          <w:rFonts w:hint="eastAsia" w:ascii="仿宋" w:hAnsi="仿宋" w:eastAsia="仿宋" w:cs="仿宋"/>
          <w:sz w:val="28"/>
          <w:szCs w:val="28"/>
        </w:rPr>
        <w:t>项目</w:t>
      </w:r>
      <w:r>
        <w:rPr>
          <w:rFonts w:hint="eastAsia" w:ascii="仿宋" w:hAnsi="仿宋" w:eastAsia="仿宋" w:cs="仿宋"/>
          <w:sz w:val="28"/>
          <w:szCs w:val="28"/>
          <w:lang w:val="en-US" w:eastAsia="zh-CN"/>
        </w:rPr>
        <w:t>绩</w:t>
      </w:r>
      <w:r>
        <w:rPr>
          <w:rFonts w:hint="eastAsia" w:ascii="仿宋" w:hAnsi="仿宋" w:eastAsia="仿宋" w:cs="仿宋"/>
          <w:sz w:val="28"/>
          <w:szCs w:val="28"/>
        </w:rPr>
        <w:t>效，对比情况如图：</w:t>
      </w:r>
    </w:p>
    <w:p>
      <w:pPr>
        <w:pStyle w:val="5"/>
        <w:spacing w:before="0" w:after="0" w:line="360" w:lineRule="auto"/>
        <w:outlineLvl w:val="9"/>
        <w:rPr>
          <w:rFonts w:hint="eastAsia" w:ascii="仿宋" w:hAnsi="仿宋" w:eastAsia="仿宋" w:cs="仿宋"/>
          <w:b w:val="0"/>
          <w:kern w:val="32"/>
          <w:sz w:val="28"/>
          <w:szCs w:val="28"/>
        </w:rPr>
      </w:pPr>
      <w:bookmarkStart w:id="180" w:name="_Toc18591"/>
      <w:bookmarkStart w:id="181" w:name="_Toc31175"/>
      <w:bookmarkStart w:id="182" w:name="_Toc30016"/>
      <w:bookmarkStart w:id="183" w:name="_Toc13456"/>
      <w:bookmarkStart w:id="184" w:name="_Toc16535"/>
      <w:bookmarkStart w:id="185" w:name="_Toc27368"/>
      <w:r>
        <w:rPr>
          <w:rFonts w:hint="eastAsia" w:ascii="仿宋" w:hAnsi="仿宋" w:eastAsia="仿宋" w:cs="仿宋"/>
          <w:b w:val="0"/>
          <w:kern w:val="32"/>
          <w:sz w:val="28"/>
          <w:szCs w:val="28"/>
          <w:lang w:eastAsia="zh-CN"/>
        </w:rPr>
        <w:object>
          <v:shape id="_x0000_i1026" o:spt="75" type="#_x0000_t75" style="height:239.5pt;width:397.65pt;" o:ole="t" filled="f" o:preferrelative="t" stroked="f" coordsize="21600,21600">
            <v:path/>
            <v:fill on="f" focussize="0,0"/>
            <v:stroke on="f"/>
            <v:imagedata r:id="rId14" o:title=""/>
            <o:lock v:ext="edit" aspectratio="t"/>
            <w10:wrap type="none"/>
            <w10:anchorlock/>
          </v:shape>
          <o:OLEObject Type="Embed" ProgID="Excel.Chart.8" ShapeID="_x0000_i1026" DrawAspect="Content" ObjectID="_1468075725" r:id="rId13">
            <o:LockedField>false</o:LockedField>
          </o:OLEObject>
        </w:object>
      </w:r>
      <w:bookmarkEnd w:id="180"/>
      <w:bookmarkEnd w:id="181"/>
      <w:bookmarkEnd w:id="182"/>
      <w:bookmarkEnd w:id="183"/>
      <w:bookmarkEnd w:id="184"/>
      <w:bookmarkEnd w:id="185"/>
    </w:p>
    <w:p>
      <w:pPr>
        <w:pStyle w:val="5"/>
        <w:spacing w:before="0" w:after="0" w:line="360" w:lineRule="auto"/>
        <w:ind w:firstLine="562" w:firstLineChars="200"/>
        <w:rPr>
          <w:rFonts w:hint="eastAsia" w:ascii="仿宋" w:hAnsi="仿宋" w:eastAsia="仿宋" w:cs="仿宋"/>
          <w:b/>
          <w:bCs w:val="0"/>
          <w:kern w:val="32"/>
          <w:sz w:val="28"/>
          <w:szCs w:val="28"/>
        </w:rPr>
      </w:pPr>
      <w:bookmarkStart w:id="186" w:name="_Toc26467"/>
      <w:bookmarkStart w:id="187" w:name="_Toc22900"/>
      <w:bookmarkStart w:id="188" w:name="_Toc21334"/>
      <w:bookmarkStart w:id="189" w:name="_Toc14568"/>
      <w:bookmarkStart w:id="190" w:name="_Toc28181"/>
      <w:bookmarkStart w:id="191" w:name="_Toc30115"/>
      <w:r>
        <w:rPr>
          <w:rFonts w:hint="eastAsia" w:ascii="仿宋" w:hAnsi="仿宋" w:eastAsia="仿宋" w:cs="仿宋"/>
          <w:b/>
          <w:bCs w:val="0"/>
          <w:kern w:val="32"/>
          <w:sz w:val="28"/>
          <w:szCs w:val="28"/>
        </w:rPr>
        <w:t>（</w:t>
      </w:r>
      <w:r>
        <w:rPr>
          <w:rFonts w:hint="eastAsia" w:ascii="仿宋" w:hAnsi="仿宋" w:eastAsia="仿宋" w:cs="仿宋"/>
          <w:b/>
          <w:bCs w:val="0"/>
          <w:kern w:val="32"/>
          <w:sz w:val="28"/>
          <w:szCs w:val="28"/>
          <w:lang w:val="en-US" w:eastAsia="zh-CN"/>
        </w:rPr>
        <w:t>三</w:t>
      </w:r>
      <w:r>
        <w:rPr>
          <w:rFonts w:hint="eastAsia" w:ascii="仿宋" w:hAnsi="仿宋" w:eastAsia="仿宋" w:cs="仿宋"/>
          <w:b/>
          <w:bCs w:val="0"/>
          <w:kern w:val="32"/>
          <w:sz w:val="28"/>
          <w:szCs w:val="28"/>
        </w:rPr>
        <w:t>）具体绩效分析</w:t>
      </w:r>
      <w:bookmarkEnd w:id="175"/>
      <w:bookmarkEnd w:id="176"/>
      <w:bookmarkEnd w:id="177"/>
      <w:bookmarkEnd w:id="178"/>
      <w:bookmarkEnd w:id="179"/>
      <w:bookmarkEnd w:id="186"/>
      <w:bookmarkEnd w:id="187"/>
      <w:bookmarkEnd w:id="188"/>
      <w:bookmarkEnd w:id="189"/>
      <w:bookmarkEnd w:id="190"/>
      <w:bookmarkEnd w:id="191"/>
    </w:p>
    <w:p>
      <w:pPr>
        <w:ind w:firstLine="641"/>
        <w:outlineLvl w:val="2"/>
        <w:rPr>
          <w:rFonts w:hint="eastAsia" w:ascii="仿宋" w:hAnsi="仿宋" w:eastAsia="仿宋" w:cs="仿宋"/>
          <w:sz w:val="28"/>
          <w:szCs w:val="28"/>
        </w:rPr>
      </w:pPr>
      <w:bookmarkStart w:id="192" w:name="_Toc24097"/>
      <w:bookmarkStart w:id="193" w:name="_Toc22244"/>
      <w:r>
        <w:rPr>
          <w:rFonts w:hint="eastAsia" w:ascii="仿宋" w:hAnsi="仿宋" w:eastAsia="仿宋" w:cs="仿宋"/>
          <w:kern w:val="32"/>
          <w:sz w:val="28"/>
          <w:szCs w:val="28"/>
        </w:rPr>
        <w:t>1.项目</w:t>
      </w:r>
      <w:r>
        <w:rPr>
          <w:rFonts w:hint="eastAsia" w:ascii="仿宋" w:hAnsi="仿宋" w:eastAsia="仿宋" w:cs="仿宋"/>
          <w:kern w:val="32"/>
          <w:sz w:val="28"/>
          <w:szCs w:val="28"/>
          <w:lang w:val="en-US" w:eastAsia="zh-CN"/>
        </w:rPr>
        <w:t>决策</w:t>
      </w:r>
      <w:r>
        <w:rPr>
          <w:rFonts w:hint="eastAsia" w:ascii="仿宋" w:hAnsi="仿宋" w:eastAsia="仿宋" w:cs="仿宋"/>
          <w:kern w:val="32"/>
          <w:sz w:val="28"/>
          <w:szCs w:val="28"/>
        </w:rPr>
        <w:t>分析</w:t>
      </w:r>
      <w:bookmarkEnd w:id="192"/>
      <w:bookmarkEnd w:id="193"/>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项目决策指标包含3个二级指标以及5个三级指标，指标分值15分，得分为15分，得分率100%。各指标详细说明如下：</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（1）项目目标管理情况：该二级指标分值4分，得4分，该指标下具体内容：</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①设有目标：该指标分值1分，得1分。项目绩效目标为2021年80周岁以上老人高龄津贴发放。</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②目标明确性：该指标分值1分，得1分。该项目绩效目标明确，即工作重点为核实老人数，并及时、足额发放津贴。</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③目标细化性：该指标分值1分，得1分。该项目绩效目标细化，即</w:t>
      </w:r>
      <w:r>
        <w:rPr>
          <w:rFonts w:hint="eastAsia" w:ascii="仿宋" w:hAnsi="仿宋" w:eastAsia="仿宋" w:cs="仿宋"/>
          <w:color w:val="000000"/>
          <w:kern w:val="32"/>
          <w:sz w:val="28"/>
          <w:szCs w:val="28"/>
          <w:lang w:val="en-US" w:eastAsia="zh-CN"/>
        </w:rPr>
        <w:t>80岁-89岁、90-99岁、100岁以上老人。</w:t>
      </w:r>
    </w:p>
    <w:p>
      <w:pPr>
        <w:pStyle w:val="2"/>
        <w:rPr>
          <w:rFonts w:hint="eastAsia" w:ascii="仿宋" w:hAnsi="仿宋" w:eastAsia="仿宋" w:cs="仿宋"/>
          <w:color w:val="000000"/>
          <w:kern w:val="32"/>
          <w:sz w:val="28"/>
          <w:szCs w:val="28"/>
          <w:highlight w:val="yellow"/>
          <w:lang w:val="en-US" w:eastAsia="zh-CN" w:bidi="ar-SA"/>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color w:val="000000"/>
          <w:kern w:val="32"/>
          <w:sz w:val="28"/>
          <w:szCs w:val="28"/>
          <w:highlight w:val="none"/>
          <w:lang w:val="en-US" w:eastAsia="zh-CN" w:bidi="ar-SA"/>
        </w:rPr>
        <w:t>④目标量化性：该指标分值1分，得1分。</w:t>
      </w:r>
    </w:p>
    <w:p>
      <w:pPr>
        <w:pStyle w:val="2"/>
        <w:numPr>
          <w:ilvl w:val="0"/>
          <w:numId w:val="1"/>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决策过程管理情况：该二级指标分值</w:t>
      </w:r>
      <w:r>
        <w:rPr>
          <w:rFonts w:hint="eastAsia" w:cs="仿宋"/>
          <w:color w:val="000000"/>
          <w:kern w:val="32"/>
          <w:sz w:val="28"/>
          <w:szCs w:val="28"/>
          <w:lang w:val="en-US" w:eastAsia="zh-CN" w:bidi="ar-SA"/>
        </w:rPr>
        <w:t>3</w:t>
      </w:r>
      <w:r>
        <w:rPr>
          <w:rFonts w:hint="eastAsia" w:ascii="仿宋" w:hAnsi="仿宋" w:eastAsia="仿宋" w:cs="仿宋"/>
          <w:color w:val="000000"/>
          <w:kern w:val="32"/>
          <w:sz w:val="28"/>
          <w:szCs w:val="28"/>
          <w:lang w:val="en-US" w:eastAsia="zh-CN" w:bidi="ar-SA"/>
        </w:rPr>
        <w:t>分，得</w:t>
      </w:r>
      <w:r>
        <w:rPr>
          <w:rFonts w:hint="eastAsia" w:cs="仿宋"/>
          <w:color w:val="000000"/>
          <w:kern w:val="32"/>
          <w:sz w:val="28"/>
          <w:szCs w:val="28"/>
          <w:lang w:val="en-US" w:eastAsia="zh-CN" w:bidi="ar-SA"/>
        </w:rPr>
        <w:t>3</w:t>
      </w:r>
      <w:r>
        <w:rPr>
          <w:rFonts w:hint="eastAsia" w:ascii="仿宋" w:hAnsi="仿宋" w:eastAsia="仿宋" w:cs="仿宋"/>
          <w:color w:val="000000"/>
          <w:kern w:val="32"/>
          <w:sz w:val="28"/>
          <w:szCs w:val="28"/>
          <w:lang w:val="en-US" w:eastAsia="zh-CN" w:bidi="ar-SA"/>
        </w:rPr>
        <w:t>分，该指标下具体内容：</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①决策依据是否符合法律法规，经济社会发展规划和相关政策：该指标分值</w:t>
      </w:r>
      <w:r>
        <w:rPr>
          <w:rFonts w:hint="eastAsia" w:cs="仿宋"/>
          <w:color w:val="000000"/>
          <w:kern w:val="32"/>
          <w:sz w:val="28"/>
          <w:szCs w:val="28"/>
          <w:lang w:val="en-US" w:eastAsia="zh-CN" w:bidi="ar-SA"/>
        </w:rPr>
        <w:t>1</w:t>
      </w:r>
      <w:r>
        <w:rPr>
          <w:rFonts w:hint="eastAsia" w:ascii="仿宋" w:hAnsi="仿宋" w:eastAsia="仿宋" w:cs="仿宋"/>
          <w:color w:val="000000"/>
          <w:kern w:val="32"/>
          <w:sz w:val="28"/>
          <w:szCs w:val="28"/>
          <w:lang w:val="en-US" w:eastAsia="zh-CN" w:bidi="ar-SA"/>
        </w:rPr>
        <w:t>分，得</w:t>
      </w:r>
      <w:r>
        <w:rPr>
          <w:rFonts w:hint="eastAsia" w:cs="仿宋"/>
          <w:color w:val="000000"/>
          <w:kern w:val="32"/>
          <w:sz w:val="28"/>
          <w:szCs w:val="28"/>
          <w:lang w:val="en-US" w:eastAsia="zh-CN" w:bidi="ar-SA"/>
        </w:rPr>
        <w:t>1</w:t>
      </w:r>
      <w:r>
        <w:rPr>
          <w:rFonts w:hint="eastAsia" w:ascii="仿宋" w:hAnsi="仿宋" w:eastAsia="仿宋" w:cs="仿宋"/>
          <w:color w:val="000000"/>
          <w:kern w:val="32"/>
          <w:sz w:val="28"/>
          <w:szCs w:val="28"/>
          <w:lang w:val="en-US" w:eastAsia="zh-CN" w:bidi="ar-SA"/>
        </w:rPr>
        <w:t>分。</w:t>
      </w:r>
      <w:r>
        <w:rPr>
          <w:rFonts w:hint="eastAsia" w:ascii="仿宋" w:hAnsi="仿宋" w:eastAsia="仿宋" w:cs="仿宋"/>
          <w:color w:val="000000"/>
          <w:kern w:val="32"/>
          <w:sz w:val="28"/>
          <w:szCs w:val="28"/>
          <w:lang w:val="en-US" w:eastAsia="zh-CN"/>
        </w:rPr>
        <w:t>根据《中华人民共和国老年人权益保障法》、《国务院办公厅关于推进养老服务发展的竟见》（国办发[2019]5号）文件精神，该项目符合法律法规，经济社会发展规划。</w:t>
      </w:r>
      <w:r>
        <w:rPr>
          <w:rFonts w:hint="eastAsia" w:ascii="仿宋" w:hAnsi="仿宋" w:eastAsia="仿宋" w:cs="仿宋"/>
          <w:color w:val="000000"/>
          <w:kern w:val="32"/>
          <w:sz w:val="28"/>
          <w:szCs w:val="28"/>
          <w:lang w:val="en-US" w:eastAsia="zh-CN" w:bidi="ar-SA"/>
        </w:rPr>
        <w:t xml:space="preserve">    </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决策依据是否符合行业发展规划和政策要求，与部门职责范围相符，符合部门年度工作计划：该指标分值0.5分，得0.5分。该项目决策依据符合行业发展规划和政策要求，与部门职责范围相符，符合部门年度工作计划。</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③决策依据是否属于公共财政支持范围，符合中央、地方事权支出责任划分：该指标分值0.5分，得0.5分。该项目决策依据属于公共财政支持范围，符合中央、地方事权支出责任划分。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④决策依据是否针对某一实际问题和需求：该指标分值</w:t>
      </w:r>
      <w:r>
        <w:rPr>
          <w:rFonts w:hint="eastAsia" w:cs="仿宋"/>
          <w:color w:val="000000"/>
          <w:kern w:val="32"/>
          <w:sz w:val="28"/>
          <w:szCs w:val="28"/>
          <w:lang w:val="en-US" w:eastAsia="zh-CN" w:bidi="ar-SA"/>
        </w:rPr>
        <w:t>1</w:t>
      </w:r>
      <w:r>
        <w:rPr>
          <w:rFonts w:hint="eastAsia" w:ascii="仿宋" w:hAnsi="仿宋" w:eastAsia="仿宋" w:cs="仿宋"/>
          <w:color w:val="000000"/>
          <w:kern w:val="32"/>
          <w:sz w:val="28"/>
          <w:szCs w:val="28"/>
          <w:lang w:val="en-US" w:eastAsia="zh-CN" w:bidi="ar-SA"/>
        </w:rPr>
        <w:t>分，得</w:t>
      </w:r>
      <w:r>
        <w:rPr>
          <w:rFonts w:hint="eastAsia" w:cs="仿宋"/>
          <w:color w:val="000000"/>
          <w:kern w:val="32"/>
          <w:sz w:val="28"/>
          <w:szCs w:val="28"/>
          <w:lang w:val="en-US" w:eastAsia="zh-CN" w:bidi="ar-SA"/>
        </w:rPr>
        <w:t>1</w:t>
      </w:r>
      <w:r>
        <w:rPr>
          <w:rFonts w:hint="eastAsia" w:ascii="仿宋" w:hAnsi="仿宋" w:eastAsia="仿宋" w:cs="仿宋"/>
          <w:color w:val="000000"/>
          <w:kern w:val="32"/>
          <w:sz w:val="28"/>
          <w:szCs w:val="28"/>
          <w:lang w:val="en-US" w:eastAsia="zh-CN" w:bidi="ar-SA"/>
        </w:rPr>
        <w:t>分。该项目决策依据针对辖区80周岁以上老人，为稳步提升高龄老人生活水平。</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⑤项目是否符合申报条件：该指标分值0.5分，得0.5分。该项目符合申报条件。</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⑥项目事前是否经过必要的可行性研究、专家论证、风险评估。绩效评估、集体决策：该指标分值</w:t>
      </w:r>
      <w:r>
        <w:rPr>
          <w:rFonts w:hint="eastAsia" w:cs="仿宋"/>
          <w:color w:val="000000"/>
          <w:kern w:val="32"/>
          <w:sz w:val="28"/>
          <w:szCs w:val="28"/>
          <w:lang w:val="en-US" w:eastAsia="zh-CN" w:bidi="ar-SA"/>
        </w:rPr>
        <w:t>1</w:t>
      </w:r>
      <w:r>
        <w:rPr>
          <w:rFonts w:hint="eastAsia" w:ascii="仿宋" w:hAnsi="仿宋" w:eastAsia="仿宋" w:cs="仿宋"/>
          <w:color w:val="000000"/>
          <w:kern w:val="32"/>
          <w:sz w:val="28"/>
          <w:szCs w:val="28"/>
          <w:lang w:val="en-US" w:eastAsia="zh-CN" w:bidi="ar-SA"/>
        </w:rPr>
        <w:t>分，得</w:t>
      </w:r>
      <w:r>
        <w:rPr>
          <w:rFonts w:hint="eastAsia" w:cs="仿宋"/>
          <w:color w:val="000000"/>
          <w:kern w:val="32"/>
          <w:sz w:val="28"/>
          <w:szCs w:val="28"/>
          <w:lang w:val="en-US" w:eastAsia="zh-CN" w:bidi="ar-SA"/>
        </w:rPr>
        <w:t>1</w:t>
      </w:r>
      <w:r>
        <w:rPr>
          <w:rFonts w:hint="eastAsia" w:ascii="仿宋" w:hAnsi="仿宋" w:eastAsia="仿宋" w:cs="仿宋"/>
          <w:color w:val="000000"/>
          <w:kern w:val="32"/>
          <w:sz w:val="28"/>
          <w:szCs w:val="28"/>
          <w:lang w:val="en-US" w:eastAsia="zh-CN" w:bidi="ar-SA"/>
        </w:rPr>
        <w:t>分。按照文件执行，无需可行性研究、专家论证、风险评估。</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⑦项目申报、批复程序是否符合管理办法：该指标分值0.5分，得0.5分。项目申报、批复程序符合管理办法。</w:t>
      </w:r>
    </w:p>
    <w:p>
      <w:pPr>
        <w:pStyle w:val="2"/>
        <w:numPr>
          <w:ilvl w:val="0"/>
          <w:numId w:val="0"/>
        </w:numPr>
        <w:ind w:firstLine="560" w:firstLineChars="200"/>
        <w:rPr>
          <w:rFonts w:hint="eastAsia" w:ascii="仿宋" w:hAnsi="仿宋" w:eastAsia="仿宋" w:cs="仿宋"/>
          <w:color w:val="000000"/>
          <w:kern w:val="32"/>
          <w:sz w:val="28"/>
          <w:szCs w:val="28"/>
          <w:highlight w:val="none"/>
          <w:lang w:val="en-US" w:eastAsia="zh-CN" w:bidi="ar-SA"/>
        </w:rPr>
      </w:pPr>
      <w:r>
        <w:rPr>
          <w:rFonts w:hint="eastAsia" w:ascii="仿宋" w:hAnsi="仿宋" w:eastAsia="仿宋" w:cs="仿宋"/>
          <w:color w:val="000000"/>
          <w:kern w:val="32"/>
          <w:sz w:val="28"/>
          <w:szCs w:val="28"/>
          <w:highlight w:val="none"/>
          <w:lang w:val="en-US" w:eastAsia="zh-CN" w:bidi="ar-SA"/>
        </w:rPr>
        <w:t>⑧项目调整是否履行了相应手续：该指标分值</w:t>
      </w:r>
      <w:r>
        <w:rPr>
          <w:rFonts w:hint="eastAsia" w:cs="仿宋"/>
          <w:color w:val="000000"/>
          <w:kern w:val="32"/>
          <w:sz w:val="28"/>
          <w:szCs w:val="28"/>
          <w:highlight w:val="none"/>
          <w:lang w:val="en-US" w:eastAsia="zh-CN" w:bidi="ar-SA"/>
        </w:rPr>
        <w:t>1</w:t>
      </w:r>
      <w:r>
        <w:rPr>
          <w:rFonts w:hint="eastAsia" w:ascii="仿宋" w:hAnsi="仿宋" w:eastAsia="仿宋" w:cs="仿宋"/>
          <w:color w:val="000000"/>
          <w:kern w:val="32"/>
          <w:sz w:val="28"/>
          <w:szCs w:val="28"/>
          <w:highlight w:val="none"/>
          <w:lang w:val="en-US" w:eastAsia="zh-CN" w:bidi="ar-SA"/>
        </w:rPr>
        <w:t>分，得</w:t>
      </w:r>
      <w:r>
        <w:rPr>
          <w:rFonts w:hint="eastAsia" w:cs="仿宋"/>
          <w:color w:val="000000"/>
          <w:kern w:val="32"/>
          <w:sz w:val="28"/>
          <w:szCs w:val="28"/>
          <w:highlight w:val="none"/>
          <w:lang w:val="en-US" w:eastAsia="zh-CN" w:bidi="ar-SA"/>
        </w:rPr>
        <w:t>1</w:t>
      </w:r>
      <w:r>
        <w:rPr>
          <w:rFonts w:hint="eastAsia" w:ascii="仿宋" w:hAnsi="仿宋" w:eastAsia="仿宋" w:cs="仿宋"/>
          <w:color w:val="000000"/>
          <w:kern w:val="32"/>
          <w:sz w:val="28"/>
          <w:szCs w:val="28"/>
          <w:highlight w:val="none"/>
          <w:lang w:val="en-US" w:eastAsia="zh-CN" w:bidi="ar-SA"/>
        </w:rPr>
        <w:t>分。该项目按照文件执行。</w:t>
      </w:r>
    </w:p>
    <w:p>
      <w:pPr>
        <w:pStyle w:val="2"/>
        <w:numPr>
          <w:ilvl w:val="0"/>
          <w:numId w:val="1"/>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资金投入管理情况：该二级指标分值5分，得5分，该指标下具体内容：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①预算编制经过科学论证，与项目内容匹配：该指标分值0.5分，得0.5分。该专项资金与项目内容匹配，预算编制按照《安阳市高龄津贴发放管理办法》中的内容编制。</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②预算额度测算依据充分：该指标分值2分，得2分。该项目2021年高龄津贴按照2020年高龄津贴标准，减去省财政对全市80-89岁、90-99岁、100岁以上老人每人每月分别补助5元、30元和150元的标准测算。</w:t>
      </w:r>
    </w:p>
    <w:p>
      <w:pPr>
        <w:pStyle w:val="2"/>
        <w:numPr>
          <w:ilvl w:val="0"/>
          <w:numId w:val="0"/>
        </w:numPr>
        <w:ind w:firstLine="560" w:firstLineChars="200"/>
        <w:jc w:val="left"/>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③预算确定的项目投资额或资金量与工作任务相匹配：该指标分值0.5分，得0.5分。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④有相应的资金管理办法，资金分配符合分配办法：该指标分值1分，得1分。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⑤资金分配公平合理，有测算依据，与项目单位与地方实际相适应：该指标分值1分，得1分。 </w:t>
      </w:r>
    </w:p>
    <w:p>
      <w:pPr>
        <w:pStyle w:val="2"/>
        <w:numPr>
          <w:ilvl w:val="0"/>
          <w:numId w:val="0"/>
        </w:numPr>
        <w:ind w:firstLine="560" w:firstLineChars="200"/>
        <w:outlineLvl w:val="2"/>
        <w:rPr>
          <w:rFonts w:hint="eastAsia" w:ascii="仿宋" w:hAnsi="仿宋" w:eastAsia="仿宋" w:cs="仿宋"/>
          <w:kern w:val="32"/>
          <w:sz w:val="28"/>
          <w:szCs w:val="28"/>
        </w:rPr>
      </w:pPr>
      <w:bookmarkStart w:id="194" w:name="_Toc8225"/>
      <w:bookmarkStart w:id="195" w:name="_Toc1781"/>
      <w:r>
        <w:rPr>
          <w:rFonts w:hint="eastAsia" w:ascii="仿宋" w:hAnsi="仿宋" w:eastAsia="仿宋" w:cs="仿宋"/>
          <w:kern w:val="32"/>
          <w:sz w:val="28"/>
          <w:szCs w:val="28"/>
          <w:lang w:val="en-US" w:eastAsia="zh-CN"/>
        </w:rPr>
        <w:t>2.项目管理</w:t>
      </w:r>
      <w:r>
        <w:rPr>
          <w:rFonts w:hint="eastAsia" w:ascii="仿宋" w:hAnsi="仿宋" w:eastAsia="仿宋" w:cs="仿宋"/>
          <w:kern w:val="32"/>
          <w:sz w:val="28"/>
          <w:szCs w:val="28"/>
        </w:rPr>
        <w:t>分析</w:t>
      </w:r>
      <w:bookmarkEnd w:id="194"/>
      <w:bookmarkEnd w:id="195"/>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项目管理指标包含3个二级指标以及8个三级指标，指标分值2</w:t>
      </w:r>
      <w:r>
        <w:rPr>
          <w:rFonts w:hint="eastAsia" w:cs="仿宋"/>
          <w:color w:val="000000"/>
          <w:kern w:val="32"/>
          <w:sz w:val="28"/>
          <w:szCs w:val="28"/>
          <w:lang w:val="en-US" w:eastAsia="zh-CN" w:bidi="ar-SA"/>
        </w:rPr>
        <w:t>5</w:t>
      </w:r>
      <w:r>
        <w:rPr>
          <w:rFonts w:hint="eastAsia" w:ascii="仿宋" w:hAnsi="仿宋" w:eastAsia="仿宋" w:cs="仿宋"/>
          <w:color w:val="000000"/>
          <w:kern w:val="32"/>
          <w:sz w:val="28"/>
          <w:szCs w:val="28"/>
          <w:lang w:val="en-US" w:eastAsia="zh-CN" w:bidi="ar-SA"/>
        </w:rPr>
        <w:t>分，得分为2</w:t>
      </w:r>
      <w:r>
        <w:rPr>
          <w:rFonts w:hint="eastAsia" w:cs="仿宋"/>
          <w:color w:val="000000"/>
          <w:kern w:val="32"/>
          <w:sz w:val="28"/>
          <w:szCs w:val="28"/>
          <w:lang w:val="en-US" w:eastAsia="zh-CN" w:bidi="ar-SA"/>
        </w:rPr>
        <w:t>4</w:t>
      </w:r>
      <w:r>
        <w:rPr>
          <w:rFonts w:hint="eastAsia" w:ascii="仿宋" w:hAnsi="仿宋" w:eastAsia="仿宋" w:cs="仿宋"/>
          <w:color w:val="000000"/>
          <w:kern w:val="32"/>
          <w:sz w:val="28"/>
          <w:szCs w:val="28"/>
          <w:lang w:val="en-US" w:eastAsia="zh-CN" w:bidi="ar-SA"/>
        </w:rPr>
        <w:t>分，得分率</w:t>
      </w:r>
      <w:r>
        <w:rPr>
          <w:rFonts w:hint="eastAsia" w:cs="仿宋"/>
          <w:color w:val="000000"/>
          <w:kern w:val="32"/>
          <w:sz w:val="28"/>
          <w:szCs w:val="28"/>
          <w:lang w:val="en-US" w:eastAsia="zh-CN" w:bidi="ar-SA"/>
        </w:rPr>
        <w:t>96</w:t>
      </w:r>
      <w:r>
        <w:rPr>
          <w:rFonts w:hint="eastAsia" w:ascii="仿宋" w:hAnsi="仿宋" w:eastAsia="仿宋" w:cs="仿宋"/>
          <w:color w:val="000000"/>
          <w:kern w:val="32"/>
          <w:sz w:val="28"/>
          <w:szCs w:val="28"/>
          <w:lang w:val="en-US" w:eastAsia="zh-CN" w:bidi="ar-SA"/>
        </w:rPr>
        <w:t>%。各指标详细说明如下：</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（1）资金执行管理情况：该二级指标分值1</w:t>
      </w:r>
      <w:r>
        <w:rPr>
          <w:rFonts w:hint="eastAsia" w:cs="仿宋"/>
          <w:color w:val="000000"/>
          <w:kern w:val="32"/>
          <w:sz w:val="28"/>
          <w:szCs w:val="28"/>
          <w:lang w:val="en-US" w:eastAsia="zh-CN" w:bidi="ar-SA"/>
        </w:rPr>
        <w:t>0</w:t>
      </w:r>
      <w:r>
        <w:rPr>
          <w:rFonts w:hint="eastAsia" w:ascii="仿宋" w:hAnsi="仿宋" w:eastAsia="仿宋" w:cs="仿宋"/>
          <w:color w:val="000000"/>
          <w:kern w:val="32"/>
          <w:sz w:val="28"/>
          <w:szCs w:val="28"/>
          <w:lang w:val="en-US" w:eastAsia="zh-CN" w:bidi="ar-SA"/>
        </w:rPr>
        <w:t>分，得1</w:t>
      </w:r>
      <w:r>
        <w:rPr>
          <w:rFonts w:hint="eastAsia" w:cs="仿宋"/>
          <w:color w:val="000000"/>
          <w:kern w:val="32"/>
          <w:sz w:val="28"/>
          <w:szCs w:val="28"/>
          <w:lang w:val="en-US" w:eastAsia="zh-CN" w:bidi="ar-SA"/>
        </w:rPr>
        <w:t>0</w:t>
      </w:r>
      <w:r>
        <w:rPr>
          <w:rFonts w:hint="eastAsia" w:ascii="仿宋" w:hAnsi="仿宋" w:eastAsia="仿宋" w:cs="仿宋"/>
          <w:color w:val="000000"/>
          <w:kern w:val="32"/>
          <w:sz w:val="28"/>
          <w:szCs w:val="28"/>
          <w:lang w:val="en-US" w:eastAsia="zh-CN" w:bidi="ar-SA"/>
        </w:rPr>
        <w:t>分，该指标下具体内容：</w:t>
      </w:r>
    </w:p>
    <w:p>
      <w:pPr>
        <w:pStyle w:val="6"/>
        <w:ind w:firstLine="560" w:firstLineChars="200"/>
        <w:rPr>
          <w:rFonts w:hint="eastAsia" w:ascii="仿宋" w:hAnsi="仿宋" w:eastAsia="仿宋" w:cs="仿宋"/>
          <w:color w:val="000000"/>
          <w:kern w:val="32"/>
          <w:sz w:val="28"/>
          <w:szCs w:val="28"/>
          <w:highlight w:val="green"/>
          <w:lang w:val="en-US" w:eastAsia="zh-CN" w:bidi="ar-SA"/>
        </w:rPr>
      </w:pPr>
      <w:r>
        <w:rPr>
          <w:rFonts w:hint="eastAsia" w:ascii="仿宋" w:hAnsi="仿宋" w:eastAsia="仿宋" w:cs="仿宋"/>
          <w:color w:val="000000"/>
          <w:kern w:val="32"/>
          <w:sz w:val="28"/>
          <w:szCs w:val="28"/>
          <w:highlight w:val="none"/>
          <w:lang w:val="en-US" w:eastAsia="zh-CN" w:bidi="ar-SA"/>
        </w:rPr>
        <w:t>①资金到位率：该指标分值2分，得2分。该项目年初预算505.57万元，</w:t>
      </w:r>
      <w:r>
        <w:rPr>
          <w:rFonts w:hint="eastAsia" w:ascii="仿宋" w:hAnsi="仿宋" w:eastAsia="仿宋" w:cs="仿宋"/>
          <w:color w:val="000000"/>
          <w:kern w:val="32"/>
          <w:sz w:val="28"/>
          <w:szCs w:val="28"/>
          <w:lang w:val="en-US" w:eastAsia="zh-CN"/>
        </w:rPr>
        <w:t>由于年中高龄津贴发放标准增加，调整追加预算193.79万元，共计预算资金778.36万元（含省财政匹配资金79万元），</w:t>
      </w:r>
      <w:r>
        <w:rPr>
          <w:rFonts w:hint="eastAsia" w:ascii="仿宋" w:hAnsi="仿宋" w:eastAsia="仿宋" w:cs="仿宋"/>
          <w:color w:val="000000"/>
          <w:kern w:val="32"/>
          <w:sz w:val="28"/>
          <w:szCs w:val="28"/>
          <w:highlight w:val="none"/>
          <w:lang w:val="en-US" w:eastAsia="zh-CN" w:bidi="ar-SA"/>
        </w:rPr>
        <w:t>资金到位778.36万元</w:t>
      </w:r>
      <w:r>
        <w:rPr>
          <w:rFonts w:hint="eastAsia" w:ascii="仿宋" w:hAnsi="仿宋" w:eastAsia="仿宋" w:cs="仿宋"/>
          <w:color w:val="000000"/>
          <w:kern w:val="32"/>
          <w:sz w:val="28"/>
          <w:szCs w:val="28"/>
          <w:highlight w:val="none"/>
          <w:lang w:eastAsia="zh-CN"/>
        </w:rPr>
        <w:t>（</w:t>
      </w:r>
      <w:r>
        <w:rPr>
          <w:rFonts w:hint="eastAsia" w:ascii="仿宋" w:hAnsi="仿宋" w:eastAsia="仿宋" w:cs="仿宋"/>
          <w:color w:val="000000"/>
          <w:kern w:val="32"/>
          <w:sz w:val="28"/>
          <w:szCs w:val="28"/>
          <w:highlight w:val="none"/>
          <w:lang w:val="en-US" w:eastAsia="zh-CN"/>
        </w:rPr>
        <w:t>其中：县级财政资金699.36万元，省财政匹配资金79万元）</w:t>
      </w:r>
      <w:r>
        <w:rPr>
          <w:rFonts w:hint="eastAsia" w:ascii="仿宋" w:hAnsi="仿宋" w:eastAsia="仿宋" w:cs="仿宋"/>
          <w:color w:val="000000"/>
          <w:kern w:val="32"/>
          <w:sz w:val="28"/>
          <w:szCs w:val="28"/>
          <w:highlight w:val="none"/>
          <w:lang w:val="en-US" w:eastAsia="zh-CN" w:bidi="ar-SA"/>
        </w:rPr>
        <w:t>，到位率100%。</w:t>
      </w:r>
      <w:r>
        <w:rPr>
          <w:rFonts w:hint="eastAsia" w:ascii="仿宋" w:hAnsi="仿宋" w:eastAsia="仿宋" w:cs="仿宋"/>
          <w:color w:val="000000"/>
          <w:kern w:val="32"/>
          <w:sz w:val="28"/>
          <w:szCs w:val="28"/>
          <w:lang w:val="en-US" w:eastAsia="zh-CN"/>
        </w:rPr>
        <w:t>实际到位资金大于预算资金原因为，根据《安阳市民政局安阳市财政局关于做好调整高龄津贴发放标准工作的通知》的文件精神，从2021年7月1日起，高龄津贴发放标准每人每月增加50元</w:t>
      </w:r>
      <w:r>
        <w:rPr>
          <w:rFonts w:hint="eastAsia" w:ascii="仿宋" w:hAnsi="仿宋" w:eastAsia="仿宋" w:cs="仿宋"/>
          <w:color w:val="000000"/>
          <w:kern w:val="32"/>
          <w:sz w:val="28"/>
          <w:szCs w:val="28"/>
        </w:rPr>
        <w:t>。</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②预算执行率：该指标分值10分，得10分。该项目本年实际支出资金</w:t>
      </w:r>
      <w:r>
        <w:rPr>
          <w:rFonts w:hint="eastAsia" w:ascii="仿宋" w:hAnsi="仿宋" w:eastAsia="仿宋" w:cs="仿宋"/>
          <w:color w:val="000000"/>
          <w:kern w:val="32"/>
          <w:sz w:val="28"/>
          <w:szCs w:val="28"/>
          <w:highlight w:val="none"/>
          <w:lang w:val="en-US" w:eastAsia="zh-CN" w:bidi="ar-SA"/>
        </w:rPr>
        <w:t>778.36</w:t>
      </w:r>
      <w:r>
        <w:rPr>
          <w:rFonts w:hint="eastAsia" w:ascii="仿宋" w:hAnsi="仿宋" w:eastAsia="仿宋" w:cs="仿宋"/>
          <w:color w:val="000000"/>
          <w:kern w:val="32"/>
          <w:sz w:val="28"/>
          <w:szCs w:val="28"/>
          <w:lang w:val="en-US" w:eastAsia="zh-CN" w:bidi="ar-SA"/>
        </w:rPr>
        <w:t>万元</w:t>
      </w:r>
      <w:r>
        <w:rPr>
          <w:rFonts w:hint="eastAsia" w:cs="仿宋"/>
          <w:color w:val="000000"/>
          <w:kern w:val="32"/>
          <w:sz w:val="28"/>
          <w:szCs w:val="28"/>
          <w:lang w:val="en-US" w:eastAsia="zh-CN" w:bidi="ar-SA"/>
        </w:rPr>
        <w:t>（含省财政匹配资金79万元）</w:t>
      </w:r>
      <w:r>
        <w:rPr>
          <w:rFonts w:hint="eastAsia" w:ascii="仿宋" w:hAnsi="仿宋" w:eastAsia="仿宋" w:cs="仿宋"/>
          <w:color w:val="000000"/>
          <w:kern w:val="32"/>
          <w:sz w:val="28"/>
          <w:szCs w:val="28"/>
          <w:lang w:val="en-US" w:eastAsia="zh-CN" w:bidi="ar-SA"/>
        </w:rPr>
        <w:t>，</w:t>
      </w:r>
      <w:r>
        <w:rPr>
          <w:rFonts w:hint="eastAsia" w:ascii="仿宋" w:hAnsi="仿宋" w:eastAsia="仿宋" w:cs="仿宋"/>
          <w:color w:val="000000"/>
          <w:kern w:val="32"/>
          <w:sz w:val="28"/>
          <w:szCs w:val="28"/>
          <w:highlight w:val="none"/>
          <w:lang w:val="en-US" w:eastAsia="zh-CN" w:bidi="ar-SA"/>
        </w:rPr>
        <w:t>年初预算505.57万元</w:t>
      </w:r>
      <w:r>
        <w:rPr>
          <w:rFonts w:hint="eastAsia" w:cs="仿宋"/>
          <w:color w:val="000000"/>
          <w:kern w:val="32"/>
          <w:sz w:val="28"/>
          <w:szCs w:val="28"/>
          <w:highlight w:val="none"/>
          <w:lang w:val="en-US" w:eastAsia="zh-CN" w:bidi="ar-SA"/>
        </w:rPr>
        <w:t>，</w:t>
      </w:r>
      <w:r>
        <w:rPr>
          <w:rFonts w:hint="eastAsia" w:cs="仿宋"/>
          <w:color w:val="000000"/>
          <w:kern w:val="32"/>
          <w:sz w:val="28"/>
          <w:szCs w:val="28"/>
          <w:lang w:val="en-US" w:eastAsia="zh-CN" w:bidi="ar-SA"/>
        </w:rPr>
        <w:t>由于年中高龄津贴发放标准增加，调整追加预算193.79万元，共计预算</w:t>
      </w:r>
      <w:r>
        <w:rPr>
          <w:rFonts w:hint="eastAsia" w:ascii="仿宋" w:hAnsi="仿宋" w:eastAsia="仿宋" w:cs="仿宋"/>
          <w:color w:val="000000"/>
          <w:kern w:val="32"/>
          <w:sz w:val="28"/>
          <w:szCs w:val="28"/>
          <w:lang w:val="en-US" w:eastAsia="zh-CN" w:bidi="ar-SA"/>
        </w:rPr>
        <w:t>资金778.36万元</w:t>
      </w:r>
      <w:r>
        <w:rPr>
          <w:rFonts w:hint="eastAsia" w:cs="仿宋"/>
          <w:color w:val="000000"/>
          <w:kern w:val="32"/>
          <w:sz w:val="28"/>
          <w:szCs w:val="28"/>
          <w:lang w:val="en-US" w:eastAsia="zh-CN" w:bidi="ar-SA"/>
        </w:rPr>
        <w:t>（含省财政匹配资金79万元）</w:t>
      </w:r>
      <w:r>
        <w:rPr>
          <w:rFonts w:hint="eastAsia" w:ascii="仿宋" w:hAnsi="仿宋" w:eastAsia="仿宋" w:cs="仿宋"/>
          <w:color w:val="000000"/>
          <w:kern w:val="32"/>
          <w:sz w:val="28"/>
          <w:szCs w:val="28"/>
          <w:lang w:val="en-US" w:eastAsia="zh-CN" w:bidi="ar-SA"/>
        </w:rPr>
        <w:t>。预算执行率100%。</w:t>
      </w:r>
    </w:p>
    <w:p>
      <w:pPr>
        <w:pStyle w:val="2"/>
        <w:numPr>
          <w:ilvl w:val="0"/>
          <w:numId w:val="2"/>
        </w:numPr>
        <w:ind w:left="-220" w:leftChars="0" w:firstLine="640" w:firstLineChars="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资金管理情况：该二级指标分值10分，得10分，该指标下具体内容：</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①资金使用情况：该指标分值6分，得6分。项目资金使用的依据合法合规，未发现挤占、截留、挪用专项资金的情况。</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②财务管理情况：该指标分值4分，得4分。</w:t>
      </w:r>
      <w:bookmarkStart w:id="196" w:name="_Toc25339"/>
      <w:bookmarkStart w:id="197" w:name="_Toc47736020"/>
      <w:r>
        <w:rPr>
          <w:rFonts w:hint="eastAsia" w:ascii="仿宋" w:hAnsi="仿宋" w:eastAsia="仿宋" w:cs="仿宋"/>
          <w:color w:val="000000"/>
          <w:kern w:val="32"/>
          <w:sz w:val="28"/>
          <w:szCs w:val="28"/>
          <w:lang w:val="en-US" w:eastAsia="zh-CN" w:bidi="ar-SA"/>
        </w:rPr>
        <w:t>项目实施单位财务和业务管理等制度健全；制度执行严格；会计核算规范。</w:t>
      </w:r>
    </w:p>
    <w:p>
      <w:pPr>
        <w:pStyle w:val="2"/>
        <w:numPr>
          <w:ilvl w:val="0"/>
          <w:numId w:val="2"/>
        </w:numPr>
        <w:ind w:left="-220" w:leftChars="0" w:firstLine="640" w:firstLineChars="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组织实施情况：该二级指标分值5分，得</w:t>
      </w:r>
      <w:r>
        <w:rPr>
          <w:rFonts w:hint="eastAsia" w:cs="仿宋"/>
          <w:color w:val="000000"/>
          <w:kern w:val="32"/>
          <w:sz w:val="28"/>
          <w:szCs w:val="28"/>
          <w:highlight w:val="none"/>
          <w:lang w:val="en-US" w:eastAsia="zh-CN" w:bidi="ar-SA"/>
        </w:rPr>
        <w:t>4</w:t>
      </w:r>
      <w:r>
        <w:rPr>
          <w:rFonts w:hint="eastAsia" w:ascii="仿宋" w:hAnsi="仿宋" w:eastAsia="仿宋" w:cs="仿宋"/>
          <w:color w:val="000000"/>
          <w:kern w:val="32"/>
          <w:sz w:val="28"/>
          <w:szCs w:val="28"/>
          <w:lang w:val="en-US" w:eastAsia="zh-CN" w:bidi="ar-SA"/>
        </w:rPr>
        <w:t>分，该指标下具体内容：</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①组织机构健全、分工明确：该指标分值1分，得1分。</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②具备人员、场地、设备条件：该指标分值1分，得1分。</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③按计划开工、按计划开展、按计划完工：该指标分值1分，得1分。</w:t>
      </w:r>
    </w:p>
    <w:p>
      <w:pPr>
        <w:pStyle w:val="2"/>
        <w:numPr>
          <w:ilvl w:val="0"/>
          <w:numId w:val="0"/>
        </w:numPr>
        <w:ind w:firstLine="64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bidi="ar-SA"/>
        </w:rPr>
        <w:t>④管理制度健全:该指标分值1分，得1分。安阳县民政局制定了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高龄津贴制度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高龄津贴审批流程</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等管理制度。</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⑤制度执行严格:该指标分值1分，得0分。扣分原因：存在超期支付，未按照《安阳市高龄津贴发放和管理办法》的规定执行，管理办法第五条规定“按社会化发放方式在每月28日前将当月高龄津贴发放到位”。</w:t>
      </w:r>
    </w:p>
    <w:p>
      <w:pPr>
        <w:pStyle w:val="2"/>
        <w:numPr>
          <w:ilvl w:val="0"/>
          <w:numId w:val="0"/>
        </w:numPr>
        <w:ind w:firstLine="560" w:firstLineChars="200"/>
        <w:outlineLvl w:val="2"/>
        <w:rPr>
          <w:rFonts w:hint="eastAsia" w:ascii="仿宋" w:hAnsi="仿宋" w:eastAsia="仿宋" w:cs="仿宋"/>
          <w:kern w:val="32"/>
          <w:sz w:val="28"/>
          <w:szCs w:val="28"/>
        </w:rPr>
      </w:pPr>
      <w:bookmarkStart w:id="198" w:name="_Toc29406"/>
      <w:bookmarkStart w:id="199" w:name="_Toc4801"/>
      <w:r>
        <w:rPr>
          <w:rFonts w:hint="eastAsia" w:ascii="仿宋" w:hAnsi="仿宋" w:eastAsia="仿宋" w:cs="仿宋"/>
          <w:color w:val="000000"/>
          <w:kern w:val="32"/>
          <w:sz w:val="28"/>
          <w:szCs w:val="28"/>
          <w:lang w:val="en-US" w:eastAsia="zh-CN" w:bidi="ar-SA"/>
        </w:rPr>
        <w:t>3.</w:t>
      </w:r>
      <w:r>
        <w:rPr>
          <w:rFonts w:hint="eastAsia" w:ascii="仿宋" w:hAnsi="仿宋" w:eastAsia="仿宋" w:cs="仿宋"/>
          <w:kern w:val="32"/>
          <w:sz w:val="28"/>
          <w:szCs w:val="28"/>
          <w:lang w:val="en-US" w:eastAsia="zh-CN"/>
        </w:rPr>
        <w:t>项目绩效</w:t>
      </w:r>
      <w:r>
        <w:rPr>
          <w:rFonts w:hint="eastAsia" w:ascii="仿宋" w:hAnsi="仿宋" w:eastAsia="仿宋" w:cs="仿宋"/>
          <w:kern w:val="32"/>
          <w:sz w:val="28"/>
          <w:szCs w:val="28"/>
        </w:rPr>
        <w:t>分析</w:t>
      </w:r>
      <w:bookmarkEnd w:id="198"/>
      <w:bookmarkEnd w:id="199"/>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项目绩效指标包含2个二级指标以及9个三级指标，指标值60分，得分为54.64分，得分率91%。各指标详细说明如下：</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（1）项目产出情况：该二级指标分值34分，得28.64分，该指标下具体内容：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①产出数量：该指标分值9分，得9分。2021年共有80周岁以上老年人7904人，（其中：80-89周岁老人6761人，90-99周岁老年人1120人，100周岁以上老年人23人）。</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②产出质量：该指标分值9分，得9分。</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③产出时效：该指标分值8分，得2.64分。扣分原因：2021年度支付高龄</w:t>
      </w:r>
      <w:r>
        <w:rPr>
          <w:rFonts w:hint="eastAsia" w:cs="仿宋"/>
          <w:color w:val="000000"/>
          <w:kern w:val="32"/>
          <w:sz w:val="28"/>
          <w:szCs w:val="28"/>
          <w:lang w:val="en-US" w:eastAsia="zh-CN" w:bidi="ar-SA"/>
        </w:rPr>
        <w:t>津贴</w:t>
      </w:r>
      <w:r>
        <w:rPr>
          <w:rFonts w:hint="eastAsia" w:ascii="仿宋" w:hAnsi="仿宋" w:eastAsia="仿宋" w:cs="仿宋"/>
          <w:color w:val="000000"/>
          <w:kern w:val="32"/>
          <w:sz w:val="28"/>
          <w:szCs w:val="28"/>
          <w:lang w:val="en-US" w:eastAsia="zh-CN" w:bidi="ar-SA"/>
        </w:rPr>
        <w:t>共12次，未在28日前支付1次，跨月支付7次。</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产出成本：该指标分值8分，得8分。2021年该项目共支付费用778.36万元，存在超预算的情况，原因为2021年7月，根据《安阳市民政局安阳市财政局关于做好调整高龄津贴发放标准工作的通知》（安民文）[2021]62号）文件规定，从2021年7月份起发放的高龄</w:t>
      </w:r>
      <w:r>
        <w:rPr>
          <w:rFonts w:hint="eastAsia" w:cs="仿宋"/>
          <w:color w:val="000000"/>
          <w:kern w:val="32"/>
          <w:sz w:val="28"/>
          <w:szCs w:val="28"/>
          <w:lang w:val="en-US" w:eastAsia="zh-CN" w:bidi="ar-SA"/>
        </w:rPr>
        <w:t>津贴</w:t>
      </w:r>
      <w:r>
        <w:rPr>
          <w:rFonts w:hint="eastAsia" w:ascii="仿宋" w:hAnsi="仿宋" w:eastAsia="仿宋" w:cs="仿宋"/>
          <w:color w:val="000000"/>
          <w:kern w:val="32"/>
          <w:sz w:val="28"/>
          <w:szCs w:val="28"/>
          <w:lang w:val="en-US" w:eastAsia="zh-CN" w:bidi="ar-SA"/>
        </w:rPr>
        <w:t>每人每月提高50元。</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（2）项目效果情况：该二级指标分值26分，得26分，该指标下具体内容：</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①经济效益：该指标分值6分，得6分。满足老年人日常生活需要，稳步提升高龄老人生活水平。</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社会效益：该指标分值5分，得5分。高龄津贴的发放实施，体现了社会的关爱，促进了民政事业的发展，使尊老敬老的社会氛围得到进一步提升，高龄老年人幸福感和获得感得到进一步增强，有效促进社会和谐稳定。</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③环境效益：该指标分值5分，得5分。</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④可持续影响：该指标分值5分，得5分。高龄津贴的覆盖面广，已经实行普惠制，涉及人数比重 较大，具有可持续影响，建立高龄老年人保健补助制度，是 细化落实“民生幸福工程”的重要举措，是保障经济困难老 年人共享发展成果、维护社会公平正义、保持社会和谐稳定， 具有十分重要的促进作用。</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⑤服务对象满意度：该指标分值5分，得5分。共抽取辖区内居民350人填写高龄津贴满意度调查问卷，通过计算汇总得出对该单位满意度调查平均得</w:t>
      </w:r>
      <w:r>
        <w:rPr>
          <w:rFonts w:hint="eastAsia" w:cs="仿宋"/>
          <w:color w:val="000000"/>
          <w:kern w:val="32"/>
          <w:sz w:val="28"/>
          <w:szCs w:val="28"/>
          <w:lang w:val="en-US" w:eastAsia="zh-CN" w:bidi="ar-SA"/>
        </w:rPr>
        <w:t>97</w:t>
      </w:r>
      <w:r>
        <w:rPr>
          <w:rFonts w:hint="eastAsia" w:ascii="仿宋" w:hAnsi="仿宋" w:eastAsia="仿宋" w:cs="仿宋"/>
          <w:color w:val="000000"/>
          <w:kern w:val="32"/>
          <w:sz w:val="28"/>
          <w:szCs w:val="28"/>
          <w:lang w:val="en-US" w:eastAsia="zh-CN" w:bidi="ar-SA"/>
        </w:rPr>
        <w:t>分，分值率</w:t>
      </w:r>
      <w:r>
        <w:rPr>
          <w:rFonts w:hint="eastAsia" w:cs="仿宋"/>
          <w:color w:val="000000"/>
          <w:kern w:val="32"/>
          <w:sz w:val="28"/>
          <w:szCs w:val="28"/>
          <w:lang w:val="en-US" w:eastAsia="zh-CN" w:bidi="ar-SA"/>
        </w:rPr>
        <w:t>97</w:t>
      </w:r>
      <w:r>
        <w:rPr>
          <w:rFonts w:hint="eastAsia" w:ascii="仿宋" w:hAnsi="仿宋" w:eastAsia="仿宋" w:cs="仿宋"/>
          <w:color w:val="000000"/>
          <w:kern w:val="32"/>
          <w:sz w:val="28"/>
          <w:szCs w:val="28"/>
          <w:lang w:val="en-US" w:eastAsia="zh-CN" w:bidi="ar-SA"/>
        </w:rPr>
        <w:t>%。</w:t>
      </w:r>
    </w:p>
    <w:bookmarkEnd w:id="196"/>
    <w:bookmarkEnd w:id="197"/>
    <w:p>
      <w:pPr>
        <w:pStyle w:val="4"/>
        <w:numPr>
          <w:ilvl w:val="0"/>
          <w:numId w:val="3"/>
        </w:numPr>
        <w:spacing w:before="0" w:after="0" w:line="360" w:lineRule="auto"/>
        <w:ind w:firstLine="562" w:firstLineChars="200"/>
        <w:rPr>
          <w:rFonts w:hint="eastAsia" w:ascii="仿宋" w:hAnsi="仿宋" w:eastAsia="仿宋" w:cs="仿宋"/>
          <w:b/>
          <w:bCs w:val="0"/>
          <w:kern w:val="0"/>
          <w:sz w:val="28"/>
          <w:szCs w:val="28"/>
        </w:rPr>
      </w:pPr>
      <w:bookmarkStart w:id="200" w:name="_Toc29217"/>
      <w:bookmarkStart w:id="201" w:name="_Toc20217"/>
      <w:bookmarkStart w:id="202" w:name="_Toc11336"/>
      <w:bookmarkStart w:id="203" w:name="_Toc14095"/>
      <w:bookmarkStart w:id="204" w:name="_Toc5168"/>
      <w:bookmarkStart w:id="205" w:name="_Toc8031"/>
      <w:r>
        <w:rPr>
          <w:rFonts w:hint="eastAsia" w:ascii="仿宋" w:hAnsi="仿宋" w:eastAsia="仿宋" w:cs="仿宋"/>
          <w:b/>
          <w:bCs w:val="0"/>
          <w:kern w:val="0"/>
          <w:sz w:val="28"/>
          <w:szCs w:val="28"/>
        </w:rPr>
        <w:t>评价中发现的主要问题及有关建议</w:t>
      </w:r>
      <w:bookmarkEnd w:id="200"/>
      <w:bookmarkEnd w:id="201"/>
      <w:bookmarkEnd w:id="202"/>
      <w:bookmarkEnd w:id="203"/>
      <w:bookmarkEnd w:id="204"/>
      <w:bookmarkEnd w:id="205"/>
    </w:p>
    <w:p>
      <w:pPr>
        <w:pStyle w:val="6"/>
        <w:numPr>
          <w:ilvl w:val="0"/>
          <w:numId w:val="0"/>
        </w:num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（一）存在的问题：未严格按照高龄津贴发放和管理办法的规定执行。建议：严格按照</w:t>
      </w:r>
      <w:r>
        <w:rPr>
          <w:rFonts w:hint="eastAsia" w:ascii="仿宋" w:hAnsi="仿宋" w:eastAsia="仿宋" w:cs="仿宋"/>
          <w:color w:val="000000"/>
          <w:kern w:val="32"/>
          <w:sz w:val="28"/>
          <w:szCs w:val="28"/>
          <w:lang w:val="en-US" w:eastAsia="zh-CN" w:bidi="ar-SA"/>
        </w:rPr>
        <w:t>《安阳市高龄津贴发放和管理办法》第五条规定“按社会化发放方式在每月28日前将当月高龄津贴发放到位”。</w:t>
      </w:r>
    </w:p>
    <w:p>
      <w:pPr>
        <w:pStyle w:val="4"/>
        <w:spacing w:before="0" w:after="0" w:line="360" w:lineRule="auto"/>
        <w:ind w:firstLine="562" w:firstLineChars="200"/>
        <w:rPr>
          <w:rFonts w:hint="eastAsia" w:ascii="仿宋" w:hAnsi="仿宋" w:eastAsia="仿宋" w:cs="仿宋"/>
          <w:b/>
          <w:bCs w:val="0"/>
          <w:kern w:val="0"/>
          <w:sz w:val="28"/>
          <w:szCs w:val="28"/>
        </w:rPr>
      </w:pPr>
      <w:bookmarkStart w:id="206" w:name="_Toc47736024"/>
      <w:bookmarkStart w:id="207" w:name="_Toc23610"/>
      <w:bookmarkStart w:id="208" w:name="_Toc24223"/>
      <w:bookmarkStart w:id="209" w:name="_Toc18749"/>
      <w:bookmarkStart w:id="210" w:name="_Toc28759"/>
      <w:bookmarkStart w:id="211" w:name="_Toc17596"/>
      <w:bookmarkStart w:id="212" w:name="_Toc3813"/>
      <w:bookmarkStart w:id="213" w:name="_Toc14944"/>
      <w:r>
        <w:rPr>
          <w:rFonts w:hint="eastAsia" w:ascii="仿宋" w:hAnsi="仿宋" w:eastAsia="仿宋" w:cs="仿宋"/>
          <w:b/>
          <w:bCs w:val="0"/>
          <w:kern w:val="0"/>
          <w:sz w:val="28"/>
          <w:szCs w:val="28"/>
        </w:rPr>
        <w:t>五、其他需说明的问题</w:t>
      </w:r>
      <w:bookmarkEnd w:id="206"/>
      <w:bookmarkEnd w:id="207"/>
      <w:bookmarkEnd w:id="208"/>
      <w:bookmarkEnd w:id="209"/>
      <w:bookmarkEnd w:id="210"/>
      <w:bookmarkEnd w:id="211"/>
      <w:bookmarkEnd w:id="212"/>
      <w:bookmarkEnd w:id="213"/>
    </w:p>
    <w:p>
      <w:pPr>
        <w:pStyle w:val="6"/>
        <w:ind w:firstLine="560" w:firstLineChars="200"/>
        <w:rPr>
          <w:rFonts w:hint="eastAsia" w:ascii="仿宋" w:hAnsi="仿宋" w:eastAsia="仿宋" w:cs="仿宋"/>
          <w:sz w:val="28"/>
          <w:szCs w:val="28"/>
        </w:rPr>
      </w:pPr>
      <w:r>
        <w:rPr>
          <w:rFonts w:hint="eastAsia" w:ascii="仿宋" w:hAnsi="仿宋" w:eastAsia="仿宋" w:cs="仿宋"/>
          <w:bCs/>
          <w:sz w:val="28"/>
          <w:szCs w:val="28"/>
        </w:rPr>
        <w:t>本报告仅为</w:t>
      </w:r>
      <w:r>
        <w:rPr>
          <w:rFonts w:hint="eastAsia" w:ascii="仿宋" w:hAnsi="仿宋" w:eastAsia="仿宋" w:cs="仿宋"/>
          <w:bCs/>
          <w:sz w:val="28"/>
          <w:szCs w:val="28"/>
          <w:lang w:val="en-US" w:eastAsia="zh-CN"/>
        </w:rPr>
        <w:t>安阳县</w:t>
      </w:r>
      <w:r>
        <w:rPr>
          <w:rFonts w:hint="eastAsia" w:ascii="仿宋" w:hAnsi="仿宋" w:eastAsia="仿宋" w:cs="仿宋"/>
          <w:bCs/>
          <w:sz w:val="28"/>
          <w:szCs w:val="28"/>
        </w:rPr>
        <w:t>财政局绩效管理部门、业务主管部门及预算部门绩效管理、审核预算提供参考依据，不做其它用途。</w:t>
      </w:r>
    </w:p>
    <w:p>
      <w:pPr>
        <w:pStyle w:val="4"/>
        <w:spacing w:before="0" w:after="0" w:line="360" w:lineRule="auto"/>
        <w:ind w:firstLine="562" w:firstLineChars="200"/>
        <w:rPr>
          <w:rFonts w:hint="eastAsia" w:ascii="仿宋" w:hAnsi="仿宋" w:eastAsia="仿宋" w:cs="仿宋"/>
          <w:b/>
          <w:bCs w:val="0"/>
          <w:kern w:val="0"/>
          <w:sz w:val="28"/>
          <w:szCs w:val="28"/>
        </w:rPr>
      </w:pPr>
      <w:bookmarkStart w:id="214" w:name="_Toc11108"/>
      <w:bookmarkStart w:id="215" w:name="_Toc15756"/>
      <w:bookmarkStart w:id="216" w:name="_Toc15738"/>
      <w:bookmarkStart w:id="217" w:name="_Toc8444"/>
      <w:bookmarkStart w:id="218" w:name="_Toc18321"/>
      <w:bookmarkStart w:id="219" w:name="_Toc7763"/>
      <w:bookmarkStart w:id="220" w:name="_Toc47736025"/>
    </w:p>
    <w:p>
      <w:pPr>
        <w:pStyle w:val="4"/>
        <w:spacing w:before="0" w:after="0" w:line="360" w:lineRule="auto"/>
        <w:ind w:firstLine="562" w:firstLineChars="200"/>
        <w:rPr>
          <w:rFonts w:hint="eastAsia" w:ascii="仿宋" w:hAnsi="仿宋" w:eastAsia="仿宋" w:cs="仿宋"/>
          <w:b/>
          <w:bCs w:val="0"/>
          <w:kern w:val="0"/>
          <w:sz w:val="28"/>
          <w:szCs w:val="28"/>
        </w:rPr>
      </w:pPr>
    </w:p>
    <w:p>
      <w:pPr>
        <w:pStyle w:val="4"/>
        <w:spacing w:before="0" w:after="0" w:line="360" w:lineRule="auto"/>
        <w:ind w:firstLine="562" w:firstLineChars="200"/>
        <w:rPr>
          <w:rFonts w:hint="eastAsia" w:ascii="仿宋" w:hAnsi="仿宋" w:eastAsia="仿宋" w:cs="仿宋"/>
          <w:b/>
          <w:bCs w:val="0"/>
          <w:kern w:val="0"/>
          <w:sz w:val="28"/>
          <w:szCs w:val="28"/>
        </w:rPr>
      </w:pPr>
    </w:p>
    <w:p>
      <w:pPr>
        <w:pStyle w:val="4"/>
        <w:spacing w:before="0" w:after="0" w:line="360" w:lineRule="auto"/>
        <w:ind w:firstLine="562" w:firstLineChars="200"/>
        <w:rPr>
          <w:rFonts w:hint="eastAsia" w:ascii="仿宋" w:hAnsi="仿宋" w:eastAsia="仿宋" w:cs="仿宋"/>
          <w:b/>
          <w:bCs w:val="0"/>
          <w:kern w:val="0"/>
          <w:sz w:val="28"/>
          <w:szCs w:val="28"/>
        </w:rPr>
      </w:pPr>
    </w:p>
    <w:p>
      <w:pPr>
        <w:pStyle w:val="4"/>
        <w:spacing w:before="0" w:after="0" w:line="360" w:lineRule="auto"/>
        <w:ind w:firstLine="562" w:firstLineChars="200"/>
        <w:rPr>
          <w:rFonts w:hint="eastAsia" w:ascii="仿宋" w:hAnsi="仿宋" w:eastAsia="仿宋" w:cs="仿宋"/>
          <w:b/>
          <w:bCs w:val="0"/>
          <w:kern w:val="0"/>
          <w:sz w:val="28"/>
          <w:szCs w:val="28"/>
        </w:rPr>
      </w:pPr>
    </w:p>
    <w:p>
      <w:pPr>
        <w:pStyle w:val="4"/>
        <w:spacing w:before="0" w:after="0" w:line="360" w:lineRule="auto"/>
        <w:rPr>
          <w:rFonts w:hint="eastAsia" w:ascii="仿宋" w:hAnsi="仿宋" w:eastAsia="仿宋" w:cs="仿宋"/>
          <w:b/>
          <w:bCs w:val="0"/>
          <w:kern w:val="0"/>
          <w:sz w:val="28"/>
          <w:szCs w:val="28"/>
        </w:rPr>
      </w:pPr>
    </w:p>
    <w:p>
      <w:pPr>
        <w:rPr>
          <w:rFonts w:hint="eastAsia" w:ascii="仿宋" w:hAnsi="仿宋" w:eastAsia="仿宋" w:cs="仿宋"/>
          <w:b/>
          <w:bCs w:val="0"/>
          <w:kern w:val="0"/>
          <w:sz w:val="28"/>
          <w:szCs w:val="28"/>
        </w:rPr>
      </w:pPr>
    </w:p>
    <w:p>
      <w:pPr>
        <w:pStyle w:val="2"/>
        <w:rPr>
          <w:rFonts w:hint="eastAsia"/>
        </w:rPr>
      </w:pPr>
      <w:bookmarkStart w:id="221" w:name="_GoBack"/>
      <w:bookmarkEnd w:id="221"/>
    </w:p>
    <w:p>
      <w:pPr>
        <w:pStyle w:val="4"/>
        <w:spacing w:before="0" w:after="0" w:line="360" w:lineRule="auto"/>
        <w:ind w:firstLine="562" w:firstLineChars="200"/>
        <w:rPr>
          <w:rFonts w:hint="eastAsia" w:ascii="仿宋" w:hAnsi="仿宋" w:eastAsia="仿宋" w:cs="仿宋"/>
          <w:b/>
          <w:bCs w:val="0"/>
          <w:sz w:val="28"/>
          <w:szCs w:val="28"/>
        </w:rPr>
      </w:pPr>
      <w:r>
        <w:rPr>
          <w:rFonts w:hint="eastAsia" w:ascii="仿宋" w:hAnsi="仿宋" w:eastAsia="仿宋" w:cs="仿宋"/>
          <w:b/>
          <w:bCs w:val="0"/>
          <w:kern w:val="0"/>
          <w:sz w:val="28"/>
          <w:szCs w:val="28"/>
        </w:rPr>
        <w:t>六、附件</w:t>
      </w:r>
      <w:bookmarkEnd w:id="214"/>
      <w:bookmarkEnd w:id="215"/>
      <w:bookmarkEnd w:id="216"/>
      <w:bookmarkEnd w:id="217"/>
      <w:bookmarkEnd w:id="218"/>
      <w:bookmarkEnd w:id="219"/>
      <w:bookmarkEnd w:id="220"/>
    </w:p>
    <w:p>
      <w:pPr>
        <w:pStyle w:val="6"/>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1</w:t>
      </w:r>
      <w:r>
        <w:rPr>
          <w:rFonts w:hint="eastAsia" w:ascii="仿宋" w:hAnsi="仿宋" w:eastAsia="仿宋" w:cs="仿宋"/>
          <w:bCs/>
          <w:sz w:val="28"/>
          <w:szCs w:val="28"/>
        </w:rPr>
        <w:t>.绩效目标申报表</w:t>
      </w:r>
    </w:p>
    <w:p>
      <w:pPr>
        <w:pStyle w:val="6"/>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.指标体系及打分情况表</w:t>
      </w:r>
    </w:p>
    <w:p>
      <w:pPr>
        <w:pStyle w:val="6"/>
        <w:rPr>
          <w:rFonts w:hint="eastAsia" w:ascii="仿宋" w:hAnsi="仿宋" w:eastAsia="仿宋" w:cs="仿宋"/>
          <w:bCs/>
          <w:sz w:val="28"/>
          <w:szCs w:val="28"/>
        </w:rPr>
      </w:pPr>
    </w:p>
    <w:p>
      <w:pPr>
        <w:pStyle w:val="6"/>
        <w:rPr>
          <w:rFonts w:hint="eastAsia" w:ascii="仿宋" w:hAnsi="仿宋" w:eastAsia="仿宋" w:cs="仿宋"/>
          <w:bCs/>
          <w:sz w:val="28"/>
          <w:szCs w:val="28"/>
        </w:rPr>
      </w:pPr>
    </w:p>
    <w:p>
      <w:pPr>
        <w:snapToGrid w:val="0"/>
        <w:spacing w:before="31" w:beforeLines="10" w:after="31" w:afterLines="10" w:line="720" w:lineRule="auto"/>
        <w:ind w:left="1489" w:leftChars="109" w:hanging="1260" w:hangingChars="45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河南高审会计师事务所            主评人：</w:t>
      </w:r>
    </w:p>
    <w:p>
      <w:pPr>
        <w:snapToGrid w:val="0"/>
        <w:spacing w:before="31" w:beforeLines="10" w:after="31" w:afterLines="10" w:line="720" w:lineRule="auto"/>
        <w:ind w:left="1488" w:leftChars="375" w:hanging="700" w:hangingChars="25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 xml:space="preserve">（普通合伙）       </w:t>
      </w:r>
    </w:p>
    <w:p>
      <w:pPr>
        <w:snapToGrid w:val="0"/>
        <w:spacing w:before="31" w:beforeLines="10" w:after="31" w:afterLines="10" w:line="720" w:lineRule="auto"/>
        <w:ind w:firstLine="840" w:firstLineChars="3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 xml:space="preserve">中国·河南                   </w:t>
      </w:r>
    </w:p>
    <w:p>
      <w:pPr>
        <w:snapToGrid w:val="0"/>
        <w:spacing w:before="50" w:after="50" w:line="360" w:lineRule="auto"/>
        <w:ind w:firstLine="5880" w:firstLineChars="2100"/>
        <w:rPr>
          <w:rFonts w:hint="eastAsia" w:ascii="仿宋" w:hAnsi="仿宋" w:eastAsia="仿宋" w:cs="仿宋"/>
          <w:bCs/>
          <w:kern w:val="2"/>
          <w:sz w:val="28"/>
          <w:szCs w:val="28"/>
          <w:lang w:val="en-US" w:eastAsia="zh-CN" w:bidi="ar-SA"/>
        </w:rPr>
      </w:pPr>
    </w:p>
    <w:p>
      <w:pPr>
        <w:snapToGrid w:val="0"/>
        <w:spacing w:before="50" w:after="50" w:line="360" w:lineRule="auto"/>
        <w:ind w:firstLine="5040" w:firstLineChars="18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 xml:space="preserve">2022年10月8日 </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both"/>
        <w:textAlignment w:val="auto"/>
        <w:outlineLvl w:val="9"/>
        <w:rPr>
          <w:rFonts w:hint="eastAsia" w:ascii="仿宋" w:hAnsi="仿宋" w:eastAsia="仿宋" w:cs="仿宋"/>
          <w:b w:val="0"/>
          <w:bCs w:val="0"/>
          <w:sz w:val="28"/>
          <w:szCs w:val="28"/>
          <w:highlight w:val="none"/>
          <w:lang w:val="en-US" w:eastAsia="zh-CN"/>
        </w:rPr>
      </w:pPr>
    </w:p>
    <w:p>
      <w:pPr>
        <w:pStyle w:val="6"/>
        <w:rPr>
          <w:rFonts w:hint="eastAsia" w:ascii="仿宋" w:hAnsi="仿宋" w:eastAsia="仿宋" w:cs="仿宋"/>
          <w:bCs/>
          <w:sz w:val="28"/>
          <w:szCs w:val="28"/>
        </w:rPr>
      </w:pPr>
    </w:p>
    <w:sectPr>
      <w:headerReference r:id="rId9" w:type="default"/>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default"/>
        <w:lang w:val="en-US"/>
      </w:rPr>
    </w:pPr>
    <w:r>
      <w:rPr>
        <w:sz w:val="24"/>
      </w:rPr>
      <w:pict>
        <v:line id="_x0000_s4099" o:spid="_x0000_s4099" o:spt="20" style="position:absolute;left:0pt;margin-left:0.15pt;margin-top:-6.8pt;height:0.5pt;width:414.5pt;z-index:251660288;mso-width-relative:page;mso-height-relative:page;" filled="f" stroked="t" coordsize="21600,21600">
          <v:path arrowok="t"/>
          <v:fill on="f" focussize="0,0"/>
          <v:stroke weight="0.5pt" color="#000000"/>
          <v:imagedata o:title=""/>
          <o:lock v:ext="edit" aspectratio="f"/>
        </v:line>
      </w:pict>
    </w:r>
    <w:r>
      <w:rPr>
        <w:rFonts w:hint="eastAsia" w:ascii="隶书" w:eastAsia="隶书"/>
        <w:b/>
        <w:bCs/>
        <w:i/>
        <w:iCs/>
        <w:sz w:val="24"/>
        <w:u w:val="none"/>
        <w:lang w:val="en-US" w:eastAsia="zh-CN"/>
      </w:rPr>
      <w:t>河南高审会计师事务所</w:t>
    </w: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rPr>
        <w:rFonts w:hint="default" w:eastAsia="仿宋"/>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single" w:color="000000" w:sz="4" w:space="0"/>
        <w:right w:val="none" w:color="auto" w:sz="0" w:space="0"/>
      </w:pBdr>
      <w:rPr>
        <w:rFonts w:hint="default"/>
        <w:lang w:val="en-US"/>
      </w:rPr>
    </w:pPr>
    <w:r>
      <w:rPr>
        <w:rFonts w:hint="eastAsia" w:ascii="隶书" w:hAnsi="Times New Roman" w:eastAsia="隶书" w:cs="Times New Roman"/>
        <w:b/>
        <w:bCs/>
        <w:i/>
        <w:iCs/>
        <w:kern w:val="2"/>
        <w:sz w:val="24"/>
        <w:szCs w:val="24"/>
        <w:u w:val="none"/>
        <w:lang w:val="en-US" w:eastAsia="zh-CN" w:bidi="ar-SA"/>
      </w:rPr>
      <w:t>绩效评价报告·正文</w:t>
    </w:r>
    <w:r>
      <w:rPr>
        <w:rFonts w:hint="eastAsia" w:ascii="隶书" w:eastAsia="隶书" w:cs="Times New Roman"/>
        <w:b/>
        <w:bCs/>
        <w:i/>
        <w:iCs/>
        <w:kern w:val="2"/>
        <w:sz w:val="24"/>
        <w:szCs w:val="24"/>
        <w:u w:val="none"/>
        <w:lang w:val="en-US" w:eastAsia="zh-CN" w:bidi="ar-SA"/>
      </w:rPr>
      <w:t xml:space="preserve">                                豫22MMD1Q75A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9F0D9"/>
    <w:multiLevelType w:val="singleLevel"/>
    <w:tmpl w:val="B769F0D9"/>
    <w:lvl w:ilvl="0" w:tentative="0">
      <w:start w:val="2"/>
      <w:numFmt w:val="decimal"/>
      <w:suff w:val="nothing"/>
      <w:lvlText w:val="（%1）"/>
      <w:lvlJc w:val="left"/>
    </w:lvl>
  </w:abstractNum>
  <w:abstractNum w:abstractNumId="1">
    <w:nsid w:val="DEB63397"/>
    <w:multiLevelType w:val="singleLevel"/>
    <w:tmpl w:val="DEB63397"/>
    <w:lvl w:ilvl="0" w:tentative="0">
      <w:start w:val="2"/>
      <w:numFmt w:val="decimal"/>
      <w:suff w:val="nothing"/>
      <w:lvlText w:val="（%1）"/>
      <w:lvlJc w:val="left"/>
      <w:pPr>
        <w:ind w:left="-220"/>
      </w:pPr>
    </w:lvl>
  </w:abstractNum>
  <w:abstractNum w:abstractNumId="2">
    <w:nsid w:val="192DC6A4"/>
    <w:multiLevelType w:val="singleLevel"/>
    <w:tmpl w:val="192DC6A4"/>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U5YTk2NWU3OTRhNTU0YjZlNWE0ODExMjY4YzM0MTgifQ=="/>
  </w:docVars>
  <w:rsids>
    <w:rsidRoot w:val="75762B14"/>
    <w:rsid w:val="00020C90"/>
    <w:rsid w:val="0002742B"/>
    <w:rsid w:val="00070A86"/>
    <w:rsid w:val="0009515C"/>
    <w:rsid w:val="000A02EB"/>
    <w:rsid w:val="000E0151"/>
    <w:rsid w:val="000E607A"/>
    <w:rsid w:val="001310C6"/>
    <w:rsid w:val="0013646C"/>
    <w:rsid w:val="00166483"/>
    <w:rsid w:val="00172FFB"/>
    <w:rsid w:val="00183F8F"/>
    <w:rsid w:val="001942A9"/>
    <w:rsid w:val="001B6903"/>
    <w:rsid w:val="001D3176"/>
    <w:rsid w:val="001E011F"/>
    <w:rsid w:val="001E33AD"/>
    <w:rsid w:val="002112BD"/>
    <w:rsid w:val="00261E81"/>
    <w:rsid w:val="00271FC0"/>
    <w:rsid w:val="00284C44"/>
    <w:rsid w:val="002A5328"/>
    <w:rsid w:val="002C2A1A"/>
    <w:rsid w:val="00302EB2"/>
    <w:rsid w:val="00323479"/>
    <w:rsid w:val="003332D1"/>
    <w:rsid w:val="003616E8"/>
    <w:rsid w:val="003678C6"/>
    <w:rsid w:val="0038490E"/>
    <w:rsid w:val="003D336F"/>
    <w:rsid w:val="00407FED"/>
    <w:rsid w:val="00446046"/>
    <w:rsid w:val="004626AE"/>
    <w:rsid w:val="00472D1A"/>
    <w:rsid w:val="004754A4"/>
    <w:rsid w:val="004913F5"/>
    <w:rsid w:val="004943C6"/>
    <w:rsid w:val="004C3202"/>
    <w:rsid w:val="004D1203"/>
    <w:rsid w:val="004E55D7"/>
    <w:rsid w:val="004E7EED"/>
    <w:rsid w:val="00581FF8"/>
    <w:rsid w:val="005964CE"/>
    <w:rsid w:val="005A2FBC"/>
    <w:rsid w:val="005B4BD5"/>
    <w:rsid w:val="006069BC"/>
    <w:rsid w:val="00640127"/>
    <w:rsid w:val="00640FD0"/>
    <w:rsid w:val="00644FC0"/>
    <w:rsid w:val="00672271"/>
    <w:rsid w:val="00687589"/>
    <w:rsid w:val="006B05FF"/>
    <w:rsid w:val="006E45ED"/>
    <w:rsid w:val="00731969"/>
    <w:rsid w:val="00732B91"/>
    <w:rsid w:val="0073754B"/>
    <w:rsid w:val="00756816"/>
    <w:rsid w:val="00765C12"/>
    <w:rsid w:val="00782705"/>
    <w:rsid w:val="007D4A16"/>
    <w:rsid w:val="007E7F19"/>
    <w:rsid w:val="007F1C11"/>
    <w:rsid w:val="00826519"/>
    <w:rsid w:val="00826660"/>
    <w:rsid w:val="0084764D"/>
    <w:rsid w:val="00870EDE"/>
    <w:rsid w:val="0088589E"/>
    <w:rsid w:val="00894E52"/>
    <w:rsid w:val="008D3775"/>
    <w:rsid w:val="008F0E31"/>
    <w:rsid w:val="008F1838"/>
    <w:rsid w:val="009037B6"/>
    <w:rsid w:val="00903FFA"/>
    <w:rsid w:val="00911DDA"/>
    <w:rsid w:val="00935CDA"/>
    <w:rsid w:val="00962D52"/>
    <w:rsid w:val="00971545"/>
    <w:rsid w:val="009727AB"/>
    <w:rsid w:val="00984E6F"/>
    <w:rsid w:val="00992190"/>
    <w:rsid w:val="009D63C9"/>
    <w:rsid w:val="009D77E7"/>
    <w:rsid w:val="009E7A5E"/>
    <w:rsid w:val="00A26DDC"/>
    <w:rsid w:val="00A52F62"/>
    <w:rsid w:val="00AA246A"/>
    <w:rsid w:val="00AA55CD"/>
    <w:rsid w:val="00AC4560"/>
    <w:rsid w:val="00AD2A7E"/>
    <w:rsid w:val="00B14360"/>
    <w:rsid w:val="00B163C2"/>
    <w:rsid w:val="00B35886"/>
    <w:rsid w:val="00B44995"/>
    <w:rsid w:val="00B90DB1"/>
    <w:rsid w:val="00BB6DCE"/>
    <w:rsid w:val="00BC3160"/>
    <w:rsid w:val="00BF1E15"/>
    <w:rsid w:val="00C467C7"/>
    <w:rsid w:val="00C81057"/>
    <w:rsid w:val="00CA17F3"/>
    <w:rsid w:val="00CA2080"/>
    <w:rsid w:val="00CA46F5"/>
    <w:rsid w:val="00CB41FB"/>
    <w:rsid w:val="00CC5C74"/>
    <w:rsid w:val="00CE0B40"/>
    <w:rsid w:val="00D16233"/>
    <w:rsid w:val="00D172C8"/>
    <w:rsid w:val="00D1766E"/>
    <w:rsid w:val="00D648A0"/>
    <w:rsid w:val="00D67D23"/>
    <w:rsid w:val="00D73312"/>
    <w:rsid w:val="00DB2040"/>
    <w:rsid w:val="00DD5516"/>
    <w:rsid w:val="00DD705B"/>
    <w:rsid w:val="00E17FE9"/>
    <w:rsid w:val="00E274D0"/>
    <w:rsid w:val="00E31379"/>
    <w:rsid w:val="00E4778D"/>
    <w:rsid w:val="00EA5936"/>
    <w:rsid w:val="00F44FC1"/>
    <w:rsid w:val="00F46E15"/>
    <w:rsid w:val="00F528BB"/>
    <w:rsid w:val="00F63D83"/>
    <w:rsid w:val="00F80F24"/>
    <w:rsid w:val="00F85BDA"/>
    <w:rsid w:val="00F93031"/>
    <w:rsid w:val="00FC55DD"/>
    <w:rsid w:val="00FE3ED1"/>
    <w:rsid w:val="00FF5115"/>
    <w:rsid w:val="03030092"/>
    <w:rsid w:val="06035F1E"/>
    <w:rsid w:val="09C503AC"/>
    <w:rsid w:val="0AC5283C"/>
    <w:rsid w:val="0BD360A4"/>
    <w:rsid w:val="0BF03A26"/>
    <w:rsid w:val="15BD502F"/>
    <w:rsid w:val="18B7404E"/>
    <w:rsid w:val="1AA37D5D"/>
    <w:rsid w:val="1BB277DE"/>
    <w:rsid w:val="1C085539"/>
    <w:rsid w:val="21802EDB"/>
    <w:rsid w:val="22D52ED0"/>
    <w:rsid w:val="22F8059F"/>
    <w:rsid w:val="25D55108"/>
    <w:rsid w:val="26471DD8"/>
    <w:rsid w:val="2E2C2558"/>
    <w:rsid w:val="2F57371B"/>
    <w:rsid w:val="2FED0498"/>
    <w:rsid w:val="30E936D7"/>
    <w:rsid w:val="32375F5F"/>
    <w:rsid w:val="326962D8"/>
    <w:rsid w:val="330B2EA0"/>
    <w:rsid w:val="334B2FA7"/>
    <w:rsid w:val="33644FE5"/>
    <w:rsid w:val="340C75F9"/>
    <w:rsid w:val="34180485"/>
    <w:rsid w:val="37BE3CB8"/>
    <w:rsid w:val="3854171E"/>
    <w:rsid w:val="3B2661EB"/>
    <w:rsid w:val="3BAF03C7"/>
    <w:rsid w:val="3CA7028E"/>
    <w:rsid w:val="3D0A2E41"/>
    <w:rsid w:val="3E1B02CE"/>
    <w:rsid w:val="3F362DDE"/>
    <w:rsid w:val="3F3A11B4"/>
    <w:rsid w:val="424C0F53"/>
    <w:rsid w:val="48710E88"/>
    <w:rsid w:val="49262928"/>
    <w:rsid w:val="4AB25A75"/>
    <w:rsid w:val="4C5E3C59"/>
    <w:rsid w:val="50B84D65"/>
    <w:rsid w:val="553D4DFB"/>
    <w:rsid w:val="56D70A76"/>
    <w:rsid w:val="57D473DE"/>
    <w:rsid w:val="57EC6CE2"/>
    <w:rsid w:val="57EC7457"/>
    <w:rsid w:val="57FA3198"/>
    <w:rsid w:val="5A5223D3"/>
    <w:rsid w:val="5E8C4E00"/>
    <w:rsid w:val="5ED3568B"/>
    <w:rsid w:val="604E645A"/>
    <w:rsid w:val="618139F6"/>
    <w:rsid w:val="61954BAB"/>
    <w:rsid w:val="62604B32"/>
    <w:rsid w:val="626B08DC"/>
    <w:rsid w:val="645E411A"/>
    <w:rsid w:val="64980FE3"/>
    <w:rsid w:val="660F4B32"/>
    <w:rsid w:val="6A314DBF"/>
    <w:rsid w:val="6B1D4910"/>
    <w:rsid w:val="6C541F9B"/>
    <w:rsid w:val="6EED3BC9"/>
    <w:rsid w:val="6F9A1886"/>
    <w:rsid w:val="75762B14"/>
    <w:rsid w:val="78B937CE"/>
    <w:rsid w:val="7D070C1B"/>
    <w:rsid w:val="7E896A0E"/>
    <w:rsid w:val="7EC13433"/>
    <w:rsid w:val="7FC970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semiHidden="0" w:name="Default Paragraph Font"/>
    <w:lsdException w:qFormat="1" w:unhideWhenUsed="0" w:uiPriority="1"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qFormat="1" w:unhideWhenUsed="0"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23"/>
    <w:qFormat/>
    <w:uiPriority w:val="99"/>
    <w:pPr>
      <w:keepNext/>
      <w:keepLines/>
      <w:spacing w:before="260" w:after="260" w:line="416" w:lineRule="auto"/>
      <w:outlineLvl w:val="1"/>
    </w:pPr>
    <w:rPr>
      <w:rFonts w:ascii="Calibri Light" w:hAnsi="Calibri Light"/>
      <w:b/>
      <w:bCs/>
      <w:sz w:val="32"/>
      <w:szCs w:val="32"/>
    </w:rPr>
  </w:style>
  <w:style w:type="character" w:default="1" w:styleId="20">
    <w:name w:val="Default Paragraph Font"/>
    <w:qFormat/>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locked/>
    <w:uiPriority w:val="99"/>
    <w:pPr>
      <w:ind w:firstLine="420" w:firstLineChars="100"/>
    </w:pPr>
  </w:style>
  <w:style w:type="paragraph" w:styleId="3">
    <w:name w:val="Body Text"/>
    <w:basedOn w:val="1"/>
    <w:qFormat/>
    <w:locked/>
    <w:uiPriority w:val="1"/>
    <w:rPr>
      <w:rFonts w:ascii="仿宋" w:hAnsi="仿宋" w:eastAsia="仿宋" w:cs="仿宋"/>
      <w:sz w:val="32"/>
      <w:szCs w:val="32"/>
      <w:lang w:val="zh-CN" w:eastAsia="zh-CN" w:bidi="zh-CN"/>
    </w:rPr>
  </w:style>
  <w:style w:type="paragraph" w:styleId="6">
    <w:name w:val="Normal Indent"/>
    <w:basedOn w:val="1"/>
    <w:qFormat/>
    <w:uiPriority w:val="99"/>
    <w:pPr>
      <w:ind w:firstLine="420"/>
    </w:pPr>
  </w:style>
  <w:style w:type="paragraph" w:styleId="7">
    <w:name w:val="annotation text"/>
    <w:basedOn w:val="1"/>
    <w:link w:val="24"/>
    <w:qFormat/>
    <w:uiPriority w:val="99"/>
    <w:pPr>
      <w:jc w:val="left"/>
    </w:pPr>
  </w:style>
  <w:style w:type="paragraph" w:styleId="8">
    <w:name w:val="toc 3"/>
    <w:basedOn w:val="1"/>
    <w:next w:val="1"/>
    <w:qFormat/>
    <w:uiPriority w:val="99"/>
    <w:pPr>
      <w:widowControl/>
      <w:spacing w:after="100" w:line="259" w:lineRule="auto"/>
      <w:ind w:left="440"/>
      <w:jc w:val="left"/>
    </w:pPr>
    <w:rPr>
      <w:rFonts w:ascii="Calibri" w:hAnsi="Calibri"/>
      <w:kern w:val="0"/>
      <w:sz w:val="22"/>
      <w:szCs w:val="22"/>
    </w:rPr>
  </w:style>
  <w:style w:type="paragraph" w:styleId="9">
    <w:name w:val="Body Text Indent 2"/>
    <w:basedOn w:val="1"/>
    <w:link w:val="25"/>
    <w:qFormat/>
    <w:uiPriority w:val="99"/>
    <w:pPr>
      <w:spacing w:after="120" w:line="480" w:lineRule="auto"/>
      <w:ind w:left="420" w:leftChars="200" w:firstLine="200" w:firstLineChars="200"/>
    </w:pPr>
    <w:rPr>
      <w:rFonts w:eastAsia="仿宋_GB2312"/>
      <w:sz w:val="28"/>
      <w:szCs w:val="22"/>
    </w:rPr>
  </w:style>
  <w:style w:type="paragraph" w:styleId="10">
    <w:name w:val="Balloon Text"/>
    <w:basedOn w:val="1"/>
    <w:link w:val="26"/>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sz w:val="18"/>
    </w:rPr>
  </w:style>
  <w:style w:type="paragraph" w:styleId="12">
    <w:name w:val="header"/>
    <w:basedOn w:val="1"/>
    <w:link w:val="2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link w:val="36"/>
    <w:qFormat/>
    <w:uiPriority w:val="99"/>
  </w:style>
  <w:style w:type="paragraph" w:styleId="14">
    <w:name w:val="Subtitle"/>
    <w:basedOn w:val="1"/>
    <w:next w:val="1"/>
    <w:link w:val="29"/>
    <w:qFormat/>
    <w:uiPriority w:val="99"/>
    <w:pPr>
      <w:jc w:val="left"/>
      <w:outlineLvl w:val="2"/>
    </w:pPr>
    <w:rPr>
      <w:rFonts w:ascii="Cambria" w:hAnsi="Cambria" w:eastAsia="黑体"/>
      <w:bCs/>
      <w:kern w:val="28"/>
      <w:szCs w:val="32"/>
    </w:rPr>
  </w:style>
  <w:style w:type="paragraph" w:styleId="15">
    <w:name w:val="toc 2"/>
    <w:basedOn w:val="1"/>
    <w:next w:val="1"/>
    <w:link w:val="37"/>
    <w:qFormat/>
    <w:uiPriority w:val="99"/>
    <w:pPr>
      <w:ind w:left="420" w:leftChars="200"/>
    </w:pPr>
  </w:style>
  <w:style w:type="paragraph" w:styleId="16">
    <w:name w:val="HTML Preformatted"/>
    <w:basedOn w:val="1"/>
    <w:link w:val="3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7">
    <w:name w:val="Title"/>
    <w:basedOn w:val="1"/>
    <w:next w:val="1"/>
    <w:link w:val="31"/>
    <w:qFormat/>
    <w:uiPriority w:val="99"/>
    <w:pPr>
      <w:spacing w:before="240" w:after="60"/>
      <w:ind w:firstLine="200" w:firstLineChars="200"/>
      <w:jc w:val="center"/>
      <w:outlineLvl w:val="0"/>
    </w:pPr>
    <w:rPr>
      <w:rFonts w:ascii="Cambria" w:hAnsi="Cambria"/>
      <w:b/>
      <w:bCs/>
      <w:sz w:val="32"/>
      <w:szCs w:val="32"/>
    </w:rPr>
  </w:style>
  <w:style w:type="paragraph" w:styleId="18">
    <w:name w:val="annotation subject"/>
    <w:basedOn w:val="7"/>
    <w:next w:val="7"/>
    <w:link w:val="32"/>
    <w:qFormat/>
    <w:uiPriority w:val="99"/>
    <w:pPr>
      <w:ind w:firstLine="200" w:firstLineChars="200"/>
    </w:pPr>
    <w:rPr>
      <w:rFonts w:eastAsia="仿宋_GB2312"/>
      <w:b/>
      <w:bCs/>
      <w:sz w:val="28"/>
      <w:szCs w:val="22"/>
    </w:rPr>
  </w:style>
  <w:style w:type="character" w:styleId="21">
    <w:name w:val="Hyperlink"/>
    <w:basedOn w:val="20"/>
    <w:qFormat/>
    <w:uiPriority w:val="99"/>
    <w:rPr>
      <w:rFonts w:cs="Times New Roman"/>
      <w:color w:val="0563C1"/>
      <w:u w:val="single"/>
    </w:rPr>
  </w:style>
  <w:style w:type="character" w:customStyle="1" w:styleId="22">
    <w:name w:val="Heading 1 Char"/>
    <w:basedOn w:val="20"/>
    <w:link w:val="4"/>
    <w:qFormat/>
    <w:locked/>
    <w:uiPriority w:val="99"/>
    <w:rPr>
      <w:rFonts w:cs="Times New Roman"/>
      <w:b/>
      <w:bCs/>
      <w:kern w:val="44"/>
      <w:sz w:val="44"/>
      <w:szCs w:val="44"/>
    </w:rPr>
  </w:style>
  <w:style w:type="character" w:customStyle="1" w:styleId="23">
    <w:name w:val="Heading 2 Char"/>
    <w:basedOn w:val="20"/>
    <w:link w:val="5"/>
    <w:qFormat/>
    <w:locked/>
    <w:uiPriority w:val="99"/>
    <w:rPr>
      <w:rFonts w:ascii="Calibri Light" w:hAnsi="Calibri Light" w:eastAsia="宋体" w:cs="Times New Roman"/>
      <w:b/>
      <w:bCs/>
      <w:kern w:val="2"/>
      <w:sz w:val="32"/>
      <w:szCs w:val="32"/>
    </w:rPr>
  </w:style>
  <w:style w:type="character" w:customStyle="1" w:styleId="24">
    <w:name w:val="Comment Text Char"/>
    <w:basedOn w:val="20"/>
    <w:link w:val="7"/>
    <w:qFormat/>
    <w:locked/>
    <w:uiPriority w:val="99"/>
    <w:rPr>
      <w:rFonts w:cs="Times New Roman"/>
      <w:kern w:val="2"/>
      <w:sz w:val="24"/>
      <w:szCs w:val="24"/>
    </w:rPr>
  </w:style>
  <w:style w:type="character" w:customStyle="1" w:styleId="25">
    <w:name w:val="Body Text Indent 2 Char"/>
    <w:basedOn w:val="20"/>
    <w:link w:val="9"/>
    <w:semiHidden/>
    <w:qFormat/>
    <w:locked/>
    <w:uiPriority w:val="99"/>
    <w:rPr>
      <w:rFonts w:cs="Times New Roman"/>
      <w:sz w:val="24"/>
      <w:szCs w:val="24"/>
    </w:rPr>
  </w:style>
  <w:style w:type="character" w:customStyle="1" w:styleId="26">
    <w:name w:val="Balloon Text Char"/>
    <w:basedOn w:val="20"/>
    <w:link w:val="10"/>
    <w:qFormat/>
    <w:locked/>
    <w:uiPriority w:val="99"/>
    <w:rPr>
      <w:rFonts w:cs="Times New Roman"/>
      <w:kern w:val="2"/>
      <w:sz w:val="18"/>
      <w:szCs w:val="18"/>
    </w:rPr>
  </w:style>
  <w:style w:type="character" w:customStyle="1" w:styleId="27">
    <w:name w:val="Footer Char"/>
    <w:basedOn w:val="20"/>
    <w:link w:val="11"/>
    <w:semiHidden/>
    <w:qFormat/>
    <w:locked/>
    <w:uiPriority w:val="99"/>
    <w:rPr>
      <w:rFonts w:cs="Times New Roman"/>
      <w:sz w:val="18"/>
      <w:szCs w:val="18"/>
    </w:rPr>
  </w:style>
  <w:style w:type="character" w:customStyle="1" w:styleId="28">
    <w:name w:val="Header Char"/>
    <w:basedOn w:val="20"/>
    <w:link w:val="12"/>
    <w:semiHidden/>
    <w:qFormat/>
    <w:locked/>
    <w:uiPriority w:val="99"/>
    <w:rPr>
      <w:rFonts w:cs="Times New Roman"/>
      <w:sz w:val="18"/>
      <w:szCs w:val="18"/>
    </w:rPr>
  </w:style>
  <w:style w:type="character" w:customStyle="1" w:styleId="29">
    <w:name w:val="Subtitle Char"/>
    <w:basedOn w:val="20"/>
    <w:link w:val="14"/>
    <w:qFormat/>
    <w:locked/>
    <w:uiPriority w:val="99"/>
    <w:rPr>
      <w:rFonts w:ascii="Cambria" w:hAnsi="Cambria" w:cs="Times New Roman"/>
      <w:b/>
      <w:bCs/>
      <w:kern w:val="28"/>
      <w:sz w:val="32"/>
      <w:szCs w:val="32"/>
    </w:rPr>
  </w:style>
  <w:style w:type="character" w:customStyle="1" w:styleId="30">
    <w:name w:val="HTML Preformatted Char"/>
    <w:basedOn w:val="20"/>
    <w:link w:val="16"/>
    <w:semiHidden/>
    <w:qFormat/>
    <w:locked/>
    <w:uiPriority w:val="99"/>
    <w:rPr>
      <w:rFonts w:ascii="Courier New" w:hAnsi="Courier New" w:cs="Courier New"/>
      <w:sz w:val="20"/>
      <w:szCs w:val="20"/>
    </w:rPr>
  </w:style>
  <w:style w:type="character" w:customStyle="1" w:styleId="31">
    <w:name w:val="Title Char"/>
    <w:basedOn w:val="20"/>
    <w:link w:val="17"/>
    <w:qFormat/>
    <w:locked/>
    <w:uiPriority w:val="99"/>
    <w:rPr>
      <w:rFonts w:ascii="Cambria" w:hAnsi="Cambria" w:cs="Times New Roman"/>
      <w:b/>
      <w:bCs/>
      <w:kern w:val="2"/>
      <w:sz w:val="32"/>
      <w:szCs w:val="32"/>
    </w:rPr>
  </w:style>
  <w:style w:type="character" w:customStyle="1" w:styleId="32">
    <w:name w:val="Comment Subject Char"/>
    <w:basedOn w:val="24"/>
    <w:link w:val="18"/>
    <w:qFormat/>
    <w:locked/>
    <w:uiPriority w:val="99"/>
    <w:rPr>
      <w:rFonts w:eastAsia="仿宋_GB2312"/>
      <w:b/>
      <w:bCs/>
      <w:sz w:val="22"/>
      <w:szCs w:val="22"/>
    </w:rPr>
  </w:style>
  <w:style w:type="paragraph" w:customStyle="1" w:styleId="33">
    <w:name w:val="WPSOffice手动目录 1"/>
    <w:qFormat/>
    <w:uiPriority w:val="99"/>
    <w:rPr>
      <w:rFonts w:ascii="Times New Roman" w:hAnsi="Times New Roman" w:eastAsia="宋体" w:cs="Times New Roman"/>
      <w:kern w:val="0"/>
      <w:sz w:val="20"/>
      <w:szCs w:val="20"/>
      <w:lang w:val="en-US" w:eastAsia="zh-CN" w:bidi="ar-SA"/>
    </w:rPr>
  </w:style>
  <w:style w:type="paragraph" w:customStyle="1" w:styleId="34">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5">
    <w:name w:val="TOC 标题1"/>
    <w:basedOn w:val="4"/>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36">
    <w:name w:val="目录 1 Char"/>
    <w:link w:val="13"/>
    <w:qFormat/>
    <w:uiPriority w:val="99"/>
  </w:style>
  <w:style w:type="character" w:customStyle="1" w:styleId="37">
    <w:name w:val="目录 2 Char"/>
    <w:link w:val="15"/>
    <w:qFormat/>
    <w:uiPriority w:val="99"/>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20</Pages>
  <Words>6955</Words>
  <Characters>7503</Characters>
  <Lines>0</Lines>
  <Paragraphs>0</Paragraphs>
  <TotalTime>2</TotalTime>
  <ScaleCrop>false</ScaleCrop>
  <LinksUpToDate>false</LinksUpToDate>
  <CharactersWithSpaces>7659</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2021-03-19T08:04:00Z</dcterms:created>
  <dc:creator>Bryan</dc:creator>
  <cp:lastModifiedBy>高一</cp:lastModifiedBy>
  <cp:lastPrinted>2022-11-15T09:45:00Z</cp:lastPrinted>
  <dcterms:modified xsi:type="dcterms:W3CDTF">2022-12-02T03:06:15Z</dcterms:modified>
  <dc:title>XX市财政支出项目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F91BAAFF454042699D7C0374E1591B1F</vt:lpwstr>
  </property>
</Properties>
</file>