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80" w:lineRule="exact"/>
        <w:rPr>
          <w:rFonts w:ascii="黑体" w:hAnsi="黑体"/>
          <w:b w:val="0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  <w:bookmarkStart w:id="0" w:name="_Hlk129966253"/>
      <w:r>
        <w:rPr>
          <w:rFonts w:hint="eastAsia" w:ascii="黑体" w:hAnsi="黑体" w:eastAsia="黑体" w:cs="黑体"/>
          <w:color w:val="auto"/>
          <w:sz w:val="44"/>
          <w:szCs w:val="44"/>
        </w:rPr>
        <w:t>安阳县妇幼保健院病房综合楼建设项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目</w:t>
      </w:r>
      <w:r>
        <w:rPr>
          <w:rFonts w:hint="eastAsia" w:ascii="黑体" w:hAnsi="黑体" w:eastAsia="黑体" w:cs="黑体"/>
          <w:sz w:val="44"/>
          <w:szCs w:val="44"/>
        </w:rPr>
        <w:t>支出</w:t>
      </w:r>
      <w:bookmarkEnd w:id="0"/>
      <w:r>
        <w:rPr>
          <w:rFonts w:hint="eastAsia" w:ascii="黑体" w:hAnsi="黑体" w:eastAsia="黑体" w:cs="黑体"/>
          <w:sz w:val="44"/>
          <w:szCs w:val="44"/>
        </w:rPr>
        <w:t>绩效评价报告</w:t>
      </w:r>
    </w:p>
    <w:p>
      <w:pPr>
        <w:spacing w:line="580" w:lineRule="exact"/>
        <w:jc w:val="center"/>
        <w:rPr>
          <w:rFonts w:ascii="Arial" w:hAnsi="Arial" w:cs="Arial"/>
          <w:b/>
          <w:bCs/>
          <w:sz w:val="44"/>
          <w:szCs w:val="44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安阳县妇幼保健院病房综合楼建设项目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主管部门：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安阳县卫生健康委员会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安阳县妇幼保健院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安阳</w:t>
      </w:r>
      <w:r>
        <w:rPr>
          <w:rFonts w:hint="eastAsia" w:ascii="仿宋" w:hAnsi="仿宋" w:eastAsia="仿宋" w:cs="仿宋"/>
          <w:sz w:val="32"/>
          <w:szCs w:val="32"/>
        </w:rPr>
        <w:t>县财政局</w:t>
      </w:r>
    </w:p>
    <w:p>
      <w:pPr>
        <w:widowControl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安阳县妇幼保健院病房综合楼建设项目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支出</w:t>
      </w:r>
      <w:r>
        <w:rPr>
          <w:rFonts w:ascii="方正小标宋简体" w:hAnsi="方正小标宋简体" w:eastAsia="方正小标宋简体" w:cs="Times New Roman"/>
          <w:sz w:val="44"/>
          <w:szCs w:val="44"/>
        </w:rPr>
        <w:t>绩效评价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报告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bookmarkStart w:id="1" w:name="_Hlk13028449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为贯彻落实中央和河南省关于全面实施预算绩效管理的决策部署，进一步强化预算绩效管理，提高专项债项目资金使用效益，本着客观、公正、科学的评价原则，</w:t>
      </w:r>
      <w:bookmarkEnd w:id="1"/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安阳县妇幼保健院病房综合楼建设项目</w:t>
      </w:r>
      <w:r>
        <w:rPr>
          <w:rFonts w:hint="eastAsia" w:ascii="仿宋" w:hAnsi="仿宋" w:eastAsia="仿宋" w:cs="仿宋"/>
          <w:sz w:val="32"/>
          <w:szCs w:val="32"/>
        </w:rPr>
        <w:t>支出绩效资金进行了绩效评价，现将有关情况报告如下。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1、项目背景、主要内容及实施情况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安阳县妇幼保健院病房综合楼建设项目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2018年8月22日经安阳县发改委批复：同意新建安阳县妇幼保健院病房综合楼建设项目并予以立项，立项文号：安县发改社会〔2018〕73号。项目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位于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安阳县白璧镇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文明大道与锦绣路交叉口东南角，占地面积20亩，建设规模15203㎡，其中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地上建筑面积11425㎡，地下建筑面积3778㎡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项目总投资7700万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元，申请中央资金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1200万元已到位，剩余资金地方配套解决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项目资金投入及使用情况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（1）2020年中央资金1200万元使用情况：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截至2022年3月23日中央资金已支付完毕，支付比例100%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（2）2020年政府专项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债券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2150万元使用情况：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项目于2020年2月收到政府专项债券2150万元。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截至2021年6月30日专项债券已支付完毕，支付比例100%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县级财政预算资金1557.3万元使用情况：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项目于2019年至2022年陆续收到县级财政预算资金1557.3万元。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截至2022年12月31日已支付完毕，支付比例100%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绩效评价目的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绩效评价目的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为全面实施预算绩效管理，建立科学、合理的项目支出绩效评价管理体系，提高财政资源配置效率和使用效益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2、绩效评价对象和范围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安阳县妇幼保健院病房综合楼建设项目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绩效评价原则、评价指标体系、评价方法、评价标准等。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绩效评价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遵循</w:t>
      </w:r>
      <w:r>
        <w:rPr>
          <w:rFonts w:hint="eastAsia" w:ascii="仿宋" w:hAnsi="仿宋" w:eastAsia="仿宋" w:cs="仿宋"/>
          <w:sz w:val="32"/>
          <w:szCs w:val="32"/>
        </w:rPr>
        <w:t>科学公正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激励约束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公开透明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原则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科学公正。绩效评价应当运用科学合理的方法，按照规范的程序，对项目绩效进行客观、公正的反映。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激励约束。绩效评价结果应用与预算安排、政策调整、改进管理实质性挂钩，体现奖优罚劣和激励相容导向，有效要安排、低效要减压、无效要问责。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公开透明。绩效评价结果应依法依规公开，并自觉接受社会监督。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评价指标体系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本项目立项依据符合国家法律法规、国民经济发展规划和相关政策，审批文件及材料符合相关规定，预算编制内容与实际相匹配，资金到位率100%，资金执行率100%，年度内拨付资金使用到位并分配合理。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按照绩效评价规定要求成立评价小组，组织实施和分析评价，采取座谈等方式听取情况，检查基本支出、项目支出有关账目，收集整理支出相关资料，并根据各部门报送的绩效自评材料进行分析，形成评价结论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批复时确定的绩效目标，包括项目的产出数量、质量、时效、成本，以及经济效益、社会效益、生态效益、可持续影响、服务对象满意度等，项目资金全年执行率10分，产出指标50分，效益指标30分，满意度指标10分，评价分值共计100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综合评价情况及评价结论（附相关评分表）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整体支出绩效自评等级：自评得分合计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89分。</w:t>
      </w:r>
    </w:p>
    <w:p>
      <w:pPr>
        <w:spacing w:line="579" w:lineRule="exact"/>
        <w:jc w:val="center"/>
        <w:rPr>
          <w:color w:val="000000"/>
          <w:sz w:val="36"/>
          <w:szCs w:val="36"/>
        </w:rPr>
      </w:pPr>
    </w:p>
    <w:p>
      <w:pPr>
        <w:spacing w:line="579" w:lineRule="exact"/>
        <w:jc w:val="center"/>
      </w:pPr>
      <w:r>
        <w:rPr>
          <w:rFonts w:hint="eastAsia"/>
          <w:color w:val="000000"/>
          <w:sz w:val="36"/>
          <w:szCs w:val="36"/>
          <w:lang w:eastAsia="zh-CN"/>
        </w:rPr>
        <w:t>地方政府专项债券项目</w:t>
      </w:r>
      <w:r>
        <w:rPr>
          <w:color w:val="000000"/>
          <w:sz w:val="36"/>
          <w:szCs w:val="36"/>
        </w:rPr>
        <w:t>绩效自评表</w:t>
      </w:r>
      <w:r>
        <w:rPr>
          <w:rFonts w:hint="eastAsia"/>
          <w:color w:val="000000"/>
          <w:sz w:val="27"/>
        </w:rPr>
        <w:t xml:space="preserve">                                                               （</w:t>
      </w:r>
      <w:r>
        <w:rPr>
          <w:rFonts w:hint="eastAsia"/>
          <w:color w:val="000000"/>
          <w:sz w:val="27"/>
          <w:lang w:val="en-US" w:eastAsia="zh-CN"/>
        </w:rPr>
        <w:t>2022</w:t>
      </w:r>
      <w:r>
        <w:rPr>
          <w:color w:val="000000"/>
          <w:sz w:val="27"/>
        </w:rPr>
        <w:t>年度）</w:t>
      </w:r>
    </w:p>
    <w:tbl>
      <w:tblPr>
        <w:tblStyle w:val="6"/>
        <w:tblpPr w:leftFromText="180" w:rightFromText="180" w:vertAnchor="text" w:horzAnchor="page" w:tblpX="1397" w:tblpY="181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60"/>
        <w:gridCol w:w="1100"/>
        <w:gridCol w:w="720"/>
        <w:gridCol w:w="1140"/>
        <w:gridCol w:w="1125"/>
        <w:gridCol w:w="1185"/>
        <w:gridCol w:w="116"/>
        <w:gridCol w:w="469"/>
        <w:gridCol w:w="52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7680" w:type="dxa"/>
            <w:gridSpan w:val="9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安阳县妇幼保健院病房综合楼建设项目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085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安阳县卫生健康委员会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安阳县妇幼保健院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项目资金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（万元）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pacing w:line="188" w:lineRule="exact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建设期</w:t>
            </w:r>
            <w:r>
              <w:rPr>
                <w:color w:val="000000"/>
                <w:sz w:val="18"/>
                <w:szCs w:val="18"/>
              </w:rPr>
              <w:t>资金总额</w:t>
            </w:r>
          </w:p>
        </w:tc>
        <w:tc>
          <w:tcPr>
            <w:tcW w:w="5860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40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181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其中：</w:t>
            </w:r>
            <w:r>
              <w:rPr>
                <w:color w:val="000000"/>
                <w:sz w:val="18"/>
                <w:szCs w:val="18"/>
              </w:rPr>
              <w:t>财政拨款</w:t>
            </w:r>
          </w:p>
        </w:tc>
        <w:tc>
          <w:tcPr>
            <w:tcW w:w="5860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40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202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债券资金</w:t>
            </w:r>
          </w:p>
        </w:tc>
        <w:tc>
          <w:tcPr>
            <w:tcW w:w="5860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40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188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中央预算</w:t>
            </w:r>
          </w:p>
        </w:tc>
        <w:tc>
          <w:tcPr>
            <w:tcW w:w="5860" w:type="dxa"/>
            <w:gridSpan w:val="7"/>
            <w:vAlign w:val="center"/>
          </w:tcPr>
          <w:p>
            <w:pPr>
              <w:spacing w:line="18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0" w:type="dxa"/>
            <w:vMerge w:val="restart"/>
          </w:tcPr>
          <w:p>
            <w:pPr>
              <w:spacing w:before="6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年度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总体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目标</w:t>
            </w:r>
          </w:p>
        </w:tc>
        <w:tc>
          <w:tcPr>
            <w:tcW w:w="5045" w:type="dxa"/>
            <w:gridSpan w:val="5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3595" w:type="dxa"/>
            <w:gridSpan w:val="5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  <w:gridSpan w:val="5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资金使用情况合理安排，保障病房综合楼运行支出，保证综合楼的基础设施设备安全和正常运作。</w:t>
            </w:r>
          </w:p>
        </w:tc>
        <w:tc>
          <w:tcPr>
            <w:tcW w:w="3595" w:type="dxa"/>
            <w:gridSpan w:val="5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资金使用情况合理安排，保障病房综合楼运行支出，保证</w:t>
            </w:r>
            <w:bookmarkStart w:id="2" w:name="_GoBack"/>
            <w:bookmarkEnd w:id="2"/>
            <w:r>
              <w:rPr>
                <w:rFonts w:hint="eastAsia"/>
                <w:sz w:val="18"/>
                <w:szCs w:val="18"/>
                <w:lang w:val="en-US" w:eastAsia="zh-CN"/>
              </w:rPr>
              <w:t>综合楼的基础设施设备安全和正常运作。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80" w:type="dxa"/>
            <w:vMerge w:val="restart"/>
          </w:tcPr>
          <w:p>
            <w:pPr>
              <w:spacing w:before="3924" w:line="22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绩</w:t>
            </w:r>
          </w:p>
          <w:p>
            <w:pPr>
              <w:spacing w:line="20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效</w:t>
            </w:r>
          </w:p>
          <w:p>
            <w:pPr>
              <w:spacing w:line="20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</w:t>
            </w:r>
          </w:p>
          <w:p>
            <w:pPr>
              <w:spacing w:line="176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标</w:t>
            </w:r>
          </w:p>
        </w:tc>
        <w:tc>
          <w:tcPr>
            <w:tcW w:w="960" w:type="dxa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100" w:type="dxa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125" w:type="dxa"/>
          </w:tcPr>
          <w:p>
            <w:pPr>
              <w:spacing w:before="1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年度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185" w:type="dxa"/>
          </w:tcPr>
          <w:p>
            <w:pPr>
              <w:spacing w:before="1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实际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585" w:type="dxa"/>
            <w:gridSpan w:val="2"/>
          </w:tcPr>
          <w:p>
            <w:pPr>
              <w:spacing w:before="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值</w:t>
            </w:r>
          </w:p>
        </w:tc>
        <w:tc>
          <w:tcPr>
            <w:tcW w:w="525" w:type="dxa"/>
          </w:tcPr>
          <w:p>
            <w:pPr>
              <w:spacing w:before="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分</w:t>
            </w:r>
          </w:p>
        </w:tc>
        <w:tc>
          <w:tcPr>
            <w:tcW w:w="1300" w:type="dxa"/>
          </w:tcPr>
          <w:p>
            <w:pPr>
              <w:spacing w:before="1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偏差原因分析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202" w:lineRule="exact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全年执行率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10分</w:t>
            </w:r>
          </w:p>
          <w:p>
            <w:pPr>
              <w:spacing w:line="202" w:lineRule="exact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产出指标</w:t>
            </w:r>
          </w:p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50分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19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工程项目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项目竣工验收达标率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全年执行率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完工时间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准时准点完成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准时准点完成</w:t>
            </w: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项目施工单位成本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按时支付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按时支付</w:t>
            </w: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效益指标</w:t>
            </w:r>
          </w:p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30分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spacing w:before="207" w:line="159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经济效益</w:t>
            </w:r>
          </w:p>
          <w:p>
            <w:pPr>
              <w:spacing w:line="159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>
            <w:pPr>
              <w:spacing w:before="190"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社会效益</w:t>
            </w:r>
          </w:p>
          <w:p>
            <w:pPr>
              <w:spacing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设施运转正常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带动就业人数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积极带动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完成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>
            <w:pPr>
              <w:spacing w:before="200"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生态效益</w:t>
            </w:r>
          </w:p>
          <w:p>
            <w:pPr>
              <w:spacing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对区域生态环境的提升或影响程度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完成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>
            <w:pPr>
              <w:spacing w:before="190"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可持续影</w:t>
            </w:r>
          </w:p>
          <w:p>
            <w:pPr>
              <w:spacing w:line="155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响指标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设施设备管护质量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完成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设施设备管护制度健全性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完成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>
            <w:pPr>
              <w:spacing w:before="185" w:line="28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满意度</w:t>
            </w:r>
          </w:p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</w:p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10分</w:t>
            </w:r>
          </w:p>
        </w:tc>
        <w:tc>
          <w:tcPr>
            <w:tcW w:w="1100" w:type="dxa"/>
            <w:vMerge w:val="restart"/>
          </w:tcPr>
          <w:p>
            <w:pPr>
              <w:spacing w:before="89"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服务对象</w:t>
            </w:r>
          </w:p>
          <w:p>
            <w:pPr>
              <w:spacing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满意度指</w:t>
            </w:r>
          </w:p>
          <w:p>
            <w:pPr>
              <w:spacing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直接服务对象满意度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间接服务对象满意度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0" w:type="dxa"/>
            <w:gridSpan w:val="7"/>
            <w:vAlign w:val="center"/>
          </w:tcPr>
          <w:p>
            <w:pPr>
              <w:spacing w:line="231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产出指标：执行完成率100%，项目竣工验收达标率95%，时效指标100%。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成本指标：项目施工单位成本按时支付100%。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社会效益指标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明显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、生态效益指标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一般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、可持续影响指标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服务对象满意度指标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，直接服务对象和间接服务对象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基本满意。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五、项目实施进度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完成了《项目建议书》、《可行性研究报告》、《初步设计》、《用地预审意见》、《环境影响报告》、《建设项目选址意见书》、《建设用地规划许可证》、《不动产土地证》、《建设工程施工证》等手续批复，进行了地质勘探、文物勘探、详细规划方案和施工图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设计及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审核等前期工作。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项目经公开招标由河北建工集团有限责任公司承建，河南诚信工程管理有限公司为监理单位。于2019年11月份进行了围墙、道路、临时房、变压器等临建工程建设。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2020年4月份开始主体工程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目前完成了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结构、二次结构、室内外粉刷等工程，完成了电梯、抗震阻尼器、水电、通风安装以及其他部分安装与装修等工程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，进行了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弱电、净化、高低压配电、部分漏项工程、院区配套工程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附属工程的招标与施工等。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项目运营情况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项目目前处于建设期。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七、其他需要说明的问题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安阳县妇幼保健院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2023年6月16日</w:t>
      </w:r>
    </w:p>
    <w:p/>
    <w:sectPr>
      <w:headerReference r:id="rId3" w:type="default"/>
      <w:footerReference r:id="rId4" w:type="default"/>
      <w:pgSz w:w="11906" w:h="16838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- 16 -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- 16 -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04EBE"/>
    <w:multiLevelType w:val="singleLevel"/>
    <w:tmpl w:val="01504EB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C146FB"/>
    <w:multiLevelType w:val="singleLevel"/>
    <w:tmpl w:val="4DC146F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DF39846"/>
    <w:multiLevelType w:val="singleLevel"/>
    <w:tmpl w:val="6DF3984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NDRmNzQ4ODI5NDYyYzEyZDM1MmRmODA1ODFhNDYifQ=="/>
  </w:docVars>
  <w:rsids>
    <w:rsidRoot w:val="68861E2B"/>
    <w:rsid w:val="022F73A2"/>
    <w:rsid w:val="03696601"/>
    <w:rsid w:val="11581029"/>
    <w:rsid w:val="3AFA0F2C"/>
    <w:rsid w:val="42876BFA"/>
    <w:rsid w:val="4BC44B03"/>
    <w:rsid w:val="54D05ADD"/>
    <w:rsid w:val="55540CA5"/>
    <w:rsid w:val="645D5917"/>
    <w:rsid w:val="64F93173"/>
    <w:rsid w:val="68861E2B"/>
    <w:rsid w:val="6B4C0214"/>
    <w:rsid w:val="747227D6"/>
    <w:rsid w:val="759C318C"/>
    <w:rsid w:val="7D4A0A5C"/>
    <w:rsid w:val="7E9A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 w:line="360" w:lineRule="auto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2258</Words>
  <Characters>2436</Characters>
  <Lines>0</Lines>
  <Paragraphs>0</Paragraphs>
  <TotalTime>5</TotalTime>
  <ScaleCrop>false</ScaleCrop>
  <LinksUpToDate>false</LinksUpToDate>
  <CharactersWithSpaces>2504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2023-05-15T08:23:00Z</dcterms:created>
  <dc:creator>从訫开始1409828064</dc:creator>
  <cp:lastModifiedBy>我待工作如初恋，工作虐我千百遍。</cp:lastModifiedBy>
  <cp:lastPrinted>2023-06-16T02:32:00Z</cp:lastPrinted>
  <dcterms:modified xsi:type="dcterms:W3CDTF">2023-06-20T01:11:02Z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79BA202DCD1C4B4A92250FAA163EBFD3_13</vt:lpwstr>
  </property>
</Properties>
</file>