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80" w:lineRule="exact"/>
        <w:rPr>
          <w:rFonts w:ascii="黑体" w:hAnsi="黑体"/>
          <w:b w:val="0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Hlk129966253"/>
      <w:r>
        <w:rPr>
          <w:rFonts w:hint="eastAsia" w:ascii="黑体" w:hAnsi="黑体" w:eastAsia="黑体" w:cs="黑体"/>
          <w:color w:val="auto"/>
          <w:sz w:val="44"/>
          <w:szCs w:val="44"/>
        </w:rPr>
        <w:t>安阳县妇幼保健院新院址仪器设备购置项目</w:t>
      </w:r>
      <w:r>
        <w:rPr>
          <w:rFonts w:hint="eastAsia" w:ascii="黑体" w:hAnsi="黑体" w:eastAsia="黑体" w:cs="黑体"/>
          <w:sz w:val="44"/>
          <w:szCs w:val="44"/>
        </w:rPr>
        <w:t>支出</w:t>
      </w:r>
      <w:bookmarkEnd w:id="0"/>
      <w:r>
        <w:rPr>
          <w:rFonts w:hint="eastAsia" w:ascii="黑体" w:hAnsi="黑体" w:eastAsia="黑体" w:cs="黑体"/>
          <w:sz w:val="44"/>
          <w:szCs w:val="44"/>
        </w:rPr>
        <w:t>绩效评价报告</w:t>
      </w:r>
    </w:p>
    <w:p>
      <w:pPr>
        <w:spacing w:line="580" w:lineRule="exact"/>
        <w:jc w:val="center"/>
        <w:rPr>
          <w:rFonts w:ascii="Arial" w:hAnsi="Arial" w:cs="Arial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安阳县妇幼保健院新院址仪器设备购置项目</w:t>
      </w:r>
      <w:r>
        <w:rPr>
          <w:rFonts w:hint="eastAsia" w:ascii="仿宋" w:hAnsi="仿宋" w:eastAsia="仿宋" w:cs="仿宋"/>
          <w:sz w:val="32"/>
          <w:szCs w:val="32"/>
        </w:rPr>
        <w:t>主管部门：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安阳县卫生健康委员会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安阳县妇幼保健院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</w:t>
      </w:r>
      <w:r>
        <w:rPr>
          <w:rFonts w:hint="eastAsia" w:ascii="仿宋" w:hAnsi="仿宋" w:eastAsia="仿宋" w:cs="仿宋"/>
          <w:sz w:val="32"/>
          <w:szCs w:val="32"/>
        </w:rPr>
        <w:t>县财政局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安阳县妇幼保健院新院址仪器设备购置项目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支出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绩效评价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报告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bookmarkStart w:id="1" w:name="_Hlk1302844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为贯彻落实中央和河南省关于全面实施预算绩效管理的决策部署，进一步强化预算绩效管理，提高专项债项目资金使用效益，本着客观、公正、科学的评价原则，</w:t>
      </w:r>
      <w:bookmarkEnd w:id="1"/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安阳县妇幼保健院新院址仪器设备购置项目</w:t>
      </w:r>
      <w:r>
        <w:rPr>
          <w:rFonts w:hint="eastAsia" w:ascii="仿宋" w:hAnsi="仿宋" w:eastAsia="仿宋" w:cs="仿宋"/>
          <w:sz w:val="32"/>
          <w:szCs w:val="32"/>
        </w:rPr>
        <w:t>支出绩效资金进行了绩效评价，现将有关情况报告如下。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1、项目背景、主要内容及实施情况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安阳县妇幼保健院</w:t>
      </w:r>
      <w:r>
        <w:rPr>
          <w:rFonts w:ascii="仿宋" w:hAnsi="仿宋" w:eastAsia="仿宋" w:cs="仿宋"/>
          <w:sz w:val="32"/>
          <w:szCs w:val="32"/>
        </w:rPr>
        <w:t>新院址仪器设备购置项目</w:t>
      </w:r>
      <w:r>
        <w:rPr>
          <w:rFonts w:hint="eastAsia" w:ascii="仿宋" w:hAnsi="仿宋" w:eastAsia="仿宋" w:cs="仿宋"/>
          <w:sz w:val="32"/>
          <w:szCs w:val="32"/>
        </w:rPr>
        <w:t>参照国家二级医院建设标准，经初步测算</w:t>
      </w:r>
      <w:r>
        <w:rPr>
          <w:rFonts w:ascii="仿宋" w:hAnsi="仿宋" w:eastAsia="仿宋" w:cs="仿宋"/>
          <w:sz w:val="32"/>
          <w:szCs w:val="32"/>
        </w:rPr>
        <w:t>设备购置</w:t>
      </w:r>
      <w:r>
        <w:rPr>
          <w:rFonts w:hint="eastAsia" w:ascii="仿宋" w:hAnsi="仿宋" w:eastAsia="仿宋" w:cs="仿宋"/>
          <w:sz w:val="32"/>
          <w:szCs w:val="32"/>
        </w:rPr>
        <w:t>资金约需</w:t>
      </w:r>
      <w:r>
        <w:rPr>
          <w:rFonts w:ascii="仿宋" w:hAnsi="仿宋" w:eastAsia="仿宋" w:cs="仿宋"/>
          <w:sz w:val="32"/>
          <w:szCs w:val="32"/>
        </w:rPr>
        <w:t>7000万元，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</w:t>
      </w:r>
      <w:r>
        <w:rPr>
          <w:rFonts w:hint="eastAsia" w:ascii="仿宋" w:hAnsi="仿宋" w:eastAsia="仿宋" w:cs="仿宋"/>
          <w:sz w:val="32"/>
          <w:szCs w:val="32"/>
        </w:rPr>
        <w:t>健委研究决定同意项目实施，批复文号安县卫建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62号，分两批购置，所需资金申请列入县财政预算。第一批</w:t>
      </w:r>
      <w:r>
        <w:rPr>
          <w:rFonts w:ascii="仿宋" w:hAnsi="仿宋" w:eastAsia="仿宋" w:cs="仿宋"/>
          <w:sz w:val="32"/>
          <w:szCs w:val="32"/>
        </w:rPr>
        <w:t>3400</w:t>
      </w:r>
      <w:r>
        <w:rPr>
          <w:rFonts w:hint="eastAsia" w:ascii="仿宋" w:hAnsi="仿宋" w:eastAsia="仿宋" w:cs="仿宋"/>
          <w:sz w:val="32"/>
          <w:szCs w:val="32"/>
        </w:rPr>
        <w:t>万元用于医院基本医疗设备的采购，第二批</w:t>
      </w:r>
      <w:r>
        <w:rPr>
          <w:rFonts w:ascii="仿宋" w:hAnsi="仿宋" w:eastAsia="仿宋" w:cs="仿宋"/>
          <w:sz w:val="32"/>
          <w:szCs w:val="32"/>
        </w:rPr>
        <w:t>3600</w:t>
      </w:r>
      <w:r>
        <w:rPr>
          <w:rFonts w:hint="eastAsia" w:ascii="仿宋" w:hAnsi="仿宋" w:eastAsia="仿宋" w:cs="仿宋"/>
          <w:sz w:val="32"/>
          <w:szCs w:val="32"/>
        </w:rPr>
        <w:t>万元用于医院能力提升设备的采购。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项目资金投入及使用情况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项目于2023年1月10日发行政府专项债券3400万元。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截至2023年6月16日专项债券尚未支付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绩效评价目的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为全面实施预算绩效管理，建立科学、合理的项目支出绩效评价管理体系，提高财政资源配置效率和使用效益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2、绩效评价对象和范围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安阳县妇幼保健院新院址仪器设备购置项目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绩效评价原则、评价指标体系、评价方法、评价标准等。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遵循</w:t>
      </w:r>
      <w:r>
        <w:rPr>
          <w:rFonts w:hint="eastAsia" w:ascii="仿宋" w:hAnsi="仿宋" w:eastAsia="仿宋" w:cs="仿宋"/>
          <w:sz w:val="32"/>
          <w:szCs w:val="32"/>
        </w:rPr>
        <w:t>科学公正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激励约束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公开透明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原则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科学公正。绩效评价应当运用科学合理的方法，按照规范的程序，对项目绩效进行客观、公正的反映。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激励约束。绩效评价结果应用与预算安排、政策调整、改进管理实质性挂钩，体现奖优罚劣和激励相容导向，有效要安排、低效要减压、无效要问责。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公开透明。绩效评价结果应依法依规公开，并自觉接受社会监督。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本项目立项依据符合国家法律法规、国民经济发展规划和相关政策，审批文件及材料符合相关规定，预算编制内容与实际相匹配，资金到位率100%，资金执行率100%，年度内拨付资金使用到位并分配合理。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按照绩效评价规定要求成立评价小组，组织实施和分析评价，采取座谈等方式听取情况，检查基本支出、项目支出有关账目，收集整理支出相关资料，并根据各部门报送的绩效自评材料进行分析，形成评价结论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批复时确定的绩效目标，包括项目的产出数量、质量、时效、成本，以及经济效益、社会效益、生态效益、可持续影响、服务对象满意度等，项目产出指标50分，成本指标10分，效益指标30分，满意度指标10分，评价分值共计100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综合评价情况及评价结论（附相关评分表）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整体支出绩效自评等级：自评得分合计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90分。</w:t>
      </w:r>
    </w:p>
    <w:p>
      <w:pPr>
        <w:spacing w:line="579" w:lineRule="exact"/>
        <w:jc w:val="center"/>
        <w:rPr>
          <w:color w:val="000000"/>
          <w:sz w:val="36"/>
          <w:szCs w:val="36"/>
        </w:rPr>
      </w:pPr>
    </w:p>
    <w:p>
      <w:pPr>
        <w:spacing w:line="579" w:lineRule="exact"/>
        <w:jc w:val="center"/>
      </w:pPr>
      <w:r>
        <w:rPr>
          <w:rFonts w:hint="eastAsia"/>
          <w:color w:val="000000"/>
          <w:sz w:val="36"/>
          <w:szCs w:val="36"/>
          <w:lang w:eastAsia="zh-CN"/>
        </w:rPr>
        <w:t>地方政府专项债券项目支出</w:t>
      </w:r>
      <w:r>
        <w:rPr>
          <w:color w:val="000000"/>
          <w:sz w:val="36"/>
          <w:szCs w:val="36"/>
        </w:rPr>
        <w:t>绩效自评表</w:t>
      </w:r>
      <w:r>
        <w:rPr>
          <w:rFonts w:hint="eastAsia"/>
          <w:color w:val="000000"/>
          <w:sz w:val="27"/>
        </w:rPr>
        <w:t xml:space="preserve">                                                                                                                              （</w:t>
      </w:r>
      <w:r>
        <w:rPr>
          <w:rFonts w:hint="eastAsia"/>
          <w:color w:val="000000"/>
          <w:sz w:val="27"/>
          <w:lang w:val="en-US" w:eastAsia="zh-CN"/>
        </w:rPr>
        <w:t>2023</w:t>
      </w:r>
      <w:r>
        <w:rPr>
          <w:color w:val="000000"/>
          <w:sz w:val="27"/>
        </w:rPr>
        <w:t>年度）</w:t>
      </w:r>
    </w:p>
    <w:tbl>
      <w:tblPr>
        <w:tblStyle w:val="8"/>
        <w:tblpPr w:leftFromText="180" w:rightFromText="180" w:vertAnchor="text" w:horzAnchor="page" w:tblpX="1397" w:tblpY="18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60"/>
        <w:gridCol w:w="1100"/>
        <w:gridCol w:w="720"/>
        <w:gridCol w:w="1140"/>
        <w:gridCol w:w="969"/>
        <w:gridCol w:w="1341"/>
        <w:gridCol w:w="116"/>
        <w:gridCol w:w="469"/>
        <w:gridCol w:w="52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安阳县妇幼保健院新院址仪器设备购置项目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3929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安阳县卫生健康委员会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安阳县妇幼保健院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项目资金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8" w:lineRule="exact"/>
              <w:ind w:left="10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实施期资金总额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7000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年度资金总额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1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其中：财政拨款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7000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其中：财政拨款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其他资金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其他资金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0" w:type="dxa"/>
            <w:vMerge w:val="restart"/>
          </w:tcPr>
          <w:p>
            <w:pPr>
              <w:spacing w:before="6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总体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4889" w:type="dxa"/>
            <w:gridSpan w:val="5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751" w:type="dxa"/>
            <w:gridSpan w:val="5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本项目建设工期12个月。预计2022年3月至2023年3月。计划2023年完成设备购置3400万元。</w:t>
            </w:r>
          </w:p>
        </w:tc>
        <w:tc>
          <w:tcPr>
            <w:tcW w:w="375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2023年度内全部完成。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80" w:type="dxa"/>
            <w:vMerge w:val="restart"/>
          </w:tcPr>
          <w:p>
            <w:pPr>
              <w:spacing w:before="3924" w:line="22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绩</w:t>
            </w:r>
          </w:p>
          <w:p>
            <w:pPr>
              <w:spacing w:line="20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效</w:t>
            </w:r>
          </w:p>
          <w:p>
            <w:pPr>
              <w:spacing w:line="20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</w:t>
            </w:r>
          </w:p>
          <w:p>
            <w:pPr>
              <w:spacing w:line="17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标</w:t>
            </w:r>
          </w:p>
        </w:tc>
        <w:tc>
          <w:tcPr>
            <w:tcW w:w="960" w:type="dxa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00" w:type="dxa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969" w:type="dxa"/>
          </w:tcPr>
          <w:p>
            <w:pPr>
              <w:spacing w:before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341" w:type="dxa"/>
          </w:tcPr>
          <w:p>
            <w:pPr>
              <w:spacing w:before="1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</w:tcPr>
          <w:p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值</w:t>
            </w:r>
          </w:p>
        </w:tc>
        <w:tc>
          <w:tcPr>
            <w:tcW w:w="525" w:type="dxa"/>
          </w:tcPr>
          <w:p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00" w:type="dxa"/>
          </w:tcPr>
          <w:p>
            <w:pPr>
              <w:spacing w:before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偏差原因分析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产出指标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50分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工程项目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投资完成率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项目竣工验收达标率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安全事故发生次数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按期开工率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按期完工率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竣工决算及时性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成本指标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工程建设成本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3400万元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3400万元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概算执行率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30分</w:t>
            </w:r>
          </w:p>
        </w:tc>
        <w:tc>
          <w:tcPr>
            <w:tcW w:w="1100" w:type="dxa"/>
            <w:vMerge w:val="restart"/>
          </w:tcPr>
          <w:p>
            <w:pPr>
              <w:spacing w:before="19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社会效益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设施功能正常运转率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有效提高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带动就业人数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积极带动就业</w:t>
            </w: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有效提升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对公共服务水平的改善或提高程度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明显带动</w:t>
            </w: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明显带动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pacing w:before="20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生态效益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生态环境提升程度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明显提升</w:t>
            </w: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明显提升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19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可持续影</w:t>
            </w:r>
          </w:p>
          <w:p>
            <w:pPr>
              <w:spacing w:line="155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响指标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设施设备管护制度健全性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设施设备管护质量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>
            <w:pPr>
              <w:spacing w:before="185" w:line="28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满意度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10分</w:t>
            </w:r>
          </w:p>
        </w:tc>
        <w:tc>
          <w:tcPr>
            <w:tcW w:w="1100" w:type="dxa"/>
            <w:vMerge w:val="restart"/>
          </w:tcPr>
          <w:p>
            <w:pPr>
              <w:spacing w:before="89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服务对象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满意度指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直接服务对象满意度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间接服务对象满意度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0" w:type="dxa"/>
            <w:gridSpan w:val="7"/>
            <w:vAlign w:val="center"/>
          </w:tcPr>
          <w:p>
            <w:pPr>
              <w:spacing w:line="231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本项目总投资7000万元。全部为医疗设备7000万元，计划202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年完成设备购置3400万元。病房综合楼整体建成后，设备完成后,可以</w:t>
      </w:r>
      <w:r>
        <w:rPr>
          <w:rFonts w:hint="eastAsia" w:ascii="仿宋" w:hAnsi="仿宋" w:eastAsia="仿宋" w:cs="仿宋"/>
          <w:sz w:val="32"/>
          <w:szCs w:val="32"/>
        </w:rPr>
        <w:t>提升医院服务能力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提高单位医疗服务水平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，更好地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为妇女儿童身体健康提供保健服务。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将绩效考核目标任务分解到各部门，明确牵头领导和责任人，加强对目标任务的日常动态管理，建立完善项目支出明细账，认真做好目标的组织管理工作和自评自查工作，确保工作任务落实到位。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根据项目总体目标、年度目标、工作任务三方面进行完善、归纳、整理。各项指标分别设定具体的指标值，并加强各绩效目标任务完成情况的督查跟进，对项目资金绩效运行的跟踪监控。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（三）项目绩效指标分析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1、产出指标：投资完成率100%，项目竣工验收达标率100%，时效指标100%。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2、成本指标：工程建设成本3400万元，概算执行率100%。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社会效益指标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明显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、生态效益指标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、可持续影响指标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服务对象满意度指标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，直接服务对象和间接服务对象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基本满意。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健全科学规范的管理制度，合理配置资源，提高财政资金使用效益。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五、项目实施进度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专项债券资金3400万元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已到位。于2023年3月10日一次性开标8个标段，中标5个标段，中标金额2132万元，已签订供货合同；流标3个标段于4月3日二次开标后，中标金额880万元，已签订供货合同。均已供货，待验收通过后支付货款。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目前已完成投资3012万元，剩余资金388万元用于第二批设备的采购，已发布采购公告，计划6月26日开标。</w:t>
      </w:r>
      <w:r>
        <w:rPr>
          <w:rFonts w:hint="eastAsia" w:ascii="仿宋" w:hAnsi="仿宋" w:eastAsia="仿宋" w:cs="仿宋"/>
          <w:sz w:val="32"/>
          <w:szCs w:val="32"/>
        </w:rPr>
        <w:t>项目计划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全部招标投资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建议尽快协调落实财政配套资金和专项债券资金，避免因资金无法到位或到位不及时影响项目实施进度。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规范项目全流程管理，完善各环节的规章制度，有执行也要有监控和信息反馈，及时堵塞漏洞。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七、其他需要说明的问题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安阳县妇幼保健院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2023年6月16日</w:t>
      </w:r>
    </w:p>
    <w:p/>
    <w:sectPr>
      <w:headerReference r:id="rId3" w:type="default"/>
      <w:footerReference r:id="rId4" w:type="default"/>
      <w:pgSz w:w="11906" w:h="16838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- 16 -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0FB867"/>
    <w:multiLevelType w:val="singleLevel"/>
    <w:tmpl w:val="B10FB86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504EBE"/>
    <w:multiLevelType w:val="singleLevel"/>
    <w:tmpl w:val="01504E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E4C1F7"/>
    <w:multiLevelType w:val="singleLevel"/>
    <w:tmpl w:val="32E4C1F7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4DC146FB"/>
    <w:multiLevelType w:val="singleLevel"/>
    <w:tmpl w:val="4DC146F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DF39846"/>
    <w:multiLevelType w:val="singleLevel"/>
    <w:tmpl w:val="6DF398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DRmNzQ4ODI5NDYyYzEyZDM1MmRmODA1ODFhNDYifQ=="/>
  </w:docVars>
  <w:rsids>
    <w:rsidRoot w:val="68861E2B"/>
    <w:rsid w:val="022F73A2"/>
    <w:rsid w:val="03696601"/>
    <w:rsid w:val="114C50D6"/>
    <w:rsid w:val="11581029"/>
    <w:rsid w:val="2A027AC5"/>
    <w:rsid w:val="3AFA0F2C"/>
    <w:rsid w:val="42876BFA"/>
    <w:rsid w:val="463827CD"/>
    <w:rsid w:val="4BC44B03"/>
    <w:rsid w:val="4CAC3593"/>
    <w:rsid w:val="54D05ADD"/>
    <w:rsid w:val="55540CA5"/>
    <w:rsid w:val="625247BE"/>
    <w:rsid w:val="645D5917"/>
    <w:rsid w:val="64F93173"/>
    <w:rsid w:val="68861E2B"/>
    <w:rsid w:val="6B0413A1"/>
    <w:rsid w:val="6B4C0214"/>
    <w:rsid w:val="72D52FCE"/>
    <w:rsid w:val="747227D6"/>
    <w:rsid w:val="7D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36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rPr>
      <w:rFonts w:hint="eastAsia" w:ascii="宋体" w:hAnsi="宋体"/>
      <w:sz w:val="2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2401</Words>
  <Characters>2578</Characters>
  <Lines>0</Lines>
  <Paragraphs>0</Paragraphs>
  <TotalTime>6</TotalTime>
  <ScaleCrop>false</ScaleCrop>
  <LinksUpToDate>false</LinksUpToDate>
  <CharactersWithSpaces>2709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2023-05-15T08:23:00Z</dcterms:created>
  <dc:creator>从訫开始1409828064</dc:creator>
  <cp:lastModifiedBy>我待工作如初恋，工作虐我千百遍。</cp:lastModifiedBy>
  <cp:lastPrinted>2023-06-16T02:32:00Z</cp:lastPrinted>
  <dcterms:modified xsi:type="dcterms:W3CDTF">2023-06-20T01:17:39Z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57F2E807A4D041BCAC089FC8E8BDBD6E_13</vt:lpwstr>
  </property>
</Properties>
</file>