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39" w:lineRule="atLeast"/>
        <w:jc w:val="center"/>
        <w:rPr>
          <w:rFonts w:ascii="宋体" w:hAnsi="宋体" w:eastAsia="宋体" w:cs="宋体"/>
          <w:b/>
          <w:bCs/>
          <w:spacing w:val="-20"/>
          <w:sz w:val="44"/>
          <w:szCs w:val="44"/>
        </w:rPr>
      </w:pPr>
      <w:r>
        <w:rPr>
          <w:rFonts w:hint="eastAsia" w:ascii="宋体" w:hAnsi="宋体" w:eastAsia="宋体" w:cs="宋体"/>
          <w:b/>
          <w:bCs/>
          <w:spacing w:val="-1"/>
          <w:sz w:val="44"/>
        </w:rPr>
        <w:t>安阳县自然资源局</w:t>
      </w:r>
    </w:p>
    <w:p>
      <w:pPr>
        <w:spacing w:line="539" w:lineRule="atLeast"/>
        <w:jc w:val="center"/>
        <w:rPr>
          <w:rFonts w:ascii="宋体" w:hAnsi="宋体" w:eastAsia="宋体" w:cs="宋体"/>
          <w:b/>
          <w:bCs/>
          <w:spacing w:val="-23"/>
          <w:sz w:val="44"/>
        </w:rPr>
      </w:pPr>
      <w:r>
        <w:rPr>
          <w:rFonts w:hint="eastAsia" w:ascii="宋体" w:hAnsi="宋体" w:eastAsia="宋体" w:cs="宋体"/>
          <w:b/>
          <w:bCs/>
          <w:spacing w:val="-23"/>
          <w:sz w:val="44"/>
        </w:rPr>
        <w:t>安阳市城乡一体化示范区公共资源交易分中心</w:t>
      </w:r>
    </w:p>
    <w:p>
      <w:pPr>
        <w:spacing w:line="539" w:lineRule="atLeast"/>
        <w:jc w:val="center"/>
        <w:rPr>
          <w:rFonts w:ascii="宋体" w:hAnsi="宋体" w:eastAsia="宋体" w:cs="宋体"/>
          <w:b/>
          <w:bCs/>
          <w:spacing w:val="-1"/>
          <w:sz w:val="44"/>
        </w:rPr>
      </w:pPr>
      <w:r>
        <w:rPr>
          <w:rFonts w:hint="eastAsia" w:ascii="宋体" w:hAnsi="宋体" w:eastAsia="宋体" w:cs="宋体"/>
          <w:b/>
          <w:bCs/>
          <w:spacing w:val="-1"/>
          <w:sz w:val="44"/>
        </w:rPr>
        <w:t>国有建设用地使用权网上拍卖出让公告</w:t>
      </w:r>
    </w:p>
    <w:p>
      <w:pPr>
        <w:spacing w:line="0" w:lineRule="atLeast"/>
        <w:ind w:left="0"/>
        <w:jc w:val="center"/>
        <w:rPr>
          <w:rFonts w:ascii="黑体" w:hAnsi="宋体" w:eastAsia="黑体"/>
          <w:spacing w:val="-1"/>
          <w:sz w:val="28"/>
          <w:szCs w:val="28"/>
        </w:rPr>
      </w:pPr>
    </w:p>
    <w:p>
      <w:pPr>
        <w:spacing w:line="0" w:lineRule="atLeast"/>
        <w:ind w:left="0"/>
        <w:jc w:val="center"/>
        <w:rPr>
          <w:rFonts w:ascii="黑体" w:hAnsi="宋体" w:eastAsia="黑体"/>
          <w:spacing w:val="-1"/>
          <w:sz w:val="28"/>
          <w:szCs w:val="28"/>
        </w:rPr>
      </w:pPr>
      <w:r>
        <w:rPr>
          <w:rFonts w:hint="eastAsia" w:ascii="黑体" w:hAnsi="黑体" w:eastAsia="黑体"/>
          <w:spacing w:val="-1"/>
          <w:sz w:val="32"/>
        </w:rPr>
        <w:t>安县自然资告字（202</w:t>
      </w:r>
      <w:r>
        <w:rPr>
          <w:rFonts w:hint="eastAsia" w:ascii="黑体" w:hAnsi="黑体" w:eastAsia="黑体"/>
          <w:spacing w:val="-1"/>
          <w:sz w:val="32"/>
          <w:lang w:val="en-US" w:eastAsia="zh-CN"/>
        </w:rPr>
        <w:t>3</w:t>
      </w:r>
      <w:r>
        <w:rPr>
          <w:rFonts w:hint="eastAsia" w:ascii="黑体" w:hAnsi="黑体" w:eastAsia="黑体"/>
          <w:spacing w:val="-1"/>
          <w:sz w:val="32"/>
        </w:rPr>
        <w:t>）</w:t>
      </w:r>
      <w:r>
        <w:rPr>
          <w:rFonts w:hint="eastAsia" w:ascii="黑体" w:hAnsi="黑体" w:eastAsia="黑体"/>
          <w:spacing w:val="-1"/>
          <w:sz w:val="32"/>
          <w:lang w:val="en-US" w:eastAsia="zh-CN"/>
        </w:rPr>
        <w:t>3</w:t>
      </w:r>
      <w:r>
        <w:rPr>
          <w:rFonts w:hint="eastAsia" w:ascii="黑体" w:hAnsi="黑体" w:eastAsia="黑体"/>
          <w:spacing w:val="-1"/>
          <w:sz w:val="32"/>
        </w:rPr>
        <w:t>号</w:t>
      </w:r>
    </w:p>
    <w:p>
      <w:pPr>
        <w:spacing w:line="0" w:lineRule="atLeast"/>
        <w:ind w:left="0"/>
        <w:jc w:val="center"/>
        <w:rPr>
          <w:rFonts w:ascii="黑体" w:hAnsi="黑体" w:eastAsia="黑体"/>
          <w:spacing w:val="-1"/>
          <w:sz w:val="32"/>
        </w:rPr>
      </w:pPr>
    </w:p>
    <w:p>
      <w:pPr>
        <w:spacing w:line="539" w:lineRule="atLeast"/>
        <w:ind w:firstLine="636" w:firstLineChars="200"/>
        <w:textAlignment w:val="baseline"/>
        <w:rPr>
          <w:rFonts w:ascii="仿宋" w:hAnsi="仿宋" w:eastAsia="仿宋"/>
          <w:spacing w:val="-1"/>
          <w:sz w:val="32"/>
        </w:rPr>
      </w:pPr>
      <w:r>
        <w:rPr>
          <w:rFonts w:hint="eastAsia" w:ascii="仿宋" w:hAnsi="仿宋" w:eastAsia="仿宋"/>
          <w:spacing w:val="-1"/>
          <w:sz w:val="32"/>
        </w:rPr>
        <w:t>经安阳县人民政府批准，安阳县自然资源局委托安阳市城乡一体化示范区公共资源交易分中心以网上拍卖方式出让以下地块的国有建设用地使用权，现将有关事宜公告如下：</w:t>
      </w:r>
    </w:p>
    <w:p>
      <w:pPr>
        <w:spacing w:line="580" w:lineRule="exact"/>
        <w:rPr>
          <w:rFonts w:ascii="仿宋" w:hAnsi="仿宋" w:eastAsia="仿宋"/>
          <w:b/>
          <w:spacing w:val="-1"/>
          <w:sz w:val="32"/>
          <w:szCs w:val="32"/>
        </w:rPr>
      </w:pPr>
      <w:r>
        <w:rPr>
          <w:rFonts w:hint="eastAsia" w:ascii="仿宋" w:hAnsi="仿宋" w:eastAsia="仿宋"/>
          <w:b/>
          <w:spacing w:val="-1"/>
          <w:sz w:val="32"/>
        </w:rPr>
        <w:t xml:space="preserve">    一</w:t>
      </w:r>
      <w:r>
        <w:rPr>
          <w:rFonts w:hint="eastAsia" w:ascii="仿宋" w:hAnsi="仿宋" w:eastAsia="仿宋"/>
          <w:spacing w:val="-1"/>
          <w:sz w:val="32"/>
        </w:rPr>
        <w:t>、</w:t>
      </w:r>
      <w:r>
        <w:rPr>
          <w:rFonts w:hint="eastAsia" w:ascii="仿宋" w:hAnsi="仿宋" w:eastAsia="仿宋"/>
          <w:b/>
          <w:spacing w:val="-1"/>
          <w:sz w:val="32"/>
          <w:szCs w:val="32"/>
        </w:rPr>
        <w:t>拍卖出让地块的基本情况和规划指标要求</w:t>
      </w:r>
    </w:p>
    <w:tbl>
      <w:tblPr>
        <w:tblStyle w:val="5"/>
        <w:tblpPr w:leftFromText="182" w:rightFromText="182" w:vertAnchor="text" w:horzAnchor="page" w:tblpX="1432" w:tblpY="262"/>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930"/>
        <w:gridCol w:w="855"/>
        <w:gridCol w:w="780"/>
        <w:gridCol w:w="675"/>
        <w:gridCol w:w="675"/>
        <w:gridCol w:w="570"/>
        <w:gridCol w:w="690"/>
        <w:gridCol w:w="495"/>
        <w:gridCol w:w="600"/>
        <w:gridCol w:w="630"/>
        <w:gridCol w:w="61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99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地块编号</w:t>
            </w:r>
          </w:p>
        </w:tc>
        <w:tc>
          <w:tcPr>
            <w:tcW w:w="93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地块名称</w:t>
            </w:r>
          </w:p>
        </w:tc>
        <w:tc>
          <w:tcPr>
            <w:tcW w:w="855"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土地位置</w:t>
            </w:r>
          </w:p>
        </w:tc>
        <w:tc>
          <w:tcPr>
            <w:tcW w:w="78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出让面积（公顷）</w:t>
            </w:r>
          </w:p>
        </w:tc>
        <w:tc>
          <w:tcPr>
            <w:tcW w:w="3105" w:type="dxa"/>
            <w:gridSpan w:val="5"/>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规划指标</w:t>
            </w:r>
          </w:p>
        </w:tc>
        <w:tc>
          <w:tcPr>
            <w:tcW w:w="60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有无</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底价</w:t>
            </w:r>
          </w:p>
        </w:tc>
        <w:tc>
          <w:tcPr>
            <w:tcW w:w="63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竞买</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保证金</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（万元）</w:t>
            </w:r>
          </w:p>
        </w:tc>
        <w:tc>
          <w:tcPr>
            <w:tcW w:w="615"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起始价（万元）</w:t>
            </w:r>
          </w:p>
        </w:tc>
        <w:tc>
          <w:tcPr>
            <w:tcW w:w="570" w:type="dxa"/>
            <w:vMerge w:val="restart"/>
            <w:tcBorders>
              <w:top w:val="single" w:color="auto" w:sz="4" w:space="0"/>
              <w:left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增价</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幅度</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exact"/>
        </w:trPr>
        <w:tc>
          <w:tcPr>
            <w:tcW w:w="99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93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855"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78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67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规划用途</w:t>
            </w:r>
          </w:p>
        </w:tc>
        <w:tc>
          <w:tcPr>
            <w:tcW w:w="67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容积率</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（万㎡/hm</w:t>
            </w:r>
            <w:r>
              <w:rPr>
                <w:rFonts w:hint="eastAsia" w:ascii="仿宋" w:hAnsi="宋体" w:cs="宋体"/>
                <w:kern w:val="2"/>
                <w:sz w:val="15"/>
                <w:szCs w:val="15"/>
              </w:rPr>
              <w:t>²</w:t>
            </w:r>
            <w:r>
              <w:rPr>
                <w:rFonts w:hint="eastAsia" w:ascii="仿宋" w:hAnsi="仿宋" w:eastAsia="仿宋"/>
                <w:kern w:val="2"/>
                <w:sz w:val="15"/>
                <w:szCs w:val="15"/>
              </w:rPr>
              <w:t>）</w:t>
            </w:r>
          </w:p>
        </w:tc>
        <w:tc>
          <w:tcPr>
            <w:tcW w:w="57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eastAsia" w:ascii="仿宋" w:hAnsi="仿宋" w:eastAsia="仿宋"/>
                <w:kern w:val="2"/>
                <w:sz w:val="15"/>
                <w:szCs w:val="15"/>
              </w:rPr>
            </w:pPr>
            <w:r>
              <w:rPr>
                <w:rFonts w:hint="eastAsia" w:ascii="仿宋" w:hAnsi="仿宋" w:eastAsia="仿宋"/>
                <w:kern w:val="2"/>
                <w:sz w:val="15"/>
                <w:szCs w:val="15"/>
              </w:rPr>
              <w:t>建筑</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系数</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w:t>
            </w:r>
          </w:p>
        </w:tc>
        <w:tc>
          <w:tcPr>
            <w:tcW w:w="69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eastAsia" w:ascii="仿宋" w:hAnsi="仿宋" w:eastAsia="仿宋"/>
                <w:kern w:val="2"/>
                <w:sz w:val="15"/>
                <w:szCs w:val="15"/>
              </w:rPr>
            </w:pPr>
            <w:r>
              <w:rPr>
                <w:rFonts w:hint="eastAsia" w:ascii="仿宋" w:hAnsi="仿宋" w:eastAsia="仿宋"/>
                <w:kern w:val="2"/>
                <w:sz w:val="15"/>
                <w:szCs w:val="15"/>
              </w:rPr>
              <w:t>绿地率</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w:t>
            </w:r>
          </w:p>
        </w:tc>
        <w:tc>
          <w:tcPr>
            <w:tcW w:w="49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出让</w:t>
            </w:r>
          </w:p>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年限</w:t>
            </w:r>
          </w:p>
          <w:p>
            <w:pPr>
              <w:widowControl/>
              <w:spacing w:line="240" w:lineRule="auto"/>
              <w:ind w:left="0"/>
              <w:jc w:val="center"/>
              <w:rPr>
                <w:rFonts w:ascii="仿宋" w:hAnsi="仿宋" w:eastAsia="仿宋"/>
                <w:kern w:val="2"/>
                <w:sz w:val="15"/>
                <w:szCs w:val="15"/>
              </w:rPr>
            </w:pPr>
            <w:r>
              <w:rPr>
                <w:rFonts w:hint="eastAsia" w:ascii="仿宋" w:hAnsi="仿宋" w:eastAsia="仿宋"/>
                <w:kern w:val="2"/>
                <w:sz w:val="15"/>
                <w:szCs w:val="15"/>
              </w:rPr>
              <w:t>（年）</w:t>
            </w:r>
          </w:p>
        </w:tc>
        <w:tc>
          <w:tcPr>
            <w:tcW w:w="60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63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615"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c>
          <w:tcPr>
            <w:tcW w:w="570" w:type="dxa"/>
            <w:vMerge w:val="continue"/>
            <w:tcBorders>
              <w:left w:val="single" w:color="auto" w:sz="4" w:space="0"/>
              <w:bottom w:val="single" w:color="auto" w:sz="4" w:space="0"/>
              <w:right w:val="single" w:color="auto" w:sz="4" w:space="0"/>
            </w:tcBorders>
            <w:vAlign w:val="center"/>
          </w:tcPr>
          <w:p>
            <w:pPr>
              <w:widowControl/>
              <w:spacing w:line="240" w:lineRule="auto"/>
              <w:ind w:left="0"/>
              <w:jc w:val="left"/>
              <w:rPr>
                <w:rFonts w:ascii="仿宋" w:hAnsi="仿宋" w:eastAsia="仿宋"/>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99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eastAsia" w:ascii="仿宋" w:hAnsi="仿宋" w:eastAsia="仿宋"/>
                <w:kern w:val="2"/>
                <w:sz w:val="15"/>
                <w:szCs w:val="15"/>
                <w:lang w:val="en-US" w:eastAsia="zh-CN"/>
              </w:rPr>
            </w:pPr>
            <w:r>
              <w:rPr>
                <w:rFonts w:hint="eastAsia" w:ascii="仿宋" w:hAnsi="仿宋" w:eastAsia="仿宋"/>
                <w:kern w:val="2"/>
                <w:sz w:val="15"/>
                <w:szCs w:val="15"/>
                <w:lang w:val="en-US" w:eastAsia="zh-CN"/>
              </w:rPr>
              <w:t>GZZ</w:t>
            </w:r>
            <w:r>
              <w:rPr>
                <w:rFonts w:hint="eastAsia" w:ascii="仿宋" w:hAnsi="仿宋" w:eastAsia="仿宋"/>
                <w:kern w:val="2"/>
                <w:sz w:val="15"/>
                <w:szCs w:val="15"/>
              </w:rPr>
              <w:t>-2023-0</w:t>
            </w:r>
            <w:r>
              <w:rPr>
                <w:rFonts w:hint="eastAsia" w:ascii="仿宋" w:hAnsi="仿宋" w:eastAsia="仿宋"/>
                <w:kern w:val="2"/>
                <w:sz w:val="15"/>
                <w:szCs w:val="15"/>
                <w:lang w:val="en-US" w:eastAsia="zh-CN"/>
              </w:rPr>
              <w:t>2</w:t>
            </w:r>
          </w:p>
        </w:tc>
        <w:tc>
          <w:tcPr>
            <w:tcW w:w="93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eastAsia" w:ascii="仿宋" w:hAnsi="仿宋" w:eastAsia="仿宋"/>
                <w:kern w:val="2"/>
                <w:sz w:val="15"/>
                <w:szCs w:val="15"/>
                <w:lang w:val="en-US" w:eastAsia="zh-CN"/>
              </w:rPr>
            </w:pPr>
            <w:r>
              <w:rPr>
                <w:rFonts w:hint="eastAsia" w:ascii="仿宋" w:hAnsi="仿宋" w:eastAsia="仿宋"/>
                <w:kern w:val="2"/>
                <w:sz w:val="15"/>
                <w:szCs w:val="15"/>
                <w:lang w:val="en-US" w:eastAsia="zh-CN"/>
              </w:rPr>
              <w:t>GZZ</w:t>
            </w:r>
            <w:r>
              <w:rPr>
                <w:rFonts w:hint="eastAsia" w:ascii="仿宋" w:hAnsi="仿宋" w:eastAsia="仿宋"/>
                <w:kern w:val="2"/>
                <w:sz w:val="15"/>
                <w:szCs w:val="15"/>
              </w:rPr>
              <w:t>-2023-0</w:t>
            </w:r>
            <w:r>
              <w:rPr>
                <w:rFonts w:hint="eastAsia" w:ascii="仿宋" w:hAnsi="仿宋" w:eastAsia="仿宋"/>
                <w:kern w:val="2"/>
                <w:sz w:val="15"/>
                <w:szCs w:val="15"/>
                <w:lang w:val="en-US" w:eastAsia="zh-CN"/>
              </w:rPr>
              <w:t>2</w:t>
            </w:r>
          </w:p>
        </w:tc>
        <w:tc>
          <w:tcPr>
            <w:tcW w:w="855" w:type="dxa"/>
            <w:tcBorders>
              <w:top w:val="single" w:color="auto" w:sz="4" w:space="0"/>
              <w:left w:val="single" w:color="auto" w:sz="4" w:space="0"/>
              <w:bottom w:val="single" w:color="auto" w:sz="4" w:space="0"/>
              <w:right w:val="single" w:color="auto" w:sz="4" w:space="0"/>
            </w:tcBorders>
            <w:vAlign w:val="center"/>
          </w:tcPr>
          <w:p>
            <w:pPr>
              <w:pStyle w:val="4"/>
              <w:widowControl/>
              <w:spacing w:line="324" w:lineRule="atLeast"/>
              <w:ind w:left="0"/>
              <w:rPr>
                <w:rFonts w:ascii="仿宋" w:hAnsi="仿宋" w:eastAsia="仿宋"/>
                <w:kern w:val="2"/>
                <w:sz w:val="15"/>
                <w:szCs w:val="15"/>
              </w:rPr>
            </w:pPr>
            <w:r>
              <w:rPr>
                <w:rFonts w:hint="eastAsia" w:ascii="仿宋" w:hAnsi="仿宋" w:eastAsia="仿宋"/>
                <w:kern w:val="2"/>
                <w:sz w:val="15"/>
                <w:szCs w:val="15"/>
              </w:rPr>
              <w:t>安阳县(示范区)辛瓦路与利达路交叉口西南角</w:t>
            </w:r>
          </w:p>
        </w:tc>
        <w:tc>
          <w:tcPr>
            <w:tcW w:w="78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2.218386</w:t>
            </w:r>
          </w:p>
        </w:tc>
        <w:tc>
          <w:tcPr>
            <w:tcW w:w="67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一类工业用地</w:t>
            </w:r>
          </w:p>
        </w:tc>
        <w:tc>
          <w:tcPr>
            <w:tcW w:w="675" w:type="dxa"/>
            <w:tcBorders>
              <w:top w:val="single" w:color="auto" w:sz="4" w:space="0"/>
              <w:left w:val="single" w:color="auto" w:sz="4" w:space="0"/>
              <w:bottom w:val="single" w:color="auto" w:sz="4" w:space="0"/>
              <w:right w:val="single" w:color="auto" w:sz="4" w:space="0"/>
            </w:tcBorders>
            <w:vAlign w:val="center"/>
          </w:tcPr>
          <w:p>
            <w:pPr>
              <w:spacing w:line="273" w:lineRule="atLeast"/>
              <w:jc w:val="center"/>
              <w:textAlignment w:val="center"/>
              <w:rPr>
                <w:rFonts w:hint="default" w:ascii="仿宋" w:hAnsi="仿宋" w:eastAsia="仿宋"/>
                <w:kern w:val="2"/>
                <w:sz w:val="15"/>
                <w:szCs w:val="15"/>
                <w:lang w:val="en-US" w:eastAsia="zh-CN"/>
              </w:rPr>
            </w:pPr>
            <w:r>
              <w:rPr>
                <w:rFonts w:hint="eastAsia" w:ascii="仿宋" w:hAnsi="仿宋" w:eastAsia="仿宋"/>
                <w:kern w:val="2"/>
                <w:sz w:val="15"/>
                <w:szCs w:val="15"/>
              </w:rPr>
              <w:t>＞</w:t>
            </w:r>
            <w:r>
              <w:rPr>
                <w:rFonts w:hint="eastAsia" w:ascii="仿宋" w:hAnsi="仿宋" w:eastAsia="仿宋"/>
                <w:kern w:val="2"/>
                <w:sz w:val="15"/>
                <w:szCs w:val="15"/>
                <w:lang w:val="en-US" w:eastAsia="zh-CN"/>
              </w:rPr>
              <w:t>1.2</w:t>
            </w:r>
          </w:p>
        </w:tc>
        <w:tc>
          <w:tcPr>
            <w:tcW w:w="57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default" w:ascii="仿宋" w:hAnsi="仿宋" w:eastAsia="仿宋"/>
                <w:kern w:val="2"/>
                <w:sz w:val="15"/>
                <w:szCs w:val="15"/>
                <w:lang w:val="en-US" w:eastAsia="zh-CN"/>
              </w:rPr>
            </w:pPr>
            <w:r>
              <w:rPr>
                <w:rFonts w:hint="eastAsia" w:ascii="仿宋" w:hAnsi="仿宋" w:eastAsia="仿宋"/>
                <w:kern w:val="2"/>
                <w:sz w:val="15"/>
                <w:szCs w:val="15"/>
              </w:rPr>
              <w:t>＞</w:t>
            </w:r>
            <w:r>
              <w:rPr>
                <w:rFonts w:hint="eastAsia" w:ascii="仿宋" w:hAnsi="仿宋" w:eastAsia="仿宋"/>
                <w:kern w:val="2"/>
                <w:sz w:val="15"/>
                <w:szCs w:val="15"/>
                <w:lang w:val="en-US" w:eastAsia="zh-CN"/>
              </w:rPr>
              <w:t>60</w:t>
            </w:r>
          </w:p>
        </w:tc>
        <w:tc>
          <w:tcPr>
            <w:tcW w:w="69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default" w:ascii="仿宋" w:hAnsi="仿宋" w:eastAsia="仿宋"/>
                <w:kern w:val="2"/>
                <w:sz w:val="15"/>
                <w:szCs w:val="15"/>
                <w:lang w:val="en-US" w:eastAsia="zh-CN"/>
              </w:rPr>
            </w:pPr>
            <w:r>
              <w:rPr>
                <w:rFonts w:hint="eastAsia" w:ascii="仿宋" w:hAnsi="仿宋" w:eastAsia="仿宋"/>
                <w:kern w:val="2"/>
                <w:sz w:val="15"/>
                <w:szCs w:val="15"/>
                <w:lang w:val="en-US" w:eastAsia="zh-CN"/>
              </w:rPr>
              <w:t>10≤Gn≤20</w:t>
            </w:r>
          </w:p>
        </w:tc>
        <w:tc>
          <w:tcPr>
            <w:tcW w:w="49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50年</w:t>
            </w:r>
          </w:p>
        </w:tc>
        <w:tc>
          <w:tcPr>
            <w:tcW w:w="60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无</w:t>
            </w:r>
          </w:p>
        </w:tc>
        <w:tc>
          <w:tcPr>
            <w:tcW w:w="63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1034</w:t>
            </w:r>
          </w:p>
        </w:tc>
        <w:tc>
          <w:tcPr>
            <w:tcW w:w="615"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ascii="仿宋" w:hAnsi="仿宋" w:eastAsia="仿宋"/>
                <w:kern w:val="2"/>
                <w:sz w:val="15"/>
                <w:szCs w:val="15"/>
              </w:rPr>
            </w:pPr>
            <w:r>
              <w:rPr>
                <w:rFonts w:hint="eastAsia" w:ascii="仿宋" w:hAnsi="仿宋" w:eastAsia="仿宋"/>
                <w:kern w:val="2"/>
                <w:sz w:val="15"/>
                <w:szCs w:val="15"/>
              </w:rPr>
              <w:t>1034</w:t>
            </w:r>
          </w:p>
        </w:tc>
        <w:tc>
          <w:tcPr>
            <w:tcW w:w="570" w:type="dxa"/>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center"/>
              <w:textAlignment w:val="center"/>
              <w:rPr>
                <w:rFonts w:hint="default" w:ascii="仿宋" w:hAnsi="仿宋" w:eastAsia="仿宋"/>
                <w:kern w:val="2"/>
                <w:sz w:val="15"/>
                <w:szCs w:val="15"/>
                <w:lang w:val="en-US" w:eastAsia="zh-CN"/>
              </w:rPr>
            </w:pPr>
            <w:r>
              <w:rPr>
                <w:rFonts w:hint="eastAsia" w:ascii="仿宋" w:hAnsi="仿宋" w:eastAsia="仿宋"/>
                <w:kern w:val="2"/>
                <w:sz w:val="15"/>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9075" w:type="dxa"/>
            <w:gridSpan w:val="13"/>
            <w:tcBorders>
              <w:top w:val="single" w:color="auto" w:sz="4" w:space="0"/>
              <w:left w:val="single" w:color="auto" w:sz="4" w:space="0"/>
              <w:bottom w:val="single" w:color="auto" w:sz="4" w:space="0"/>
              <w:right w:val="single" w:color="auto" w:sz="4" w:space="0"/>
            </w:tcBorders>
            <w:vAlign w:val="center"/>
          </w:tcPr>
          <w:p>
            <w:pPr>
              <w:pStyle w:val="10"/>
              <w:spacing w:line="273" w:lineRule="atLeast"/>
              <w:jc w:val="both"/>
              <w:textAlignment w:val="center"/>
              <w:rPr>
                <w:rFonts w:ascii="仿宋" w:hAnsi="仿宋" w:eastAsia="仿宋"/>
                <w:kern w:val="2"/>
                <w:sz w:val="15"/>
                <w:szCs w:val="15"/>
              </w:rPr>
            </w:pPr>
            <w:r>
              <w:rPr>
                <w:rFonts w:hint="eastAsia" w:ascii="仿宋" w:hAnsi="仿宋" w:eastAsia="仿宋"/>
                <w:kern w:val="2"/>
                <w:sz w:val="15"/>
                <w:szCs w:val="15"/>
              </w:rPr>
              <w:t>注：土地面积以实际测量为准.、规划条件以规划条件书为准</w:t>
            </w:r>
          </w:p>
        </w:tc>
      </w:tr>
    </w:tbl>
    <w:p>
      <w:pPr>
        <w:spacing w:line="540" w:lineRule="exact"/>
        <w:ind w:left="0" w:firstLine="636" w:firstLineChars="200"/>
        <w:rPr>
          <w:rFonts w:ascii="仿宋" w:hAnsi="仿宋" w:eastAsia="仿宋"/>
          <w:b/>
          <w:spacing w:val="-1"/>
          <w:sz w:val="32"/>
          <w:szCs w:val="32"/>
        </w:rPr>
      </w:pPr>
      <w:r>
        <w:rPr>
          <w:rFonts w:hint="eastAsia" w:ascii="仿宋" w:hAnsi="仿宋" w:eastAsia="仿宋"/>
          <w:spacing w:val="-1"/>
          <w:kern w:val="2"/>
          <w:sz w:val="32"/>
          <w:szCs w:val="32"/>
        </w:rPr>
        <w:t>本次出让提供编号为（202</w:t>
      </w:r>
      <w:r>
        <w:rPr>
          <w:rFonts w:hint="eastAsia" w:ascii="仿宋" w:hAnsi="仿宋" w:eastAsia="仿宋"/>
          <w:spacing w:val="-1"/>
          <w:kern w:val="2"/>
          <w:sz w:val="32"/>
          <w:szCs w:val="32"/>
          <w:lang w:val="en-US" w:eastAsia="zh-CN"/>
        </w:rPr>
        <w:t>3</w:t>
      </w:r>
      <w:r>
        <w:rPr>
          <w:rFonts w:hint="eastAsia" w:ascii="仿宋" w:hAnsi="仿宋" w:eastAsia="仿宋"/>
          <w:spacing w:val="-1"/>
          <w:kern w:val="2"/>
          <w:sz w:val="32"/>
          <w:szCs w:val="32"/>
        </w:rPr>
        <w:t>）0</w:t>
      </w:r>
      <w:r>
        <w:rPr>
          <w:rFonts w:hint="eastAsia" w:ascii="仿宋" w:hAnsi="仿宋" w:eastAsia="仿宋"/>
          <w:spacing w:val="-1"/>
          <w:kern w:val="2"/>
          <w:sz w:val="32"/>
          <w:szCs w:val="32"/>
          <w:lang w:val="en-US" w:eastAsia="zh-CN"/>
        </w:rPr>
        <w:t>01</w:t>
      </w:r>
      <w:r>
        <w:rPr>
          <w:rFonts w:hint="eastAsia" w:ascii="仿宋" w:hAnsi="仿宋" w:eastAsia="仿宋"/>
          <w:spacing w:val="-1"/>
          <w:kern w:val="2"/>
          <w:sz w:val="32"/>
          <w:szCs w:val="32"/>
        </w:rPr>
        <w:t>号《规划条件书》。竞买人竞得该地块后应按照规划要求进行建设。</w:t>
      </w:r>
    </w:p>
    <w:p>
      <w:pPr>
        <w:numPr>
          <w:ilvl w:val="0"/>
          <w:numId w:val="1"/>
        </w:numPr>
        <w:spacing w:line="540" w:lineRule="exact"/>
        <w:ind w:firstLine="639" w:firstLineChars="200"/>
        <w:rPr>
          <w:rFonts w:ascii="仿宋" w:hAnsi="仿宋" w:eastAsia="仿宋"/>
          <w:b/>
          <w:spacing w:val="-1"/>
          <w:sz w:val="32"/>
          <w:szCs w:val="32"/>
        </w:rPr>
      </w:pPr>
      <w:r>
        <w:rPr>
          <w:rFonts w:hint="eastAsia" w:ascii="仿宋" w:hAnsi="仿宋" w:eastAsia="仿宋"/>
          <w:b/>
          <w:spacing w:val="-1"/>
          <w:sz w:val="32"/>
          <w:szCs w:val="32"/>
        </w:rPr>
        <w:t>竞买申请条件和要求</w:t>
      </w:r>
    </w:p>
    <w:p>
      <w:pPr>
        <w:spacing w:line="540" w:lineRule="exact"/>
        <w:ind w:left="0" w:firstLine="640" w:firstLineChars="200"/>
        <w:rPr>
          <w:rFonts w:ascii="仿宋" w:hAnsi="仿宋" w:eastAsia="仿宋" w:cs="宋体"/>
          <w:kern w:val="2"/>
          <w:sz w:val="32"/>
          <w:szCs w:val="32"/>
        </w:rPr>
      </w:pPr>
      <w:r>
        <w:rPr>
          <w:rFonts w:hint="eastAsia" w:ascii="仿宋" w:hAnsi="仿宋" w:eastAsia="仿宋" w:cs="宋体"/>
          <w:kern w:val="2"/>
          <w:sz w:val="32"/>
          <w:szCs w:val="32"/>
        </w:rPr>
        <w:t>中华人民共和国境内外的法人、自然人和其他组织，符合网上出让公告或出让须知中明确的资格条件，均可参加本次国有建设用地使用权网上拍卖活动。</w:t>
      </w:r>
    </w:p>
    <w:p>
      <w:pPr>
        <w:spacing w:line="540" w:lineRule="exact"/>
        <w:ind w:left="15" w:firstLine="603" w:firstLineChars="189"/>
        <w:rPr>
          <w:rFonts w:ascii="仿宋" w:hAnsi="仿宋" w:eastAsia="仿宋"/>
          <w:b/>
          <w:spacing w:val="-1"/>
          <w:sz w:val="32"/>
          <w:szCs w:val="32"/>
        </w:rPr>
      </w:pPr>
      <w:r>
        <w:rPr>
          <w:rFonts w:hint="eastAsia" w:ascii="仿宋" w:hAnsi="仿宋" w:eastAsia="仿宋"/>
          <w:b/>
          <w:spacing w:val="-1"/>
          <w:sz w:val="32"/>
          <w:szCs w:val="32"/>
        </w:rPr>
        <w:t>三、确定竞得入选人方式</w:t>
      </w:r>
    </w:p>
    <w:p>
      <w:pPr>
        <w:spacing w:line="540" w:lineRule="exact"/>
        <w:ind w:left="15" w:firstLine="604" w:firstLineChars="189"/>
        <w:rPr>
          <w:rFonts w:ascii="仿宋" w:hAnsi="仿宋" w:eastAsia="仿宋"/>
          <w:sz w:val="32"/>
          <w:szCs w:val="32"/>
        </w:rPr>
      </w:pPr>
      <w:r>
        <w:rPr>
          <w:rFonts w:hint="eastAsia" w:ascii="仿宋" w:hAnsi="仿宋" w:eastAsia="仿宋"/>
          <w:sz w:val="32"/>
          <w:szCs w:val="32"/>
        </w:rPr>
        <w:t>本次国有建设用地使用权网上拍卖出让按照价高者得原则确定竞得入选人。</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四、报名及保证金截止时间</w:t>
      </w:r>
    </w:p>
    <w:p>
      <w:pPr>
        <w:spacing w:line="540" w:lineRule="exact"/>
        <w:ind w:left="15" w:firstLine="604" w:firstLineChars="189"/>
        <w:rPr>
          <w:rFonts w:ascii="仿宋" w:hAnsi="仿宋" w:eastAsia="仿宋"/>
          <w:sz w:val="32"/>
          <w:szCs w:val="32"/>
        </w:rPr>
      </w:pPr>
      <w:r>
        <w:rPr>
          <w:rFonts w:hint="eastAsia" w:ascii="仿宋" w:hAnsi="仿宋" w:eastAsia="仿宋"/>
          <w:sz w:val="32"/>
          <w:szCs w:val="32"/>
        </w:rPr>
        <w:t>竞买申请人可登录河南省土地使用权网上交易系统（以下简称网上交易系统），提交竞买申请及交纳竞买保证金。</w:t>
      </w:r>
    </w:p>
    <w:p>
      <w:pPr>
        <w:spacing w:line="540" w:lineRule="exact"/>
        <w:ind w:left="15" w:firstLine="604" w:firstLineChars="189"/>
        <w:rPr>
          <w:rFonts w:ascii="仿宋" w:hAnsi="仿宋" w:eastAsia="仿宋"/>
          <w:sz w:val="32"/>
          <w:szCs w:val="32"/>
        </w:rPr>
      </w:pPr>
      <w:r>
        <w:rPr>
          <w:rFonts w:hint="eastAsia" w:ascii="仿宋" w:hAnsi="仿宋" w:eastAsia="仿宋"/>
          <w:sz w:val="32"/>
          <w:szCs w:val="32"/>
        </w:rPr>
        <w:t>网上竞买申请提交及竞买保证金到账时间为：</w:t>
      </w:r>
    </w:p>
    <w:p>
      <w:pPr>
        <w:spacing w:line="540" w:lineRule="exact"/>
        <w:ind w:left="15" w:firstLine="604" w:firstLineChars="189"/>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日08时00分至202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日17时00分。</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温馨提示：为避免因竞买保证金到账时间延误，影响您顺利获取网上交易竞买资格，建议您在保证金到账截止时间的1至2天之前交纳竞买保证金。</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五、拍卖时间及网址</w:t>
      </w:r>
    </w:p>
    <w:p>
      <w:pPr>
        <w:spacing w:line="540" w:lineRule="exact"/>
        <w:ind w:firstLine="640"/>
        <w:rPr>
          <w:rFonts w:ascii="仿宋" w:hAnsi="仿宋" w:eastAsia="仿宋"/>
          <w:sz w:val="32"/>
          <w:szCs w:val="32"/>
        </w:rPr>
      </w:pPr>
      <w:r>
        <w:rPr>
          <w:rFonts w:hint="eastAsia" w:ascii="仿宋" w:hAnsi="仿宋" w:eastAsia="仿宋"/>
          <w:sz w:val="32"/>
          <w:szCs w:val="32"/>
        </w:rPr>
        <w:t>网上拍卖开始时间为:202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w:t>
      </w:r>
      <w:r>
        <w:rPr>
          <w:rFonts w:ascii="仿宋" w:hAnsi="仿宋" w:eastAsia="仿宋"/>
          <w:sz w:val="32"/>
          <w:szCs w:val="32"/>
        </w:rPr>
        <w:t>9</w:t>
      </w:r>
      <w:r>
        <w:rPr>
          <w:rFonts w:hint="eastAsia" w:ascii="仿宋" w:hAnsi="仿宋" w:eastAsia="仿宋"/>
          <w:sz w:val="32"/>
          <w:szCs w:val="32"/>
        </w:rPr>
        <w:t>时。</w:t>
      </w:r>
    </w:p>
    <w:p>
      <w:pPr>
        <w:spacing w:line="540" w:lineRule="exact"/>
        <w:ind w:left="0" w:firstLine="640" w:firstLineChars="200"/>
        <w:rPr>
          <w:rFonts w:ascii="仿宋" w:hAnsi="仿宋" w:eastAsia="仿宋" w:cs="宋体"/>
          <w:sz w:val="32"/>
          <w:szCs w:val="32"/>
        </w:rPr>
      </w:pPr>
      <w:bookmarkStart w:id="0" w:name="OLE_LINK4"/>
      <w:r>
        <w:rPr>
          <w:rFonts w:hint="eastAsia" w:ascii="仿宋" w:hAnsi="仿宋" w:eastAsia="仿宋" w:cs="宋体"/>
          <w:sz w:val="32"/>
          <w:szCs w:val="32"/>
        </w:rPr>
        <w:t>网址：</w:t>
      </w:r>
      <w:bookmarkEnd w:id="0"/>
      <w:r>
        <w:rPr>
          <w:rFonts w:hint="eastAsia" w:ascii="仿宋" w:hAnsi="仿宋" w:eastAsia="仿宋"/>
          <w:spacing w:val="-1"/>
          <w:sz w:val="32"/>
        </w:rPr>
        <w:t>http://td.hnggzy.com/（河南省土地使用权网上交易系统）</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六、出让资料获取方式</w:t>
      </w:r>
    </w:p>
    <w:p>
      <w:pPr>
        <w:spacing w:line="540" w:lineRule="exact"/>
        <w:ind w:firstLine="615"/>
        <w:rPr>
          <w:rFonts w:hint="eastAsia" w:ascii="仿宋" w:hAnsi="仿宋" w:eastAsia="仿宋"/>
          <w:sz w:val="32"/>
          <w:szCs w:val="32"/>
        </w:rPr>
      </w:pPr>
      <w:r>
        <w:rPr>
          <w:rFonts w:hint="eastAsia" w:ascii="仿宋" w:hAnsi="仿宋" w:eastAsia="仿宋"/>
          <w:sz w:val="32"/>
          <w:szCs w:val="32"/>
        </w:rPr>
        <w:t>本次拍卖出让的详细资料和具体要求，见拍卖出让须知及出让文件。拍卖出让须知及出让文件可从网上交易系统查看和打印。</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七、资格审查</w:t>
      </w:r>
    </w:p>
    <w:p>
      <w:pPr>
        <w:spacing w:line="540" w:lineRule="exact"/>
        <w:ind w:firstLine="615"/>
        <w:rPr>
          <w:rFonts w:ascii="仿宋" w:hAnsi="仿宋" w:eastAsia="仿宋"/>
          <w:sz w:val="32"/>
          <w:szCs w:val="32"/>
        </w:rPr>
      </w:pPr>
      <w:r>
        <w:rPr>
          <w:rFonts w:hint="eastAsia" w:ascii="仿宋" w:hAnsi="仿宋" w:eastAsia="仿宋"/>
          <w:sz w:val="32"/>
          <w:szCs w:val="32"/>
        </w:rPr>
        <w:t>本次国有建设用地使用权网上出让实行竞得入选人资格后审制度，即竞买申请人在网上交易系统按规定提交竞买申请并按时足额交纳了竞买保证金后，网上交易系统将自动颁发《竞买资格确认书》，确认其竞买资格。拍卖人对网上交易的竞得入选人进行资格审查。如因竞得入选人的资格审查未通过，造成本次出让地块不成交的，由竞得入选人自行承担相应责任。</w:t>
      </w:r>
    </w:p>
    <w:p>
      <w:pPr>
        <w:spacing w:line="540" w:lineRule="exact"/>
        <w:ind w:left="15" w:firstLine="607" w:firstLineChars="189"/>
        <w:rPr>
          <w:rFonts w:ascii="仿宋" w:hAnsi="仿宋" w:eastAsia="仿宋"/>
          <w:b/>
          <w:sz w:val="32"/>
          <w:szCs w:val="32"/>
        </w:rPr>
      </w:pPr>
      <w:r>
        <w:rPr>
          <w:rFonts w:hint="eastAsia" w:ascii="仿宋" w:hAnsi="仿宋" w:eastAsia="仿宋"/>
          <w:b/>
          <w:sz w:val="32"/>
          <w:szCs w:val="32"/>
        </w:rPr>
        <w:t>八、风险提示</w:t>
      </w:r>
    </w:p>
    <w:p>
      <w:pPr>
        <w:spacing w:line="540" w:lineRule="exact"/>
        <w:ind w:firstLine="615"/>
        <w:rPr>
          <w:rFonts w:ascii="仿宋" w:hAnsi="仿宋" w:eastAsia="仿宋"/>
          <w:sz w:val="32"/>
          <w:szCs w:val="32"/>
        </w:rPr>
      </w:pPr>
      <w:r>
        <w:rPr>
          <w:rFonts w:hint="eastAsia" w:ascii="仿宋" w:hAnsi="仿宋" w:eastAsia="仿宋"/>
          <w:sz w:val="32"/>
          <w:szCs w:val="32"/>
        </w:rPr>
        <w:t>竞买人应该谨慎报价，报价一经提交，不得修改或者撤回。网上拍卖报价截止之前，竞买人应至少进行一次有效报价才有资格参加限时竞价。</w:t>
      </w:r>
    </w:p>
    <w:p>
      <w:pPr>
        <w:spacing w:line="540" w:lineRule="exact"/>
        <w:ind w:firstLine="615"/>
        <w:rPr>
          <w:rFonts w:ascii="仿宋" w:hAnsi="仿宋" w:eastAsia="仿宋"/>
          <w:sz w:val="32"/>
          <w:szCs w:val="32"/>
        </w:rPr>
      </w:pPr>
      <w:r>
        <w:rPr>
          <w:rFonts w:hint="eastAsia" w:ascii="仿宋" w:hAnsi="仿宋" w:eastAsia="仿宋"/>
          <w:sz w:val="32"/>
          <w:szCs w:val="32"/>
        </w:rPr>
        <w:t>操作系统请使用</w:t>
      </w:r>
      <w:r>
        <w:rPr>
          <w:rFonts w:hint="eastAsia" w:ascii="仿宋" w:hAnsi="仿宋" w:eastAsia="仿宋" w:cs="宋体"/>
          <w:bCs/>
          <w:sz w:val="32"/>
          <w:szCs w:val="32"/>
        </w:rPr>
        <w:t>WinXP/Win7/ Win8；浏览器请使用IE8.0、IE9.0、IE10，其它操作系统与浏览器可能会影响您正常参与网上交易活动。</w:t>
      </w:r>
      <w:r>
        <w:rPr>
          <w:rFonts w:hint="eastAsia" w:ascii="仿宋" w:hAnsi="仿宋" w:eastAsia="仿宋"/>
          <w:sz w:val="32"/>
          <w:szCs w:val="32"/>
        </w:rPr>
        <w:t>申请人需办理数字证书认证手续方可登录网上交易系统。</w:t>
      </w:r>
      <w:r>
        <w:rPr>
          <w:rFonts w:hint="eastAsia" w:ascii="仿宋" w:hAnsi="仿宋" w:eastAsia="仿宋" w:cs="宋体"/>
          <w:bCs/>
          <w:sz w:val="32"/>
          <w:szCs w:val="32"/>
        </w:rPr>
        <w:t>数字证书驱动请到河南CA官方网站下载，并正确安装。请竞买人在竞买前仔细检查好自己电脑的运行环境，并先到网上交易模拟系统练习，以免影响您的报价、竞价。</w:t>
      </w:r>
    </w:p>
    <w:p>
      <w:pPr>
        <w:spacing w:line="540" w:lineRule="exact"/>
        <w:ind w:firstLine="615"/>
        <w:rPr>
          <w:rFonts w:ascii="仿宋" w:hAnsi="仿宋" w:eastAsia="仿宋" w:cs="宋体"/>
          <w:bCs/>
          <w:sz w:val="32"/>
          <w:szCs w:val="32"/>
        </w:rPr>
      </w:pPr>
      <w:r>
        <w:rPr>
          <w:rFonts w:hint="eastAsia" w:ascii="仿宋" w:hAnsi="仿宋" w:eastAsia="仿宋" w:cs="宋体"/>
          <w:bCs/>
          <w:sz w:val="32"/>
          <w:szCs w:val="32"/>
        </w:rPr>
        <w:t>竞买人需全面了解并遵守《河南省国有建设用地使用权网上交易管理办法》及《河南省土地使用权网上交易系统用户使用说明书》。</w:t>
      </w:r>
    </w:p>
    <w:p>
      <w:pPr>
        <w:spacing w:line="540" w:lineRule="exact"/>
        <w:ind w:firstLine="615"/>
        <w:rPr>
          <w:rFonts w:ascii="仿宋" w:hAnsi="仿宋" w:eastAsia="仿宋" w:cs="宋体"/>
          <w:bCs/>
          <w:sz w:val="32"/>
          <w:szCs w:val="32"/>
        </w:rPr>
      </w:pPr>
      <w:r>
        <w:rPr>
          <w:rFonts w:hint="eastAsia" w:ascii="仿宋" w:hAnsi="仿宋" w:eastAsia="仿宋" w:cs="宋体"/>
          <w:bCs/>
          <w:sz w:val="32"/>
          <w:szCs w:val="32"/>
        </w:rPr>
        <w:t>其他事宜详见出让文件。</w:t>
      </w:r>
    </w:p>
    <w:p>
      <w:pPr>
        <w:spacing w:line="0" w:lineRule="atLeast"/>
        <w:ind w:left="-105" w:leftChars="-50" w:firstLine="607" w:firstLineChars="189"/>
        <w:rPr>
          <w:rFonts w:ascii="仿宋" w:hAnsi="仿宋" w:eastAsia="仿宋"/>
          <w:b/>
          <w:sz w:val="32"/>
          <w:szCs w:val="32"/>
        </w:rPr>
      </w:pPr>
      <w:r>
        <w:rPr>
          <w:rFonts w:hint="eastAsia" w:ascii="仿宋" w:hAnsi="仿宋" w:eastAsia="仿宋"/>
          <w:b/>
          <w:sz w:val="32"/>
          <w:szCs w:val="32"/>
        </w:rPr>
        <w:t>九、联系方式</w:t>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636" w:firstLineChars="200"/>
        <w:textAlignment w:val="bottom"/>
        <w:rPr>
          <w:rFonts w:ascii="仿宋" w:hAnsi="仿宋" w:eastAsia="仿宋" w:cs="Times New Roman"/>
          <w:spacing w:val="-1"/>
          <w:sz w:val="32"/>
          <w:szCs w:val="32"/>
        </w:rPr>
      </w:pPr>
      <w:r>
        <w:rPr>
          <w:rFonts w:hint="eastAsia" w:ascii="仿宋" w:hAnsi="仿宋" w:eastAsia="仿宋" w:cs="仿宋"/>
          <w:spacing w:val="-1"/>
          <w:sz w:val="32"/>
          <w:szCs w:val="32"/>
        </w:rPr>
        <w:t>安阳县自然资源局联系电话：</w:t>
      </w:r>
      <w:r>
        <w:rPr>
          <w:rFonts w:hint="eastAsia" w:ascii="仿宋" w:hAnsi="仿宋" w:eastAsia="仿宋" w:cs="Times New Roman"/>
          <w:spacing w:val="-1"/>
          <w:sz w:val="32"/>
          <w:szCs w:val="32"/>
        </w:rPr>
        <w:t>0372-2251028</w:t>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636" w:firstLineChars="200"/>
        <w:textAlignment w:val="bottom"/>
        <w:rPr>
          <w:rFonts w:ascii="仿宋" w:hAnsi="仿宋" w:eastAsia="仿宋" w:cs="Times New Roman"/>
          <w:spacing w:val="-1"/>
          <w:sz w:val="32"/>
          <w:szCs w:val="32"/>
        </w:rPr>
      </w:pPr>
      <w:r>
        <w:rPr>
          <w:rFonts w:hint="eastAsia" w:ascii="仿宋" w:hAnsi="仿宋" w:eastAsia="仿宋" w:cs="仿宋"/>
          <w:spacing w:val="-1"/>
          <w:sz w:val="32"/>
          <w:szCs w:val="32"/>
        </w:rPr>
        <w:t>联</w:t>
      </w:r>
      <w:r>
        <w:rPr>
          <w:rFonts w:hint="eastAsia" w:ascii="仿宋" w:hAnsi="仿宋" w:eastAsia="仿宋" w:cs="Times New Roman"/>
          <w:spacing w:val="-1"/>
          <w:sz w:val="32"/>
          <w:szCs w:val="32"/>
        </w:rPr>
        <w:t xml:space="preserve"> 系 人：吴先生</w:t>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520" w:firstLineChars="200"/>
        <w:textAlignment w:val="bottom"/>
        <w:rPr>
          <w:rFonts w:ascii="仿宋" w:hAnsi="仿宋" w:eastAsia="仿宋" w:cs="宋体"/>
          <w:bCs/>
          <w:sz w:val="32"/>
          <w:szCs w:val="32"/>
        </w:rPr>
      </w:pPr>
      <w:r>
        <w:rPr>
          <w:rFonts w:hint="eastAsia" w:ascii="仿宋" w:hAnsi="仿宋" w:eastAsia="仿宋" w:cs="仿宋"/>
          <w:bCs/>
          <w:spacing w:val="-30"/>
          <w:sz w:val="32"/>
          <w:szCs w:val="32"/>
        </w:rPr>
        <w:t>安阳市城乡一体化示范区公共资源交易分中心联系电话</w:t>
      </w:r>
      <w:r>
        <w:rPr>
          <w:rFonts w:hint="eastAsia" w:ascii="仿宋" w:hAnsi="仿宋" w:eastAsia="仿宋" w:cs="仿宋"/>
          <w:bCs/>
          <w:sz w:val="32"/>
          <w:szCs w:val="32"/>
        </w:rPr>
        <w:t>：</w:t>
      </w:r>
      <w:r>
        <w:rPr>
          <w:rFonts w:hint="eastAsia" w:ascii="仿宋" w:hAnsi="仿宋" w:eastAsia="仿宋" w:cs="宋体"/>
          <w:bCs/>
          <w:sz w:val="32"/>
          <w:szCs w:val="32"/>
        </w:rPr>
        <w:t>0372-3265961</w:t>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636" w:firstLineChars="200"/>
        <w:textAlignment w:val="bottom"/>
        <w:rPr>
          <w:rFonts w:ascii="仿宋" w:hAnsi="仿宋" w:eastAsia="仿宋" w:cs="Times New Roman"/>
          <w:spacing w:val="-1"/>
          <w:sz w:val="32"/>
          <w:szCs w:val="32"/>
        </w:rPr>
      </w:pPr>
      <w:r>
        <w:rPr>
          <w:rFonts w:hint="eastAsia" w:ascii="仿宋" w:hAnsi="仿宋" w:eastAsia="仿宋" w:cs="仿宋"/>
          <w:spacing w:val="-1"/>
          <w:sz w:val="32"/>
          <w:szCs w:val="32"/>
        </w:rPr>
        <w:t>联</w:t>
      </w:r>
      <w:r>
        <w:rPr>
          <w:rFonts w:hint="eastAsia" w:ascii="仿宋" w:hAnsi="仿宋" w:eastAsia="仿宋" w:cs="Times New Roman"/>
          <w:spacing w:val="-1"/>
          <w:sz w:val="32"/>
          <w:szCs w:val="32"/>
        </w:rPr>
        <w:t xml:space="preserve"> 系 人：段女士</w:t>
      </w:r>
      <w:bookmarkStart w:id="1" w:name="_GoBack"/>
      <w:bookmarkEnd w:id="1"/>
    </w:p>
    <w:p>
      <w:pPr>
        <w:keepNext w:val="0"/>
        <w:keepLines w:val="0"/>
        <w:pageBreakBefore w:val="0"/>
        <w:widowControl w:val="0"/>
        <w:kinsoku/>
        <w:wordWrap/>
        <w:overflowPunct/>
        <w:topLinePunct w:val="0"/>
        <w:autoSpaceDE/>
        <w:autoSpaceDN/>
        <w:bidi w:val="0"/>
        <w:adjustRightInd/>
        <w:snapToGrid/>
        <w:spacing w:line="0" w:lineRule="atLeast"/>
        <w:ind w:left="-105" w:leftChars="-50" w:firstLine="636" w:firstLineChars="200"/>
        <w:textAlignment w:val="bottom"/>
        <w:rPr>
          <w:rFonts w:ascii="仿宋" w:hAnsi="仿宋" w:eastAsia="仿宋" w:cs="Times New Roman"/>
          <w:spacing w:val="-1"/>
          <w:sz w:val="32"/>
          <w:szCs w:val="32"/>
        </w:rPr>
      </w:pPr>
      <w:r>
        <w:rPr>
          <w:rFonts w:hint="eastAsia" w:ascii="仿宋" w:hAnsi="仿宋" w:eastAsia="仿宋" w:cs="仿宋"/>
          <w:spacing w:val="-1"/>
          <w:sz w:val="32"/>
          <w:szCs w:val="32"/>
        </w:rPr>
        <w:t>网</w:t>
      </w:r>
      <w:r>
        <w:rPr>
          <w:rFonts w:hint="eastAsia" w:ascii="仿宋" w:hAnsi="仿宋" w:eastAsia="仿宋" w:cs="Times New Roman"/>
          <w:spacing w:val="-1"/>
          <w:sz w:val="32"/>
          <w:szCs w:val="32"/>
        </w:rPr>
        <w:t xml:space="preserve">    址： </w:t>
      </w:r>
      <w:r>
        <w:fldChar w:fldCharType="begin"/>
      </w:r>
      <w:r>
        <w:instrText xml:space="preserve"> HYPERLINK "http://www.landchina.com/" </w:instrText>
      </w:r>
      <w:r>
        <w:fldChar w:fldCharType="separate"/>
      </w:r>
      <w:r>
        <w:rPr>
          <w:rStyle w:val="9"/>
          <w:rFonts w:hint="eastAsia" w:ascii="仿宋" w:hAnsi="仿宋" w:eastAsia="仿宋" w:cs="仿宋"/>
          <w:spacing w:val="-1"/>
          <w:sz w:val="32"/>
          <w:szCs w:val="32"/>
        </w:rPr>
        <w:t>http://www.landchina.com/</w:t>
      </w:r>
      <w:r>
        <w:rPr>
          <w:rStyle w:val="9"/>
          <w:rFonts w:hint="eastAsia" w:ascii="仿宋" w:hAnsi="仿宋" w:eastAsia="仿宋" w:cs="仿宋"/>
          <w:spacing w:val="-1"/>
          <w:sz w:val="32"/>
          <w:szCs w:val="32"/>
        </w:rPr>
        <w:fldChar w:fldCharType="end"/>
      </w:r>
      <w:r>
        <w:rPr>
          <w:rFonts w:hint="eastAsia" w:ascii="仿宋" w:hAnsi="仿宋" w:eastAsia="仿宋" w:cs="仿宋"/>
          <w:spacing w:val="-1"/>
          <w:sz w:val="32"/>
          <w:szCs w:val="32"/>
        </w:rPr>
        <w:t>（中国土地市场网）</w:t>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420" w:firstLineChars="200"/>
        <w:textAlignment w:val="bottom"/>
        <w:rPr>
          <w:rFonts w:ascii="仿宋" w:hAnsi="仿宋" w:eastAsia="仿宋" w:cs="Times New Roman"/>
          <w:spacing w:val="-1"/>
          <w:sz w:val="32"/>
          <w:szCs w:val="32"/>
        </w:rPr>
      </w:pPr>
      <w:r>
        <w:fldChar w:fldCharType="begin"/>
      </w:r>
      <w:r>
        <w:instrText xml:space="preserve"> HYPERLINK "http://td.hnggzy.com/（河南省土地使用权网上交易系统）" </w:instrText>
      </w:r>
      <w:r>
        <w:fldChar w:fldCharType="separate"/>
      </w:r>
      <w:r>
        <w:rPr>
          <w:rStyle w:val="9"/>
          <w:rFonts w:hint="eastAsia" w:ascii="仿宋" w:hAnsi="仿宋" w:eastAsia="仿宋" w:cs="仿宋"/>
          <w:spacing w:val="-1"/>
          <w:sz w:val="32"/>
          <w:szCs w:val="32"/>
        </w:rPr>
        <w:t>http://td.hnggzy.com/（河南省土地使用权网上交易系统）</w:t>
      </w:r>
      <w:r>
        <w:rPr>
          <w:rStyle w:val="9"/>
          <w:rFonts w:hint="eastAsia" w:ascii="仿宋" w:hAnsi="仿宋" w:eastAsia="仿宋" w:cs="仿宋"/>
          <w:spacing w:val="-1"/>
          <w:sz w:val="32"/>
          <w:szCs w:val="32"/>
        </w:rPr>
        <w:fldChar w:fldCharType="end"/>
      </w:r>
    </w:p>
    <w:p>
      <w:pPr>
        <w:keepNext w:val="0"/>
        <w:keepLines w:val="0"/>
        <w:pageBreakBefore w:val="0"/>
        <w:widowControl w:val="0"/>
        <w:kinsoku/>
        <w:wordWrap/>
        <w:overflowPunct/>
        <w:topLinePunct w:val="0"/>
        <w:autoSpaceDE/>
        <w:autoSpaceDN/>
        <w:bidi w:val="0"/>
        <w:adjustRightInd/>
        <w:snapToGrid/>
        <w:spacing w:line="0" w:lineRule="atLeast"/>
        <w:ind w:left="-105" w:leftChars="-50" w:firstLine="636" w:firstLineChars="200"/>
        <w:textAlignment w:val="bottom"/>
        <w:rPr>
          <w:rFonts w:ascii="仿宋" w:hAnsi="仿宋" w:eastAsia="仿宋" w:cs="Times New Roman"/>
          <w:spacing w:val="-1"/>
          <w:sz w:val="32"/>
          <w:szCs w:val="32"/>
        </w:rPr>
      </w:pPr>
      <w:r>
        <w:rPr>
          <w:rStyle w:val="9"/>
          <w:rFonts w:hint="eastAsia" w:ascii="仿宋" w:hAnsi="仿宋" w:eastAsia="仿宋" w:cs="仿宋"/>
          <w:spacing w:val="-1"/>
          <w:sz w:val="32"/>
          <w:szCs w:val="32"/>
        </w:rPr>
        <w:t>http://ggzy.anyang.gov.cn/#/Home?areaCode=006&amp;areaCity=shifan</w:t>
      </w:r>
      <w:r>
        <w:rPr>
          <w:rFonts w:hint="eastAsia" w:ascii="仿宋" w:hAnsi="仿宋" w:eastAsia="仿宋" w:cs="仿宋"/>
          <w:spacing w:val="-1"/>
          <w:sz w:val="32"/>
          <w:szCs w:val="32"/>
        </w:rPr>
        <w:t>（安阳市城乡一体化示范区公共资源交易分中心</w:t>
      </w:r>
      <w:r>
        <w:rPr>
          <w:rFonts w:hint="eastAsia" w:ascii="仿宋" w:hAnsi="仿宋" w:eastAsia="仿宋" w:cs="Times New Roman"/>
          <w:spacing w:val="-1"/>
          <w:sz w:val="32"/>
          <w:szCs w:val="32"/>
        </w:rPr>
        <w:t>)</w:t>
      </w:r>
    </w:p>
    <w:p>
      <w:pPr>
        <w:spacing w:line="0" w:lineRule="atLeast"/>
        <w:ind w:left="-105" w:leftChars="-50" w:firstLine="3450" w:firstLineChars="1085"/>
        <w:rPr>
          <w:rFonts w:ascii="仿宋" w:hAnsi="仿宋" w:eastAsia="仿宋"/>
          <w:spacing w:val="-1"/>
          <w:sz w:val="32"/>
        </w:rPr>
      </w:pPr>
    </w:p>
    <w:p>
      <w:pPr>
        <w:spacing w:line="0" w:lineRule="atLeast"/>
        <w:ind w:left="-105" w:leftChars="-50" w:firstLine="3450" w:firstLineChars="1085"/>
        <w:jc w:val="right"/>
        <w:rPr>
          <w:rFonts w:ascii="Calibri" w:hAnsi="Calibri"/>
        </w:rPr>
      </w:pPr>
      <w:r>
        <w:rPr>
          <w:rFonts w:hint="eastAsia" w:ascii="仿宋" w:hAnsi="仿宋" w:eastAsia="仿宋"/>
          <w:spacing w:val="-1"/>
          <w:sz w:val="32"/>
        </w:rPr>
        <w:t>202</w:t>
      </w:r>
      <w:r>
        <w:rPr>
          <w:rFonts w:hint="eastAsia" w:ascii="仿宋" w:hAnsi="仿宋" w:eastAsia="仿宋"/>
          <w:spacing w:val="-1"/>
          <w:sz w:val="32"/>
          <w:lang w:val="en-US" w:eastAsia="zh-CN"/>
        </w:rPr>
        <w:t>3</w:t>
      </w:r>
      <w:r>
        <w:rPr>
          <w:rFonts w:hint="eastAsia" w:ascii="仿宋" w:hAnsi="仿宋" w:eastAsia="仿宋"/>
          <w:spacing w:val="-1"/>
          <w:sz w:val="32"/>
        </w:rPr>
        <w:t>年</w:t>
      </w:r>
      <w:r>
        <w:rPr>
          <w:rFonts w:hint="eastAsia" w:ascii="仿宋" w:hAnsi="仿宋" w:eastAsia="仿宋"/>
          <w:spacing w:val="-1"/>
          <w:sz w:val="32"/>
          <w:lang w:val="en-US" w:eastAsia="zh-CN"/>
        </w:rPr>
        <w:t>5</w:t>
      </w:r>
      <w:r>
        <w:rPr>
          <w:rFonts w:hint="eastAsia" w:ascii="仿宋" w:hAnsi="仿宋" w:eastAsia="仿宋"/>
          <w:spacing w:val="-1"/>
          <w:sz w:val="32"/>
        </w:rPr>
        <w:t>月</w:t>
      </w:r>
      <w:r>
        <w:rPr>
          <w:rFonts w:hint="eastAsia" w:ascii="仿宋" w:hAnsi="仿宋" w:eastAsia="仿宋"/>
          <w:spacing w:val="-1"/>
          <w:sz w:val="32"/>
          <w:lang w:val="en-US" w:eastAsia="zh-CN"/>
        </w:rPr>
        <w:t>8</w:t>
      </w:r>
      <w:r>
        <w:rPr>
          <w:rFonts w:hint="eastAsia" w:ascii="仿宋" w:hAnsi="仿宋" w:eastAsia="仿宋"/>
          <w:spacing w:val="-1"/>
          <w:sz w:val="32"/>
        </w:rPr>
        <w:t xml:space="preserve">日 </w:t>
      </w:r>
    </w:p>
    <w:sectPr>
      <w:footerReference r:id="rId5" w:type="default"/>
      <w:pgSz w:w="11906" w:h="16838"/>
      <w:pgMar w:top="1701" w:right="1417" w:bottom="1701"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711CD"/>
    <w:multiLevelType w:val="singleLevel"/>
    <w:tmpl w:val="597711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0OThiNzQ2ZWVmNDg1NzYxMjUzZmQ2ZGFlN2JmOWYifQ=="/>
  </w:docVars>
  <w:rsids>
    <w:rsidRoot w:val="009A4FEB"/>
    <w:rsid w:val="004071A9"/>
    <w:rsid w:val="004D5E59"/>
    <w:rsid w:val="00756F49"/>
    <w:rsid w:val="009A4FEB"/>
    <w:rsid w:val="07623198"/>
    <w:rsid w:val="0CE82585"/>
    <w:rsid w:val="0CE9407E"/>
    <w:rsid w:val="15C769CD"/>
    <w:rsid w:val="162650F5"/>
    <w:rsid w:val="19461237"/>
    <w:rsid w:val="19AA2D61"/>
    <w:rsid w:val="1BD267A1"/>
    <w:rsid w:val="22E05764"/>
    <w:rsid w:val="24FC0C39"/>
    <w:rsid w:val="250B7736"/>
    <w:rsid w:val="2578296F"/>
    <w:rsid w:val="2D09287C"/>
    <w:rsid w:val="2E501730"/>
    <w:rsid w:val="2E6B3B64"/>
    <w:rsid w:val="35A25C47"/>
    <w:rsid w:val="387E6392"/>
    <w:rsid w:val="3ACE36D8"/>
    <w:rsid w:val="47A97347"/>
    <w:rsid w:val="482871B1"/>
    <w:rsid w:val="4AC162A8"/>
    <w:rsid w:val="4B6E2223"/>
    <w:rsid w:val="4BFD3E27"/>
    <w:rsid w:val="4CD411FC"/>
    <w:rsid w:val="4D1C7C54"/>
    <w:rsid w:val="4EE8055C"/>
    <w:rsid w:val="519F5CE4"/>
    <w:rsid w:val="5620606A"/>
    <w:rsid w:val="5C313BC7"/>
    <w:rsid w:val="65FC1513"/>
    <w:rsid w:val="666B5FD0"/>
    <w:rsid w:val="69C3694F"/>
    <w:rsid w:val="6C2949A9"/>
    <w:rsid w:val="70120264"/>
    <w:rsid w:val="701E7921"/>
    <w:rsid w:val="74B13EAF"/>
    <w:rsid w:val="76275B67"/>
    <w:rsid w:val="7FDD7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WPS Plain"/>
    <w:qFormat/>
    <w:uiPriority w:val="0"/>
    <w:rPr>
      <w:rFonts w:asciiTheme="minorHAnsi" w:hAnsiTheme="minorHAnsi" w:eastAsiaTheme="minorEastAsia" w:cstheme="minorBidi"/>
      <w:sz w:val="21"/>
      <w:szCs w:val="22"/>
      <w:lang w:val="en-US" w:eastAsia="zh-CN" w:bidi="ar-SA"/>
    </w:rPr>
  </w:style>
  <w:style w:type="paragraph" w:customStyle="1" w:styleId="11">
    <w:name w:val="p15"/>
    <w:basedOn w:val="1"/>
    <w:qFormat/>
    <w:uiPriority w:val="0"/>
    <w:pPr>
      <w:widowControl/>
      <w:spacing w:line="240" w:lineRule="auto"/>
      <w:ind w:left="0"/>
      <w:jc w:val="left"/>
      <w:textAlignment w:val="auto"/>
    </w:pPr>
  </w:style>
  <w:style w:type="paragraph" w:customStyle="1" w:styleId="12">
    <w:name w:val="p0"/>
    <w:basedOn w:val="1"/>
    <w:qFormat/>
    <w:uiPriority w:val="0"/>
    <w:pPr>
      <w:widowControl/>
      <w:textAlignment w:val="auto"/>
    </w:pPr>
  </w:style>
  <w:style w:type="character" w:customStyle="1" w:styleId="13">
    <w:name w:val="页眉 Char"/>
    <w:basedOn w:val="7"/>
    <w:link w:val="3"/>
    <w:qFormat/>
    <w:uiPriority w:val="0"/>
    <w:rPr>
      <w:sz w:val="18"/>
      <w:szCs w:val="18"/>
    </w:rPr>
  </w:style>
  <w:style w:type="character" w:customStyle="1" w:styleId="14">
    <w:name w:val="10"/>
    <w:basedOn w:val="7"/>
    <w:qFormat/>
    <w:uiPriority w:val="0"/>
    <w:rPr>
      <w:rFonts w:hint="default" w:ascii="Times New Roman" w:hAnsi="Times New Roman" w:cs="Times New Roman"/>
    </w:rPr>
  </w:style>
  <w:style w:type="character" w:customStyle="1" w:styleId="15">
    <w:name w:val="15"/>
    <w:basedOn w:val="7"/>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1320</Words>
  <Characters>1562</Characters>
  <Lines>12</Lines>
  <Paragraphs>3</Paragraphs>
  <TotalTime>187</TotalTime>
  <ScaleCrop>false</ScaleCrop>
  <LinksUpToDate>false</LinksUpToDate>
  <CharactersWithSpaces>1579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2017-01-11T12:47:00Z</dcterms:created>
  <dc:creator>安阳市城乡一体化示范区公共资源交易分中心:王立楠</dc:creator>
  <cp:lastModifiedBy>安阳市城乡一体化示范区公共资源交易分中心:郭强</cp:lastModifiedBy>
  <cp:lastPrinted>2017-03-28T15:19:00Z</cp:lastPrinted>
  <dcterms:modified xsi:type="dcterms:W3CDTF">2023-05-06T02:55:30Z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06630DBEA1A845C3B187647537B21E0F</vt:lpwstr>
  </property>
</Properties>
</file>