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400" w:line="720" w:lineRule="exact"/>
        <w:jc w:val="both"/>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安阳县农业农村局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安阳县202</w:t>
      </w:r>
      <w:r>
        <w:rPr>
          <w:rFonts w:hint="default" w:ascii="方正小标宋简体" w:hAnsi="方正小标宋简体" w:eastAsia="方正小标宋简体" w:cs="方正小标宋简体"/>
          <w:color w:val="auto"/>
          <w:spacing w:val="0"/>
          <w:kern w:val="2"/>
          <w:sz w:val="44"/>
          <w:szCs w:val="44"/>
          <w:lang w:val="en" w:eastAsia="zh-CN" w:bidi="ar-SA"/>
        </w:rPr>
        <w:t>3</w:t>
      </w:r>
      <w:r>
        <w:rPr>
          <w:rFonts w:hint="eastAsia" w:ascii="方正小标宋简体" w:hAnsi="方正小标宋简体" w:eastAsia="方正小标宋简体" w:cs="方正小标宋简体"/>
          <w:color w:val="auto"/>
          <w:spacing w:val="0"/>
          <w:kern w:val="2"/>
          <w:sz w:val="44"/>
          <w:szCs w:val="44"/>
          <w:lang w:val="en-US" w:eastAsia="zh-CN" w:bidi="ar-SA"/>
        </w:rPr>
        <w:t>年花生测土配方施肥技术</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指 导 意 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bottom"/>
        <w:outlineLvl w:val="9"/>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both"/>
        <w:textAlignment w:val="bottom"/>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各乡（镇）农业技术服务中心：</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36" w:firstLineChars="199"/>
        <w:jc w:val="both"/>
        <w:textAlignment w:val="bottom"/>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sz w:val="32"/>
          <w:szCs w:val="32"/>
        </w:rPr>
        <w:t>花生是我</w:t>
      </w:r>
      <w:r>
        <w:rPr>
          <w:rFonts w:hint="eastAsia" w:ascii="仿宋_GB2312" w:hAnsi="仿宋_GB2312" w:eastAsia="仿宋_GB2312" w:cs="仿宋_GB2312"/>
          <w:sz w:val="32"/>
          <w:szCs w:val="32"/>
          <w:lang w:eastAsia="zh-CN"/>
        </w:rPr>
        <w:t>县重要</w:t>
      </w:r>
      <w:r>
        <w:rPr>
          <w:rFonts w:hint="eastAsia" w:ascii="仿宋_GB2312" w:hAnsi="仿宋_GB2312" w:eastAsia="仿宋_GB2312" w:cs="仿宋_GB2312"/>
          <w:sz w:val="32"/>
          <w:szCs w:val="32"/>
        </w:rPr>
        <w:t>的油料作物，为深入贯彻落实中央一号文件精神，推进大豆和油料产能提升工程，加快化肥减量增效技术推广应用，提高科学施肥水平，保障我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花生绿色、高质、高效、安全生产，结合我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实际，特</w:t>
      </w:r>
      <w:r>
        <w:rPr>
          <w:rFonts w:hint="eastAsia" w:ascii="仿宋_GB2312" w:hAnsi="仿宋_GB2312" w:eastAsia="仿宋_GB2312" w:cs="仿宋_GB2312"/>
          <w:sz w:val="32"/>
          <w:szCs w:val="32"/>
          <w:lang w:eastAsia="zh-CN"/>
        </w:rPr>
        <w:t>制定安阳县</w:t>
      </w:r>
      <w:r>
        <w:rPr>
          <w:rFonts w:hint="eastAsia" w:ascii="仿宋_GB2312" w:hAnsi="仿宋_GB2312" w:eastAsia="仿宋_GB2312" w:cs="仿宋_GB2312"/>
          <w:sz w:val="32"/>
          <w:szCs w:val="32"/>
        </w:rPr>
        <w:t>2023年花生</w:t>
      </w:r>
      <w:r>
        <w:rPr>
          <w:rFonts w:hint="eastAsia" w:ascii="仿宋_GB2312" w:hAnsi="仿宋_GB2312" w:eastAsia="仿宋_GB2312" w:cs="仿宋_GB2312"/>
          <w:color w:val="000000"/>
          <w:sz w:val="32"/>
          <w:szCs w:val="32"/>
          <w:lang w:eastAsia="zh-CN"/>
        </w:rPr>
        <w:t>测土配方</w:t>
      </w:r>
      <w:r>
        <w:rPr>
          <w:rFonts w:hint="eastAsia" w:ascii="仿宋_GB2312" w:hAnsi="仿宋_GB2312" w:eastAsia="仿宋_GB2312" w:cs="仿宋_GB2312"/>
          <w:sz w:val="32"/>
          <w:szCs w:val="32"/>
        </w:rPr>
        <w:t>施肥技术指导意见</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419" w:firstLineChars="131"/>
        <w:jc w:val="both"/>
        <w:textAlignment w:val="bottom"/>
        <w:outlineLvl w:val="9"/>
        <w:rPr>
          <w:rFonts w:hint="eastAsia" w:ascii="黑体" w:hAnsi="黑体" w:eastAsia="黑体" w:cs="黑体"/>
          <w:sz w:val="32"/>
          <w:szCs w:val="32"/>
        </w:rPr>
      </w:pPr>
      <w:r>
        <w:rPr>
          <w:rFonts w:hint="eastAsia" w:eastAsia="仿宋_GB2312"/>
          <w:color w:val="000000"/>
          <w:sz w:val="32"/>
          <w:szCs w:val="32"/>
          <w:lang w:val="en-US" w:eastAsia="zh-CN"/>
        </w:rPr>
        <w:t xml:space="preserve"> </w:t>
      </w:r>
      <w:r>
        <w:rPr>
          <w:rFonts w:hint="eastAsia" w:ascii="黑体" w:hAnsi="黑体" w:eastAsia="黑体" w:cs="黑体"/>
          <w:sz w:val="32"/>
          <w:szCs w:val="32"/>
        </w:rPr>
        <w:t>一、施肥原则</w:t>
      </w:r>
    </w:p>
    <w:p>
      <w:pPr>
        <w:keepNext w:val="0"/>
        <w:keepLines w:val="0"/>
        <w:pageBreakBefore w:val="0"/>
        <w:kinsoku/>
        <w:wordWrap/>
        <w:topLinePunct w:val="0"/>
        <w:autoSpaceDE/>
        <w:autoSpaceDN/>
        <w:bidi w:val="0"/>
        <w:spacing w:line="580" w:lineRule="exact"/>
        <w:ind w:firstLine="640" w:firstLineChars="200"/>
        <w:jc w:val="left"/>
        <w:rPr>
          <w:rFonts w:hint="eastAsia" w:ascii="仿宋_GB2312" w:hAnsi="仿宋_GB2312" w:eastAsia="仿宋_GB2312" w:cs="仿宋_GB2312"/>
          <w:color w:val="auto"/>
          <w:kern w:val="0"/>
          <w:sz w:val="32"/>
          <w:szCs w:val="32"/>
          <w:lang w:eastAsia="zh-CN"/>
        </w:rPr>
      </w:pPr>
      <w:r>
        <w:rPr>
          <w:rFonts w:hint="eastAsia" w:ascii="楷体" w:hAnsi="楷体" w:eastAsia="楷体" w:cs="楷体"/>
          <w:b w:val="0"/>
          <w:bCs/>
          <w:color w:val="000000" w:themeColor="text1"/>
          <w:sz w:val="32"/>
          <w:szCs w:val="32"/>
          <w:lang w:eastAsia="zh-CN"/>
          <w14:textFill>
            <w14:solidFill>
              <w14:schemeClr w14:val="tx1"/>
            </w14:solidFill>
          </w14:textFill>
        </w:rPr>
        <w:t>（一）</w:t>
      </w:r>
      <w:r>
        <w:rPr>
          <w:rFonts w:hint="eastAsia" w:ascii="楷体" w:hAnsi="楷体" w:eastAsia="楷体" w:cs="楷体"/>
          <w:b w:val="0"/>
          <w:bCs/>
          <w:color w:val="000000" w:themeColor="text1"/>
          <w:sz w:val="32"/>
          <w:szCs w:val="32"/>
          <w14:textFill>
            <w14:solidFill>
              <w14:schemeClr w14:val="tx1"/>
            </w14:solidFill>
          </w14:textFill>
        </w:rPr>
        <w:t>均衡供应氮磷钾养分。</w:t>
      </w:r>
      <w:r>
        <w:rPr>
          <w:rFonts w:hint="eastAsia" w:ascii="仿宋_GB2312" w:hAnsi="仿宋_GB2312" w:eastAsia="仿宋_GB2312" w:cs="仿宋_GB2312"/>
          <w:color w:val="auto"/>
          <w:kern w:val="0"/>
          <w:sz w:val="32"/>
          <w:szCs w:val="32"/>
          <w:lang w:eastAsia="zh-CN"/>
        </w:rPr>
        <w:t>以地定产、以产定氮、以土壤磷、钾丰缺指标确定磷钾用量。一般磷钾养分一次性底施，氮肥应综合作物需肥规律和土壤供肥能力，采用一次性或基追结合的方式按一定比例分次施入。</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楷体" w:hAnsi="楷体" w:eastAsia="楷体" w:cs="楷体"/>
          <w:b w:val="0"/>
          <w:bCs/>
          <w:color w:val="000000" w:themeColor="text1"/>
          <w:sz w:val="32"/>
          <w:szCs w:val="32"/>
          <w:lang w:eastAsia="zh-CN"/>
          <w14:textFill>
            <w14:solidFill>
              <w14:schemeClr w14:val="tx1"/>
            </w14:solidFill>
          </w14:textFill>
        </w:rPr>
        <w:t>（二）科学调整肥料品种。</w:t>
      </w:r>
      <w:r>
        <w:rPr>
          <w:rFonts w:hint="eastAsia" w:ascii="仿宋_GB2312" w:hAnsi="仿宋_GB2312" w:eastAsia="仿宋_GB2312" w:cs="仿宋_GB2312"/>
          <w:color w:val="auto"/>
          <w:kern w:val="0"/>
          <w:sz w:val="32"/>
          <w:szCs w:val="32"/>
          <w:lang w:eastAsia="zh-CN"/>
        </w:rPr>
        <w:t>土壤连作障碍田块增施有机肥、微生物肥、土壤调理剂；肥力较低的砂土、轻壤土和生茬地，增施有机肥料、花生根瘤菌肥，培肥土壤、增强根瘤固氮能力。</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楷体" w:hAnsi="楷体" w:eastAsia="楷体" w:cs="楷体"/>
          <w:b w:val="0"/>
          <w:bCs/>
          <w:color w:val="000000" w:themeColor="text1"/>
          <w:sz w:val="32"/>
          <w:szCs w:val="32"/>
          <w:lang w:eastAsia="zh-CN"/>
          <w14:textFill>
            <w14:solidFill>
              <w14:schemeClr w14:val="tx1"/>
            </w14:solidFill>
          </w14:textFill>
        </w:rPr>
        <w:t>（三）巧补中微量元素肥料。</w:t>
      </w:r>
      <w:r>
        <w:rPr>
          <w:rFonts w:hint="eastAsia" w:ascii="仿宋_GB2312" w:hAnsi="仿宋_GB2312" w:eastAsia="仿宋_GB2312" w:cs="仿宋_GB2312"/>
          <w:color w:val="auto"/>
          <w:kern w:val="0"/>
          <w:sz w:val="32"/>
          <w:szCs w:val="32"/>
          <w:lang w:eastAsia="zh-CN"/>
        </w:rPr>
        <w:t>中性、碱性土壤选用过磷酸钙等酸性肥料补钙。其中，石灰宜每2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3年施用一次；钼、硼等微量元素可采取拌种或与根瘤菌剂混合拌种方式，提高结瘤效率；也可以采用水溶性中微量元素肥叶面喷施。</w:t>
      </w:r>
    </w:p>
    <w:p>
      <w:pPr>
        <w:keepNext w:val="0"/>
        <w:keepLines w:val="0"/>
        <w:pageBreakBefore w:val="0"/>
        <w:kinsoku/>
        <w:wordWrap/>
        <w:overflowPunct w:val="0"/>
        <w:topLinePunct w:val="0"/>
        <w:autoSpaceDE/>
        <w:autoSpaceDN/>
        <w:bidi w:val="0"/>
        <w:spacing w:line="58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楷体" w:hAnsi="楷体" w:eastAsia="楷体" w:cs="楷体"/>
          <w:b w:val="0"/>
          <w:bCs/>
          <w:color w:val="000000" w:themeColor="text1"/>
          <w:sz w:val="32"/>
          <w:szCs w:val="32"/>
          <w:lang w:eastAsia="zh-CN"/>
          <w14:textFill>
            <w14:solidFill>
              <w14:schemeClr w14:val="tx1"/>
            </w14:solidFill>
          </w14:textFill>
        </w:rPr>
        <w:t>（四）注重耕地的用养结合。</w:t>
      </w:r>
      <w:r>
        <w:rPr>
          <w:rFonts w:hint="eastAsia" w:ascii="仿宋_GB2312" w:hAnsi="仿宋_GB2312" w:eastAsia="仿宋_GB2312" w:cs="仿宋_GB2312"/>
          <w:color w:val="auto"/>
          <w:kern w:val="0"/>
          <w:sz w:val="32"/>
          <w:szCs w:val="32"/>
          <w:lang w:eastAsia="zh-CN"/>
        </w:rPr>
        <w:t>春播花生生长周期长，种植要注意耕地用养结合，麦套花生要统筹小麦—花生周年施肥；夏直播花生宜适时灭茬、整地，减少秸秆对花生生长发育的影响。</w:t>
      </w:r>
    </w:p>
    <w:p>
      <w:pPr>
        <w:keepNext w:val="0"/>
        <w:keepLines w:val="0"/>
        <w:pageBreakBefore w:val="0"/>
        <w:kinsoku/>
        <w:wordWrap/>
        <w:topLinePunct w:val="0"/>
        <w:autoSpaceDE/>
        <w:autoSpaceDN/>
        <w:bidi w:val="0"/>
        <w:spacing w:line="58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施肥建议</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rPr>
          <w:rFonts w:hint="eastAsia" w:eastAsia="楷体"/>
          <w:b w:val="0"/>
          <w:bCs/>
          <w:color w:val="000000" w:themeColor="text1"/>
          <w:sz w:val="32"/>
          <w:szCs w:val="32"/>
          <w14:textFill>
            <w14:solidFill>
              <w14:schemeClr w14:val="tx1"/>
            </w14:solidFill>
          </w14:textFill>
        </w:rPr>
      </w:pPr>
      <w:r>
        <w:rPr>
          <w:rFonts w:eastAsia="楷体"/>
          <w:b w:val="0"/>
          <w:bCs/>
          <w:color w:val="000000" w:themeColor="text1"/>
          <w:sz w:val="32"/>
          <w:szCs w:val="32"/>
          <w14:textFill>
            <w14:solidFill>
              <w14:schemeClr w14:val="tx1"/>
            </w14:solidFill>
          </w14:textFill>
        </w:rPr>
        <w:t>（一）土壤施肥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bottom"/>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 春播花生。春播花生生长期长，产量较高，可在夏花生区域推荐施肥基础上增加10%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20%的施肥量。（1）底肥。底肥以基施为主，磷肥、钾肥、钙肥、60%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80%的氮肥随整地施入或种肥同播同期播（施）入。土壤肥力中等或偏低的地块应重视有机肥的施用，建议每亩基施商品有机肥100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200公斤或发酵腐熟有机肥500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1000公斤。（2）追肥。在花生初花期，结合中耕或灌溉追施剩余20</w:t>
      </w:r>
      <w:r>
        <w:rPr>
          <w:rFonts w:hint="default" w:ascii="仿宋_GB2312" w:hAnsi="仿宋_GB2312" w:eastAsia="仿宋_GB2312" w:cs="仿宋_GB2312"/>
          <w:color w:val="auto"/>
          <w:kern w:val="0"/>
          <w:sz w:val="32"/>
          <w:szCs w:val="32"/>
          <w:lang w:val="en" w:eastAsia="zh-CN"/>
        </w:rPr>
        <w:t>%</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40%的氮肥。（3）覆膜种植。春季花生覆膜种植时，施肥以一次性底施为主，化肥、有机肥、钙肥于旋耕整地时施入，建议每亩基施商品有机肥100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200公斤或发酵腐熟有机肥500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1000公斤、石灰50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80公斤。</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bottom"/>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 麦套花生。（1）底肥。麦套花生应注意统筹小麦</w:t>
      </w:r>
      <w:r>
        <w:rPr>
          <w:rFonts w:hint="eastAsia" w:ascii="仿宋_GB2312" w:hAnsi="仿宋_GB2312" w:eastAsia="仿宋_GB2312" w:cs="仿宋_GB2312"/>
          <w:color w:val="auto"/>
          <w:kern w:val="0"/>
          <w:sz w:val="32"/>
          <w:szCs w:val="32"/>
          <w:lang w:val="en" w:eastAsia="zh-CN"/>
        </w:rPr>
        <w:t>—</w:t>
      </w:r>
      <w:r>
        <w:rPr>
          <w:rFonts w:hint="eastAsia" w:ascii="仿宋_GB2312" w:hAnsi="仿宋_GB2312" w:eastAsia="仿宋_GB2312" w:cs="仿宋_GB2312"/>
          <w:color w:val="auto"/>
          <w:kern w:val="0"/>
          <w:sz w:val="32"/>
          <w:szCs w:val="32"/>
          <w:lang w:eastAsia="zh-CN"/>
        </w:rPr>
        <w:t>花生周年施肥，有机肥全部作为前茬小麦底肥施入，建议每亩基施发酵腐熟有机肥500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1000公斤。（2）追肥。化肥以苗期机械追肥为主，或初花前结合灌溉及时追肥。一般重壤以上质地的土壤上可于苗期一次性追施；壤质、砂质土壤上40%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60%的氮肥随磷肥、钾肥、钙肥苗期一次性追施，其余氮肥在初花期追施。</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bottom"/>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3. 夏直播花生。（1）底肥。夏直播花生施肥以底施为主，建议采用种肥异位同播技术。土壤质地偏粘的中、高产地块，底肥可采用一次性施肥；中低产田块氮肥采取基追结合方式分次施用，先将50%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70%氮肥和全部磷肥、钾肥、钙肥与种子同时施（播）入。（2）追肥。剩余30%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50%的氮肥于苗期至花针期追施。</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bottom"/>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4. 配套技术。（1）整地。春播花生播种前一般采用深翻后旋耕整地，以加厚活土层；夏直播花生播种时，有条件的地方可于小麦收获后，及时灭茬、整地，减少秸秆对花生生长发育的影响，耕作深度15厘米左右。（2）调理连作障碍。花生连作土壤养分平衡性差，土传病害较重，可在施用有机肥的基础上增施功能微生物菌肥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3公斤或土壤调理剂</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0</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0公斤。（3）一次性施肥技术。花生一次性施肥推荐种肥异位同播技术，施肥时建议施用缓释（控释）肥料，高肥力地块可将氮肥用量调减5%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10%。（4）土壤追肥方式。土壤追肥可结合实际采用机械开沟条施覆土的方法，施肥深度为10厘米左右，也可结合灌溉进行追肥。灌溉追肥时注意控制水分用量，减少养分流失。（5）巧施中微量元素。花生要视土壤丰缺状况巧施钙、硫、锌等中、微量元素肥，缺乏地块每亩可底施钙肥10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20公斤、硫肥2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4公斤、锌肥1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2公斤。偏碱性土壤建议施用过磷酸钙进行土壤调理和补钙，以提高根瘤菌的固氮能力，改善氮素营养，促进荚果发育，减少空壳和烂果。（6）增施根瘤菌肥。肥力较低的砂土、轻壤土和生茬地宜增施花生根瘤菌肥，增强根瘤固氮能力。底施根瘤菌肥推荐用量为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3公斤/亩，拌种或种子包衣用量应保证活菌数不低于80亿个/亩。</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rPr>
          <w:rFonts w:eastAsia="楷体"/>
          <w:b w:val="0"/>
          <w:bCs/>
          <w:color w:val="000000" w:themeColor="text1"/>
          <w:sz w:val="32"/>
          <w:szCs w:val="32"/>
          <w14:textFill>
            <w14:solidFill>
              <w14:schemeClr w14:val="tx1"/>
            </w14:solidFill>
          </w14:textFill>
        </w:rPr>
      </w:pPr>
      <w:r>
        <w:rPr>
          <w:rFonts w:eastAsia="楷体"/>
          <w:b w:val="0"/>
          <w:bCs/>
          <w:color w:val="000000" w:themeColor="text1"/>
          <w:sz w:val="32"/>
          <w:szCs w:val="32"/>
          <w14:textFill>
            <w14:solidFill>
              <w14:schemeClr w14:val="tx1"/>
            </w14:solidFill>
          </w14:textFill>
        </w:rPr>
        <w:t>（二）叶面施肥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bottom"/>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根据需要选择叶面肥。肥液要随配随用，将肥液均匀地喷洒于叶片正反两面。喷洒应在无风天上午10时以前或下午16时以后喷施，喷后4小时内遇雨，应重喷。</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bottom"/>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1.大中量元素肥。(1)生长发育初期。一般肥力水平较低的花生田，叶面喷施1%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2%尿素溶液，快速补充养分。(2)结荚后期。根据长势可每隔10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15天，叶面喷施0.1%</w:t>
      </w:r>
      <w:r>
        <w:rPr>
          <w:rFonts w:hint="eastAsia" w:ascii="仿宋_GB2312" w:hAnsi="仿宋_GB2312" w:eastAsia="仿宋_GB2312" w:cs="仿宋_GB2312"/>
          <w:color w:val="auto"/>
          <w:kern w:val="0"/>
          <w:sz w:val="32"/>
          <w:szCs w:val="32"/>
          <w:lang w:val="en" w:eastAsia="zh-CN"/>
        </w:rPr>
        <w:t>~</w:t>
      </w:r>
      <w:r>
        <w:rPr>
          <w:rFonts w:hint="eastAsia" w:ascii="仿宋_GB2312" w:hAnsi="仿宋_GB2312" w:eastAsia="仿宋_GB2312" w:cs="仿宋_GB2312"/>
          <w:color w:val="auto"/>
          <w:kern w:val="0"/>
          <w:sz w:val="32"/>
          <w:szCs w:val="32"/>
          <w:lang w:eastAsia="zh-CN"/>
        </w:rPr>
        <w:t>0.3%磷酸二氢钾溶液或2%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3%的过磷酸钙澄清液和1%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2%的尿素混合水溶液，共喷2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3次，促生长、防早衰。(3)饱果期。喷施含钙、锌等水溶性中微量元素肥料，促进营养吸收结大果，提高饱果率。</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bottom"/>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2.微量元素肥。在花生结荚期，结合病虫害防治，推广药肥同喷的正阳县花生三遍药模式，叶面补施含锌、硼、钼等微量元素水溶肥料，促进荚果发育。每隔7</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10天喷施1次，喷施3次。</w:t>
      </w:r>
    </w:p>
    <w:p>
      <w:pPr>
        <w:keepNext w:val="0"/>
        <w:keepLines w:val="0"/>
        <w:pageBreakBefore w:val="0"/>
        <w:widowControl/>
        <w:shd w:val="clear" w:color="auto" w:fill="FFFFFF"/>
        <w:kinsoku/>
        <w:wordWrap/>
        <w:topLinePunct w:val="0"/>
        <w:autoSpaceDE/>
        <w:autoSpaceDN/>
        <w:bidi w:val="0"/>
        <w:adjustRightInd w:val="0"/>
        <w:snapToGrid w:val="0"/>
        <w:spacing w:line="580" w:lineRule="exact"/>
        <w:ind w:firstLine="640" w:firstLineChars="200"/>
        <w:rPr>
          <w:rFonts w:eastAsia="黑体"/>
          <w:bCs/>
          <w:kern w:val="0"/>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w:t>
      </w:r>
      <w:r>
        <w:rPr>
          <w:rFonts w:eastAsia="黑体"/>
          <w:bCs/>
          <w:kern w:val="0"/>
          <w:sz w:val="32"/>
          <w:szCs w:val="32"/>
        </w:rPr>
        <w:t>花生化肥减量增效技术</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bottom"/>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重点开展测土配方施肥、缓（控）释肥应用、水肥一体化、有机肥替代化肥和增施根瘤菌肥等新技术的示范应用，实现花生施肥减量化目标，推进绿色发展。各地可结合生产实际组合运用。</w:t>
      </w:r>
    </w:p>
    <w:p>
      <w:pPr>
        <w:keepNext w:val="0"/>
        <w:keepLines w:val="0"/>
        <w:pageBreakBefore w:val="0"/>
        <w:numPr>
          <w:ilvl w:val="0"/>
          <w:numId w:val="1"/>
        </w:numPr>
        <w:shd w:val="clear" w:color="auto" w:fill="FFFFFF"/>
        <w:kinsoku/>
        <w:wordWrap/>
        <w:overflowPunct w:val="0"/>
        <w:topLinePunct w:val="0"/>
        <w:autoSpaceDE/>
        <w:autoSpaceDN/>
        <w:bidi w:val="0"/>
        <w:adjustRightInd w:val="0"/>
        <w:snapToGrid w:val="0"/>
        <w:spacing w:line="580" w:lineRule="exact"/>
        <w:ind w:firstLine="640" w:firstLineChars="200"/>
        <w:rPr>
          <w:rFonts w:hint="eastAsia" w:eastAsia="楷体"/>
          <w:b w:val="0"/>
          <w:bCs/>
          <w:color w:val="000000" w:themeColor="text1"/>
          <w:sz w:val="32"/>
          <w:szCs w:val="32"/>
          <w14:textFill>
            <w14:solidFill>
              <w14:schemeClr w14:val="tx1"/>
            </w14:solidFill>
          </w14:textFill>
        </w:rPr>
      </w:pPr>
      <w:r>
        <w:rPr>
          <w:rFonts w:hint="eastAsia" w:eastAsia="楷体"/>
          <w:b w:val="0"/>
          <w:bCs/>
          <w:color w:val="000000" w:themeColor="text1"/>
          <w:sz w:val="32"/>
          <w:szCs w:val="32"/>
          <w14:textFill>
            <w14:solidFill>
              <w14:schemeClr w14:val="tx1"/>
            </w14:solidFill>
          </w14:textFill>
        </w:rPr>
        <w:t>测土配方施肥技术</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理划分施肥单元，根据花生产量水平、养分需求和土壤肥力等，推荐区域大配方，区域大配方是以45%含量为例，其它含量配方可根据氮、磷、钾的实际用量进行调整。各地应结合实际情况，进一步细化配方，确定合适的用量及使用时期，科学配方施肥。</w:t>
      </w:r>
    </w:p>
    <w:p>
      <w:pPr>
        <w:keepNext w:val="0"/>
        <w:keepLines w:val="0"/>
        <w:pageBreakBefore w:val="0"/>
        <w:numPr>
          <w:ilvl w:val="0"/>
          <w:numId w:val="1"/>
        </w:numPr>
        <w:shd w:val="clear" w:color="auto" w:fill="FFFFFF"/>
        <w:kinsoku/>
        <w:wordWrap/>
        <w:overflowPunct w:val="0"/>
        <w:topLinePunct w:val="0"/>
        <w:autoSpaceDE/>
        <w:autoSpaceDN/>
        <w:bidi w:val="0"/>
        <w:adjustRightInd w:val="0"/>
        <w:snapToGrid w:val="0"/>
        <w:spacing w:line="580" w:lineRule="exact"/>
        <w:ind w:firstLine="640" w:firstLineChars="200"/>
        <w:rPr>
          <w:rFonts w:hint="eastAsia" w:eastAsia="楷体"/>
          <w:b w:val="0"/>
          <w:bCs/>
          <w:color w:val="000000" w:themeColor="text1"/>
          <w:sz w:val="32"/>
          <w:szCs w:val="32"/>
          <w14:textFill>
            <w14:solidFill>
              <w14:schemeClr w14:val="tx1"/>
            </w14:solidFill>
          </w14:textFill>
        </w:rPr>
      </w:pPr>
      <w:r>
        <w:rPr>
          <w:rFonts w:hint="eastAsia" w:eastAsia="楷体"/>
          <w:b w:val="0"/>
          <w:bCs/>
          <w:color w:val="000000" w:themeColor="text1"/>
          <w:sz w:val="32"/>
          <w:szCs w:val="32"/>
          <w14:textFill>
            <w14:solidFill>
              <w14:schemeClr w14:val="tx1"/>
            </w14:solidFill>
          </w14:textFill>
        </w:rPr>
        <w:t>缓（控）释肥应用技术</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rPr>
          <w:rFonts w:hint="eastAsia" w:ascii="楷体" w:hAnsi="楷体" w:eastAsia="楷体" w:cs="楷体"/>
          <w:sz w:val="32"/>
          <w:szCs w:val="32"/>
        </w:rPr>
      </w:pPr>
      <w:r>
        <w:rPr>
          <w:rFonts w:hint="eastAsia" w:ascii="仿宋_GB2312" w:hAnsi="仿宋_GB2312" w:eastAsia="仿宋_GB2312" w:cs="仿宋_GB2312"/>
          <w:sz w:val="32"/>
          <w:szCs w:val="32"/>
        </w:rPr>
        <w:t>在春花生、夏直播花生种植区，整地后，结合起垄、施肥和播种一体化技术，优先选用包膜型缓（控）释肥料，通过种肥异位同播机将种子与底肥一次性施入土壤，保证肥料施用后前期不烧苗烧根，中期营养成分足，后期不脱肥，高肥力地块可适度调减氮肥用量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10%。种肥同播时，根据花生株距、行距及播种深度等要求，调整种肥同播机具参数，施肥位置在种子位置下方，两者要有5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8厘米间距，防止种子与肥料距离过近，导致烧苗，一般施肥深度在土表下10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20厘米，播种深度3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5厘米。</w:t>
      </w:r>
    </w:p>
    <w:p>
      <w:pPr>
        <w:keepNext w:val="0"/>
        <w:keepLines w:val="0"/>
        <w:pageBreakBefore w:val="0"/>
        <w:numPr>
          <w:ilvl w:val="0"/>
          <w:numId w:val="1"/>
        </w:numPr>
        <w:shd w:val="clear" w:color="auto" w:fill="FFFFFF"/>
        <w:kinsoku/>
        <w:wordWrap/>
        <w:overflowPunct w:val="0"/>
        <w:topLinePunct w:val="0"/>
        <w:autoSpaceDE/>
        <w:autoSpaceDN/>
        <w:bidi w:val="0"/>
        <w:adjustRightInd w:val="0"/>
        <w:snapToGrid w:val="0"/>
        <w:spacing w:line="580" w:lineRule="exact"/>
        <w:ind w:firstLine="640" w:firstLineChars="200"/>
        <w:rPr>
          <w:rFonts w:hint="eastAsia" w:eastAsia="楷体"/>
          <w:b w:val="0"/>
          <w:bCs/>
          <w:color w:val="000000" w:themeColor="text1"/>
          <w:sz w:val="32"/>
          <w:szCs w:val="32"/>
          <w14:textFill>
            <w14:solidFill>
              <w14:schemeClr w14:val="tx1"/>
            </w14:solidFill>
          </w14:textFill>
        </w:rPr>
      </w:pPr>
      <w:r>
        <w:rPr>
          <w:rFonts w:hint="eastAsia" w:eastAsia="楷体"/>
          <w:b w:val="0"/>
          <w:bCs/>
          <w:color w:val="000000" w:themeColor="text1"/>
          <w:sz w:val="32"/>
          <w:szCs w:val="32"/>
          <w14:textFill>
            <w14:solidFill>
              <w14:schemeClr w14:val="tx1"/>
            </w14:solidFill>
          </w14:textFill>
        </w:rPr>
        <w:t>水肥一体化技术</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花生一般宜种植在沙土和沙壤土的耕地上，因沙土和沙壤土保水保肥性能差，宜在增施有机肥的基础上，采用滴灌、喷灌、微灌等水肥一体化技术，按照“肥随水走、少量多次、分阶段拟合”的原则制定灌溉施肥制度，充分利用灌溉系统进行施肥，适当增加追肥数量和次数，实现少量多次，提高养分利用率，降低化肥用量，使用水肥一体化可适度调减化肥用量15%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rPr>
          <w:rFonts w:hint="eastAsia" w:eastAsia="楷体"/>
          <w:b/>
          <w:bCs w:val="0"/>
          <w:color w:val="000000" w:themeColor="text1"/>
          <w:sz w:val="32"/>
          <w:szCs w:val="32"/>
          <w14:textFill>
            <w14:solidFill>
              <w14:schemeClr w14:val="tx1"/>
            </w14:solidFill>
          </w14:textFill>
        </w:rPr>
      </w:pPr>
      <w:r>
        <w:rPr>
          <w:rFonts w:eastAsia="楷体"/>
          <w:b w:val="0"/>
          <w:bCs/>
          <w:color w:val="000000" w:themeColor="text1"/>
          <w:sz w:val="32"/>
          <w:szCs w:val="32"/>
          <w14:textFill>
            <w14:solidFill>
              <w14:schemeClr w14:val="tx1"/>
            </w14:solidFill>
          </w14:textFill>
        </w:rPr>
        <w:t>（</w:t>
      </w:r>
      <w:r>
        <w:rPr>
          <w:rFonts w:hint="eastAsia" w:eastAsia="楷体"/>
          <w:b w:val="0"/>
          <w:bCs/>
          <w:color w:val="000000" w:themeColor="text1"/>
          <w:sz w:val="32"/>
          <w:szCs w:val="32"/>
          <w14:textFill>
            <w14:solidFill>
              <w14:schemeClr w14:val="tx1"/>
            </w14:solidFill>
          </w14:textFill>
        </w:rPr>
        <w:t>四</w:t>
      </w:r>
      <w:r>
        <w:rPr>
          <w:rFonts w:eastAsia="楷体"/>
          <w:b w:val="0"/>
          <w:bCs/>
          <w:color w:val="000000" w:themeColor="text1"/>
          <w:sz w:val="32"/>
          <w:szCs w:val="32"/>
          <w14:textFill>
            <w14:solidFill>
              <w14:schemeClr w14:val="tx1"/>
            </w14:solidFill>
          </w14:textFill>
        </w:rPr>
        <w:t>）有机肥</w:t>
      </w:r>
      <w:r>
        <w:rPr>
          <w:rFonts w:hint="eastAsia" w:eastAsia="楷体"/>
          <w:b w:val="0"/>
          <w:bCs/>
          <w:color w:val="000000" w:themeColor="text1"/>
          <w:sz w:val="32"/>
          <w:szCs w:val="32"/>
          <w14:textFill>
            <w14:solidFill>
              <w14:schemeClr w14:val="tx1"/>
            </w14:solidFill>
          </w14:textFill>
        </w:rPr>
        <w:t>替代化肥技术</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推广应用商品有机肥、生物有机肥和发酵腐熟有机肥，鼓励种植大户、专业合作社集中堆肥，以有机肥替代部分化肥。一般商品有机肥推荐用量为200公斤/亩左右，发酵腐熟有机肥用量为500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1000公斤/亩，以有机肥替代部分化肥，减施化肥，高肥力地块可适度调减氮肥用量20%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rPr>
          <w:rFonts w:hint="eastAsia" w:eastAsia="楷体"/>
          <w:b w:val="0"/>
          <w:bCs/>
          <w:color w:val="000000" w:themeColor="text1"/>
          <w:sz w:val="32"/>
          <w:szCs w:val="32"/>
          <w14:textFill>
            <w14:solidFill>
              <w14:schemeClr w14:val="tx1"/>
            </w14:solidFill>
          </w14:textFill>
        </w:rPr>
      </w:pPr>
      <w:r>
        <w:rPr>
          <w:rFonts w:eastAsia="楷体"/>
          <w:b w:val="0"/>
          <w:bCs/>
          <w:color w:val="000000" w:themeColor="text1"/>
          <w:sz w:val="32"/>
          <w:szCs w:val="32"/>
          <w14:textFill>
            <w14:solidFill>
              <w14:schemeClr w14:val="tx1"/>
            </w14:solidFill>
          </w14:textFill>
        </w:rPr>
        <w:t>（</w:t>
      </w:r>
      <w:r>
        <w:rPr>
          <w:rFonts w:hint="eastAsia" w:eastAsia="楷体"/>
          <w:b w:val="0"/>
          <w:bCs/>
          <w:color w:val="000000" w:themeColor="text1"/>
          <w:sz w:val="32"/>
          <w:szCs w:val="32"/>
          <w14:textFill>
            <w14:solidFill>
              <w14:schemeClr w14:val="tx1"/>
            </w14:solidFill>
          </w14:textFill>
        </w:rPr>
        <w:t>五</w:t>
      </w:r>
      <w:r>
        <w:rPr>
          <w:rFonts w:eastAsia="楷体"/>
          <w:b w:val="0"/>
          <w:bCs/>
          <w:color w:val="000000" w:themeColor="text1"/>
          <w:sz w:val="32"/>
          <w:szCs w:val="32"/>
          <w14:textFill>
            <w14:solidFill>
              <w14:schemeClr w14:val="tx1"/>
            </w14:solidFill>
          </w14:textFill>
        </w:rPr>
        <w:t>）</w:t>
      </w:r>
      <w:r>
        <w:rPr>
          <w:rFonts w:hint="eastAsia" w:eastAsia="楷体"/>
          <w:b w:val="0"/>
          <w:bCs/>
          <w:color w:val="000000" w:themeColor="text1"/>
          <w:sz w:val="32"/>
          <w:szCs w:val="32"/>
          <w14:textFill>
            <w14:solidFill>
              <w14:schemeClr w14:val="tx1"/>
            </w14:solidFill>
          </w14:textFill>
        </w:rPr>
        <w:t>接种</w:t>
      </w:r>
      <w:r>
        <w:rPr>
          <w:rFonts w:eastAsia="楷体"/>
          <w:b w:val="0"/>
          <w:bCs/>
          <w:color w:val="000000" w:themeColor="text1"/>
          <w:sz w:val="32"/>
          <w:szCs w:val="32"/>
          <w14:textFill>
            <w14:solidFill>
              <w14:schemeClr w14:val="tx1"/>
            </w14:solidFill>
          </w14:textFill>
        </w:rPr>
        <w:t>根瘤菌</w:t>
      </w:r>
      <w:r>
        <w:rPr>
          <w:rFonts w:hint="eastAsia" w:eastAsia="楷体"/>
          <w:b w:val="0"/>
          <w:bCs/>
          <w:color w:val="000000" w:themeColor="text1"/>
          <w:sz w:val="32"/>
          <w:szCs w:val="32"/>
          <w14:textFill>
            <w14:solidFill>
              <w14:schemeClr w14:val="tx1"/>
            </w14:solidFill>
          </w14:textFill>
        </w:rPr>
        <w:t>技术</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在生茬地及病害发生较轻的地块，结合配方肥施用，推广应用根瘤菌剂种子包衣或拌种或喷施技术接种根瘤菌，增强根瘤固氮能力，可适度调减氮肥用量20%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1.方法。用固体根瘤菌剂包衣或拌种时，种子表面均匀沾涂根瘤菌剂即可;用液体根瘤菌剂包衣或拌种时，种子表面刚好全部湿润即可。使用根瘤菌剂时，可添加0.05%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0.1%的钼酸铵或钼酸钠溶液以及01%的硼砂溶液与根瘤菌剂混合。提高根瘤菊结瘤效率，并注意防止花生种皮过湿脱落。也可在花生播种时进行根瘤菌剂喷施，配备专用喷施设备在播种时将液体根瘤菌稀释液喷洒在花生种子表面及其周围一壤。对已有农药包衣的种子，使用根瘤菌剂时建议添加专用种衣保护剂。播种后应及时浇水，保证土壤湿度在60%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70%，以利于根瘤菌生存。</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2.用量。液体根瘤菌剂包衣或拌种时，每亩花生种子菌剂的推荐用量为40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50毫升;固体根瘤菌剂包衣或拌种时，每亩花生种子菌剂的推荐用量为40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50克，保证活菌数不低于80亿个/亩。</w:t>
      </w:r>
    </w:p>
    <w:p>
      <w:pPr>
        <w:keepNext w:val="0"/>
        <w:keepLines w:val="0"/>
        <w:pageBreakBefore w:val="0"/>
        <w:widowControl/>
        <w:numPr>
          <w:ilvl w:val="0"/>
          <w:numId w:val="2"/>
        </w:numPr>
        <w:shd w:val="clear" w:color="auto" w:fill="FFFFFF"/>
        <w:kinsoku/>
        <w:wordWrap/>
        <w:topLinePunct w:val="0"/>
        <w:autoSpaceDE/>
        <w:autoSpaceDN/>
        <w:bidi w:val="0"/>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施肥技术指标与大配方</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汇总多年测土配方施肥研究成果，结合花生</w:t>
      </w:r>
      <w:r>
        <w:rPr>
          <w:rFonts w:hint="eastAsia" w:ascii="仿宋_GB2312" w:hAnsi="仿宋_GB2312" w:eastAsia="仿宋_GB2312" w:cs="仿宋_GB2312"/>
          <w:sz w:val="32"/>
          <w:szCs w:val="32"/>
          <w:lang w:eastAsia="zh-CN"/>
        </w:rPr>
        <w:t>在我县种植、</w:t>
      </w:r>
      <w:r>
        <w:rPr>
          <w:rFonts w:hint="eastAsia" w:ascii="仿宋_GB2312" w:hAnsi="仿宋_GB2312" w:eastAsia="仿宋_GB2312" w:cs="仿宋_GB2312"/>
          <w:sz w:val="32"/>
          <w:szCs w:val="32"/>
        </w:rPr>
        <w:t>土壤、气候特点，以地定产、以产定氮，以土壤磷、钾丰缺等级确定磷钾肥用量，制定、推荐</w:t>
      </w:r>
      <w:r>
        <w:rPr>
          <w:rFonts w:hint="eastAsia" w:ascii="仿宋_GB2312" w:hAnsi="仿宋_GB2312" w:eastAsia="仿宋_GB2312" w:cs="仿宋_GB2312"/>
          <w:sz w:val="32"/>
          <w:szCs w:val="32"/>
          <w:lang w:eastAsia="zh-CN"/>
        </w:rPr>
        <w:t>安阳县</w:t>
      </w:r>
      <w:r>
        <w:rPr>
          <w:rFonts w:hint="eastAsia" w:ascii="仿宋_GB2312" w:hAnsi="仿宋_GB2312" w:eastAsia="仿宋_GB2312" w:cs="仿宋_GB2312"/>
          <w:sz w:val="32"/>
          <w:szCs w:val="32"/>
        </w:rPr>
        <w:t>花生施肥技术指标与大配方（</w:t>
      </w:r>
      <w:r>
        <w:rPr>
          <w:rFonts w:hint="eastAsia" w:ascii="仿宋_GB2312" w:hAnsi="仿宋_GB2312" w:eastAsia="仿宋_GB2312" w:cs="仿宋_GB2312"/>
          <w:sz w:val="32"/>
          <w:szCs w:val="32"/>
          <w:lang w:val="en-US" w:eastAsia="zh-CN"/>
        </w:rPr>
        <w:t>见下</w:t>
      </w:r>
      <w:r>
        <w:rPr>
          <w:rFonts w:hint="eastAsia" w:ascii="仿宋_GB2312" w:hAnsi="仿宋_GB2312" w:eastAsia="仿宋_GB2312" w:cs="仿宋_GB2312"/>
          <w:sz w:val="32"/>
          <w:szCs w:val="32"/>
        </w:rPr>
        <w:t>表）。各地应结合实际情况，进一步细化配方，强化企业配肥、农民选肥用肥指导。</w:t>
      </w:r>
    </w:p>
    <w:p>
      <w:pPr>
        <w:keepNext w:val="0"/>
        <w:keepLines w:val="0"/>
        <w:pageBreakBefore w:val="0"/>
        <w:kinsoku/>
        <w:wordWrap/>
        <w:topLinePunct w:val="0"/>
        <w:autoSpaceDE/>
        <w:autoSpaceDN/>
        <w:bidi w:val="0"/>
        <w:spacing w:line="580" w:lineRule="exact"/>
        <w:ind w:firstLine="588" w:firstLineChars="196"/>
        <w:jc w:val="center"/>
        <w:rPr>
          <w:rFonts w:hint="eastAsia" w:ascii="黑体" w:hAnsi="黑体" w:eastAsia="黑体"/>
          <w:sz w:val="30"/>
          <w:szCs w:val="30"/>
          <w:lang w:val="en-US" w:eastAsia="zh-CN"/>
        </w:rPr>
      </w:pPr>
    </w:p>
    <w:p>
      <w:pPr>
        <w:keepNext w:val="0"/>
        <w:keepLines w:val="0"/>
        <w:pageBreakBefore w:val="0"/>
        <w:kinsoku/>
        <w:wordWrap/>
        <w:topLinePunct w:val="0"/>
        <w:autoSpaceDE/>
        <w:autoSpaceDN/>
        <w:bidi w:val="0"/>
        <w:spacing w:line="580" w:lineRule="exact"/>
        <w:ind w:firstLine="588" w:firstLineChars="196"/>
        <w:jc w:val="center"/>
        <w:rPr>
          <w:rFonts w:hint="eastAsia" w:ascii="黑体" w:hAnsi="黑体" w:eastAsia="黑体"/>
          <w:sz w:val="30"/>
          <w:szCs w:val="30"/>
          <w:lang w:val="en-US" w:eastAsia="zh-CN"/>
        </w:rPr>
      </w:pPr>
    </w:p>
    <w:p>
      <w:pPr>
        <w:keepNext w:val="0"/>
        <w:keepLines w:val="0"/>
        <w:pageBreakBefore w:val="0"/>
        <w:kinsoku/>
        <w:wordWrap/>
        <w:topLinePunct w:val="0"/>
        <w:autoSpaceDE/>
        <w:autoSpaceDN/>
        <w:bidi w:val="0"/>
        <w:spacing w:line="580" w:lineRule="exact"/>
        <w:ind w:firstLine="588" w:firstLineChars="196"/>
        <w:jc w:val="center"/>
        <w:rPr>
          <w:rFonts w:hint="eastAsia" w:ascii="黑体" w:hAnsi="黑体" w:eastAsia="黑体"/>
          <w:sz w:val="30"/>
          <w:szCs w:val="30"/>
          <w:lang w:val="en-US" w:eastAsia="zh-CN"/>
        </w:rPr>
      </w:pPr>
    </w:p>
    <w:p>
      <w:pPr>
        <w:keepNext w:val="0"/>
        <w:keepLines w:val="0"/>
        <w:pageBreakBefore w:val="0"/>
        <w:kinsoku/>
        <w:wordWrap/>
        <w:topLinePunct w:val="0"/>
        <w:autoSpaceDE/>
        <w:autoSpaceDN/>
        <w:bidi w:val="0"/>
        <w:spacing w:line="580" w:lineRule="exact"/>
        <w:ind w:firstLine="588" w:firstLineChars="196"/>
        <w:jc w:val="center"/>
        <w:rPr>
          <w:rFonts w:hint="eastAsia" w:ascii="黑体" w:hAnsi="黑体" w:eastAsia="黑体"/>
          <w:sz w:val="30"/>
          <w:szCs w:val="30"/>
          <w:lang w:val="en-US" w:eastAsia="zh-CN"/>
        </w:rPr>
      </w:pPr>
    </w:p>
    <w:p>
      <w:pPr>
        <w:keepNext w:val="0"/>
        <w:keepLines w:val="0"/>
        <w:pageBreakBefore w:val="0"/>
        <w:kinsoku/>
        <w:wordWrap/>
        <w:topLinePunct w:val="0"/>
        <w:autoSpaceDE/>
        <w:autoSpaceDN/>
        <w:bidi w:val="0"/>
        <w:spacing w:line="580" w:lineRule="exact"/>
        <w:ind w:firstLine="588" w:firstLineChars="196"/>
        <w:jc w:val="center"/>
        <w:rPr>
          <w:rFonts w:hint="eastAsia" w:ascii="黑体" w:hAnsi="黑体" w:eastAsia="黑体"/>
          <w:sz w:val="30"/>
          <w:szCs w:val="30"/>
          <w:lang w:val="en-US" w:eastAsia="zh-CN"/>
        </w:rPr>
      </w:pPr>
    </w:p>
    <w:p>
      <w:pPr>
        <w:keepNext w:val="0"/>
        <w:keepLines w:val="0"/>
        <w:pageBreakBefore w:val="0"/>
        <w:kinsoku/>
        <w:wordWrap/>
        <w:topLinePunct w:val="0"/>
        <w:autoSpaceDE/>
        <w:autoSpaceDN/>
        <w:bidi w:val="0"/>
        <w:spacing w:line="580" w:lineRule="exact"/>
        <w:ind w:firstLine="588" w:firstLineChars="196"/>
        <w:jc w:val="center"/>
        <w:rPr>
          <w:rFonts w:hint="eastAsia" w:ascii="黑体" w:hAnsi="黑体" w:eastAsia="黑体"/>
          <w:sz w:val="30"/>
          <w:szCs w:val="30"/>
          <w:lang w:val="en-US" w:eastAsia="zh-CN"/>
        </w:rPr>
      </w:pPr>
      <w:r>
        <w:rPr>
          <w:rFonts w:hint="eastAsia" w:ascii="黑体" w:hAnsi="黑体" w:eastAsia="黑体"/>
          <w:sz w:val="30"/>
          <w:szCs w:val="30"/>
          <w:lang w:val="en-US" w:eastAsia="zh-CN"/>
        </w:rPr>
        <w:t xml:space="preserve">表1 </w:t>
      </w:r>
      <w:r>
        <w:rPr>
          <w:rFonts w:hint="eastAsia" w:ascii="黑体" w:hAnsi="黑体" w:eastAsia="黑体"/>
          <w:sz w:val="30"/>
          <w:szCs w:val="30"/>
          <w:lang w:eastAsia="zh-CN"/>
        </w:rPr>
        <w:t>安阳县</w:t>
      </w:r>
      <w:r>
        <w:rPr>
          <w:rFonts w:hint="eastAsia" w:ascii="黑体" w:hAnsi="黑体" w:eastAsia="黑体"/>
          <w:sz w:val="30"/>
          <w:szCs w:val="30"/>
          <w:lang w:val="en-US" w:eastAsia="zh-CN"/>
        </w:rPr>
        <w:t>花生施肥技术指标推荐</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433"/>
        <w:gridCol w:w="1428"/>
        <w:gridCol w:w="1714"/>
        <w:gridCol w:w="1453"/>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727" w:type="pct"/>
            <w:gridSpan w:val="2"/>
            <w:noWrap w:val="0"/>
            <w:vAlign w:val="center"/>
          </w:tcPr>
          <w:p>
            <w:pPr>
              <w:spacing w:line="320" w:lineRule="exact"/>
              <w:jc w:val="center"/>
              <w:rPr>
                <w:rFonts w:eastAsia="仿宋_GB2312"/>
                <w:color w:val="000000"/>
                <w:szCs w:val="21"/>
              </w:rPr>
            </w:pPr>
            <w:r>
              <w:rPr>
                <w:rFonts w:eastAsia="仿宋_GB2312"/>
                <w:color w:val="000000"/>
                <w:szCs w:val="21"/>
              </w:rPr>
              <w:t>氮</w:t>
            </w:r>
          </w:p>
        </w:tc>
        <w:tc>
          <w:tcPr>
            <w:tcW w:w="1725" w:type="pct"/>
            <w:gridSpan w:val="2"/>
            <w:noWrap w:val="0"/>
            <w:vAlign w:val="center"/>
          </w:tcPr>
          <w:p>
            <w:pPr>
              <w:spacing w:line="320" w:lineRule="exact"/>
              <w:jc w:val="center"/>
              <w:rPr>
                <w:rFonts w:eastAsia="仿宋_GB2312"/>
                <w:color w:val="000000"/>
                <w:szCs w:val="21"/>
              </w:rPr>
            </w:pPr>
            <w:r>
              <w:rPr>
                <w:rFonts w:eastAsia="仿宋_GB2312"/>
                <w:color w:val="000000"/>
                <w:szCs w:val="21"/>
              </w:rPr>
              <w:t>磷</w:t>
            </w:r>
          </w:p>
        </w:tc>
        <w:tc>
          <w:tcPr>
            <w:tcW w:w="1546" w:type="pct"/>
            <w:gridSpan w:val="2"/>
            <w:noWrap w:val="0"/>
            <w:vAlign w:val="center"/>
          </w:tcPr>
          <w:p>
            <w:pPr>
              <w:spacing w:line="320" w:lineRule="exact"/>
              <w:jc w:val="center"/>
              <w:rPr>
                <w:rFonts w:eastAsia="仿宋_GB2312"/>
                <w:color w:val="000000"/>
                <w:szCs w:val="21"/>
              </w:rPr>
            </w:pPr>
            <w:r>
              <w:rPr>
                <w:rFonts w:eastAsia="仿宋_GB2312"/>
                <w:color w:val="000000"/>
                <w:szCs w:val="21"/>
              </w:rPr>
              <w:t>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40" w:type="pct"/>
            <w:noWrap w:val="0"/>
            <w:vAlign w:val="center"/>
          </w:tcPr>
          <w:p>
            <w:pPr>
              <w:spacing w:line="320" w:lineRule="exact"/>
              <w:jc w:val="center"/>
              <w:rPr>
                <w:rFonts w:eastAsia="仿宋_GB2312"/>
                <w:color w:val="000000"/>
                <w:szCs w:val="21"/>
              </w:rPr>
            </w:pPr>
            <w:r>
              <w:rPr>
                <w:rFonts w:eastAsia="仿宋_GB2312"/>
                <w:color w:val="000000"/>
                <w:szCs w:val="21"/>
              </w:rPr>
              <w:t>产量水平</w:t>
            </w:r>
          </w:p>
          <w:p>
            <w:pPr>
              <w:spacing w:line="320" w:lineRule="exact"/>
              <w:jc w:val="center"/>
              <w:rPr>
                <w:rFonts w:eastAsia="仿宋_GB2312"/>
                <w:color w:val="000000"/>
                <w:szCs w:val="21"/>
              </w:rPr>
            </w:pPr>
            <w:r>
              <w:rPr>
                <w:rFonts w:eastAsia="仿宋_GB2312"/>
                <w:color w:val="000000"/>
                <w:szCs w:val="21"/>
              </w:rPr>
              <w:t>（kg/亩）</w:t>
            </w:r>
          </w:p>
        </w:tc>
        <w:tc>
          <w:tcPr>
            <w:tcW w:w="786" w:type="pct"/>
            <w:noWrap w:val="0"/>
            <w:vAlign w:val="center"/>
          </w:tcPr>
          <w:p>
            <w:pPr>
              <w:spacing w:line="320" w:lineRule="exact"/>
              <w:jc w:val="center"/>
              <w:rPr>
                <w:rFonts w:eastAsia="仿宋_GB2312"/>
                <w:color w:val="000000"/>
                <w:szCs w:val="21"/>
              </w:rPr>
            </w:pPr>
            <w:r>
              <w:rPr>
                <w:rFonts w:eastAsia="仿宋_GB2312"/>
                <w:color w:val="000000"/>
                <w:szCs w:val="21"/>
              </w:rPr>
              <w:t>施肥量</w:t>
            </w:r>
          </w:p>
          <w:p>
            <w:pPr>
              <w:spacing w:line="320" w:lineRule="exact"/>
              <w:jc w:val="center"/>
              <w:rPr>
                <w:rFonts w:eastAsia="仿宋_GB2312"/>
                <w:color w:val="000000"/>
                <w:szCs w:val="21"/>
              </w:rPr>
            </w:pPr>
            <w:r>
              <w:rPr>
                <w:rFonts w:eastAsia="仿宋_GB2312"/>
                <w:color w:val="000000"/>
                <w:szCs w:val="21"/>
              </w:rPr>
              <w:t>（N,kg/亩）</w:t>
            </w:r>
          </w:p>
        </w:tc>
        <w:tc>
          <w:tcPr>
            <w:tcW w:w="784" w:type="pct"/>
            <w:noWrap w:val="0"/>
            <w:vAlign w:val="center"/>
          </w:tcPr>
          <w:p>
            <w:pPr>
              <w:spacing w:line="320" w:lineRule="exact"/>
              <w:jc w:val="center"/>
              <w:rPr>
                <w:rFonts w:eastAsia="仿宋_GB2312"/>
                <w:color w:val="000000"/>
                <w:szCs w:val="21"/>
              </w:rPr>
            </w:pPr>
            <w:r>
              <w:rPr>
                <w:rFonts w:eastAsia="仿宋_GB2312"/>
                <w:color w:val="000000"/>
                <w:szCs w:val="21"/>
              </w:rPr>
              <w:t>分级指标</w:t>
            </w:r>
          </w:p>
          <w:p>
            <w:pPr>
              <w:spacing w:line="320" w:lineRule="exact"/>
              <w:jc w:val="center"/>
              <w:rPr>
                <w:rFonts w:eastAsia="仿宋_GB2312"/>
                <w:color w:val="000000"/>
                <w:szCs w:val="21"/>
              </w:rPr>
            </w:pPr>
            <w:r>
              <w:rPr>
                <w:rFonts w:eastAsia="仿宋_GB2312"/>
                <w:color w:val="000000"/>
                <w:szCs w:val="21"/>
              </w:rPr>
              <w:t>(P,mg/kg)</w:t>
            </w:r>
          </w:p>
        </w:tc>
        <w:tc>
          <w:tcPr>
            <w:tcW w:w="940" w:type="pct"/>
            <w:noWrap w:val="0"/>
            <w:vAlign w:val="center"/>
          </w:tcPr>
          <w:p>
            <w:pPr>
              <w:spacing w:line="320" w:lineRule="exact"/>
              <w:jc w:val="center"/>
              <w:rPr>
                <w:rFonts w:eastAsia="仿宋_GB2312"/>
                <w:color w:val="000000"/>
                <w:szCs w:val="21"/>
              </w:rPr>
            </w:pPr>
            <w:r>
              <w:rPr>
                <w:rFonts w:eastAsia="仿宋_GB2312"/>
                <w:color w:val="000000"/>
                <w:szCs w:val="21"/>
              </w:rPr>
              <w:t>施肥量</w:t>
            </w:r>
          </w:p>
          <w:p>
            <w:pPr>
              <w:spacing w:line="320" w:lineRule="exact"/>
              <w:jc w:val="center"/>
              <w:rPr>
                <w:rFonts w:eastAsia="仿宋_GB2312"/>
                <w:color w:val="000000"/>
                <w:szCs w:val="21"/>
              </w:rPr>
            </w:pPr>
            <w:r>
              <w:rPr>
                <w:rFonts w:eastAsia="仿宋_GB2312"/>
                <w:color w:val="000000"/>
                <w:szCs w:val="21"/>
              </w:rPr>
              <w:t>（P</w:t>
            </w:r>
            <w:r>
              <w:rPr>
                <w:rFonts w:eastAsia="仿宋_GB2312"/>
                <w:color w:val="000000"/>
                <w:szCs w:val="21"/>
                <w:vertAlign w:val="subscript"/>
              </w:rPr>
              <w:t>2</w:t>
            </w:r>
            <w:r>
              <w:rPr>
                <w:rFonts w:eastAsia="仿宋_GB2312"/>
                <w:color w:val="000000"/>
                <w:szCs w:val="21"/>
              </w:rPr>
              <w:t>O</w:t>
            </w:r>
            <w:r>
              <w:rPr>
                <w:rFonts w:eastAsia="仿宋_GB2312"/>
                <w:color w:val="000000"/>
                <w:szCs w:val="21"/>
                <w:vertAlign w:val="subscript"/>
              </w:rPr>
              <w:t>5</w:t>
            </w:r>
            <w:r>
              <w:rPr>
                <w:rFonts w:eastAsia="仿宋_GB2312"/>
                <w:color w:val="000000"/>
                <w:szCs w:val="21"/>
              </w:rPr>
              <w:t>,kg/亩）</w:t>
            </w:r>
          </w:p>
        </w:tc>
        <w:tc>
          <w:tcPr>
            <w:tcW w:w="798" w:type="pct"/>
            <w:noWrap w:val="0"/>
            <w:vAlign w:val="center"/>
          </w:tcPr>
          <w:p>
            <w:pPr>
              <w:spacing w:line="320" w:lineRule="exact"/>
              <w:jc w:val="center"/>
              <w:rPr>
                <w:rFonts w:eastAsia="仿宋_GB2312"/>
                <w:color w:val="000000"/>
                <w:szCs w:val="21"/>
              </w:rPr>
            </w:pPr>
            <w:r>
              <w:rPr>
                <w:rFonts w:eastAsia="仿宋_GB2312"/>
                <w:color w:val="000000"/>
                <w:szCs w:val="21"/>
              </w:rPr>
              <w:t>分级指标</w:t>
            </w:r>
          </w:p>
          <w:p>
            <w:pPr>
              <w:spacing w:line="320" w:lineRule="exact"/>
              <w:jc w:val="center"/>
              <w:rPr>
                <w:rFonts w:eastAsia="仿宋_GB2312"/>
                <w:color w:val="000000"/>
                <w:szCs w:val="21"/>
              </w:rPr>
            </w:pPr>
            <w:r>
              <w:rPr>
                <w:rFonts w:eastAsia="仿宋_GB2312"/>
                <w:color w:val="000000"/>
                <w:szCs w:val="21"/>
              </w:rPr>
              <w:t>(K,mg/kg)</w:t>
            </w:r>
          </w:p>
        </w:tc>
        <w:tc>
          <w:tcPr>
            <w:tcW w:w="748" w:type="pct"/>
            <w:noWrap w:val="0"/>
            <w:vAlign w:val="center"/>
          </w:tcPr>
          <w:p>
            <w:pPr>
              <w:spacing w:line="320" w:lineRule="exact"/>
              <w:jc w:val="center"/>
              <w:rPr>
                <w:rFonts w:eastAsia="仿宋_GB2312"/>
                <w:color w:val="000000"/>
                <w:szCs w:val="21"/>
              </w:rPr>
            </w:pPr>
            <w:r>
              <w:rPr>
                <w:rFonts w:eastAsia="仿宋_GB2312"/>
                <w:color w:val="000000"/>
                <w:szCs w:val="21"/>
              </w:rPr>
              <w:t>施肥量</w:t>
            </w:r>
          </w:p>
          <w:p>
            <w:pPr>
              <w:spacing w:line="320" w:lineRule="exact"/>
              <w:jc w:val="center"/>
              <w:rPr>
                <w:rFonts w:eastAsia="仿宋_GB2312"/>
                <w:color w:val="000000"/>
                <w:szCs w:val="21"/>
              </w:rPr>
            </w:pPr>
            <w:r>
              <w:rPr>
                <w:rFonts w:eastAsia="仿宋_GB2312"/>
                <w:color w:val="000000"/>
                <w:szCs w:val="21"/>
              </w:rPr>
              <w:t>（K</w:t>
            </w:r>
            <w:r>
              <w:rPr>
                <w:rFonts w:eastAsia="仿宋_GB2312"/>
                <w:color w:val="000000"/>
                <w:szCs w:val="21"/>
                <w:vertAlign w:val="subscript"/>
              </w:rPr>
              <w:t>2</w:t>
            </w:r>
            <w:r>
              <w:rPr>
                <w:rFonts w:eastAsia="仿宋_GB2312"/>
                <w:color w:val="000000"/>
                <w:szCs w:val="21"/>
              </w:rPr>
              <w:t>O,kg/亩）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40" w:type="pct"/>
            <w:noWrap w:val="0"/>
            <w:vAlign w:val="center"/>
          </w:tcPr>
          <w:p>
            <w:pPr>
              <w:overflowPunct w:val="0"/>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＜250</w:t>
            </w:r>
          </w:p>
        </w:tc>
        <w:tc>
          <w:tcPr>
            <w:tcW w:w="786" w:type="pct"/>
            <w:noWrap w:val="0"/>
            <w:vAlign w:val="center"/>
          </w:tcPr>
          <w:p>
            <w:pPr>
              <w:overflowPunct w:val="0"/>
              <w:ind w:left="1" w:leftChars="0" w:right="0" w:rightChars="0" w:firstLine="0" w:firstLineChars="0"/>
              <w:jc w:val="center"/>
              <w:rPr>
                <w:rFonts w:hint="eastAsia" w:ascii="Times New Roman" w:hAnsi="Times New Roman" w:eastAsia="仿宋_GB2312" w:cs="Times New Roman"/>
                <w:color w:val="000000" w:themeColor="text1"/>
                <w:spacing w:val="0"/>
                <w:w w:val="100"/>
                <w:sz w:val="21"/>
                <w:szCs w:val="21"/>
                <w:vertAlign w:val="baseline"/>
                <w:lang w:eastAsia="zh-CN"/>
                <w14:textFill>
                  <w14:solidFill>
                    <w14:schemeClr w14:val="tx1"/>
                  </w14:solidFill>
                </w14:textFill>
              </w:rPr>
            </w:pPr>
            <w:r>
              <w:rPr>
                <w:rFonts w:eastAsia="仿宋_GB2312"/>
                <w:color w:val="000000" w:themeColor="text1"/>
                <w:szCs w:val="21"/>
                <w14:textFill>
                  <w14:solidFill>
                    <w14:schemeClr w14:val="tx1"/>
                  </w14:solidFill>
                </w14:textFill>
              </w:rPr>
              <w:t>6~</w:t>
            </w:r>
            <w:r>
              <w:rPr>
                <w:rFonts w:hint="eastAsia" w:eastAsia="仿宋_GB2312"/>
                <w:color w:val="000000" w:themeColor="text1"/>
                <w:szCs w:val="21"/>
                <w:lang w:val="en-US" w:eastAsia="zh-CN"/>
                <w14:textFill>
                  <w14:solidFill>
                    <w14:schemeClr w14:val="tx1"/>
                  </w14:solidFill>
                </w14:textFill>
              </w:rPr>
              <w:t>8</w:t>
            </w:r>
          </w:p>
        </w:tc>
        <w:tc>
          <w:tcPr>
            <w:tcW w:w="784" w:type="pct"/>
            <w:noWrap w:val="0"/>
            <w:vAlign w:val="center"/>
          </w:tcPr>
          <w:p>
            <w:pPr>
              <w:overflowPunct w:val="0"/>
              <w:ind w:left="1" w:leftChars="0" w:right="0" w:rightChars="0" w:firstLine="0" w:firstLineChars="0"/>
              <w:jc w:val="center"/>
              <w:rPr>
                <w:rFonts w:hint="eastAsia" w:ascii="Times New Roman" w:hAnsi="Times New Roman" w:eastAsia="仿宋_GB2312" w:cs="Times New Roman"/>
                <w:color w:val="000000" w:themeColor="text1"/>
                <w:spacing w:val="0"/>
                <w:w w:val="100"/>
                <w:sz w:val="21"/>
                <w:szCs w:val="21"/>
                <w:vertAlign w:val="baseline"/>
                <w:lang w:eastAsia="zh-CN"/>
                <w14:textFill>
                  <w14:solidFill>
                    <w14:schemeClr w14:val="tx1"/>
                  </w14:solidFill>
                </w14:textFill>
              </w:rPr>
            </w:pPr>
            <w:r>
              <w:rPr>
                <w:rFonts w:eastAsia="仿宋_GB2312"/>
                <w:color w:val="000000" w:themeColor="text1"/>
                <w:szCs w:val="21"/>
                <w14:textFill>
                  <w14:solidFill>
                    <w14:schemeClr w14:val="tx1"/>
                  </w14:solidFill>
                </w14:textFill>
              </w:rPr>
              <w:t>＜1</w:t>
            </w:r>
            <w:r>
              <w:rPr>
                <w:rFonts w:hint="eastAsia" w:eastAsia="仿宋_GB2312"/>
                <w:color w:val="000000" w:themeColor="text1"/>
                <w:szCs w:val="21"/>
                <w:lang w:val="en-US" w:eastAsia="zh-CN"/>
                <w14:textFill>
                  <w14:solidFill>
                    <w14:schemeClr w14:val="tx1"/>
                  </w14:solidFill>
                </w14:textFill>
              </w:rPr>
              <w:t>2</w:t>
            </w:r>
          </w:p>
        </w:tc>
        <w:tc>
          <w:tcPr>
            <w:tcW w:w="940" w:type="pct"/>
            <w:noWrap w:val="0"/>
            <w:vAlign w:val="center"/>
          </w:tcPr>
          <w:p>
            <w:pPr>
              <w:overflowPunct w:val="0"/>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5~6</w:t>
            </w:r>
          </w:p>
        </w:tc>
        <w:tc>
          <w:tcPr>
            <w:tcW w:w="798" w:type="pct"/>
            <w:noWrap w:val="0"/>
            <w:vAlign w:val="center"/>
          </w:tcPr>
          <w:p>
            <w:pPr>
              <w:overflowPunct w:val="0"/>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w:t>
            </w:r>
            <w:r>
              <w:rPr>
                <w:rFonts w:hint="eastAsia" w:eastAsia="仿宋_GB2312"/>
                <w:color w:val="000000" w:themeColor="text1"/>
                <w:szCs w:val="21"/>
                <w:lang w:val="en-US" w:eastAsia="zh-CN"/>
                <w14:textFill>
                  <w14:solidFill>
                    <w14:schemeClr w14:val="tx1"/>
                  </w14:solidFill>
                </w14:textFill>
              </w:rPr>
              <w:t>9</w:t>
            </w:r>
            <w:r>
              <w:rPr>
                <w:rFonts w:eastAsia="仿宋_GB2312"/>
                <w:color w:val="000000" w:themeColor="text1"/>
                <w:szCs w:val="21"/>
                <w14:textFill>
                  <w14:solidFill>
                    <w14:schemeClr w14:val="tx1"/>
                  </w14:solidFill>
                </w14:textFill>
              </w:rPr>
              <w:t>0</w:t>
            </w:r>
          </w:p>
        </w:tc>
        <w:tc>
          <w:tcPr>
            <w:tcW w:w="748" w:type="pct"/>
            <w:noWrap w:val="0"/>
            <w:vAlign w:val="center"/>
          </w:tcPr>
          <w:p>
            <w:pPr>
              <w:overflowPunct w:val="0"/>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40" w:type="pct"/>
            <w:noWrap w:val="0"/>
            <w:vAlign w:val="center"/>
          </w:tcPr>
          <w:p>
            <w:pPr>
              <w:overflowPunct w:val="0"/>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250~400</w:t>
            </w:r>
          </w:p>
        </w:tc>
        <w:tc>
          <w:tcPr>
            <w:tcW w:w="786" w:type="pct"/>
            <w:noWrap w:val="0"/>
            <w:vAlign w:val="center"/>
          </w:tcPr>
          <w:p>
            <w:pPr>
              <w:overflowPunct w:val="0"/>
              <w:ind w:left="1" w:leftChars="0" w:right="0" w:rightChars="0" w:firstLine="0" w:firstLineChars="0"/>
              <w:jc w:val="center"/>
              <w:rPr>
                <w:rFonts w:hint="eastAsia" w:ascii="Times New Roman" w:hAnsi="Times New Roman" w:eastAsia="仿宋_GB2312" w:cs="Times New Roman"/>
                <w:color w:val="000000" w:themeColor="text1"/>
                <w:spacing w:val="0"/>
                <w:w w:val="100"/>
                <w:sz w:val="21"/>
                <w:szCs w:val="21"/>
                <w:vertAlign w:val="baseline"/>
                <w:lang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8</w:t>
            </w:r>
            <w:r>
              <w:rPr>
                <w:rFonts w:eastAsia="仿宋_GB2312"/>
                <w:color w:val="000000" w:themeColor="text1"/>
                <w:szCs w:val="21"/>
                <w14:textFill>
                  <w14:solidFill>
                    <w14:schemeClr w14:val="tx1"/>
                  </w14:solidFill>
                </w14:textFill>
              </w:rPr>
              <w:t>~1</w:t>
            </w:r>
            <w:r>
              <w:rPr>
                <w:rFonts w:hint="eastAsia" w:eastAsia="仿宋_GB2312"/>
                <w:color w:val="000000" w:themeColor="text1"/>
                <w:szCs w:val="21"/>
                <w:lang w:val="en-US" w:eastAsia="zh-CN"/>
                <w14:textFill>
                  <w14:solidFill>
                    <w14:schemeClr w14:val="tx1"/>
                  </w14:solidFill>
                </w14:textFill>
              </w:rPr>
              <w:t>0</w:t>
            </w:r>
          </w:p>
        </w:tc>
        <w:tc>
          <w:tcPr>
            <w:tcW w:w="784" w:type="pct"/>
            <w:noWrap w:val="0"/>
            <w:vAlign w:val="center"/>
          </w:tcPr>
          <w:p>
            <w:pPr>
              <w:overflowPunct w:val="0"/>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1</w:t>
            </w:r>
            <w:r>
              <w:rPr>
                <w:rFonts w:hint="eastAsia" w:eastAsia="仿宋_GB2312"/>
                <w:color w:val="000000" w:themeColor="text1"/>
                <w:szCs w:val="21"/>
                <w:lang w:val="en-US" w:eastAsia="zh-CN"/>
                <w14:textFill>
                  <w14:solidFill>
                    <w14:schemeClr w14:val="tx1"/>
                  </w14:solidFill>
                </w14:textFill>
              </w:rPr>
              <w:t>2</w:t>
            </w:r>
            <w:r>
              <w:rPr>
                <w:rFonts w:eastAsia="仿宋_GB2312"/>
                <w:color w:val="000000" w:themeColor="text1"/>
                <w:szCs w:val="21"/>
                <w14:textFill>
                  <w14:solidFill>
                    <w14:schemeClr w14:val="tx1"/>
                  </w14:solidFill>
                </w14:textFill>
              </w:rPr>
              <w:t>~20</w:t>
            </w:r>
          </w:p>
        </w:tc>
        <w:tc>
          <w:tcPr>
            <w:tcW w:w="940" w:type="pct"/>
            <w:noWrap w:val="0"/>
            <w:vAlign w:val="center"/>
          </w:tcPr>
          <w:p>
            <w:pPr>
              <w:overflowPunct w:val="0"/>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4~5</w:t>
            </w:r>
          </w:p>
        </w:tc>
        <w:tc>
          <w:tcPr>
            <w:tcW w:w="798" w:type="pct"/>
            <w:noWrap w:val="0"/>
            <w:vAlign w:val="center"/>
          </w:tcPr>
          <w:p>
            <w:pPr>
              <w:overflowPunct w:val="0"/>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9</w:t>
            </w:r>
            <w:r>
              <w:rPr>
                <w:rFonts w:eastAsia="仿宋_GB2312"/>
                <w:color w:val="000000" w:themeColor="text1"/>
                <w:szCs w:val="21"/>
                <w14:textFill>
                  <w14:solidFill>
                    <w14:schemeClr w14:val="tx1"/>
                  </w14:solidFill>
                </w14:textFill>
              </w:rPr>
              <w:t>0~</w:t>
            </w:r>
            <w:r>
              <w:rPr>
                <w:rFonts w:hint="eastAsia" w:eastAsia="仿宋_GB2312"/>
                <w:color w:val="000000" w:themeColor="text1"/>
                <w:szCs w:val="21"/>
                <w:lang w:val="en-US" w:eastAsia="zh-CN"/>
                <w14:textFill>
                  <w14:solidFill>
                    <w14:schemeClr w14:val="tx1"/>
                  </w14:solidFill>
                </w14:textFill>
              </w:rPr>
              <w:t>15</w:t>
            </w:r>
            <w:r>
              <w:rPr>
                <w:rFonts w:eastAsia="仿宋_GB2312"/>
                <w:color w:val="000000" w:themeColor="text1"/>
                <w:szCs w:val="21"/>
                <w14:textFill>
                  <w14:solidFill>
                    <w14:schemeClr w14:val="tx1"/>
                  </w14:solidFill>
                </w14:textFill>
              </w:rPr>
              <w:t>0</w:t>
            </w:r>
          </w:p>
        </w:tc>
        <w:tc>
          <w:tcPr>
            <w:tcW w:w="748" w:type="pct"/>
            <w:noWrap w:val="0"/>
            <w:vAlign w:val="center"/>
          </w:tcPr>
          <w:p>
            <w:pPr>
              <w:overflowPunct w:val="0"/>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40" w:type="pct"/>
            <w:noWrap w:val="0"/>
            <w:vAlign w:val="center"/>
          </w:tcPr>
          <w:p>
            <w:pPr>
              <w:overflowPunct w:val="0"/>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＞400</w:t>
            </w:r>
          </w:p>
        </w:tc>
        <w:tc>
          <w:tcPr>
            <w:tcW w:w="786" w:type="pct"/>
            <w:noWrap w:val="0"/>
            <w:vAlign w:val="center"/>
          </w:tcPr>
          <w:p>
            <w:pPr>
              <w:overflowPunct w:val="0"/>
              <w:ind w:left="1" w:leftChars="0" w:right="0" w:rightChars="0" w:firstLine="0" w:firstLineChars="0"/>
              <w:jc w:val="center"/>
              <w:rPr>
                <w:rFonts w:hint="eastAsia" w:ascii="Times New Roman" w:hAnsi="Times New Roman" w:eastAsia="仿宋_GB2312" w:cs="Times New Roman"/>
                <w:color w:val="000000" w:themeColor="text1"/>
                <w:spacing w:val="0"/>
                <w:w w:val="100"/>
                <w:sz w:val="21"/>
                <w:szCs w:val="21"/>
                <w:vertAlign w:val="baseline"/>
                <w:lang w:eastAsia="zh-CN"/>
                <w14:textFill>
                  <w14:solidFill>
                    <w14:schemeClr w14:val="tx1"/>
                  </w14:solidFill>
                </w14:textFill>
              </w:rPr>
            </w:pPr>
            <w:r>
              <w:rPr>
                <w:rFonts w:eastAsia="仿宋_GB2312"/>
                <w:color w:val="000000" w:themeColor="text1"/>
                <w:szCs w:val="21"/>
                <w14:textFill>
                  <w14:solidFill>
                    <w14:schemeClr w14:val="tx1"/>
                  </w14:solidFill>
                </w14:textFill>
              </w:rPr>
              <w:t>1</w:t>
            </w:r>
            <w:r>
              <w:rPr>
                <w:rFonts w:hint="eastAsia" w:eastAsia="仿宋_GB2312"/>
                <w:color w:val="000000" w:themeColor="text1"/>
                <w:szCs w:val="21"/>
                <w:lang w:val="en-US" w:eastAsia="zh-CN"/>
                <w14:textFill>
                  <w14:solidFill>
                    <w14:schemeClr w14:val="tx1"/>
                  </w14:solidFill>
                </w14:textFill>
              </w:rPr>
              <w:t>0</w:t>
            </w:r>
            <w:r>
              <w:rPr>
                <w:rFonts w:eastAsia="仿宋_GB2312"/>
                <w:color w:val="000000" w:themeColor="text1"/>
                <w:szCs w:val="21"/>
                <w14:textFill>
                  <w14:solidFill>
                    <w14:schemeClr w14:val="tx1"/>
                  </w14:solidFill>
                </w14:textFill>
              </w:rPr>
              <w:t>~1</w:t>
            </w:r>
            <w:r>
              <w:rPr>
                <w:rFonts w:hint="eastAsia" w:eastAsia="仿宋_GB2312"/>
                <w:color w:val="000000" w:themeColor="text1"/>
                <w:szCs w:val="21"/>
                <w:lang w:val="en-US" w:eastAsia="zh-CN"/>
                <w14:textFill>
                  <w14:solidFill>
                    <w14:schemeClr w14:val="tx1"/>
                  </w14:solidFill>
                </w14:textFill>
              </w:rPr>
              <w:t>3</w:t>
            </w:r>
          </w:p>
        </w:tc>
        <w:tc>
          <w:tcPr>
            <w:tcW w:w="784" w:type="pct"/>
            <w:noWrap w:val="0"/>
            <w:vAlign w:val="center"/>
          </w:tcPr>
          <w:p>
            <w:pPr>
              <w:overflowPunct w:val="0"/>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＞20</w:t>
            </w:r>
          </w:p>
        </w:tc>
        <w:tc>
          <w:tcPr>
            <w:tcW w:w="940" w:type="pct"/>
            <w:noWrap w:val="0"/>
            <w:vAlign w:val="center"/>
          </w:tcPr>
          <w:p>
            <w:pPr>
              <w:overflowPunct w:val="0"/>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2</w:t>
            </w:r>
            <w:r>
              <w:rPr>
                <w:rFonts w:eastAsia="仿宋_GB2312"/>
                <w:color w:val="000000" w:themeColor="text1"/>
                <w:szCs w:val="21"/>
                <w14:textFill>
                  <w14:solidFill>
                    <w14:schemeClr w14:val="tx1"/>
                  </w14:solidFill>
                </w14:textFill>
              </w:rPr>
              <w:t>~4</w:t>
            </w:r>
          </w:p>
        </w:tc>
        <w:tc>
          <w:tcPr>
            <w:tcW w:w="798" w:type="pct"/>
            <w:noWrap w:val="0"/>
            <w:vAlign w:val="center"/>
          </w:tcPr>
          <w:p>
            <w:pPr>
              <w:overflowPunct w:val="0"/>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w:t>
            </w:r>
            <w:r>
              <w:rPr>
                <w:rFonts w:hint="eastAsia" w:eastAsia="仿宋_GB2312"/>
                <w:color w:val="000000" w:themeColor="text1"/>
                <w:szCs w:val="21"/>
                <w:lang w:val="en-US" w:eastAsia="zh-CN"/>
                <w14:textFill>
                  <w14:solidFill>
                    <w14:schemeClr w14:val="tx1"/>
                  </w14:solidFill>
                </w14:textFill>
              </w:rPr>
              <w:t>15</w:t>
            </w:r>
            <w:r>
              <w:rPr>
                <w:rFonts w:eastAsia="仿宋_GB2312"/>
                <w:color w:val="000000" w:themeColor="text1"/>
                <w:szCs w:val="21"/>
                <w14:textFill>
                  <w14:solidFill>
                    <w14:schemeClr w14:val="tx1"/>
                  </w14:solidFill>
                </w14:textFill>
              </w:rPr>
              <w:t>0</w:t>
            </w:r>
          </w:p>
        </w:tc>
        <w:tc>
          <w:tcPr>
            <w:tcW w:w="748" w:type="pct"/>
            <w:noWrap w:val="0"/>
            <w:vAlign w:val="center"/>
          </w:tcPr>
          <w:p>
            <w:pPr>
              <w:overflowPunct w:val="0"/>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2~4</w:t>
            </w:r>
          </w:p>
        </w:tc>
      </w:tr>
    </w:tbl>
    <w:p>
      <w:pPr>
        <w:tabs>
          <w:tab w:val="left" w:pos="3368"/>
        </w:tabs>
        <w:bidi w:val="0"/>
        <w:jc w:val="center"/>
        <w:rPr>
          <w:rFonts w:hint="eastAsia" w:ascii="黑体" w:hAnsi="黑体" w:eastAsia="黑体"/>
          <w:sz w:val="30"/>
          <w:szCs w:val="30"/>
          <w:lang w:val="en-US" w:eastAsia="zh-CN"/>
        </w:rPr>
      </w:pPr>
    </w:p>
    <w:p>
      <w:pPr>
        <w:tabs>
          <w:tab w:val="left" w:pos="3368"/>
        </w:tabs>
        <w:bidi w:val="0"/>
        <w:jc w:val="center"/>
        <w:rPr>
          <w:rFonts w:hint="eastAsia" w:ascii="黑体" w:hAnsi="黑体" w:eastAsia="黑体"/>
          <w:sz w:val="30"/>
          <w:szCs w:val="30"/>
          <w:lang w:val="en-US" w:eastAsia="zh-CN"/>
        </w:rPr>
      </w:pPr>
    </w:p>
    <w:p>
      <w:pPr>
        <w:tabs>
          <w:tab w:val="left" w:pos="3368"/>
        </w:tabs>
        <w:bidi w:val="0"/>
        <w:jc w:val="center"/>
        <w:rPr>
          <w:rFonts w:hint="eastAsia" w:ascii="黑体" w:hAnsi="黑体" w:eastAsia="黑体"/>
          <w:sz w:val="30"/>
          <w:szCs w:val="30"/>
        </w:rPr>
      </w:pPr>
      <w:r>
        <w:rPr>
          <w:rFonts w:hint="eastAsia" w:ascii="黑体" w:hAnsi="黑体" w:eastAsia="黑体"/>
          <w:sz w:val="30"/>
          <w:szCs w:val="30"/>
          <w:lang w:val="en-US" w:eastAsia="zh-CN"/>
        </w:rPr>
        <w:t xml:space="preserve">表2 </w:t>
      </w:r>
      <w:r>
        <w:rPr>
          <w:rFonts w:hint="eastAsia" w:ascii="黑体" w:hAnsi="黑体" w:eastAsia="黑体"/>
          <w:sz w:val="30"/>
          <w:szCs w:val="30"/>
          <w:lang w:eastAsia="zh-CN"/>
        </w:rPr>
        <w:t>安阳县</w:t>
      </w:r>
      <w:r>
        <w:rPr>
          <w:rFonts w:hint="eastAsia" w:ascii="黑体" w:hAnsi="黑体" w:eastAsia="黑体"/>
          <w:sz w:val="30"/>
          <w:szCs w:val="30"/>
        </w:rPr>
        <w:t>花生大配方推荐</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648"/>
        <w:gridCol w:w="1185"/>
        <w:gridCol w:w="1648"/>
        <w:gridCol w:w="1185"/>
        <w:gridCol w:w="792"/>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96" w:type="pct"/>
            <w:vMerge w:val="restart"/>
            <w:noWrap w:val="0"/>
            <w:vAlign w:val="center"/>
          </w:tcPr>
          <w:p>
            <w:pPr>
              <w:spacing w:line="320" w:lineRule="exact"/>
              <w:jc w:val="center"/>
              <w:rPr>
                <w:rFonts w:eastAsia="仿宋_GB2312"/>
                <w:color w:val="000000"/>
                <w:szCs w:val="21"/>
              </w:rPr>
            </w:pPr>
            <w:r>
              <w:rPr>
                <w:rFonts w:eastAsia="仿宋_GB2312"/>
                <w:color w:val="000000"/>
                <w:szCs w:val="21"/>
              </w:rPr>
              <w:t>产量水平</w:t>
            </w:r>
          </w:p>
          <w:p>
            <w:pPr>
              <w:spacing w:line="320" w:lineRule="exact"/>
              <w:jc w:val="center"/>
              <w:rPr>
                <w:rFonts w:eastAsia="仿宋_GB2312"/>
                <w:color w:val="000000"/>
                <w:szCs w:val="21"/>
              </w:rPr>
            </w:pPr>
            <w:r>
              <w:rPr>
                <w:rFonts w:eastAsia="仿宋_GB2312"/>
                <w:color w:val="000000"/>
                <w:szCs w:val="21"/>
              </w:rPr>
              <w:t>（kg/亩）</w:t>
            </w:r>
          </w:p>
        </w:tc>
        <w:tc>
          <w:tcPr>
            <w:tcW w:w="1556" w:type="pct"/>
            <w:gridSpan w:val="2"/>
            <w:vMerge w:val="restart"/>
            <w:noWrap w:val="0"/>
            <w:vAlign w:val="center"/>
          </w:tcPr>
          <w:p>
            <w:pPr>
              <w:spacing w:line="320" w:lineRule="exact"/>
              <w:jc w:val="center"/>
              <w:rPr>
                <w:rFonts w:eastAsia="仿宋_GB2312"/>
                <w:color w:val="000000"/>
                <w:szCs w:val="21"/>
              </w:rPr>
            </w:pPr>
            <w:r>
              <w:rPr>
                <w:rFonts w:eastAsia="仿宋_GB2312"/>
                <w:color w:val="000000"/>
                <w:szCs w:val="21"/>
              </w:rPr>
              <w:t>一次性施肥</w:t>
            </w:r>
          </w:p>
        </w:tc>
        <w:tc>
          <w:tcPr>
            <w:tcW w:w="2646" w:type="pct"/>
            <w:gridSpan w:val="4"/>
            <w:noWrap w:val="0"/>
            <w:vAlign w:val="center"/>
          </w:tcPr>
          <w:p>
            <w:pPr>
              <w:spacing w:line="320" w:lineRule="exact"/>
              <w:jc w:val="center"/>
              <w:rPr>
                <w:rFonts w:eastAsia="仿宋_GB2312"/>
                <w:color w:val="000000"/>
                <w:szCs w:val="21"/>
              </w:rPr>
            </w:pPr>
            <w:r>
              <w:rPr>
                <w:rFonts w:eastAsia="仿宋_GB2312"/>
                <w:color w:val="000000"/>
                <w:szCs w:val="21"/>
              </w:rPr>
              <w:t>分次施肥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96" w:type="pct"/>
            <w:vMerge w:val="continue"/>
            <w:noWrap w:val="0"/>
            <w:vAlign w:val="center"/>
          </w:tcPr>
          <w:p>
            <w:pPr>
              <w:spacing w:line="320" w:lineRule="exact"/>
              <w:jc w:val="center"/>
              <w:rPr>
                <w:rFonts w:eastAsia="仿宋_GB2312"/>
                <w:color w:val="000000"/>
                <w:szCs w:val="21"/>
              </w:rPr>
            </w:pPr>
          </w:p>
        </w:tc>
        <w:tc>
          <w:tcPr>
            <w:tcW w:w="1556" w:type="pct"/>
            <w:gridSpan w:val="2"/>
            <w:vMerge w:val="continue"/>
            <w:noWrap w:val="0"/>
            <w:vAlign w:val="center"/>
          </w:tcPr>
          <w:p>
            <w:pPr>
              <w:spacing w:line="320" w:lineRule="exact"/>
              <w:jc w:val="center"/>
              <w:rPr>
                <w:rFonts w:eastAsia="仿宋_GB2312"/>
                <w:color w:val="000000"/>
                <w:szCs w:val="21"/>
              </w:rPr>
            </w:pPr>
          </w:p>
        </w:tc>
        <w:tc>
          <w:tcPr>
            <w:tcW w:w="1556" w:type="pct"/>
            <w:gridSpan w:val="2"/>
            <w:noWrap w:val="0"/>
            <w:vAlign w:val="center"/>
          </w:tcPr>
          <w:p>
            <w:pPr>
              <w:spacing w:line="320" w:lineRule="exact"/>
              <w:jc w:val="center"/>
              <w:rPr>
                <w:rFonts w:eastAsia="仿宋_GB2312"/>
                <w:color w:val="000000"/>
                <w:szCs w:val="21"/>
              </w:rPr>
            </w:pPr>
            <w:r>
              <w:rPr>
                <w:rFonts w:eastAsia="仿宋_GB2312"/>
                <w:color w:val="000000"/>
                <w:szCs w:val="21"/>
              </w:rPr>
              <w:t>底肥</w:t>
            </w:r>
          </w:p>
        </w:tc>
        <w:tc>
          <w:tcPr>
            <w:tcW w:w="1090" w:type="pct"/>
            <w:gridSpan w:val="2"/>
            <w:noWrap w:val="0"/>
            <w:vAlign w:val="center"/>
          </w:tcPr>
          <w:p>
            <w:pPr>
              <w:spacing w:line="320" w:lineRule="exact"/>
              <w:jc w:val="center"/>
              <w:rPr>
                <w:rFonts w:eastAsia="仿宋_GB2312"/>
                <w:color w:val="000000"/>
                <w:szCs w:val="21"/>
              </w:rPr>
            </w:pPr>
            <w:r>
              <w:rPr>
                <w:rFonts w:eastAsia="仿宋_GB2312"/>
                <w:color w:val="000000"/>
                <w:szCs w:val="21"/>
              </w:rPr>
              <w:t>花期追肥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96" w:type="pct"/>
            <w:vMerge w:val="continue"/>
            <w:noWrap w:val="0"/>
            <w:vAlign w:val="center"/>
          </w:tcPr>
          <w:p>
            <w:pPr>
              <w:spacing w:line="320" w:lineRule="exact"/>
              <w:jc w:val="center"/>
              <w:rPr>
                <w:rFonts w:eastAsia="仿宋_GB2312"/>
                <w:color w:val="000000"/>
                <w:szCs w:val="21"/>
              </w:rPr>
            </w:pPr>
          </w:p>
        </w:tc>
        <w:tc>
          <w:tcPr>
            <w:tcW w:w="905" w:type="pct"/>
            <w:noWrap w:val="0"/>
            <w:vAlign w:val="center"/>
          </w:tcPr>
          <w:p>
            <w:pPr>
              <w:spacing w:line="320" w:lineRule="exact"/>
              <w:jc w:val="center"/>
              <w:rPr>
                <w:rFonts w:hint="eastAsia" w:eastAsia="仿宋_GB2312"/>
                <w:color w:val="000000"/>
                <w:szCs w:val="21"/>
                <w:lang w:val="es-ES"/>
              </w:rPr>
            </w:pPr>
            <w:r>
              <w:rPr>
                <w:rFonts w:eastAsia="仿宋_GB2312"/>
                <w:color w:val="000000"/>
                <w:szCs w:val="21"/>
              </w:rPr>
              <w:t>配合式</w:t>
            </w:r>
          </w:p>
          <w:p>
            <w:pPr>
              <w:spacing w:line="320" w:lineRule="exact"/>
              <w:jc w:val="center"/>
              <w:rPr>
                <w:rFonts w:hint="eastAsia" w:eastAsia="仿宋_GB2312"/>
                <w:color w:val="000000"/>
                <w:szCs w:val="21"/>
                <w:lang w:val="es-ES"/>
              </w:rPr>
            </w:pPr>
            <w:r>
              <w:rPr>
                <w:rFonts w:eastAsia="仿宋_GB2312"/>
                <w:color w:val="000000"/>
                <w:szCs w:val="21"/>
                <w:lang w:val="es-ES"/>
              </w:rPr>
              <w:t>（N</w:t>
            </w:r>
            <w:r>
              <w:rPr>
                <w:rFonts w:hint="eastAsia" w:eastAsia="仿宋_GB2312"/>
                <w:color w:val="000000"/>
                <w:szCs w:val="21"/>
                <w:lang w:val="es-ES"/>
              </w:rPr>
              <w:t>-</w:t>
            </w:r>
            <w:r>
              <w:rPr>
                <w:rFonts w:eastAsia="仿宋_GB2312"/>
                <w:color w:val="000000"/>
                <w:szCs w:val="21"/>
                <w:lang w:val="es-ES"/>
              </w:rPr>
              <w:t>P</w:t>
            </w:r>
            <w:r>
              <w:rPr>
                <w:rFonts w:eastAsia="仿宋_GB2312"/>
                <w:color w:val="000000"/>
                <w:szCs w:val="21"/>
                <w:vertAlign w:val="subscript"/>
                <w:lang w:val="es-ES"/>
              </w:rPr>
              <w:t>2</w:t>
            </w:r>
            <w:r>
              <w:rPr>
                <w:rFonts w:eastAsia="仿宋_GB2312"/>
                <w:color w:val="000000"/>
                <w:szCs w:val="21"/>
                <w:lang w:val="es-ES"/>
              </w:rPr>
              <w:t>O</w:t>
            </w:r>
            <w:r>
              <w:rPr>
                <w:rFonts w:eastAsia="仿宋_GB2312"/>
                <w:color w:val="000000"/>
                <w:szCs w:val="21"/>
                <w:vertAlign w:val="subscript"/>
                <w:lang w:val="es-ES"/>
              </w:rPr>
              <w:t>5</w:t>
            </w:r>
            <w:r>
              <w:rPr>
                <w:rFonts w:hint="eastAsia" w:eastAsia="仿宋_GB2312"/>
                <w:color w:val="000000"/>
                <w:szCs w:val="21"/>
                <w:lang w:val="es-ES"/>
              </w:rPr>
              <w:t>-</w:t>
            </w:r>
            <w:r>
              <w:rPr>
                <w:rFonts w:eastAsia="仿宋_GB2312"/>
                <w:color w:val="000000"/>
                <w:szCs w:val="21"/>
                <w:lang w:val="es-ES"/>
              </w:rPr>
              <w:t xml:space="preserve"> K</w:t>
            </w:r>
            <w:r>
              <w:rPr>
                <w:rFonts w:eastAsia="仿宋_GB2312"/>
                <w:color w:val="000000"/>
                <w:szCs w:val="21"/>
                <w:vertAlign w:val="subscript"/>
                <w:lang w:val="es-ES"/>
              </w:rPr>
              <w:t>2</w:t>
            </w:r>
            <w:r>
              <w:rPr>
                <w:rFonts w:eastAsia="仿宋_GB2312"/>
                <w:color w:val="000000"/>
                <w:szCs w:val="21"/>
                <w:lang w:val="es-ES"/>
              </w:rPr>
              <w:t>O）</w:t>
            </w:r>
          </w:p>
        </w:tc>
        <w:tc>
          <w:tcPr>
            <w:tcW w:w="651" w:type="pct"/>
            <w:noWrap w:val="0"/>
            <w:vAlign w:val="center"/>
          </w:tcPr>
          <w:p>
            <w:pPr>
              <w:spacing w:line="320" w:lineRule="exact"/>
              <w:jc w:val="center"/>
              <w:rPr>
                <w:rFonts w:eastAsia="仿宋_GB2312"/>
                <w:color w:val="000000"/>
                <w:szCs w:val="21"/>
              </w:rPr>
            </w:pPr>
            <w:r>
              <w:rPr>
                <w:rFonts w:eastAsia="仿宋_GB2312"/>
                <w:color w:val="000000"/>
                <w:szCs w:val="21"/>
              </w:rPr>
              <w:t>施肥量</w:t>
            </w:r>
          </w:p>
          <w:p>
            <w:pPr>
              <w:tabs>
                <w:tab w:val="left" w:pos="414"/>
              </w:tabs>
              <w:spacing w:line="320" w:lineRule="exact"/>
              <w:jc w:val="center"/>
              <w:rPr>
                <w:rFonts w:eastAsia="仿宋_GB2312"/>
                <w:color w:val="000000"/>
                <w:szCs w:val="21"/>
              </w:rPr>
            </w:pPr>
            <w:r>
              <w:rPr>
                <w:rFonts w:eastAsia="仿宋_GB2312"/>
                <w:color w:val="000000"/>
                <w:szCs w:val="21"/>
              </w:rPr>
              <w:t>(kg/亩)</w:t>
            </w:r>
          </w:p>
        </w:tc>
        <w:tc>
          <w:tcPr>
            <w:tcW w:w="905" w:type="pct"/>
            <w:noWrap w:val="0"/>
            <w:vAlign w:val="center"/>
          </w:tcPr>
          <w:p>
            <w:pPr>
              <w:spacing w:line="320" w:lineRule="exact"/>
              <w:jc w:val="center"/>
              <w:rPr>
                <w:rFonts w:hint="eastAsia" w:eastAsia="仿宋_GB2312"/>
                <w:color w:val="000000"/>
                <w:szCs w:val="21"/>
                <w:lang w:val="es-ES"/>
              </w:rPr>
            </w:pPr>
            <w:r>
              <w:rPr>
                <w:rFonts w:eastAsia="仿宋_GB2312"/>
                <w:color w:val="000000"/>
                <w:szCs w:val="21"/>
              </w:rPr>
              <w:t>配合式</w:t>
            </w:r>
          </w:p>
          <w:p>
            <w:pPr>
              <w:spacing w:line="320" w:lineRule="exact"/>
              <w:jc w:val="center"/>
              <w:rPr>
                <w:rFonts w:hint="eastAsia" w:eastAsia="仿宋_GB2312"/>
                <w:color w:val="000000"/>
                <w:szCs w:val="21"/>
                <w:lang w:val="es-ES"/>
              </w:rPr>
            </w:pPr>
            <w:r>
              <w:rPr>
                <w:rFonts w:eastAsia="仿宋_GB2312"/>
                <w:color w:val="000000"/>
                <w:szCs w:val="21"/>
                <w:lang w:val="es-ES"/>
              </w:rPr>
              <w:t>（N</w:t>
            </w:r>
            <w:r>
              <w:rPr>
                <w:rFonts w:hint="eastAsia" w:eastAsia="仿宋_GB2312"/>
                <w:color w:val="000000"/>
                <w:szCs w:val="21"/>
                <w:lang w:val="es-ES"/>
              </w:rPr>
              <w:t>-</w:t>
            </w:r>
            <w:r>
              <w:rPr>
                <w:rFonts w:eastAsia="仿宋_GB2312"/>
                <w:color w:val="000000"/>
                <w:szCs w:val="21"/>
                <w:lang w:val="es-ES"/>
              </w:rPr>
              <w:t>P</w:t>
            </w:r>
            <w:r>
              <w:rPr>
                <w:rFonts w:eastAsia="仿宋_GB2312"/>
                <w:color w:val="000000"/>
                <w:szCs w:val="21"/>
                <w:vertAlign w:val="subscript"/>
                <w:lang w:val="es-ES"/>
              </w:rPr>
              <w:t>2</w:t>
            </w:r>
            <w:r>
              <w:rPr>
                <w:rFonts w:eastAsia="仿宋_GB2312"/>
                <w:color w:val="000000"/>
                <w:szCs w:val="21"/>
                <w:lang w:val="es-ES"/>
              </w:rPr>
              <w:t>O</w:t>
            </w:r>
            <w:r>
              <w:rPr>
                <w:rFonts w:eastAsia="仿宋_GB2312"/>
                <w:color w:val="000000"/>
                <w:szCs w:val="21"/>
                <w:vertAlign w:val="subscript"/>
                <w:lang w:val="es-ES"/>
              </w:rPr>
              <w:t>5</w:t>
            </w:r>
            <w:r>
              <w:rPr>
                <w:rFonts w:hint="eastAsia" w:eastAsia="仿宋_GB2312"/>
                <w:color w:val="000000"/>
                <w:szCs w:val="21"/>
                <w:lang w:val="es-ES"/>
              </w:rPr>
              <w:t>-</w:t>
            </w:r>
            <w:r>
              <w:rPr>
                <w:rFonts w:eastAsia="仿宋_GB2312"/>
                <w:color w:val="000000"/>
                <w:szCs w:val="21"/>
                <w:lang w:val="es-ES"/>
              </w:rPr>
              <w:t xml:space="preserve"> K</w:t>
            </w:r>
            <w:r>
              <w:rPr>
                <w:rFonts w:eastAsia="仿宋_GB2312"/>
                <w:color w:val="000000"/>
                <w:szCs w:val="21"/>
                <w:vertAlign w:val="subscript"/>
                <w:lang w:val="es-ES"/>
              </w:rPr>
              <w:t>2</w:t>
            </w:r>
            <w:r>
              <w:rPr>
                <w:rFonts w:eastAsia="仿宋_GB2312"/>
                <w:color w:val="000000"/>
                <w:szCs w:val="21"/>
                <w:lang w:val="es-ES"/>
              </w:rPr>
              <w:t>O）</w:t>
            </w:r>
          </w:p>
        </w:tc>
        <w:tc>
          <w:tcPr>
            <w:tcW w:w="651" w:type="pct"/>
            <w:noWrap w:val="0"/>
            <w:vAlign w:val="center"/>
          </w:tcPr>
          <w:p>
            <w:pPr>
              <w:spacing w:line="320" w:lineRule="exact"/>
              <w:jc w:val="center"/>
              <w:rPr>
                <w:rFonts w:eastAsia="仿宋_GB2312"/>
                <w:color w:val="000000"/>
                <w:szCs w:val="21"/>
              </w:rPr>
            </w:pPr>
            <w:r>
              <w:rPr>
                <w:rFonts w:eastAsia="仿宋_GB2312"/>
                <w:color w:val="000000"/>
                <w:szCs w:val="21"/>
              </w:rPr>
              <w:t>施肥量</w:t>
            </w:r>
          </w:p>
          <w:p>
            <w:pPr>
              <w:spacing w:line="320" w:lineRule="exact"/>
              <w:jc w:val="center"/>
              <w:rPr>
                <w:rFonts w:eastAsia="仿宋_GB2312"/>
                <w:color w:val="000000"/>
                <w:szCs w:val="21"/>
              </w:rPr>
            </w:pPr>
            <w:r>
              <w:rPr>
                <w:rFonts w:eastAsia="仿宋_GB2312"/>
                <w:color w:val="000000"/>
                <w:szCs w:val="21"/>
              </w:rPr>
              <w:t>(kg/亩)</w:t>
            </w:r>
          </w:p>
        </w:tc>
        <w:tc>
          <w:tcPr>
            <w:tcW w:w="435" w:type="pct"/>
            <w:noWrap w:val="0"/>
            <w:vAlign w:val="center"/>
          </w:tcPr>
          <w:p>
            <w:pPr>
              <w:spacing w:line="320" w:lineRule="exact"/>
              <w:jc w:val="center"/>
              <w:rPr>
                <w:rFonts w:eastAsia="仿宋_GB2312"/>
                <w:color w:val="000000"/>
                <w:szCs w:val="21"/>
              </w:rPr>
            </w:pPr>
            <w:r>
              <w:rPr>
                <w:rFonts w:eastAsia="仿宋_GB2312"/>
                <w:color w:val="000000"/>
                <w:szCs w:val="21"/>
              </w:rPr>
              <w:t>品种</w:t>
            </w:r>
          </w:p>
        </w:tc>
        <w:tc>
          <w:tcPr>
            <w:tcW w:w="655" w:type="pct"/>
            <w:noWrap w:val="0"/>
            <w:vAlign w:val="center"/>
          </w:tcPr>
          <w:p>
            <w:pPr>
              <w:spacing w:line="320" w:lineRule="exact"/>
              <w:jc w:val="center"/>
              <w:rPr>
                <w:rFonts w:eastAsia="仿宋_GB2312"/>
                <w:color w:val="000000"/>
                <w:szCs w:val="21"/>
              </w:rPr>
            </w:pPr>
            <w:r>
              <w:rPr>
                <w:rFonts w:eastAsia="仿宋_GB2312"/>
                <w:color w:val="000000"/>
                <w:szCs w:val="21"/>
              </w:rPr>
              <w:t>施肥量</w:t>
            </w:r>
          </w:p>
          <w:p>
            <w:pPr>
              <w:spacing w:line="320" w:lineRule="exact"/>
              <w:jc w:val="center"/>
              <w:rPr>
                <w:rFonts w:eastAsia="仿宋_GB2312"/>
                <w:color w:val="000000"/>
                <w:szCs w:val="21"/>
              </w:rPr>
            </w:pPr>
            <w:r>
              <w:rPr>
                <w:rFonts w:eastAsia="仿宋_GB2312"/>
                <w:color w:val="000000"/>
                <w:szCs w:val="21"/>
              </w:rPr>
              <w:t>(kg/亩)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96" w:type="pct"/>
            <w:noWrap w:val="0"/>
            <w:vAlign w:val="center"/>
          </w:tcPr>
          <w:p>
            <w:pPr>
              <w:overflowPunct w:val="0"/>
              <w:snapToGrid w:val="0"/>
              <w:spacing w:line="240" w:lineRule="auto"/>
              <w:ind w:left="1" w:leftChars="0" w:right="0" w:rightChars="0" w:firstLine="0" w:firstLineChars="0"/>
              <w:jc w:val="center"/>
              <w:rPr>
                <w:rFonts w:hint="default" w:ascii="Times New Roman" w:hAnsi="Times New Roman" w:eastAsia="仿宋_GB2312" w:cs="Times New Roman"/>
                <w:color w:val="000000" w:themeColor="text1"/>
                <w:spacing w:val="0"/>
                <w:w w:val="100"/>
                <w:sz w:val="21"/>
                <w:szCs w:val="21"/>
                <w:vertAlign w:val="baseline"/>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300</w:t>
            </w:r>
          </w:p>
        </w:tc>
        <w:tc>
          <w:tcPr>
            <w:tcW w:w="905" w:type="pct"/>
            <w:vMerge w:val="restart"/>
            <w:noWrap w:val="0"/>
            <w:vAlign w:val="center"/>
          </w:tcPr>
          <w:p>
            <w:pPr>
              <w:overflowPunct w:val="0"/>
              <w:snapToGrid w:val="0"/>
              <w:spacing w:line="240" w:lineRule="auto"/>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w:t>
            </w:r>
            <w:r>
              <w:rPr>
                <w:rFonts w:hint="eastAsia" w:eastAsia="仿宋_GB2312"/>
                <w:color w:val="000000" w:themeColor="text1"/>
                <w:szCs w:val="21"/>
                <w:lang w:val="en-US" w:eastAsia="zh-CN"/>
                <w14:textFill>
                  <w14:solidFill>
                    <w14:schemeClr w14:val="tx1"/>
                  </w14:solidFill>
                </w14:textFill>
              </w:rPr>
              <w:t>4</w:t>
            </w:r>
            <w:r>
              <w:rPr>
                <w:rFonts w:eastAsia="仿宋_GB2312"/>
                <w:color w:val="000000" w:themeColor="text1"/>
                <w:szCs w:val="21"/>
                <w14:textFill>
                  <w14:solidFill>
                    <w14:schemeClr w14:val="tx1"/>
                  </w14:solidFill>
                </w14:textFill>
              </w:rPr>
              <w:t>-10-1</w:t>
            </w:r>
            <w:r>
              <w:rPr>
                <w:rFonts w:hint="eastAsia" w:eastAsia="仿宋_GB2312"/>
                <w:color w:val="000000" w:themeColor="text1"/>
                <w:szCs w:val="21"/>
                <w:lang w:val="en-US" w:eastAsia="zh-CN"/>
                <w14:textFill>
                  <w14:solidFill>
                    <w14:schemeClr w14:val="tx1"/>
                  </w14:solidFill>
                </w14:textFill>
              </w:rPr>
              <w:t>1</w:t>
            </w:r>
            <w:r>
              <w:rPr>
                <w:rFonts w:eastAsia="仿宋_GB2312"/>
                <w:color w:val="000000" w:themeColor="text1"/>
                <w:szCs w:val="21"/>
                <w14:textFill>
                  <w14:solidFill>
                    <w14:schemeClr w14:val="tx1"/>
                  </w14:solidFill>
                </w14:textFill>
              </w:rPr>
              <w:t>或</w:t>
            </w:r>
          </w:p>
          <w:p>
            <w:pPr>
              <w:overflowPunct w:val="0"/>
              <w:snapToGrid w:val="0"/>
              <w:spacing w:line="240" w:lineRule="auto"/>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相近配方</w:t>
            </w:r>
          </w:p>
          <w:p>
            <w:pPr>
              <w:spacing w:line="320" w:lineRule="exact"/>
              <w:jc w:val="center"/>
              <w:rPr>
                <w:rFonts w:eastAsia="仿宋_GB2312"/>
                <w:color w:val="000000"/>
                <w:szCs w:val="21"/>
              </w:rPr>
            </w:pPr>
          </w:p>
        </w:tc>
        <w:tc>
          <w:tcPr>
            <w:tcW w:w="651" w:type="pct"/>
            <w:noWrap w:val="0"/>
            <w:vAlign w:val="center"/>
          </w:tcPr>
          <w:p>
            <w:pPr>
              <w:overflowPunct w:val="0"/>
              <w:snapToGrid w:val="0"/>
              <w:spacing w:line="240" w:lineRule="auto"/>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45</w:t>
            </w:r>
            <w:bookmarkStart w:id="0" w:name="_GoBack"/>
            <w:bookmarkEnd w:id="0"/>
          </w:p>
        </w:tc>
        <w:tc>
          <w:tcPr>
            <w:tcW w:w="905" w:type="pct"/>
            <w:vMerge w:val="restart"/>
            <w:noWrap w:val="0"/>
            <w:vAlign w:val="center"/>
          </w:tcPr>
          <w:p>
            <w:pPr>
              <w:overflowPunct w:val="0"/>
              <w:snapToGrid w:val="0"/>
              <w:spacing w:line="240" w:lineRule="auto"/>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hint="eastAsia" w:eastAsia="仿宋_GB2312"/>
                <w:color w:val="000000" w:themeColor="text1"/>
                <w:szCs w:val="21"/>
                <w:lang w:val="en-US" w:eastAsia="zh-CN"/>
                <w14:textFill>
                  <w14:solidFill>
                    <w14:schemeClr w14:val="tx1"/>
                  </w14:solidFill>
                </w14:textFill>
              </w:rPr>
              <w:t>9</w:t>
            </w:r>
            <w:r>
              <w:rPr>
                <w:rFonts w:eastAsia="仿宋_GB2312"/>
                <w:color w:val="000000" w:themeColor="text1"/>
                <w:szCs w:val="21"/>
                <w14:textFill>
                  <w14:solidFill>
                    <w14:schemeClr w14:val="tx1"/>
                  </w14:solidFill>
                </w14:textFill>
              </w:rPr>
              <w:t>-1</w:t>
            </w:r>
            <w:r>
              <w:rPr>
                <w:rFonts w:hint="eastAsia" w:eastAsia="仿宋_GB2312"/>
                <w:color w:val="000000" w:themeColor="text1"/>
                <w:szCs w:val="21"/>
                <w:lang w:val="en-US" w:eastAsia="zh-CN"/>
                <w14:textFill>
                  <w14:solidFill>
                    <w14:schemeClr w14:val="tx1"/>
                  </w14:solidFill>
                </w14:textFill>
              </w:rPr>
              <w:t>2</w:t>
            </w:r>
            <w:r>
              <w:rPr>
                <w:rFonts w:eastAsia="仿宋_GB2312"/>
                <w:color w:val="000000" w:themeColor="text1"/>
                <w:szCs w:val="21"/>
                <w14:textFill>
                  <w14:solidFill>
                    <w14:schemeClr w14:val="tx1"/>
                  </w14:solidFill>
                </w14:textFill>
              </w:rPr>
              <w:t>-14或</w:t>
            </w:r>
          </w:p>
          <w:p>
            <w:pPr>
              <w:overflowPunct w:val="0"/>
              <w:snapToGrid w:val="0"/>
              <w:spacing w:line="240" w:lineRule="auto"/>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相近配方</w:t>
            </w:r>
          </w:p>
          <w:p>
            <w:pPr>
              <w:spacing w:line="320" w:lineRule="exact"/>
              <w:jc w:val="center"/>
              <w:rPr>
                <w:rFonts w:eastAsia="仿宋_GB2312"/>
                <w:color w:val="000000"/>
                <w:szCs w:val="21"/>
              </w:rPr>
            </w:pPr>
          </w:p>
        </w:tc>
        <w:tc>
          <w:tcPr>
            <w:tcW w:w="651" w:type="pct"/>
            <w:noWrap w:val="0"/>
            <w:vAlign w:val="center"/>
          </w:tcPr>
          <w:p>
            <w:pPr>
              <w:overflowPunct w:val="0"/>
              <w:snapToGrid w:val="0"/>
              <w:spacing w:line="240" w:lineRule="auto"/>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35</w:t>
            </w:r>
          </w:p>
        </w:tc>
        <w:tc>
          <w:tcPr>
            <w:tcW w:w="435" w:type="pct"/>
            <w:vMerge w:val="restart"/>
            <w:noWrap w:val="0"/>
            <w:vAlign w:val="center"/>
          </w:tcPr>
          <w:p>
            <w:pPr>
              <w:overflowPunct w:val="0"/>
              <w:snapToGrid w:val="0"/>
              <w:spacing w:line="240" w:lineRule="auto"/>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尿素</w:t>
            </w:r>
          </w:p>
          <w:p>
            <w:pPr>
              <w:spacing w:line="320" w:lineRule="exact"/>
              <w:jc w:val="center"/>
              <w:rPr>
                <w:rFonts w:eastAsia="仿宋_GB2312"/>
                <w:color w:val="000000"/>
                <w:szCs w:val="21"/>
              </w:rPr>
            </w:pPr>
          </w:p>
        </w:tc>
        <w:tc>
          <w:tcPr>
            <w:tcW w:w="655" w:type="pct"/>
            <w:noWrap w:val="0"/>
            <w:vAlign w:val="center"/>
          </w:tcPr>
          <w:p>
            <w:pPr>
              <w:overflowPunct w:val="0"/>
              <w:snapToGrid w:val="0"/>
              <w:spacing w:line="240" w:lineRule="auto"/>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eastAsia="仿宋_GB2312"/>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pct"/>
            <w:noWrap w:val="0"/>
            <w:vAlign w:val="center"/>
          </w:tcPr>
          <w:p>
            <w:pPr>
              <w:overflowPunct w:val="0"/>
              <w:snapToGrid w:val="0"/>
              <w:spacing w:line="240" w:lineRule="auto"/>
              <w:ind w:left="1" w:leftChars="0" w:right="0" w:rightChars="0" w:firstLine="0" w:firstLineChars="0"/>
              <w:jc w:val="center"/>
              <w:rPr>
                <w:rFonts w:hint="default" w:ascii="Times New Roman" w:hAnsi="Times New Roman" w:eastAsia="仿宋_GB2312" w:cs="Times New Roman"/>
                <w:color w:val="000000" w:themeColor="text1"/>
                <w:spacing w:val="0"/>
                <w:w w:val="100"/>
                <w:sz w:val="21"/>
                <w:szCs w:val="21"/>
                <w:vertAlign w:val="baseline"/>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350</w:t>
            </w:r>
          </w:p>
        </w:tc>
        <w:tc>
          <w:tcPr>
            <w:tcW w:w="905" w:type="pct"/>
            <w:vMerge w:val="continue"/>
            <w:noWrap w:val="0"/>
            <w:vAlign w:val="center"/>
          </w:tcPr>
          <w:p>
            <w:pPr>
              <w:spacing w:line="320" w:lineRule="exact"/>
              <w:jc w:val="center"/>
              <w:rPr>
                <w:rFonts w:eastAsia="仿宋_GB2312"/>
                <w:color w:val="000000"/>
                <w:szCs w:val="21"/>
              </w:rPr>
            </w:pPr>
          </w:p>
        </w:tc>
        <w:tc>
          <w:tcPr>
            <w:tcW w:w="651" w:type="pct"/>
            <w:noWrap w:val="0"/>
            <w:vAlign w:val="center"/>
          </w:tcPr>
          <w:p>
            <w:pPr>
              <w:overflowPunct w:val="0"/>
              <w:snapToGrid w:val="0"/>
              <w:spacing w:line="240" w:lineRule="auto"/>
              <w:ind w:left="1" w:leftChars="0" w:right="0" w:rightChars="0" w:firstLine="0" w:firstLineChars="0"/>
              <w:jc w:val="center"/>
              <w:rPr>
                <w:rFonts w:hint="default" w:ascii="Times New Roman" w:hAnsi="Times New Roman" w:eastAsia="仿宋_GB2312" w:cs="Times New Roman"/>
                <w:color w:val="000000" w:themeColor="text1"/>
                <w:spacing w:val="0"/>
                <w:w w:val="100"/>
                <w:sz w:val="21"/>
                <w:szCs w:val="21"/>
                <w:vertAlign w:val="baseline"/>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50</w:t>
            </w:r>
          </w:p>
        </w:tc>
        <w:tc>
          <w:tcPr>
            <w:tcW w:w="905" w:type="pct"/>
            <w:vMerge w:val="continue"/>
            <w:noWrap w:val="0"/>
            <w:vAlign w:val="center"/>
          </w:tcPr>
          <w:p>
            <w:pPr>
              <w:spacing w:line="320" w:lineRule="exact"/>
              <w:jc w:val="center"/>
              <w:rPr>
                <w:rFonts w:eastAsia="仿宋_GB2312"/>
                <w:color w:val="000000"/>
                <w:szCs w:val="21"/>
              </w:rPr>
            </w:pPr>
          </w:p>
        </w:tc>
        <w:tc>
          <w:tcPr>
            <w:tcW w:w="651" w:type="pct"/>
            <w:noWrap w:val="0"/>
            <w:vAlign w:val="center"/>
          </w:tcPr>
          <w:p>
            <w:pPr>
              <w:overflowPunct w:val="0"/>
              <w:snapToGrid w:val="0"/>
              <w:spacing w:line="240" w:lineRule="auto"/>
              <w:ind w:left="1" w:leftChars="0" w:right="0" w:rightChars="0" w:firstLine="0" w:firstLineChars="0"/>
              <w:jc w:val="center"/>
              <w:rPr>
                <w:rFonts w:hint="default" w:ascii="Times New Roman" w:hAnsi="Times New Roman" w:eastAsia="仿宋_GB2312" w:cs="Times New Roman"/>
                <w:color w:val="000000" w:themeColor="text1"/>
                <w:spacing w:val="0"/>
                <w:w w:val="100"/>
                <w:sz w:val="21"/>
                <w:szCs w:val="21"/>
                <w:vertAlign w:val="baseline"/>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40</w:t>
            </w:r>
          </w:p>
        </w:tc>
        <w:tc>
          <w:tcPr>
            <w:tcW w:w="435" w:type="pct"/>
            <w:vMerge w:val="continue"/>
            <w:noWrap w:val="0"/>
            <w:vAlign w:val="center"/>
          </w:tcPr>
          <w:p>
            <w:pPr>
              <w:spacing w:line="320" w:lineRule="exact"/>
              <w:jc w:val="center"/>
              <w:rPr>
                <w:rFonts w:eastAsia="仿宋_GB2312"/>
                <w:color w:val="000000"/>
                <w:szCs w:val="21"/>
              </w:rPr>
            </w:pPr>
          </w:p>
        </w:tc>
        <w:tc>
          <w:tcPr>
            <w:tcW w:w="655" w:type="pct"/>
            <w:noWrap w:val="0"/>
            <w:vAlign w:val="center"/>
          </w:tcPr>
          <w:p>
            <w:pPr>
              <w:overflowPunct w:val="0"/>
              <w:snapToGrid w:val="0"/>
              <w:spacing w:line="240" w:lineRule="auto"/>
              <w:ind w:left="1" w:leftChars="0" w:right="0" w:rightChars="0" w:firstLine="0" w:firstLineChars="0"/>
              <w:jc w:val="center"/>
              <w:rPr>
                <w:rFonts w:ascii="Times New Roman" w:hAnsi="Times New Roman" w:eastAsia="仿宋_GB2312" w:cs="Times New Roman"/>
                <w:color w:val="000000" w:themeColor="text1"/>
                <w:spacing w:val="0"/>
                <w:w w:val="100"/>
                <w:sz w:val="21"/>
                <w:szCs w:val="21"/>
                <w:vertAlign w:val="baseline"/>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1</w:t>
            </w:r>
            <w:r>
              <w:rPr>
                <w:rFonts w:eastAsia="仿宋_GB2312"/>
                <w:color w:val="000000" w:themeColor="text1"/>
                <w:szCs w:val="21"/>
                <w14:textFill>
                  <w14:solidFill>
                    <w14:schemeClr w14:val="tx1"/>
                  </w14:solidFill>
                </w14:textFill>
              </w:rPr>
              <w:t>0</w:t>
            </w:r>
          </w:p>
        </w:tc>
      </w:tr>
    </w:tbl>
    <w:p>
      <w:pPr>
        <w:rPr>
          <w:rFonts w:hint="eastAsia" w:eastAsia="仿宋_GB2312"/>
          <w:color w:val="000000"/>
          <w:szCs w:val="21"/>
          <w:lang w:val="en-US" w:eastAsia="zh-CN"/>
        </w:rPr>
      </w:pPr>
      <w:r>
        <w:rPr>
          <w:rFonts w:eastAsia="仿宋_GB2312"/>
          <w:color w:val="000000"/>
          <w:szCs w:val="21"/>
        </w:rPr>
        <w:t>注：1.大配方推荐以45%含量计算，施肥量以实物量计，若采用其它含量，按比例折算即可，同时施用量适当增减；2.连续三年秸秆还田的田块可减少钾肥施用量，高肥力地块肥料用量可适当减少；3.山地丘陵区推荐使用一次性施肥；4.春花生较夏花生的施肥量大，可适当调整施肥量，播种前应注重精细整地，同时基施一定量的有机肥；5.各地可视地力情况可亩补施一定量的钙肥，在生育关键期适当叶面补施微肥。</w:t>
      </w:r>
    </w:p>
    <w:p>
      <w:pPr>
        <w:wordWrap w:val="0"/>
        <w:spacing w:line="600" w:lineRule="exact"/>
        <w:ind w:left="0" w:leftChars="0" w:firstLine="0" w:firstLineChars="0"/>
        <w:jc w:val="center"/>
        <w:rPr>
          <w:rFonts w:hint="eastAsia" w:eastAsia="仿宋_GB2312"/>
          <w:color w:val="000000"/>
          <w:szCs w:val="21"/>
          <w:lang w:val="en-US" w:eastAsia="zh-CN"/>
        </w:rPr>
      </w:pPr>
      <w:r>
        <w:rPr>
          <w:rFonts w:hint="eastAsia"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安阳县农业农村局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contextualSpacing/>
        <w:textAlignment w:val="auto"/>
        <w:rPr>
          <w:rStyle w:val="17"/>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sectPr>
      <w:footerReference r:id="rId3" w:type="default"/>
      <w:pgSz w:w="11906" w:h="16838"/>
      <w:pgMar w:top="1440" w:right="1519" w:bottom="1440" w:left="1502"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BEEF2"/>
    <w:multiLevelType w:val="singleLevel"/>
    <w:tmpl w:val="E2DBEEF2"/>
    <w:lvl w:ilvl="0" w:tentative="0">
      <w:start w:val="4"/>
      <w:numFmt w:val="chineseCounting"/>
      <w:suff w:val="nothing"/>
      <w:lvlText w:val="%1、"/>
      <w:lvlJc w:val="left"/>
      <w:rPr>
        <w:rFonts w:hint="eastAsia"/>
      </w:rPr>
    </w:lvl>
  </w:abstractNum>
  <w:abstractNum w:abstractNumId="1">
    <w:nsid w:val="FFB737F0"/>
    <w:multiLevelType w:val="singleLevel"/>
    <w:tmpl w:val="FFB737F0"/>
    <w:lvl w:ilvl="0" w:tentative="0">
      <w:start w:val="1"/>
      <w:numFmt w:val="chineseCounting"/>
      <w:suff w:val="nothing"/>
      <w:lvlText w:val="（%1）"/>
      <w:lvlJc w:val="left"/>
      <w:rPr>
        <w:rFonts w:hint="eastAsia" w:ascii="楷体" w:hAnsi="楷体" w:eastAsia="楷体" w:cs="楷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ZTc4OWRjMTkyNzc4MzQyMDI2ZWE1YjJjN2EzZjkifQ=="/>
  </w:docVars>
  <w:rsids>
    <w:rsidRoot w:val="00000000"/>
    <w:rsid w:val="02D05560"/>
    <w:rsid w:val="04406D9B"/>
    <w:rsid w:val="06B56F46"/>
    <w:rsid w:val="078031DC"/>
    <w:rsid w:val="0B282BC9"/>
    <w:rsid w:val="0D354B64"/>
    <w:rsid w:val="0E067CDF"/>
    <w:rsid w:val="1133184B"/>
    <w:rsid w:val="13EB406E"/>
    <w:rsid w:val="16111CBF"/>
    <w:rsid w:val="16C71270"/>
    <w:rsid w:val="1B8D055C"/>
    <w:rsid w:val="2499511D"/>
    <w:rsid w:val="26967AEE"/>
    <w:rsid w:val="29752839"/>
    <w:rsid w:val="2FDB10DB"/>
    <w:rsid w:val="30BB2AFC"/>
    <w:rsid w:val="34D41B89"/>
    <w:rsid w:val="37293F0A"/>
    <w:rsid w:val="378B147A"/>
    <w:rsid w:val="38390198"/>
    <w:rsid w:val="3EE96D7F"/>
    <w:rsid w:val="43741014"/>
    <w:rsid w:val="447C7FC1"/>
    <w:rsid w:val="44C77869"/>
    <w:rsid w:val="46014D2A"/>
    <w:rsid w:val="48D86C77"/>
    <w:rsid w:val="49BA7461"/>
    <w:rsid w:val="4B3111F3"/>
    <w:rsid w:val="4BC732F7"/>
    <w:rsid w:val="4E012AAD"/>
    <w:rsid w:val="5031645C"/>
    <w:rsid w:val="51013EE8"/>
    <w:rsid w:val="52B753C1"/>
    <w:rsid w:val="571B1D96"/>
    <w:rsid w:val="58247FB8"/>
    <w:rsid w:val="587C4AF2"/>
    <w:rsid w:val="59AC337F"/>
    <w:rsid w:val="59F12F67"/>
    <w:rsid w:val="61F42048"/>
    <w:rsid w:val="66444AEC"/>
    <w:rsid w:val="665311BE"/>
    <w:rsid w:val="66613222"/>
    <w:rsid w:val="686D4C99"/>
    <w:rsid w:val="6E865F1C"/>
    <w:rsid w:val="6FF86518"/>
    <w:rsid w:val="723F686D"/>
    <w:rsid w:val="727367B7"/>
    <w:rsid w:val="75863CF4"/>
    <w:rsid w:val="7D447881"/>
    <w:rsid w:val="7D724F54"/>
    <w:rsid w:val="7D9C2760"/>
    <w:rsid w:val="7F4B0B99"/>
    <w:rsid w:val="7F8C6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beforeLines="0" w:after="330" w:afterLines="0" w:line="578" w:lineRule="auto"/>
      <w:outlineLvl w:val="0"/>
    </w:pPr>
    <w:rPr>
      <w:rFonts w:ascii="Calibri" w:hAnsi="Calibri" w:eastAsia="宋体" w:cs="Times New Roman"/>
      <w:b/>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center"/>
    </w:pPr>
    <w:rPr>
      <w:rFonts w:cs="Calibri"/>
      <w:sz w:val="20"/>
      <w:szCs w:val="20"/>
    </w:rPr>
  </w:style>
  <w:style w:type="paragraph" w:styleId="4">
    <w:name w:val="Normal Indent"/>
    <w:basedOn w:val="1"/>
    <w:next w:val="1"/>
    <w:qFormat/>
    <w:uiPriority w:val="0"/>
    <w:pPr>
      <w:ind w:firstLine="420" w:firstLineChars="200"/>
    </w:pPr>
  </w:style>
  <w:style w:type="paragraph" w:styleId="5">
    <w:name w:val="index 5"/>
    <w:basedOn w:val="1"/>
    <w:next w:val="1"/>
    <w:qFormat/>
    <w:uiPriority w:val="0"/>
    <w:pPr>
      <w:ind w:left="1680"/>
    </w:pPr>
    <w:rPr>
      <w:rFonts w:ascii="Times New Roman" w:hAnsi="Times New Roman" w:eastAsia="Times New Roman" w:cs="Times New Roman"/>
      <w:sz w:val="32"/>
      <w:szCs w:val="24"/>
    </w:rPr>
  </w:style>
  <w:style w:type="paragraph" w:styleId="6">
    <w:name w:val="Body Text Indent"/>
    <w:basedOn w:val="1"/>
    <w:next w:val="4"/>
    <w:unhideWhenUsed/>
    <w:qFormat/>
    <w:uiPriority w:val="99"/>
    <w:pPr>
      <w:spacing w:after="120"/>
      <w:ind w:left="420" w:leftChars="200"/>
    </w:pPr>
  </w:style>
  <w:style w:type="paragraph" w:styleId="7">
    <w:name w:val="Body Text Indent 2"/>
    <w:basedOn w:val="1"/>
    <w:qFormat/>
    <w:uiPriority w:val="0"/>
    <w:pPr>
      <w:spacing w:after="120" w:line="480" w:lineRule="auto"/>
      <w:ind w:left="420" w:leftChars="200"/>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next w:val="1"/>
    <w:qFormat/>
    <w:uiPriority w:val="99"/>
    <w:pPr>
      <w:ind w:firstLine="420" w:firstLineChars="200"/>
    </w:pPr>
    <w:rPr>
      <w:rFonts w:ascii="Times New Roman" w:hAnsi="Times New Roman"/>
      <w:kern w:val="0"/>
      <w:sz w:val="20"/>
      <w:szCs w:val="24"/>
    </w:rPr>
  </w:style>
  <w:style w:type="table" w:styleId="14">
    <w:name w:val="Table Grid"/>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7"/>
    <w:qFormat/>
    <w:uiPriority w:val="0"/>
    <w:rPr>
      <w:b/>
    </w:rPr>
  </w:style>
  <w:style w:type="character" w:customStyle="1" w:styleId="17">
    <w:name w:val="NormalCharacter"/>
    <w:qFormat/>
    <w:uiPriority w:val="99"/>
  </w:style>
  <w:style w:type="character" w:styleId="18">
    <w:name w:val="page number"/>
    <w:basedOn w:val="15"/>
    <w:qFormat/>
    <w:uiPriority w:val="0"/>
  </w:style>
  <w:style w:type="paragraph" w:customStyle="1" w:styleId="19">
    <w:name w:val="Default"/>
    <w:next w:val="5"/>
    <w:qFormat/>
    <w:uiPriority w:val="99"/>
    <w:pPr>
      <w:widowControl w:val="0"/>
      <w:autoSpaceDE w:val="0"/>
      <w:autoSpaceDN w:val="0"/>
      <w:adjustRightInd w:val="0"/>
    </w:pPr>
    <w:rPr>
      <w:rFonts w:ascii="??_GB2312" w:hAnsi="Calibri" w:eastAsia="Times New Roman" w:cs="Times New Roman"/>
      <w:color w:val="000000"/>
      <w:sz w:val="24"/>
      <w:szCs w:val="22"/>
      <w:lang w:val="en-US" w:eastAsia="zh-CN" w:bidi="ar-SA"/>
    </w:rPr>
  </w:style>
  <w:style w:type="paragraph" w:customStyle="1" w:styleId="20">
    <w:name w:val="p0"/>
    <w:basedOn w:val="1"/>
    <w:qFormat/>
    <w:uiPriority w:val="0"/>
    <w:pPr>
      <w:widowControl/>
    </w:pPr>
    <w:rPr>
      <w:rFonts w:ascii="Times New Roman" w:hAnsi="Times New Roman"/>
      <w:kern w:val="0"/>
      <w:szCs w:val="21"/>
    </w:rPr>
  </w:style>
  <w:style w:type="paragraph" w:customStyle="1" w:styleId="21">
    <w:name w:val="Body text|1"/>
    <w:basedOn w:val="1"/>
    <w:qFormat/>
    <w:uiPriority w:val="0"/>
    <w:pPr>
      <w:spacing w:line="417" w:lineRule="auto"/>
      <w:ind w:firstLine="400"/>
      <w:jc w:val="left"/>
    </w:pPr>
    <w:rPr>
      <w:rFonts w:ascii="宋体" w:hAnsi="宋体" w:cs="宋体"/>
      <w:color w:val="000000"/>
      <w:kern w:val="0"/>
      <w:sz w:val="30"/>
      <w:szCs w:val="30"/>
    </w:rPr>
  </w:style>
  <w:style w:type="paragraph" w:customStyle="1" w:styleId="22">
    <w:name w:val="UserStyle_0"/>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3">
    <w:name w:val="无间隔"/>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HtmlNormal"/>
    <w:basedOn w:val="1"/>
    <w:qFormat/>
    <w:uiPriority w:val="0"/>
    <w:rPr>
      <w:sz w:val="24"/>
    </w:rPr>
  </w:style>
  <w:style w:type="paragraph" w:customStyle="1" w:styleId="25">
    <w:name w:val="NormalIndent"/>
    <w:basedOn w:val="1"/>
    <w:qFormat/>
    <w:uiPriority w:val="0"/>
    <w:pPr>
      <w:ind w:firstLine="420" w:firstLineChars="200"/>
    </w:pPr>
    <w:rPr>
      <w:szCs w:val="24"/>
    </w:rPr>
  </w:style>
  <w:style w:type="character" w:customStyle="1" w:styleId="26">
    <w:name w:val="PageNumber"/>
    <w:basedOn w:val="17"/>
    <w:qFormat/>
    <w:uiPriority w:val="0"/>
  </w:style>
  <w:style w:type="paragraph" w:customStyle="1" w:styleId="27">
    <w:name w:val="BodyText"/>
    <w:basedOn w:val="1"/>
    <w:next w:val="28"/>
    <w:qFormat/>
    <w:uiPriority w:val="0"/>
    <w:pPr>
      <w:spacing w:after="120"/>
      <w:textAlignment w:val="baseline"/>
    </w:pPr>
    <w:rPr>
      <w:rFonts w:ascii="Calibri" w:hAnsi="Calibri" w:cs="宋体"/>
      <w:szCs w:val="22"/>
    </w:rPr>
  </w:style>
  <w:style w:type="paragraph" w:customStyle="1" w:styleId="28">
    <w:name w:val="UserStyle_1"/>
    <w:basedOn w:val="1"/>
    <w:qFormat/>
    <w:uiPriority w:val="0"/>
    <w:pPr>
      <w:spacing w:after="120" w:line="480" w:lineRule="auto"/>
      <w:textAlignment w:val="baseline"/>
    </w:pPr>
    <w:rPr>
      <w:rFonts w:ascii="Calibri" w:hAnsi="Calibri" w:cs="宋体"/>
      <w:szCs w:val="22"/>
    </w:rPr>
  </w:style>
  <w:style w:type="paragraph" w:customStyle="1" w:styleId="29">
    <w:name w:val="标题3"/>
    <w:basedOn w:val="1"/>
    <w:qFormat/>
    <w:uiPriority w:val="0"/>
    <w:pPr>
      <w:tabs>
        <w:tab w:val="left" w:pos="3168"/>
      </w:tabs>
      <w:ind w:firstLine="0" w:firstLineChars="0"/>
      <w:jc w:val="left"/>
      <w:outlineLvl w:val="2"/>
    </w:pPr>
    <w:rPr>
      <w:rFonts w:cs="宋体"/>
      <w:b/>
      <w:kern w:val="2"/>
      <w:lang w:val="zh-CN"/>
    </w:rPr>
  </w:style>
  <w:style w:type="paragraph" w:customStyle="1" w:styleId="30">
    <w:name w:val="reader-word-layer reader-word-s5-7"/>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3499</Words>
  <Characters>3858</Characters>
  <Lines>0</Lines>
  <Paragraphs>0</Paragraphs>
  <TotalTime>36</TotalTime>
  <ScaleCrop>false</ScaleCrop>
  <LinksUpToDate>false</LinksUpToDate>
  <CharactersWithSpaces>3903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2018-09-30T10:50:00Z</dcterms:created>
  <dc:creator>Administrator</dc:creator>
  <cp:lastModifiedBy>Administrator</cp:lastModifiedBy>
  <cp:lastPrinted>2023-06-05T08:00:34Z</cp:lastPrinted>
  <dcterms:modified xsi:type="dcterms:W3CDTF">2023-06-05T08:04:53Z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B945EE43C022467E8C70E2C40285FC6F</vt:lpwstr>
  </property>
</Properties>
</file>