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0" w:line="72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安阳县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耕地土壤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安全利用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工作方案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bookmarkEnd w:id="0"/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为持续深入打好</w:t>
      </w:r>
      <w:r>
        <w:rPr>
          <w:rFonts w:hint="eastAsia" w:ascii="仿宋_GB2312" w:eastAsia="仿宋_GB2312"/>
          <w:sz w:val="32"/>
          <w:szCs w:val="32"/>
          <w:lang w:eastAsia="zh-CN"/>
        </w:rPr>
        <w:t>耕地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土壤污染防治攻坚战，切实加强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耕地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土壤生态环境保护，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全面做好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我县耕地土壤污染安全利用工作，</w:t>
      </w:r>
      <w:r>
        <w:rPr>
          <w:rFonts w:hint="eastAsia" w:ascii="仿宋_GB2312" w:eastAsia="仿宋_GB2312" w:cs="Times New Roman"/>
          <w:sz w:val="32"/>
          <w:szCs w:val="32"/>
        </w:rPr>
        <w:t>持续深入推进全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耕地土壤污染防治，依据《土壤污染防治法》《河南省土壤污染防治条例》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等文件精神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结合我县实际，</w:t>
      </w:r>
      <w:r>
        <w:rPr>
          <w:rFonts w:hint="eastAsia" w:ascii="仿宋_GB2312" w:eastAsia="仿宋_GB2312" w:cs="Times New Roman"/>
          <w:sz w:val="32"/>
          <w:szCs w:val="32"/>
        </w:rPr>
        <w:t>制定本方案。</w:t>
      </w:r>
    </w:p>
    <w:p>
      <w:pPr>
        <w:spacing w:before="156" w:beforeLines="5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深入贯彻习近平生态文明思想，深入落实习近平总书记关于“保证粮食安全，大家都有责任”“农田就是农田，而且必须是良田”重要讲话精神和视察河南重要讲话重要指示，全面贯彻省第十一次党代会、省委、市委农村工作会议精神，以绿色发展理念为引领，以预防为主、保护优先、分类管理、风险管控为原则，以保障农产品质量安全为目标，进一步强化耕地分类管理和耕地土壤污染预警，为人民群众“吃得放心、吃得安心”提供有力保障。</w:t>
      </w:r>
    </w:p>
    <w:p>
      <w:pPr>
        <w:spacing w:before="156" w:beforeLines="5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耕地土壤污染预警制度逐步完善，全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安全利用类耕地100%实施安全利用措施，严格管控类耕地100%实施风险管控措施，受污染耕地安全利用率达到95%以上。</w:t>
      </w:r>
    </w:p>
    <w:p>
      <w:pPr>
        <w:spacing w:before="156" w:beforeLines="5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三、主要任务</w:t>
      </w:r>
    </w:p>
    <w:p>
      <w:pPr>
        <w:spacing w:before="156" w:beforeLines="50"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(一)持续推进耕地分类管理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 强化安全利用类耕地治理修复。加强安全利用类耕地土壤和农产品协同监测评价工作，及时掌握土壤环境和农产品质量动态，坚持效果导向，因地施策持续巩固替代种植、农艺调控等措施，调整优化难以奏效的安全利用措施，确保粮食安全。系统梳理近年来实施的安全利用措施，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分类建立完善适合本地的安全利用技术库和农作物种植推荐清单，并做好示范推广。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sz w:val="32"/>
          <w:szCs w:val="32"/>
        </w:rPr>
        <w:t>. 强化严格管控类耕地风险监管。持续巩固严格管控类耕地调整种植结构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Times New Roman"/>
          <w:sz w:val="32"/>
          <w:szCs w:val="32"/>
        </w:rPr>
        <w:t>风险管控措施，禁止种植可食用农产品。结合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土地</w:t>
      </w:r>
      <w:r>
        <w:rPr>
          <w:rFonts w:hint="eastAsia" w:ascii="仿宋_GB2312" w:eastAsia="仿宋_GB2312" w:cs="Times New Roman"/>
          <w:sz w:val="32"/>
          <w:szCs w:val="32"/>
        </w:rPr>
        <w:t>流转工作，根源性解决群众复耕复种问题。鼓励在严格管控类耕地种植国家、省、市财政支持的非粮作物，保障非粮作物种植与促进生态环境治理相结合。探索开展特定农产品严格管控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域划定工作。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. 强化耕地土壤环境质量信息管理。完善耕地土壤污染防治工作台账，加强监测结果应用，切实做好预警监测结果、协同监测结果、农产品产地监测结果等数据信息的整理汇总，定期更新耕地土壤环境质量和农产品质量信息变化情况，为后续耕地土壤环境质量类别动态调整、完善耕地分类清单 图表提供数据支撑。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. 强化土壤污染责任人认定。可按照《农用地土壤污染责任人认定暂行办法》，开展耕地土壤污染责任人启动、调查、审查与认定工作，并及时总结上报实施过程中的典型案例。</w:t>
      </w:r>
    </w:p>
    <w:p>
      <w:pPr>
        <w:spacing w:before="156" w:beforeLines="50"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(二)开展20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sz w:val="32"/>
          <w:szCs w:val="32"/>
        </w:rPr>
        <w:t>年度耕地土壤污染预警监测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 开展省、市级两级耕地土壤污染预警监测。适时开展省、市级预警监测，全力配合做好省、市级预警监测工作。严格按照时间节点及相关技术规范，落实省、市级预警监测点位布设与核查，6月底前完成夏季样品采集、制备，10月底前完成秋季样品采集、制备，搞好夏秋两季样品的流转工作，确保样品采集全量、保存规范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 全面推进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级耕地土壤污染预警监测工作。在202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sz w:val="32"/>
          <w:szCs w:val="32"/>
        </w:rPr>
        <w:t>年预警监测工作的基础上，进一步完善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级预警制度，逐点核查，确保点位位置符合预警监测点位布设和核查技术规范，进行点位合理增布或优化调整，11月底前全面完成县级计划点位的样品采集、检测等工作。</w:t>
      </w:r>
    </w:p>
    <w:p>
      <w:pPr>
        <w:spacing w:before="156" w:beforeLines="50"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(三)落实耕地土壤污染预警处置措施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 做好省、市两级预警处置响应。严格按照市耕土办《关于做好耕地土壤污染预警处置工作的函》文件要求，基于省、市两级预警监测结果，结合当地实际，及时启动预警响应程序，制定预警处置工作计划，对超标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域分级采取加密调查、协同监测、安全利用、严格管控等处置措施，及时汇总上报省、市两级预警处置工作完成情况。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 深入开展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级预警处置工作。依据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级耕地土壤污染预警监测数据及其他信息，及时有效实施信息研判，确定预警等级。结合本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耕地土壤污染预警工作方案和实际情况，深入落实各项处置措施，必要时可进行现场勘查、补充监测、风险评估。规范开展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级预警处置工作，梳理汇总本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县域内</w:t>
      </w:r>
      <w:r>
        <w:rPr>
          <w:rFonts w:hint="eastAsia" w:ascii="仿宋_GB2312" w:eastAsia="仿宋_GB2312" w:cs="Times New Roman"/>
          <w:sz w:val="32"/>
          <w:szCs w:val="32"/>
        </w:rPr>
        <w:t>预警工作重点任务完成情况，及时编制并上报耕地土壤污染预警工作报告。</w:t>
      </w:r>
    </w:p>
    <w:p>
      <w:pPr>
        <w:spacing w:before="156" w:beforeLines="50"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(四)做好土壤污染防治项目实施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承担中央、省级土壤污染防治专项资金项目，进一步强化自身主体责任，依据项目实施方案，围绕预期目标，加强组织管理，确保高质量高标准完成任务。强化绿色发展理念，在项目实施过程中避免使用影响农业生产、降低土壤生产功能、造成土壤二次污染的技术措施。强化跟踪问效，及时解决项目开展过程中的问题，总结项目实施过程中的成熟经验，筛选出具有当地特色的安全利用技术集成模式。</w:t>
      </w:r>
    </w:p>
    <w:p>
      <w:pPr>
        <w:spacing w:before="156" w:beforeLines="5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(一)加强组织保障。</w:t>
      </w:r>
      <w:r>
        <w:rPr>
          <w:rFonts w:hint="eastAsia" w:ascii="仿宋_GB2312" w:eastAsia="仿宋_GB2312" w:cs="Times New Roman"/>
          <w:sz w:val="32"/>
          <w:szCs w:val="32"/>
        </w:rPr>
        <w:t>政府对本行政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eastAsia="仿宋_GB2312" w:cs="Times New Roman"/>
          <w:sz w:val="32"/>
          <w:szCs w:val="32"/>
        </w:rPr>
        <w:t>域耕地土壤污染防治和粮食安全负总责，政府主要负责同志要亲自负责，分管主要同志要具体落实，强化牵头抓总职能，推动部门优势互补，务求形成工作合力。加大力度宣传工作成效和典型案例，及时有效处置耕地土壤污染防治突发事件及舆情。因地制宜尽快制定实施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年度工作方案，明确各项工作的年度目标和重点任务。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(二)加强自查评估。</w:t>
      </w:r>
      <w:r>
        <w:rPr>
          <w:rFonts w:hint="eastAsia" w:ascii="仿宋_GB2312" w:eastAsia="仿宋_GB2312" w:cs="Times New Roman"/>
          <w:sz w:val="32"/>
          <w:szCs w:val="32"/>
        </w:rPr>
        <w:t>按照市食品安全工作考核、土壤污染防治考核等要求，及时掌握本地耕地土壤污染防治各项重点工作进展及成效，尽快解决存在问题，确保完成考核任务。加强严格管控类耕地风险管控措施落实情况监测评估，重点关注流转年限过短、休耕等地块及林下种植等情况，严防复种反弹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(三)加强资金保障。</w:t>
      </w:r>
      <w:r>
        <w:rPr>
          <w:rFonts w:hint="eastAsia" w:ascii="仿宋_GB2312" w:eastAsia="仿宋_GB2312" w:cs="Times New Roman"/>
          <w:sz w:val="32"/>
          <w:szCs w:val="32"/>
        </w:rPr>
        <w:t>多途径积极统筹相关财政资金，保障耕地土壤污染防治各项工作顺利开展。积极争取中央、省级土壤污染防治等专项资金支持，抓好项目储备，申报项目入库，提升项目水平，推动工作进展。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(四)加强技术保障。</w:t>
      </w:r>
      <w:r>
        <w:rPr>
          <w:rFonts w:hint="eastAsia" w:ascii="仿宋_GB2312" w:eastAsia="仿宋_GB2312" w:cs="Times New Roman"/>
          <w:sz w:val="32"/>
          <w:szCs w:val="32"/>
        </w:rPr>
        <w:t>充分发挥专家专长优势，结合当地实际，继续加强技术攻关与筛选，探索适合本地的受污染耕地安全利用技术，努力实现经济效益、社会效益、生态效益同步提升。重视干部队伍建设，着重加强技术培训和指导，提升工作能力和水平，提高工作的科学性和实用性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>
      <w:pPr>
        <w:spacing w:before="156" w:beforeLines="50"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安阳县农业农村局</w:t>
      </w:r>
    </w:p>
    <w:p>
      <w:pPr>
        <w:pStyle w:val="2"/>
        <w:ind w:right="934" w:rightChars="445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20</w:t>
      </w:r>
      <w:r>
        <w:rPr>
          <w:rFonts w:hint="eastAsia" w:ascii="仿宋" w:hAnsi="仿宋" w:eastAsia="仿宋" w:cs="仿宋"/>
          <w:lang w:val="en-US" w:eastAsia="zh-CN"/>
        </w:rPr>
        <w:t>23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25</w:t>
      </w:r>
      <w:r>
        <w:rPr>
          <w:rFonts w:hint="eastAsia" w:ascii="仿宋" w:hAnsi="仿宋" w:eastAsia="仿宋" w:cs="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contextualSpacing/>
        <w:textAlignment w:val="auto"/>
        <w:rPr>
          <w:rStyle w:val="19"/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519" w:bottom="1440" w:left="1502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Tc4OWRjMTkyNzc4MzQyMDI2ZWE1YjJjN2EzZjkifQ=="/>
  </w:docVars>
  <w:rsids>
    <w:rsidRoot w:val="00000000"/>
    <w:rsid w:val="02D05560"/>
    <w:rsid w:val="04406D9B"/>
    <w:rsid w:val="06B56F46"/>
    <w:rsid w:val="078031DC"/>
    <w:rsid w:val="0B282BC9"/>
    <w:rsid w:val="0D354B64"/>
    <w:rsid w:val="0E067CDF"/>
    <w:rsid w:val="1133184B"/>
    <w:rsid w:val="13EB406E"/>
    <w:rsid w:val="16111CBF"/>
    <w:rsid w:val="16C71270"/>
    <w:rsid w:val="1B8D055C"/>
    <w:rsid w:val="26967AEE"/>
    <w:rsid w:val="29752839"/>
    <w:rsid w:val="2FDB10DB"/>
    <w:rsid w:val="30BB2AFC"/>
    <w:rsid w:val="34D41B89"/>
    <w:rsid w:val="37293F0A"/>
    <w:rsid w:val="378B147A"/>
    <w:rsid w:val="3D2C0037"/>
    <w:rsid w:val="3EE96D7F"/>
    <w:rsid w:val="40AF3202"/>
    <w:rsid w:val="43741014"/>
    <w:rsid w:val="447C7FC1"/>
    <w:rsid w:val="44C77869"/>
    <w:rsid w:val="46014D2A"/>
    <w:rsid w:val="48D86C77"/>
    <w:rsid w:val="49BA7461"/>
    <w:rsid w:val="4B3111F3"/>
    <w:rsid w:val="4BC732F7"/>
    <w:rsid w:val="4E012AAD"/>
    <w:rsid w:val="51013EE8"/>
    <w:rsid w:val="52B753C1"/>
    <w:rsid w:val="571B1D96"/>
    <w:rsid w:val="58247FB8"/>
    <w:rsid w:val="587C4AF2"/>
    <w:rsid w:val="59AC337F"/>
    <w:rsid w:val="59F12F67"/>
    <w:rsid w:val="61F42048"/>
    <w:rsid w:val="66444AEC"/>
    <w:rsid w:val="665311BE"/>
    <w:rsid w:val="66613222"/>
    <w:rsid w:val="686D4C99"/>
    <w:rsid w:val="6E865F1C"/>
    <w:rsid w:val="6FF86518"/>
    <w:rsid w:val="723F686D"/>
    <w:rsid w:val="727367B7"/>
    <w:rsid w:val="75863CF4"/>
    <w:rsid w:val="7D447881"/>
    <w:rsid w:val="7D724F54"/>
    <w:rsid w:val="7D9C2760"/>
    <w:rsid w:val="7F4B0B99"/>
    <w:rsid w:val="7F8C6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keepLines/>
      <w:spacing w:before="340" w:beforeLines="0" w:after="330" w:afterLines="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/>
      <w:sz w:val="32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cs="Calibri"/>
      <w:sz w:val="20"/>
      <w:szCs w:val="20"/>
    </w:rPr>
  </w:style>
  <w:style w:type="paragraph" w:customStyle="1" w:styleId="4">
    <w:name w:val="正文文本 21"/>
    <w:basedOn w:val="1"/>
    <w:qFormat/>
    <w:uiPriority w:val="99"/>
    <w:pPr>
      <w:spacing w:after="120" w:line="480" w:lineRule="auto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index 5"/>
    <w:basedOn w:val="1"/>
    <w:next w:val="1"/>
    <w:qFormat/>
    <w:uiPriority w:val="0"/>
    <w:pPr>
      <w:ind w:left="1680"/>
    </w:pPr>
    <w:rPr>
      <w:rFonts w:ascii="Times New Roman" w:hAnsi="Times New Roman" w:eastAsia="Times New Roman" w:cs="Times New Roman"/>
      <w:sz w:val="32"/>
      <w:szCs w:val="24"/>
    </w:rPr>
  </w:style>
  <w:style w:type="paragraph" w:styleId="8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8"/>
    <w:next w:val="1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table" w:styleId="16">
    <w:name w:val="Table Grid"/>
    <w:basedOn w:val="1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9"/>
    <w:qFormat/>
    <w:uiPriority w:val="0"/>
    <w:rPr>
      <w:b/>
    </w:rPr>
  </w:style>
  <w:style w:type="character" w:customStyle="1" w:styleId="19">
    <w:name w:val="NormalCharacter"/>
    <w:qFormat/>
    <w:uiPriority w:val="99"/>
  </w:style>
  <w:style w:type="character" w:styleId="20">
    <w:name w:val="page number"/>
    <w:basedOn w:val="17"/>
    <w:qFormat/>
    <w:uiPriority w:val="0"/>
  </w:style>
  <w:style w:type="paragraph" w:customStyle="1" w:styleId="21">
    <w:name w:val="Default"/>
    <w:next w:val="7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3">
    <w:name w:val="Body text|1"/>
    <w:basedOn w:val="1"/>
    <w:qFormat/>
    <w:uiPriority w:val="0"/>
    <w:pPr>
      <w:spacing w:line="417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24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HtmlNormal"/>
    <w:basedOn w:val="1"/>
    <w:qFormat/>
    <w:uiPriority w:val="0"/>
    <w:rPr>
      <w:sz w:val="24"/>
    </w:rPr>
  </w:style>
  <w:style w:type="paragraph" w:customStyle="1" w:styleId="27">
    <w:name w:val="Normal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8">
    <w:name w:val="PageNumber"/>
    <w:basedOn w:val="19"/>
    <w:qFormat/>
    <w:uiPriority w:val="0"/>
  </w:style>
  <w:style w:type="paragraph" w:customStyle="1" w:styleId="29">
    <w:name w:val="BodyText"/>
    <w:basedOn w:val="1"/>
    <w:next w:val="30"/>
    <w:qFormat/>
    <w:uiPriority w:val="0"/>
    <w:pPr>
      <w:spacing w:after="120"/>
      <w:textAlignment w:val="baseline"/>
    </w:pPr>
    <w:rPr>
      <w:rFonts w:ascii="Calibri" w:hAnsi="Calibri" w:cs="宋体"/>
      <w:szCs w:val="22"/>
    </w:rPr>
  </w:style>
  <w:style w:type="paragraph" w:customStyle="1" w:styleId="30">
    <w:name w:val="UserStyle_1"/>
    <w:basedOn w:val="1"/>
    <w:qFormat/>
    <w:uiPriority w:val="0"/>
    <w:pPr>
      <w:spacing w:after="120" w:line="480" w:lineRule="auto"/>
      <w:textAlignment w:val="baseline"/>
    </w:pPr>
    <w:rPr>
      <w:rFonts w:ascii="Calibri" w:hAnsi="Calibri" w:cs="宋体"/>
      <w:szCs w:val="22"/>
    </w:rPr>
  </w:style>
  <w:style w:type="paragraph" w:customStyle="1" w:styleId="31">
    <w:name w:val="标题3"/>
    <w:basedOn w:val="1"/>
    <w:qFormat/>
    <w:uiPriority w:val="0"/>
    <w:pPr>
      <w:tabs>
        <w:tab w:val="left" w:pos="3168"/>
      </w:tabs>
      <w:ind w:firstLine="0" w:firstLineChars="0"/>
      <w:jc w:val="left"/>
      <w:outlineLvl w:val="2"/>
    </w:pPr>
    <w:rPr>
      <w:rFonts w:cs="宋体"/>
      <w:b/>
      <w:kern w:val="2"/>
      <w:lang w:val="zh-CN"/>
    </w:rPr>
  </w:style>
  <w:style w:type="paragraph" w:customStyle="1" w:styleId="32">
    <w:name w:val="reader-word-layer reader-word-s5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343</Words>
  <Characters>372</Characters>
  <Lines>0</Lines>
  <Paragraphs>0</Paragraphs>
  <TotalTime>3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2018-09-30T10:50:00Z</dcterms:created>
  <dc:creator>Administrator</dc:creator>
  <cp:lastModifiedBy>Administrator</cp:lastModifiedBy>
  <cp:lastPrinted>2023-06-15T02:41:35Z</cp:lastPrinted>
  <dcterms:modified xsi:type="dcterms:W3CDTF">2023-06-15T02:43:35Z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B945EE43C022467E8C70E2C40285FC6F</vt:lpwstr>
  </property>
</Properties>
</file>