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Theme="majorEastAsia" w:hAnsiTheme="majorEastAsia" w:eastAsiaTheme="majorEastAsia" w:cstheme="majorEastAsia"/>
          <w:sz w:val="36"/>
          <w:szCs w:val="36"/>
        </w:rPr>
      </w:pPr>
    </w:p>
    <w:p>
      <w:pPr>
        <w:jc w:val="both"/>
        <w:rPr>
          <w:rFonts w:hint="eastAsia" w:asciiTheme="majorEastAsia" w:hAnsiTheme="majorEastAsia" w:eastAsiaTheme="majorEastAsia" w:cstheme="majorEastAsia"/>
          <w:sz w:val="36"/>
          <w:szCs w:val="36"/>
        </w:rPr>
      </w:pPr>
    </w:p>
    <w:p>
      <w:pPr>
        <w:jc w:val="both"/>
        <w:rPr>
          <w:rFonts w:hint="eastAsia" w:asciiTheme="majorEastAsia" w:hAnsiTheme="majorEastAsia" w:eastAsiaTheme="majorEastAsia" w:cstheme="majorEastAsia"/>
          <w:sz w:val="36"/>
          <w:szCs w:val="36"/>
        </w:rPr>
      </w:pPr>
    </w:p>
    <w:p>
      <w:pPr>
        <w:jc w:val="both"/>
        <w:rPr>
          <w:rFonts w:hint="eastAsia" w:asciiTheme="majorEastAsia" w:hAnsiTheme="majorEastAsia" w:eastAsiaTheme="majorEastAsia" w:cstheme="majorEastAsia"/>
          <w:sz w:val="40"/>
          <w:szCs w:val="40"/>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2022年度安阳县水利局部门整体支出绩效</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评价报告</w:t>
      </w:r>
    </w:p>
    <w:p>
      <w:pPr>
        <w:jc w:val="center"/>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昌盛绩报字【2023】150号</w:t>
      </w:r>
    </w:p>
    <w:p>
      <w:pPr>
        <w:jc w:val="both"/>
        <w:rPr>
          <w:rFonts w:hint="eastAsia" w:asciiTheme="majorEastAsia" w:hAnsiTheme="majorEastAsia" w:eastAsiaTheme="majorEastAsia" w:cstheme="majorEastAsia"/>
          <w:sz w:val="32"/>
          <w:szCs w:val="32"/>
          <w:lang w:val="en-US" w:eastAsia="zh-CN"/>
        </w:rPr>
      </w:pPr>
    </w:p>
    <w:p>
      <w:pPr>
        <w:jc w:val="both"/>
        <w:rPr>
          <w:rFonts w:hint="eastAsia" w:asciiTheme="majorEastAsia" w:hAnsiTheme="majorEastAsia" w:eastAsiaTheme="majorEastAsia" w:cstheme="majorEastAsia"/>
          <w:sz w:val="32"/>
          <w:szCs w:val="32"/>
          <w:lang w:val="en-US" w:eastAsia="zh-CN"/>
        </w:rPr>
      </w:pPr>
    </w:p>
    <w:p>
      <w:pPr>
        <w:jc w:val="both"/>
        <w:rPr>
          <w:rFonts w:hint="eastAsia" w:asciiTheme="majorEastAsia" w:hAnsiTheme="majorEastAsia" w:eastAsiaTheme="majorEastAsia" w:cstheme="majorEastAsia"/>
          <w:sz w:val="32"/>
          <w:szCs w:val="32"/>
          <w:lang w:val="en-US" w:eastAsia="zh-CN"/>
        </w:rPr>
      </w:pPr>
    </w:p>
    <w:p>
      <w:pPr>
        <w:jc w:val="both"/>
        <w:rPr>
          <w:rFonts w:hint="eastAsia" w:asciiTheme="majorEastAsia" w:hAnsiTheme="majorEastAsia" w:eastAsiaTheme="majorEastAsia" w:cstheme="majorEastAsia"/>
          <w:sz w:val="32"/>
          <w:szCs w:val="32"/>
          <w:lang w:val="en-US" w:eastAsia="zh-CN"/>
        </w:rPr>
      </w:pPr>
    </w:p>
    <w:p>
      <w:pPr>
        <w:jc w:val="both"/>
        <w:rPr>
          <w:rFonts w:hint="eastAsia" w:asciiTheme="majorEastAsia" w:hAnsiTheme="majorEastAsia" w:eastAsiaTheme="majorEastAsia" w:cstheme="majorEastAsia"/>
          <w:sz w:val="32"/>
          <w:szCs w:val="32"/>
          <w:lang w:val="en-US" w:eastAsia="zh-CN"/>
        </w:rPr>
      </w:pPr>
    </w:p>
    <w:p>
      <w:pPr>
        <w:jc w:val="both"/>
        <w:rPr>
          <w:rFonts w:hint="eastAsia" w:asciiTheme="majorEastAsia" w:hAnsiTheme="majorEastAsia" w:eastAsiaTheme="majorEastAsia" w:cstheme="majorEastAsia"/>
          <w:sz w:val="32"/>
          <w:szCs w:val="32"/>
          <w:lang w:val="en-US" w:eastAsia="zh-CN"/>
        </w:rPr>
      </w:pPr>
    </w:p>
    <w:p>
      <w:pPr>
        <w:jc w:val="both"/>
        <w:rPr>
          <w:rFonts w:hint="eastAsia" w:asciiTheme="majorEastAsia" w:hAnsiTheme="majorEastAsia" w:eastAsiaTheme="majorEastAsia" w:cstheme="majorEastAsia"/>
          <w:sz w:val="32"/>
          <w:szCs w:val="32"/>
          <w:lang w:val="en-US" w:eastAsia="zh-CN"/>
        </w:rPr>
      </w:pPr>
    </w:p>
    <w:p>
      <w:pPr>
        <w:jc w:val="both"/>
        <w:rPr>
          <w:rFonts w:hint="eastAsia" w:asciiTheme="majorEastAsia" w:hAnsiTheme="majorEastAsia" w:eastAsiaTheme="majorEastAsia" w:cstheme="majorEastAsia"/>
          <w:sz w:val="32"/>
          <w:szCs w:val="32"/>
          <w:lang w:val="en-US" w:eastAsia="zh-CN"/>
        </w:rPr>
      </w:pPr>
    </w:p>
    <w:p>
      <w:pPr>
        <w:jc w:val="both"/>
        <w:rPr>
          <w:rFonts w:hint="eastAsia" w:ascii="仿宋_GB2312" w:hAnsi="仿宋_GB2312" w:eastAsia="仿宋_GB2312" w:cs="仿宋_GB2312"/>
          <w:b w:val="0"/>
          <w:color w:val="000000"/>
          <w:kern w:val="0"/>
          <w:sz w:val="32"/>
          <w:szCs w:val="32"/>
          <w:highlight w:val="none"/>
          <w:lang w:val="en-US" w:eastAsia="zh-CN" w:bidi="ar"/>
        </w:rPr>
      </w:pPr>
      <w:r>
        <w:rPr>
          <w:rFonts w:hint="eastAsia" w:ascii="仿宋_GB2312" w:hAnsi="仿宋_GB2312" w:eastAsia="仿宋_GB2312" w:cs="仿宋_GB2312"/>
          <w:b w:val="0"/>
          <w:color w:val="000000"/>
          <w:kern w:val="0"/>
          <w:sz w:val="32"/>
          <w:szCs w:val="32"/>
          <w:highlight w:val="none"/>
          <w:lang w:val="en-US" w:eastAsia="zh-CN" w:bidi="ar"/>
        </w:rPr>
        <w:t xml:space="preserve">项目名称：2022年度安阳县水利局部门整体支出 </w:t>
      </w:r>
    </w:p>
    <w:p>
      <w:pPr>
        <w:jc w:val="both"/>
        <w:rPr>
          <w:rFonts w:hint="eastAsia" w:asciiTheme="majorEastAsia" w:hAnsiTheme="majorEastAsia" w:eastAsiaTheme="majorEastAsia" w:cstheme="majorEastAsia"/>
          <w:sz w:val="32"/>
          <w:szCs w:val="32"/>
          <w:lang w:val="en-US"/>
        </w:rPr>
      </w:pPr>
      <w:r>
        <w:rPr>
          <w:rFonts w:hint="eastAsia" w:ascii="仿宋_GB2312" w:hAnsi="仿宋_GB2312" w:eastAsia="仿宋_GB2312" w:cs="仿宋_GB2312"/>
          <w:b w:val="0"/>
          <w:color w:val="000000"/>
          <w:kern w:val="0"/>
          <w:sz w:val="32"/>
          <w:szCs w:val="32"/>
          <w:highlight w:val="none"/>
          <w:lang w:val="en-US" w:eastAsia="zh-CN" w:bidi="ar"/>
        </w:rPr>
        <w:t>主管单位：安阳县人民政府</w:t>
      </w:r>
    </w:p>
    <w:p>
      <w:pPr>
        <w:jc w:val="both"/>
        <w:rPr>
          <w:rFonts w:hint="eastAsia" w:asciiTheme="majorEastAsia" w:hAnsiTheme="majorEastAsia" w:eastAsiaTheme="majorEastAsia" w:cstheme="majorEastAsia"/>
          <w:sz w:val="32"/>
          <w:szCs w:val="32"/>
          <w:lang w:val="en-US" w:eastAsia="zh-CN"/>
        </w:rPr>
      </w:pPr>
      <w:r>
        <w:rPr>
          <w:rFonts w:hint="eastAsia" w:ascii="仿宋_GB2312" w:hAnsi="仿宋_GB2312" w:eastAsia="仿宋_GB2312" w:cs="仿宋_GB2312"/>
          <w:b w:val="0"/>
          <w:color w:val="000000"/>
          <w:kern w:val="0"/>
          <w:sz w:val="32"/>
          <w:szCs w:val="32"/>
          <w:highlight w:val="none"/>
          <w:lang w:val="en-US" w:eastAsia="zh-CN" w:bidi="ar"/>
        </w:rPr>
        <w:t>实施单位：安阳县水利局</w:t>
      </w:r>
    </w:p>
    <w:p>
      <w:pPr>
        <w:jc w:val="both"/>
        <w:rPr>
          <w:rFonts w:hint="eastAsia" w:asciiTheme="majorEastAsia" w:hAnsiTheme="majorEastAsia" w:eastAsiaTheme="majorEastAsia" w:cstheme="majorEastAsia"/>
          <w:sz w:val="32"/>
          <w:szCs w:val="32"/>
          <w:lang w:val="en-US" w:eastAsia="zh-CN"/>
        </w:rPr>
      </w:pPr>
      <w:r>
        <w:rPr>
          <w:rFonts w:hint="eastAsia" w:ascii="仿宋_GB2312" w:hAnsi="仿宋_GB2312" w:eastAsia="仿宋_GB2312" w:cs="仿宋_GB2312"/>
          <w:b w:val="0"/>
          <w:color w:val="000000"/>
          <w:kern w:val="0"/>
          <w:sz w:val="32"/>
          <w:szCs w:val="32"/>
          <w:highlight w:val="none"/>
          <w:lang w:val="en-US" w:eastAsia="zh-CN" w:bidi="ar"/>
        </w:rPr>
        <w:t>评价机构：河南昌盛会计师事务所（普通合伙）</w:t>
      </w:r>
    </w:p>
    <w:p>
      <w:pPr>
        <w:pStyle w:val="10"/>
        <w:ind w:left="0" w:leftChars="0" w:firstLine="0" w:firstLineChars="0"/>
        <w:jc w:val="both"/>
        <w:rPr>
          <w:rFonts w:hint="eastAsia" w:asciiTheme="majorEastAsia" w:hAnsiTheme="majorEastAsia" w:eastAsiaTheme="majorEastAsia" w:cstheme="majorEastAsia"/>
          <w:b w:val="0"/>
          <w:kern w:val="2"/>
          <w:sz w:val="32"/>
          <w:szCs w:val="32"/>
          <w:lang w:val="en-US" w:eastAsia="zh-CN" w:bidi="ar-SA"/>
        </w:rPr>
      </w:pPr>
      <w:r>
        <w:rPr>
          <w:rFonts w:hint="eastAsia" w:ascii="仿宋_GB2312" w:hAnsi="仿宋_GB2312" w:eastAsia="仿宋_GB2312" w:cs="仿宋_GB2312"/>
          <w:b w:val="0"/>
          <w:color w:val="000000"/>
          <w:kern w:val="0"/>
          <w:sz w:val="32"/>
          <w:szCs w:val="32"/>
          <w:highlight w:val="none"/>
          <w:lang w:val="en-US" w:eastAsia="zh-CN" w:bidi="ar"/>
        </w:rPr>
        <w:t>报告时间：202</w:t>
      </w:r>
      <w:r>
        <w:rPr>
          <w:rFonts w:hint="eastAsia" w:cs="仿宋_GB2312"/>
          <w:b w:val="0"/>
          <w:color w:val="000000"/>
          <w:kern w:val="0"/>
          <w:sz w:val="32"/>
          <w:szCs w:val="32"/>
          <w:highlight w:val="none"/>
          <w:lang w:val="en-US" w:eastAsia="zh-CN" w:bidi="ar"/>
        </w:rPr>
        <w:t>3</w:t>
      </w:r>
      <w:r>
        <w:rPr>
          <w:rFonts w:hint="eastAsia" w:ascii="仿宋_GB2312" w:hAnsi="仿宋_GB2312" w:eastAsia="仿宋_GB2312" w:cs="仿宋_GB2312"/>
          <w:b w:val="0"/>
          <w:color w:val="000000"/>
          <w:kern w:val="0"/>
          <w:sz w:val="32"/>
          <w:szCs w:val="32"/>
          <w:highlight w:val="none"/>
          <w:lang w:val="en-US" w:eastAsia="zh-CN" w:bidi="ar"/>
        </w:rPr>
        <w:t>年9月</w:t>
      </w:r>
      <w:r>
        <w:rPr>
          <w:rFonts w:hint="eastAsia" w:cs="仿宋_GB2312"/>
          <w:b w:val="0"/>
          <w:color w:val="000000"/>
          <w:kern w:val="0"/>
          <w:sz w:val="32"/>
          <w:szCs w:val="32"/>
          <w:highlight w:val="none"/>
          <w:lang w:val="en-US" w:eastAsia="zh-CN" w:bidi="ar"/>
        </w:rPr>
        <w:t>12</w:t>
      </w:r>
      <w:bookmarkStart w:id="81" w:name="_GoBack"/>
      <w:bookmarkEnd w:id="81"/>
      <w:r>
        <w:rPr>
          <w:rFonts w:hint="eastAsia" w:ascii="仿宋_GB2312" w:hAnsi="仿宋_GB2312" w:eastAsia="仿宋_GB2312" w:cs="仿宋_GB2312"/>
          <w:b w:val="0"/>
          <w:color w:val="000000"/>
          <w:kern w:val="0"/>
          <w:sz w:val="32"/>
          <w:szCs w:val="32"/>
          <w:highlight w:val="none"/>
          <w:lang w:val="en-US" w:eastAsia="zh-CN" w:bidi="ar"/>
        </w:rPr>
        <w:t>日</w:t>
      </w:r>
    </w:p>
    <w:p>
      <w:pPr>
        <w:pStyle w:val="10"/>
        <w:ind w:left="0" w:leftChars="0" w:firstLine="0" w:firstLineChars="0"/>
        <w:jc w:val="both"/>
        <w:rPr>
          <w:rFonts w:hint="eastAsia" w:asciiTheme="majorEastAsia" w:hAnsiTheme="majorEastAsia" w:eastAsiaTheme="majorEastAsia" w:cstheme="majorEastAsia"/>
          <w:b w:val="0"/>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sz w:val="44"/>
          <w:szCs w:val="44"/>
          <w:lang w:val="en-US"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ascii="仿宋_GB2312" w:hAnsi="仿宋_GB2312" w:eastAsia="仿宋_GB2312" w:cs="仿宋_GB2312"/>
          <w:b/>
          <w:bCs/>
          <w:sz w:val="44"/>
          <w:szCs w:val="44"/>
          <w:lang w:val="en-US" w:eastAsia="zh-CN"/>
        </w:rPr>
        <w:t>综    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highlight w:val="none"/>
          <w:lang w:val="en-US" w:eastAsia="zh-CN" w:bidi="ar"/>
        </w:rPr>
        <w:t>为贯彻落实《中共中央国务院关于全面实施预算绩效管理的意见》（中发〔2018〕34号）和《中共河南省委河南省人民政府关于全面实施预算绩效管理的实施意见》（豫发〔2019〕10号）有关要求，</w:t>
      </w:r>
      <w:r>
        <w:rPr>
          <w:rFonts w:hint="eastAsia" w:ascii="仿宋_GB2312" w:hAnsi="仿宋_GB2312" w:eastAsia="仿宋_GB2312" w:cs="仿宋_GB2312"/>
          <w:color w:val="000000"/>
          <w:kern w:val="0"/>
          <w:sz w:val="32"/>
          <w:szCs w:val="32"/>
          <w:lang w:val="en-US" w:eastAsia="zh-CN" w:bidi="ar"/>
        </w:rPr>
        <w:t xml:space="preserve">根据年度工作安排，进一步增强预算绩效理念，提高政策规划和预算编制的精准性，强化预算支出责任，建立科学、合理的预算绩效评价管理体系，推动优化财政资源配置，提高财政资金使用效益，安阳县财政局委托河南昌盛会计师事务所，对2022年度安阳县水利局部门整体支出进行绩效评价。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643" w:firstLineChars="200"/>
        <w:jc w:val="both"/>
        <w:textAlignment w:val="auto"/>
        <w:rPr>
          <w:rFonts w:hint="eastAsia" w:asciiTheme="majorEastAsia" w:hAnsiTheme="majorEastAsia" w:eastAsiaTheme="majorEastAsia" w:cstheme="majorEastAsia"/>
          <w:b/>
          <w:bCs/>
          <w:color w:val="000000"/>
          <w:kern w:val="0"/>
          <w:sz w:val="32"/>
          <w:szCs w:val="32"/>
          <w:lang w:val="en-US" w:eastAsia="zh-CN" w:bidi="ar"/>
        </w:rPr>
      </w:pPr>
      <w:r>
        <w:rPr>
          <w:rFonts w:hint="eastAsia" w:asciiTheme="majorEastAsia" w:hAnsiTheme="majorEastAsia" w:eastAsiaTheme="majorEastAsia" w:cstheme="majorEastAsia"/>
          <w:b/>
          <w:bCs/>
          <w:color w:val="000000"/>
          <w:kern w:val="0"/>
          <w:sz w:val="32"/>
          <w:szCs w:val="32"/>
          <w:lang w:val="en-US" w:eastAsia="zh-CN" w:bidi="ar"/>
        </w:rPr>
        <w:t xml:space="preserve">工作开展情况 </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color w:val="000000"/>
          <w:kern w:val="0"/>
          <w:sz w:val="32"/>
          <w:szCs w:val="32"/>
          <w:lang w:val="en-US" w:eastAsia="zh-CN" w:bidi="ar"/>
        </w:rPr>
      </w:pPr>
      <w:r>
        <w:rPr>
          <w:rFonts w:hint="eastAsia" w:ascii="仿宋_GB2312" w:hAnsi="仿宋_GB2312" w:eastAsia="仿宋_GB2312" w:cs="仿宋_GB2312"/>
          <w:b w:val="0"/>
          <w:color w:val="000000"/>
          <w:kern w:val="0"/>
          <w:sz w:val="32"/>
          <w:szCs w:val="32"/>
          <w:lang w:val="en-US" w:eastAsia="zh-CN" w:bidi="ar"/>
        </w:rPr>
        <w:t>根据安阳县财政局工作要求，河南昌盛会计师事务所组织成立了绩效评价工作组，按照“前期准备－现场调查－报告编写”的流程开展工作。</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工作小组成员名单如下：</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rPr>
        <w:t>组  长：</w:t>
      </w:r>
      <w:r>
        <w:rPr>
          <w:rFonts w:hint="eastAsia" w:ascii="仿宋_GB2312" w:hAnsi="宋体" w:eastAsia="仿宋_GB2312" w:cs="仿宋_GB2312"/>
          <w:sz w:val="32"/>
          <w:szCs w:val="32"/>
          <w:highlight w:val="none"/>
          <w:lang w:eastAsia="zh-CN"/>
        </w:rPr>
        <w:t>焦佳林</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rPr>
        <w:t>成  员：</w:t>
      </w:r>
      <w:r>
        <w:rPr>
          <w:rFonts w:hint="eastAsia" w:ascii="仿宋_GB2312" w:hAnsi="宋体" w:eastAsia="仿宋_GB2312" w:cs="仿宋_GB2312"/>
          <w:sz w:val="32"/>
          <w:szCs w:val="32"/>
          <w:highlight w:val="none"/>
          <w:lang w:eastAsia="zh-CN"/>
        </w:rPr>
        <w:t>郭新民、张雪颖、郭丽云</w:t>
      </w:r>
    </w:p>
    <w:p>
      <w:pPr>
        <w:pStyle w:val="10"/>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b w:val="0"/>
          <w:color w:val="000000"/>
          <w:kern w:val="0"/>
          <w:sz w:val="32"/>
          <w:szCs w:val="32"/>
          <w:lang w:val="en-US" w:eastAsia="zh-CN" w:bidi="ar"/>
        </w:rPr>
      </w:pPr>
      <w:r>
        <w:rPr>
          <w:rFonts w:hint="eastAsia" w:ascii="仿宋_GB2312" w:hAnsi="仿宋_GB2312" w:eastAsia="仿宋_GB2312" w:cs="仿宋_GB2312"/>
          <w:b w:val="0"/>
          <w:color w:val="000000"/>
          <w:kern w:val="0"/>
          <w:sz w:val="32"/>
          <w:szCs w:val="32"/>
          <w:lang w:val="en-US" w:eastAsia="zh-CN" w:bidi="ar"/>
        </w:rPr>
        <w:t>202</w:t>
      </w:r>
      <w:r>
        <w:rPr>
          <w:rFonts w:hint="eastAsia" w:cs="仿宋_GB2312"/>
          <w:b w:val="0"/>
          <w:color w:val="000000"/>
          <w:kern w:val="0"/>
          <w:sz w:val="32"/>
          <w:szCs w:val="32"/>
          <w:lang w:val="en-US" w:eastAsia="zh-CN" w:bidi="ar"/>
        </w:rPr>
        <w:t>3</w:t>
      </w:r>
      <w:r>
        <w:rPr>
          <w:rFonts w:hint="eastAsia" w:ascii="仿宋_GB2312" w:hAnsi="仿宋_GB2312" w:eastAsia="仿宋_GB2312" w:cs="仿宋_GB2312"/>
          <w:b w:val="0"/>
          <w:color w:val="000000"/>
          <w:kern w:val="0"/>
          <w:sz w:val="32"/>
          <w:szCs w:val="32"/>
          <w:lang w:val="en-US" w:eastAsia="zh-CN" w:bidi="ar"/>
        </w:rPr>
        <w:t>年</w:t>
      </w:r>
      <w:r>
        <w:rPr>
          <w:rFonts w:hint="eastAsia" w:cs="仿宋_GB2312"/>
          <w:b w:val="0"/>
          <w:color w:val="000000"/>
          <w:kern w:val="0"/>
          <w:sz w:val="32"/>
          <w:szCs w:val="32"/>
          <w:lang w:val="en-US" w:eastAsia="zh-CN" w:bidi="ar"/>
        </w:rPr>
        <w:t>8</w:t>
      </w:r>
      <w:r>
        <w:rPr>
          <w:rFonts w:hint="eastAsia" w:ascii="仿宋_GB2312" w:hAnsi="仿宋_GB2312" w:eastAsia="仿宋_GB2312" w:cs="仿宋_GB2312"/>
          <w:b w:val="0"/>
          <w:color w:val="000000"/>
          <w:kern w:val="0"/>
          <w:sz w:val="32"/>
          <w:szCs w:val="32"/>
          <w:lang w:val="en-US" w:eastAsia="zh-CN" w:bidi="ar"/>
        </w:rPr>
        <w:t>月1</w:t>
      </w:r>
      <w:r>
        <w:rPr>
          <w:rFonts w:hint="eastAsia" w:cs="仿宋_GB2312"/>
          <w:b w:val="0"/>
          <w:color w:val="000000"/>
          <w:kern w:val="0"/>
          <w:sz w:val="32"/>
          <w:szCs w:val="32"/>
          <w:lang w:val="en-US" w:eastAsia="zh-CN" w:bidi="ar"/>
        </w:rPr>
        <w:t>6</w:t>
      </w:r>
      <w:r>
        <w:rPr>
          <w:rFonts w:hint="eastAsia" w:ascii="仿宋_GB2312" w:hAnsi="仿宋_GB2312" w:eastAsia="仿宋_GB2312" w:cs="仿宋_GB2312"/>
          <w:b w:val="0"/>
          <w:color w:val="000000"/>
          <w:kern w:val="0"/>
          <w:sz w:val="32"/>
          <w:szCs w:val="32"/>
          <w:lang w:val="en-US" w:eastAsia="zh-CN" w:bidi="ar"/>
        </w:rPr>
        <w:t xml:space="preserve">日至 </w:t>
      </w:r>
      <w:r>
        <w:rPr>
          <w:rFonts w:hint="eastAsia" w:cs="仿宋_GB2312"/>
          <w:b w:val="0"/>
          <w:color w:val="000000"/>
          <w:kern w:val="0"/>
          <w:sz w:val="32"/>
          <w:szCs w:val="32"/>
          <w:lang w:val="en-US" w:eastAsia="zh-CN" w:bidi="ar"/>
        </w:rPr>
        <w:t>8</w:t>
      </w:r>
      <w:r>
        <w:rPr>
          <w:rFonts w:hint="eastAsia" w:ascii="仿宋_GB2312" w:hAnsi="仿宋_GB2312" w:eastAsia="仿宋_GB2312" w:cs="仿宋_GB2312"/>
          <w:b w:val="0"/>
          <w:color w:val="000000"/>
          <w:kern w:val="0"/>
          <w:sz w:val="32"/>
          <w:szCs w:val="32"/>
          <w:lang w:val="en-US" w:eastAsia="zh-CN" w:bidi="ar"/>
        </w:rPr>
        <w:t>月</w:t>
      </w:r>
      <w:r>
        <w:rPr>
          <w:rFonts w:hint="eastAsia" w:cs="仿宋_GB2312"/>
          <w:b w:val="0"/>
          <w:color w:val="000000"/>
          <w:kern w:val="0"/>
          <w:sz w:val="32"/>
          <w:szCs w:val="32"/>
          <w:lang w:val="en-US" w:eastAsia="zh-CN" w:bidi="ar"/>
        </w:rPr>
        <w:t>23</w:t>
      </w:r>
      <w:r>
        <w:rPr>
          <w:rFonts w:hint="eastAsia" w:ascii="仿宋_GB2312" w:hAnsi="仿宋_GB2312" w:eastAsia="仿宋_GB2312" w:cs="仿宋_GB2312"/>
          <w:b w:val="0"/>
          <w:color w:val="000000"/>
          <w:kern w:val="0"/>
          <w:sz w:val="32"/>
          <w:szCs w:val="32"/>
          <w:lang w:val="en-US" w:eastAsia="zh-CN" w:bidi="ar"/>
        </w:rPr>
        <w:t>日，评价工作组与</w:t>
      </w:r>
      <w:r>
        <w:rPr>
          <w:rFonts w:hint="eastAsia" w:cs="仿宋_GB2312"/>
          <w:b w:val="0"/>
          <w:color w:val="000000"/>
          <w:kern w:val="0"/>
          <w:sz w:val="32"/>
          <w:szCs w:val="32"/>
          <w:lang w:val="en-US" w:eastAsia="zh-CN" w:bidi="ar"/>
        </w:rPr>
        <w:t>安阳县水利局</w:t>
      </w:r>
      <w:r>
        <w:rPr>
          <w:rFonts w:hint="eastAsia" w:ascii="仿宋_GB2312" w:hAnsi="仿宋_GB2312" w:eastAsia="仿宋_GB2312" w:cs="仿宋_GB2312"/>
          <w:b w:val="0"/>
          <w:color w:val="000000"/>
          <w:kern w:val="0"/>
          <w:sz w:val="32"/>
          <w:szCs w:val="32"/>
          <w:lang w:val="en-US" w:eastAsia="zh-CN" w:bidi="ar"/>
        </w:rPr>
        <w:t>相关科室负责人进行座谈，了解部门支出整体情况和项目实施管理情况，收集相关资料；</w:t>
      </w:r>
      <w:r>
        <w:rPr>
          <w:rFonts w:hint="eastAsia" w:cs="仿宋_GB2312"/>
          <w:b w:val="0"/>
          <w:color w:val="000000"/>
          <w:kern w:val="0"/>
          <w:sz w:val="32"/>
          <w:szCs w:val="32"/>
          <w:lang w:val="en-US" w:eastAsia="zh-CN" w:bidi="ar"/>
        </w:rPr>
        <w:t>8</w:t>
      </w:r>
      <w:r>
        <w:rPr>
          <w:rFonts w:hint="eastAsia" w:ascii="仿宋_GB2312" w:hAnsi="仿宋_GB2312" w:eastAsia="仿宋_GB2312" w:cs="仿宋_GB2312"/>
          <w:b w:val="0"/>
          <w:color w:val="000000"/>
          <w:kern w:val="0"/>
          <w:sz w:val="32"/>
          <w:szCs w:val="32"/>
          <w:lang w:val="en-US" w:eastAsia="zh-CN" w:bidi="ar"/>
        </w:rPr>
        <w:t>月</w:t>
      </w:r>
      <w:r>
        <w:rPr>
          <w:rFonts w:hint="eastAsia" w:cs="仿宋_GB2312"/>
          <w:b w:val="0"/>
          <w:color w:val="000000"/>
          <w:kern w:val="0"/>
          <w:sz w:val="32"/>
          <w:szCs w:val="32"/>
          <w:lang w:val="en-US" w:eastAsia="zh-CN" w:bidi="ar"/>
        </w:rPr>
        <w:t>24</w:t>
      </w:r>
      <w:r>
        <w:rPr>
          <w:rFonts w:hint="eastAsia" w:ascii="仿宋_GB2312" w:hAnsi="仿宋_GB2312" w:eastAsia="仿宋_GB2312" w:cs="仿宋_GB2312"/>
          <w:b w:val="0"/>
          <w:color w:val="000000"/>
          <w:kern w:val="0"/>
          <w:sz w:val="32"/>
          <w:szCs w:val="32"/>
          <w:lang w:val="en-US" w:eastAsia="zh-CN" w:bidi="ar"/>
        </w:rPr>
        <w:t>日至</w:t>
      </w:r>
      <w:r>
        <w:rPr>
          <w:rFonts w:hint="eastAsia" w:cs="仿宋_GB2312"/>
          <w:b w:val="0"/>
          <w:color w:val="000000"/>
          <w:kern w:val="0"/>
          <w:sz w:val="32"/>
          <w:szCs w:val="32"/>
          <w:lang w:val="en-US" w:eastAsia="zh-CN" w:bidi="ar"/>
        </w:rPr>
        <w:t>8</w:t>
      </w:r>
      <w:r>
        <w:rPr>
          <w:rFonts w:hint="eastAsia" w:ascii="仿宋_GB2312" w:hAnsi="仿宋_GB2312" w:eastAsia="仿宋_GB2312" w:cs="仿宋_GB2312"/>
          <w:b w:val="0"/>
          <w:color w:val="000000"/>
          <w:kern w:val="0"/>
          <w:sz w:val="32"/>
          <w:szCs w:val="32"/>
          <w:lang w:val="en-US" w:eastAsia="zh-CN" w:bidi="ar"/>
        </w:rPr>
        <w:t>月</w:t>
      </w:r>
      <w:r>
        <w:rPr>
          <w:rFonts w:hint="eastAsia" w:cs="仿宋_GB2312"/>
          <w:b w:val="0"/>
          <w:color w:val="000000"/>
          <w:kern w:val="0"/>
          <w:sz w:val="32"/>
          <w:szCs w:val="32"/>
          <w:lang w:val="en-US" w:eastAsia="zh-CN" w:bidi="ar"/>
        </w:rPr>
        <w:t>31</w:t>
      </w:r>
      <w:r>
        <w:rPr>
          <w:rFonts w:hint="eastAsia" w:ascii="仿宋_GB2312" w:hAnsi="仿宋_GB2312" w:eastAsia="仿宋_GB2312" w:cs="仿宋_GB2312"/>
          <w:b w:val="0"/>
          <w:color w:val="000000"/>
          <w:kern w:val="0"/>
          <w:sz w:val="32"/>
          <w:szCs w:val="32"/>
          <w:lang w:val="en-US" w:eastAsia="zh-CN" w:bidi="ar"/>
        </w:rPr>
        <w:t>日，评价工作组现场对部门支出整体受益对象及相关方进行了满意度调查、访谈；</w:t>
      </w:r>
      <w:r>
        <w:rPr>
          <w:rFonts w:hint="eastAsia" w:cs="仿宋_GB2312"/>
          <w:b w:val="0"/>
          <w:color w:val="000000"/>
          <w:kern w:val="0"/>
          <w:sz w:val="32"/>
          <w:szCs w:val="32"/>
          <w:lang w:val="en-US" w:eastAsia="zh-CN" w:bidi="ar"/>
        </w:rPr>
        <w:t>9</w:t>
      </w:r>
      <w:r>
        <w:rPr>
          <w:rFonts w:hint="eastAsia" w:ascii="仿宋_GB2312" w:hAnsi="仿宋_GB2312" w:eastAsia="仿宋_GB2312" w:cs="仿宋_GB2312"/>
          <w:b w:val="0"/>
          <w:color w:val="000000"/>
          <w:kern w:val="0"/>
          <w:sz w:val="32"/>
          <w:szCs w:val="32"/>
          <w:lang w:val="en-US" w:eastAsia="zh-CN" w:bidi="ar"/>
        </w:rPr>
        <w:t>月</w:t>
      </w:r>
      <w:r>
        <w:rPr>
          <w:rFonts w:hint="eastAsia" w:cs="仿宋_GB2312"/>
          <w:b w:val="0"/>
          <w:color w:val="000000"/>
          <w:kern w:val="0"/>
          <w:sz w:val="32"/>
          <w:szCs w:val="32"/>
          <w:lang w:val="en-US" w:eastAsia="zh-CN" w:bidi="ar"/>
        </w:rPr>
        <w:t>1</w:t>
      </w:r>
      <w:r>
        <w:rPr>
          <w:rFonts w:hint="eastAsia" w:ascii="仿宋_GB2312" w:hAnsi="仿宋_GB2312" w:eastAsia="仿宋_GB2312" w:cs="仿宋_GB2312"/>
          <w:b w:val="0"/>
          <w:color w:val="000000"/>
          <w:kern w:val="0"/>
          <w:sz w:val="32"/>
          <w:szCs w:val="32"/>
          <w:lang w:val="en-US" w:eastAsia="zh-CN" w:bidi="ar"/>
        </w:rPr>
        <w:t>日至</w:t>
      </w:r>
      <w:r>
        <w:rPr>
          <w:rFonts w:hint="eastAsia" w:cs="仿宋_GB2312"/>
          <w:b w:val="0"/>
          <w:color w:val="000000"/>
          <w:kern w:val="0"/>
          <w:sz w:val="32"/>
          <w:szCs w:val="32"/>
          <w:lang w:val="en-US" w:eastAsia="zh-CN" w:bidi="ar"/>
        </w:rPr>
        <w:t>9</w:t>
      </w:r>
      <w:r>
        <w:rPr>
          <w:rFonts w:hint="eastAsia" w:ascii="仿宋_GB2312" w:hAnsi="仿宋_GB2312" w:eastAsia="仿宋_GB2312" w:cs="仿宋_GB2312"/>
          <w:b w:val="0"/>
          <w:color w:val="000000"/>
          <w:kern w:val="0"/>
          <w:sz w:val="32"/>
          <w:szCs w:val="32"/>
          <w:lang w:val="en-US" w:eastAsia="zh-CN" w:bidi="ar"/>
        </w:rPr>
        <w:t>月</w:t>
      </w:r>
      <w:r>
        <w:rPr>
          <w:rFonts w:hint="eastAsia" w:cs="仿宋_GB2312"/>
          <w:b w:val="0"/>
          <w:color w:val="000000"/>
          <w:kern w:val="0"/>
          <w:sz w:val="32"/>
          <w:szCs w:val="32"/>
          <w:lang w:val="en-US" w:eastAsia="zh-CN" w:bidi="ar"/>
        </w:rPr>
        <w:t>7</w:t>
      </w:r>
      <w:r>
        <w:rPr>
          <w:rFonts w:hint="eastAsia" w:ascii="仿宋_GB2312" w:hAnsi="仿宋_GB2312" w:eastAsia="仿宋_GB2312" w:cs="仿宋_GB2312"/>
          <w:b w:val="0"/>
          <w:color w:val="000000"/>
          <w:kern w:val="0"/>
          <w:sz w:val="32"/>
          <w:szCs w:val="32"/>
          <w:lang w:val="en-US" w:eastAsia="zh-CN" w:bidi="ar"/>
        </w:rPr>
        <w:t>日，评价工作组依据绩效评价指标体系，对评价工作实施过程中数据进行分析汇总，对项目执行情况及绩效实现情况进行客观的评价，编写</w:t>
      </w:r>
      <w:r>
        <w:rPr>
          <w:rFonts w:hint="eastAsia" w:cs="仿宋_GB2312"/>
          <w:b w:val="0"/>
          <w:color w:val="000000"/>
          <w:kern w:val="0"/>
          <w:sz w:val="32"/>
          <w:szCs w:val="32"/>
          <w:lang w:val="en-US" w:eastAsia="zh-CN" w:bidi="ar"/>
        </w:rPr>
        <w:t>出</w:t>
      </w:r>
      <w:r>
        <w:rPr>
          <w:rFonts w:hint="eastAsia" w:ascii="仿宋_GB2312" w:hAnsi="仿宋_GB2312" w:eastAsia="仿宋_GB2312" w:cs="仿宋_GB2312"/>
          <w:b w:val="0"/>
          <w:color w:val="000000"/>
          <w:kern w:val="0"/>
          <w:sz w:val="32"/>
          <w:szCs w:val="32"/>
          <w:lang w:val="en-US" w:eastAsia="zh-CN" w:bidi="ar"/>
        </w:rPr>
        <w:t>绩效评价报告</w:t>
      </w:r>
      <w:r>
        <w:rPr>
          <w:rFonts w:hint="eastAsia" w:cs="仿宋_GB2312"/>
          <w:b w:val="0"/>
          <w:color w:val="000000"/>
          <w:kern w:val="0"/>
          <w:sz w:val="32"/>
          <w:szCs w:val="32"/>
          <w:lang w:val="en-US" w:eastAsia="zh-CN" w:bidi="ar"/>
        </w:rPr>
        <w:t>初稿；9月8日至9月10日，评价工作组根据绩效评价初稿情况发出征求意见函；9月11日至9月13日，评价工作组根据项目相关单位反馈意见进一步完善绩效评价报告；9月14日至9月15日，出具最终版绩效评价报告。</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Theme="majorEastAsia" w:hAnsiTheme="majorEastAsia" w:eastAsiaTheme="majorEastAsia" w:cstheme="majorEastAsia"/>
          <w:b/>
          <w:bCs/>
          <w:color w:val="000000"/>
          <w:kern w:val="0"/>
          <w:sz w:val="32"/>
          <w:szCs w:val="32"/>
          <w:lang w:val="en-US" w:eastAsia="zh-CN" w:bidi="ar"/>
        </w:rPr>
      </w:pPr>
      <w:r>
        <w:rPr>
          <w:rFonts w:hint="eastAsia" w:asciiTheme="majorEastAsia" w:hAnsiTheme="majorEastAsia" w:eastAsiaTheme="majorEastAsia" w:cstheme="majorEastAsia"/>
          <w:b/>
          <w:bCs/>
          <w:color w:val="000000"/>
          <w:kern w:val="0"/>
          <w:sz w:val="32"/>
          <w:szCs w:val="32"/>
          <w:lang w:val="en-US" w:eastAsia="zh-CN" w:bidi="ar"/>
        </w:rPr>
        <w:t>部门整体支出情况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color w:val="000000"/>
          <w:kern w:val="0"/>
          <w:sz w:val="32"/>
          <w:szCs w:val="32"/>
          <w:highlight w:val="none"/>
          <w:lang w:val="en-US" w:eastAsia="zh-CN" w:bidi="ar"/>
        </w:rPr>
      </w:pPr>
      <w:r>
        <w:rPr>
          <w:rFonts w:hint="eastAsia" w:ascii="仿宋_GB2312" w:hAnsi="仿宋_GB2312" w:eastAsia="仿宋_GB2312" w:cs="仿宋_GB2312"/>
          <w:b/>
          <w:bCs/>
          <w:color w:val="000000"/>
          <w:kern w:val="0"/>
          <w:sz w:val="32"/>
          <w:szCs w:val="32"/>
          <w:highlight w:val="none"/>
          <w:lang w:val="en-US" w:eastAsia="zh-CN" w:bidi="ar"/>
        </w:rPr>
        <w:t xml:space="preserve">（一）预算资金使用管理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bookmarkStart w:id="0" w:name="OLE_LINK12"/>
      <w:r>
        <w:rPr>
          <w:rFonts w:hint="eastAsia" w:ascii="仿宋_GB2312" w:hAnsi="仿宋_GB2312" w:eastAsia="仿宋_GB2312" w:cs="仿宋_GB2312"/>
          <w:color w:val="000000"/>
          <w:kern w:val="0"/>
          <w:sz w:val="32"/>
          <w:szCs w:val="32"/>
          <w:lang w:val="en-US" w:eastAsia="zh-CN" w:bidi="ar"/>
        </w:rPr>
        <w:t>安阳县水利局2022年初财政预算收入为13,589.10万元，预算支出为13,589.10万元，其中：基本支出1,484.60万元，项目支出12,104.50万元。年终财政决算收入为32,321.19万元，财政决算支出为32,321.19万元，其中基本支出1,200.68万元，项目支出31,120.51万元。2022年无结余财政资金。</w:t>
      </w:r>
    </w:p>
    <w:p>
      <w:pPr>
        <w:keepNext w:val="0"/>
        <w:keepLines w:val="0"/>
        <w:widowControl/>
        <w:suppressLineNumbers w:val="0"/>
        <w:jc w:val="both"/>
        <w:rPr>
          <w:rFonts w:hint="eastAsia" w:ascii="仿宋_GB2312" w:hAnsi="仿宋_GB2312" w:eastAsia="仿宋_GB2312" w:cs="仿宋_GB2312"/>
          <w:b/>
          <w:bCs/>
          <w:color w:val="000000"/>
          <w:kern w:val="0"/>
          <w:sz w:val="28"/>
          <w:szCs w:val="28"/>
          <w:highlight w:val="none"/>
          <w:lang w:val="en-US" w:eastAsia="zh-CN" w:bidi="ar"/>
        </w:rPr>
      </w:pPr>
      <w:r>
        <w:rPr>
          <w:rFonts w:hint="eastAsia" w:ascii="仿宋_GB2312" w:hAnsi="仿宋_GB2312" w:eastAsia="仿宋_GB2312" w:cs="仿宋_GB2312"/>
          <w:b/>
          <w:bCs/>
          <w:color w:val="000000"/>
          <w:kern w:val="0"/>
          <w:sz w:val="28"/>
          <w:szCs w:val="28"/>
          <w:highlight w:val="none"/>
          <w:lang w:val="en-US" w:eastAsia="zh-CN" w:bidi="ar"/>
        </w:rPr>
        <w:t>表1-1  2022年安阳县水利局部门预算到位、执行情况表</w:t>
      </w:r>
    </w:p>
    <w:p>
      <w:pPr>
        <w:keepNext w:val="0"/>
        <w:keepLines w:val="0"/>
        <w:widowControl/>
        <w:suppressLineNumbers w:val="0"/>
        <w:ind w:firstLine="5040" w:firstLineChars="2100"/>
        <w:jc w:val="right"/>
        <w:rPr>
          <w:rFonts w:hint="eastAsia" w:ascii="仿宋_GB2312" w:hAnsi="仿宋_GB2312" w:eastAsia="仿宋_GB2312" w:cs="仿宋_GB2312"/>
          <w:b w:val="0"/>
          <w:bCs w:val="0"/>
          <w:color w:val="000000"/>
          <w:kern w:val="0"/>
          <w:sz w:val="24"/>
          <w:szCs w:val="24"/>
          <w:lang w:val="en-US" w:eastAsia="zh-CN" w:bidi="ar"/>
        </w:rPr>
      </w:pPr>
      <w:r>
        <w:rPr>
          <w:rFonts w:hint="eastAsia" w:ascii="仿宋_GB2312" w:hAnsi="仿宋_GB2312" w:eastAsia="仿宋_GB2312" w:cs="仿宋_GB2312"/>
          <w:b w:val="0"/>
          <w:bCs w:val="0"/>
          <w:color w:val="000000"/>
          <w:kern w:val="0"/>
          <w:sz w:val="24"/>
          <w:szCs w:val="24"/>
          <w:lang w:val="en-US" w:eastAsia="zh-CN" w:bidi="ar"/>
        </w:rPr>
        <w:t>单位：万元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85"/>
        <w:gridCol w:w="1356"/>
        <w:gridCol w:w="1456"/>
        <w:gridCol w:w="1516"/>
        <w:gridCol w:w="1621"/>
        <w:gridCol w:w="1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8" w:hRule="atLeast"/>
        </w:trPr>
        <w:tc>
          <w:tcPr>
            <w:tcW w:w="585" w:type="dxa"/>
            <w:noWrap w:val="0"/>
            <w:vAlign w:val="center"/>
          </w:tcPr>
          <w:p>
            <w:pPr>
              <w:spacing w:line="491" w:lineRule="exact"/>
              <w:jc w:val="both"/>
              <w:rPr>
                <w:rFonts w:hint="eastAsia" w:ascii="宋体" w:hAnsi="宋体" w:eastAsia="宋体" w:cs="宋体"/>
                <w:b/>
                <w:bCs/>
                <w:sz w:val="24"/>
                <w:szCs w:val="24"/>
              </w:rPr>
            </w:pPr>
            <w:bookmarkStart w:id="1" w:name="OLE_LINK14" w:colFirst="0" w:colLast="4"/>
            <w:r>
              <w:rPr>
                <w:rFonts w:hint="eastAsia" w:ascii="宋体" w:hAnsi="宋体" w:eastAsia="宋体" w:cs="宋体"/>
                <w:b/>
                <w:bCs/>
                <w:color w:val="000000"/>
                <w:sz w:val="24"/>
                <w:szCs w:val="24"/>
              </w:rPr>
              <w:t>序号</w:t>
            </w:r>
          </w:p>
        </w:tc>
        <w:tc>
          <w:tcPr>
            <w:tcW w:w="1356" w:type="dxa"/>
            <w:noWrap w:val="0"/>
            <w:vAlign w:val="center"/>
          </w:tcPr>
          <w:p>
            <w:pPr>
              <w:spacing w:line="506" w:lineRule="exact"/>
              <w:jc w:val="both"/>
              <w:rPr>
                <w:rFonts w:hint="eastAsia" w:ascii="宋体" w:hAnsi="宋体" w:eastAsia="宋体" w:cs="宋体"/>
                <w:b/>
                <w:bCs/>
                <w:sz w:val="24"/>
                <w:szCs w:val="24"/>
              </w:rPr>
            </w:pPr>
            <w:r>
              <w:rPr>
                <w:rFonts w:hint="eastAsia" w:ascii="宋体" w:hAnsi="宋体" w:eastAsia="宋体" w:cs="宋体"/>
                <w:b/>
                <w:bCs/>
                <w:color w:val="000000"/>
                <w:sz w:val="24"/>
                <w:szCs w:val="24"/>
              </w:rPr>
              <w:t>名称</w:t>
            </w:r>
          </w:p>
        </w:tc>
        <w:tc>
          <w:tcPr>
            <w:tcW w:w="1456" w:type="dxa"/>
            <w:noWrap w:val="0"/>
            <w:vAlign w:val="center"/>
          </w:tcPr>
          <w:p>
            <w:pPr>
              <w:spacing w:line="450" w:lineRule="exact"/>
              <w:jc w:val="both"/>
              <w:rPr>
                <w:rFonts w:hint="eastAsia" w:ascii="宋体" w:hAnsi="宋体" w:eastAsia="宋体" w:cs="宋体"/>
                <w:b/>
                <w:bCs/>
                <w:sz w:val="24"/>
                <w:szCs w:val="24"/>
              </w:rPr>
            </w:pPr>
            <w:r>
              <w:rPr>
                <w:rFonts w:hint="eastAsia" w:ascii="宋体" w:hAnsi="宋体" w:eastAsia="宋体" w:cs="宋体"/>
                <w:b/>
                <w:bCs/>
                <w:color w:val="000000"/>
                <w:sz w:val="24"/>
                <w:szCs w:val="24"/>
              </w:rPr>
              <w:t>预算数</w:t>
            </w:r>
          </w:p>
        </w:tc>
        <w:tc>
          <w:tcPr>
            <w:tcW w:w="1516" w:type="dxa"/>
            <w:noWrap w:val="0"/>
            <w:vAlign w:val="center"/>
          </w:tcPr>
          <w:p>
            <w:pPr>
              <w:spacing w:line="574" w:lineRule="exact"/>
              <w:jc w:val="both"/>
              <w:rPr>
                <w:rFonts w:hint="eastAsia" w:ascii="宋体" w:hAnsi="宋体" w:eastAsia="宋体" w:cs="宋体"/>
                <w:b/>
                <w:bCs/>
                <w:sz w:val="24"/>
                <w:szCs w:val="24"/>
              </w:rPr>
            </w:pPr>
            <w:r>
              <w:rPr>
                <w:rFonts w:hint="eastAsia" w:ascii="宋体" w:hAnsi="宋体" w:eastAsia="宋体" w:cs="宋体"/>
                <w:b/>
                <w:bCs/>
                <w:color w:val="000000"/>
                <w:sz w:val="24"/>
                <w:szCs w:val="24"/>
                <w:lang w:eastAsia="zh-CN"/>
              </w:rPr>
              <w:t>实际</w:t>
            </w:r>
            <w:r>
              <w:rPr>
                <w:rFonts w:hint="eastAsia" w:ascii="宋体" w:hAnsi="宋体" w:eastAsia="宋体" w:cs="宋体"/>
                <w:b/>
                <w:bCs/>
                <w:color w:val="000000"/>
                <w:sz w:val="24"/>
                <w:szCs w:val="24"/>
              </w:rPr>
              <w:t>到位数</w:t>
            </w:r>
          </w:p>
        </w:tc>
        <w:tc>
          <w:tcPr>
            <w:tcW w:w="1621" w:type="dxa"/>
            <w:noWrap w:val="0"/>
            <w:vAlign w:val="center"/>
          </w:tcPr>
          <w:p>
            <w:pPr>
              <w:spacing w:line="464" w:lineRule="exact"/>
              <w:jc w:val="both"/>
              <w:rPr>
                <w:rFonts w:hint="eastAsia" w:ascii="宋体" w:hAnsi="宋体" w:eastAsia="宋体" w:cs="宋体"/>
                <w:b/>
                <w:bCs/>
                <w:sz w:val="24"/>
                <w:szCs w:val="24"/>
              </w:rPr>
            </w:pPr>
            <w:r>
              <w:rPr>
                <w:rFonts w:hint="eastAsia" w:ascii="宋体" w:hAnsi="宋体" w:eastAsia="宋体" w:cs="宋体"/>
                <w:b/>
                <w:bCs/>
                <w:color w:val="000000"/>
                <w:sz w:val="24"/>
                <w:szCs w:val="24"/>
                <w:lang w:eastAsia="zh-CN"/>
              </w:rPr>
              <w:t>实际</w:t>
            </w:r>
            <w:r>
              <w:rPr>
                <w:rFonts w:hint="eastAsia" w:ascii="宋体" w:hAnsi="宋体" w:eastAsia="宋体" w:cs="宋体"/>
                <w:b/>
                <w:bCs/>
                <w:color w:val="000000"/>
                <w:sz w:val="24"/>
                <w:szCs w:val="24"/>
              </w:rPr>
              <w:t>支</w:t>
            </w:r>
            <w:r>
              <w:rPr>
                <w:rFonts w:hint="eastAsia" w:ascii="宋体" w:hAnsi="宋体" w:eastAsia="宋体" w:cs="宋体"/>
                <w:b/>
                <w:bCs/>
                <w:color w:val="000000"/>
                <w:sz w:val="24"/>
                <w:szCs w:val="24"/>
                <w:lang w:eastAsia="zh-CN"/>
              </w:rPr>
              <w:t>出</w:t>
            </w:r>
            <w:r>
              <w:rPr>
                <w:rFonts w:hint="eastAsia" w:ascii="宋体" w:hAnsi="宋体" w:eastAsia="宋体" w:cs="宋体"/>
                <w:b/>
                <w:bCs/>
                <w:color w:val="000000"/>
                <w:sz w:val="24"/>
                <w:szCs w:val="24"/>
              </w:rPr>
              <w:t>数</w:t>
            </w:r>
          </w:p>
        </w:tc>
        <w:tc>
          <w:tcPr>
            <w:tcW w:w="1730" w:type="dxa"/>
            <w:noWrap w:val="0"/>
            <w:vAlign w:val="center"/>
          </w:tcPr>
          <w:p>
            <w:pPr>
              <w:spacing w:line="471" w:lineRule="exact"/>
              <w:jc w:val="both"/>
              <w:rPr>
                <w:rFonts w:hint="eastAsia" w:ascii="宋体" w:hAnsi="宋体" w:eastAsia="宋体" w:cs="宋体"/>
                <w:b/>
                <w:bCs/>
                <w:sz w:val="24"/>
                <w:szCs w:val="24"/>
              </w:rPr>
            </w:pPr>
            <w:r>
              <w:rPr>
                <w:rFonts w:hint="eastAsia" w:ascii="宋体" w:hAnsi="宋体" w:eastAsia="宋体" w:cs="宋体"/>
                <w:b/>
                <w:bCs/>
                <w:color w:val="000000"/>
                <w:sz w:val="24"/>
                <w:szCs w:val="24"/>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8" w:hRule="atLeast"/>
        </w:trPr>
        <w:tc>
          <w:tcPr>
            <w:tcW w:w="585" w:type="dxa"/>
            <w:noWrap w:val="0"/>
            <w:vAlign w:val="center"/>
          </w:tcPr>
          <w:p>
            <w:pPr>
              <w:spacing w:line="556" w:lineRule="exact"/>
              <w:jc w:val="both"/>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w:t>
            </w:r>
          </w:p>
        </w:tc>
        <w:tc>
          <w:tcPr>
            <w:tcW w:w="1356" w:type="dxa"/>
            <w:noWrap w:val="0"/>
            <w:vAlign w:val="center"/>
          </w:tcPr>
          <w:p>
            <w:pPr>
              <w:spacing w:line="556" w:lineRule="exact"/>
              <w:jc w:val="both"/>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基本支出</w:t>
            </w:r>
          </w:p>
        </w:tc>
        <w:tc>
          <w:tcPr>
            <w:tcW w:w="1456" w:type="dxa"/>
            <w:noWrap w:val="0"/>
            <w:vAlign w:val="center"/>
          </w:tcPr>
          <w:p>
            <w:pPr>
              <w:spacing w:line="556" w:lineRule="exact"/>
              <w:jc w:val="both"/>
              <w:rPr>
                <w:rFonts w:hint="default" w:ascii="宋体" w:hAnsi="宋体" w:eastAsia="宋体" w:cs="宋体"/>
                <w:b w:val="0"/>
                <w:bCs w:val="0"/>
                <w:sz w:val="24"/>
                <w:szCs w:val="24"/>
                <w:lang w:val="en-US" w:eastAsia="zh-CN"/>
              </w:rPr>
            </w:pPr>
            <w:r>
              <w:rPr>
                <w:rFonts w:hint="eastAsia" w:ascii="宋体" w:hAnsi="宋体" w:cs="宋体"/>
                <w:b w:val="0"/>
                <w:bCs w:val="0"/>
                <w:sz w:val="24"/>
                <w:szCs w:val="24"/>
                <w:highlight w:val="none"/>
                <w:lang w:val="en-US" w:eastAsia="zh-CN"/>
              </w:rPr>
              <w:t>1,484.60</w:t>
            </w:r>
          </w:p>
        </w:tc>
        <w:tc>
          <w:tcPr>
            <w:tcW w:w="1516" w:type="dxa"/>
            <w:noWrap w:val="0"/>
            <w:vAlign w:val="center"/>
          </w:tcPr>
          <w:p>
            <w:pPr>
              <w:spacing w:line="540" w:lineRule="exact"/>
              <w:jc w:val="both"/>
              <w:rPr>
                <w:rFonts w:hint="default" w:ascii="宋体" w:hAnsi="宋体" w:eastAsia="宋体" w:cs="宋体"/>
                <w:b w:val="0"/>
                <w:bCs w:val="0"/>
                <w:sz w:val="24"/>
                <w:szCs w:val="24"/>
                <w:highlight w:val="none"/>
                <w:lang w:val="en-US" w:eastAsia="zh-CN"/>
              </w:rPr>
            </w:pPr>
            <w:r>
              <w:rPr>
                <w:rFonts w:hint="default" w:ascii="宋体" w:hAnsi="宋体" w:eastAsia="宋体" w:cs="宋体"/>
                <w:b w:val="0"/>
                <w:bCs w:val="0"/>
                <w:sz w:val="24"/>
                <w:szCs w:val="24"/>
                <w:highlight w:val="none"/>
                <w:lang w:val="en-US" w:eastAsia="zh-CN"/>
              </w:rPr>
              <w:t>1,200.68</w:t>
            </w:r>
          </w:p>
        </w:tc>
        <w:tc>
          <w:tcPr>
            <w:tcW w:w="1621" w:type="dxa"/>
            <w:noWrap w:val="0"/>
            <w:vAlign w:val="center"/>
          </w:tcPr>
          <w:p>
            <w:pPr>
              <w:spacing w:line="537" w:lineRule="exact"/>
              <w:jc w:val="both"/>
              <w:rPr>
                <w:rFonts w:hint="default" w:ascii="宋体" w:hAnsi="宋体" w:eastAsia="宋体" w:cs="宋体"/>
                <w:b w:val="0"/>
                <w:bCs w:val="0"/>
                <w:sz w:val="24"/>
                <w:szCs w:val="24"/>
                <w:highlight w:val="none"/>
                <w:lang w:val="en-US" w:eastAsia="zh-CN"/>
              </w:rPr>
            </w:pPr>
            <w:r>
              <w:rPr>
                <w:rFonts w:hint="default" w:ascii="宋体" w:hAnsi="宋体" w:eastAsia="宋体" w:cs="宋体"/>
                <w:b w:val="0"/>
                <w:bCs w:val="0"/>
                <w:sz w:val="24"/>
                <w:szCs w:val="24"/>
                <w:highlight w:val="none"/>
                <w:lang w:val="en-US" w:eastAsia="zh-CN"/>
              </w:rPr>
              <w:t>1,200.68</w:t>
            </w:r>
          </w:p>
        </w:tc>
        <w:tc>
          <w:tcPr>
            <w:tcW w:w="1730" w:type="dxa"/>
            <w:noWrap w:val="0"/>
            <w:vAlign w:val="center"/>
          </w:tcPr>
          <w:p>
            <w:pPr>
              <w:spacing w:line="525" w:lineRule="exact"/>
              <w:jc w:val="both"/>
              <w:rPr>
                <w:rFonts w:hint="eastAsia" w:ascii="宋体" w:hAnsi="宋体" w:eastAsia="宋体" w:cs="宋体"/>
                <w:b w:val="0"/>
                <w:bCs w:val="0"/>
                <w:sz w:val="24"/>
                <w:szCs w:val="24"/>
                <w:highlight w:val="none"/>
              </w:rPr>
            </w:pPr>
            <w:r>
              <w:rPr>
                <w:rFonts w:hint="eastAsia" w:ascii="宋体" w:hAnsi="宋体" w:cs="宋体"/>
                <w:b w:val="0"/>
                <w:bCs w:val="0"/>
                <w:color w:val="000000"/>
                <w:sz w:val="24"/>
                <w:szCs w:val="24"/>
                <w:highlight w:val="none"/>
                <w:lang w:val="en-US" w:eastAsia="zh-CN"/>
              </w:rPr>
              <w:t>80.88</w:t>
            </w:r>
            <w:r>
              <w:rPr>
                <w:rFonts w:hint="eastAsia" w:ascii="宋体" w:hAnsi="宋体" w:eastAsia="宋体" w:cs="宋体"/>
                <w:b w:val="0"/>
                <w:bCs w:val="0"/>
                <w:color w:val="00000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8" w:hRule="atLeast"/>
        </w:trPr>
        <w:tc>
          <w:tcPr>
            <w:tcW w:w="585" w:type="dxa"/>
            <w:noWrap w:val="0"/>
            <w:vAlign w:val="center"/>
          </w:tcPr>
          <w:p>
            <w:pPr>
              <w:spacing w:line="556" w:lineRule="exact"/>
              <w:jc w:val="both"/>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w:t>
            </w:r>
          </w:p>
        </w:tc>
        <w:tc>
          <w:tcPr>
            <w:tcW w:w="1356" w:type="dxa"/>
            <w:noWrap w:val="0"/>
            <w:vAlign w:val="center"/>
          </w:tcPr>
          <w:p>
            <w:pPr>
              <w:spacing w:line="556" w:lineRule="exact"/>
              <w:jc w:val="both"/>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项目支出</w:t>
            </w:r>
          </w:p>
        </w:tc>
        <w:tc>
          <w:tcPr>
            <w:tcW w:w="1456" w:type="dxa"/>
            <w:noWrap w:val="0"/>
            <w:vAlign w:val="center"/>
          </w:tcPr>
          <w:p>
            <w:pPr>
              <w:spacing w:line="560" w:lineRule="exact"/>
              <w:jc w:val="both"/>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12,104.50</w:t>
            </w:r>
          </w:p>
        </w:tc>
        <w:tc>
          <w:tcPr>
            <w:tcW w:w="1516" w:type="dxa"/>
            <w:noWrap w:val="0"/>
            <w:vAlign w:val="center"/>
          </w:tcPr>
          <w:p>
            <w:pPr>
              <w:spacing w:line="540" w:lineRule="exact"/>
              <w:jc w:val="both"/>
              <w:rPr>
                <w:rFonts w:hint="default" w:ascii="宋体" w:hAnsi="宋体" w:eastAsia="宋体" w:cs="宋体"/>
                <w:b w:val="0"/>
                <w:bCs w:val="0"/>
                <w:sz w:val="24"/>
                <w:szCs w:val="24"/>
                <w:highlight w:val="none"/>
                <w:lang w:val="en-US" w:eastAsia="zh-CN"/>
              </w:rPr>
            </w:pPr>
            <w:r>
              <w:rPr>
                <w:rFonts w:hint="default" w:ascii="宋体" w:hAnsi="宋体" w:eastAsia="宋体" w:cs="宋体"/>
                <w:b w:val="0"/>
                <w:bCs w:val="0"/>
                <w:sz w:val="24"/>
                <w:szCs w:val="24"/>
                <w:highlight w:val="none"/>
                <w:lang w:val="en-US" w:eastAsia="zh-CN"/>
              </w:rPr>
              <w:t>31,120.51</w:t>
            </w:r>
          </w:p>
        </w:tc>
        <w:tc>
          <w:tcPr>
            <w:tcW w:w="1621" w:type="dxa"/>
            <w:noWrap w:val="0"/>
            <w:vAlign w:val="center"/>
          </w:tcPr>
          <w:p>
            <w:pPr>
              <w:spacing w:line="537" w:lineRule="exact"/>
              <w:jc w:val="both"/>
              <w:rPr>
                <w:rFonts w:hint="eastAsia" w:ascii="宋体" w:hAnsi="宋体" w:eastAsia="宋体" w:cs="宋体"/>
                <w:b w:val="0"/>
                <w:bCs w:val="0"/>
                <w:sz w:val="24"/>
                <w:szCs w:val="24"/>
                <w:highlight w:val="none"/>
                <w:lang w:val="en-US" w:eastAsia="zh-CN"/>
              </w:rPr>
            </w:pPr>
            <w:r>
              <w:rPr>
                <w:rFonts w:hint="default" w:ascii="宋体" w:hAnsi="宋体" w:eastAsia="宋体" w:cs="宋体"/>
                <w:b w:val="0"/>
                <w:bCs w:val="0"/>
                <w:sz w:val="24"/>
                <w:szCs w:val="24"/>
                <w:highlight w:val="none"/>
                <w:lang w:val="en-US" w:eastAsia="zh-CN"/>
              </w:rPr>
              <w:t>31,120.51</w:t>
            </w:r>
          </w:p>
        </w:tc>
        <w:tc>
          <w:tcPr>
            <w:tcW w:w="1730" w:type="dxa"/>
            <w:noWrap w:val="0"/>
            <w:vAlign w:val="center"/>
          </w:tcPr>
          <w:p>
            <w:pPr>
              <w:spacing w:line="502" w:lineRule="exact"/>
              <w:jc w:val="both"/>
              <w:rPr>
                <w:rFonts w:hint="eastAsia" w:ascii="宋体" w:hAnsi="宋体" w:eastAsia="宋体" w:cs="宋体"/>
                <w:b w:val="0"/>
                <w:bCs w:val="0"/>
                <w:sz w:val="24"/>
                <w:szCs w:val="24"/>
                <w:highlight w:val="none"/>
              </w:rPr>
            </w:pPr>
            <w:r>
              <w:rPr>
                <w:rFonts w:hint="eastAsia" w:ascii="宋体" w:hAnsi="宋体" w:cs="宋体"/>
                <w:b w:val="0"/>
                <w:bCs w:val="0"/>
                <w:color w:val="000000"/>
                <w:sz w:val="24"/>
                <w:szCs w:val="24"/>
                <w:highlight w:val="none"/>
                <w:lang w:val="en-US" w:eastAsia="zh-CN"/>
              </w:rPr>
              <w:t>257.10</w:t>
            </w:r>
            <w:r>
              <w:rPr>
                <w:rFonts w:hint="eastAsia" w:ascii="宋体" w:hAnsi="宋体" w:eastAsia="宋体" w:cs="宋体"/>
                <w:b w:val="0"/>
                <w:bCs w:val="0"/>
                <w:color w:val="00000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8" w:hRule="atLeast"/>
        </w:trPr>
        <w:tc>
          <w:tcPr>
            <w:tcW w:w="1941" w:type="dxa"/>
            <w:gridSpan w:val="2"/>
            <w:noWrap w:val="0"/>
            <w:vAlign w:val="center"/>
          </w:tcPr>
          <w:p>
            <w:pPr>
              <w:spacing w:line="556" w:lineRule="exact"/>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sz w:val="24"/>
                <w:szCs w:val="24"/>
                <w:highlight w:val="none"/>
                <w:lang w:val="en-US" w:eastAsia="zh-CN"/>
              </w:rPr>
              <w:t>合计</w:t>
            </w:r>
          </w:p>
        </w:tc>
        <w:tc>
          <w:tcPr>
            <w:tcW w:w="1456" w:type="dxa"/>
            <w:noWrap w:val="0"/>
            <w:vAlign w:val="center"/>
          </w:tcPr>
          <w:p>
            <w:pPr>
              <w:spacing w:line="558" w:lineRule="exact"/>
              <w:jc w:val="both"/>
              <w:rPr>
                <w:rFonts w:hint="default" w:ascii="宋体" w:hAnsi="宋体" w:eastAsia="宋体" w:cs="宋体"/>
                <w:b w:val="0"/>
                <w:bCs w:val="0"/>
                <w:kern w:val="2"/>
                <w:sz w:val="24"/>
                <w:szCs w:val="24"/>
                <w:lang w:val="en-US" w:eastAsia="zh-CN" w:bidi="ar-SA"/>
              </w:rPr>
            </w:pPr>
            <w:r>
              <w:rPr>
                <w:rFonts w:hint="default" w:ascii="宋体" w:hAnsi="宋体" w:eastAsia="宋体" w:cs="宋体"/>
                <w:b w:val="0"/>
                <w:bCs w:val="0"/>
                <w:kern w:val="2"/>
                <w:sz w:val="24"/>
                <w:szCs w:val="24"/>
                <w:lang w:val="en-US" w:eastAsia="zh-CN" w:bidi="ar-SA"/>
              </w:rPr>
              <w:t>13,589.10</w:t>
            </w:r>
          </w:p>
        </w:tc>
        <w:tc>
          <w:tcPr>
            <w:tcW w:w="1516" w:type="dxa"/>
            <w:noWrap w:val="0"/>
            <w:vAlign w:val="center"/>
          </w:tcPr>
          <w:p>
            <w:pPr>
              <w:spacing w:line="556" w:lineRule="exact"/>
              <w:jc w:val="both"/>
              <w:rPr>
                <w:rFonts w:hint="default" w:ascii="宋体" w:hAnsi="宋体" w:eastAsia="宋体" w:cs="宋体"/>
                <w:b w:val="0"/>
                <w:bCs w:val="0"/>
                <w:kern w:val="2"/>
                <w:sz w:val="24"/>
                <w:szCs w:val="24"/>
                <w:highlight w:val="none"/>
                <w:lang w:val="en-US" w:eastAsia="zh-CN" w:bidi="ar-SA"/>
              </w:rPr>
            </w:pPr>
            <w:r>
              <w:rPr>
                <w:rFonts w:hint="default" w:ascii="宋体" w:hAnsi="宋体" w:eastAsia="宋体" w:cs="宋体"/>
                <w:b w:val="0"/>
                <w:bCs w:val="0"/>
                <w:kern w:val="2"/>
                <w:sz w:val="24"/>
                <w:szCs w:val="24"/>
                <w:highlight w:val="none"/>
                <w:lang w:val="en-US" w:eastAsia="zh-CN" w:bidi="ar-SA"/>
              </w:rPr>
              <w:t>32,321.19</w:t>
            </w:r>
          </w:p>
        </w:tc>
        <w:tc>
          <w:tcPr>
            <w:tcW w:w="1621" w:type="dxa"/>
            <w:noWrap w:val="0"/>
            <w:vAlign w:val="center"/>
          </w:tcPr>
          <w:p>
            <w:pPr>
              <w:spacing w:line="551" w:lineRule="exact"/>
              <w:jc w:val="both"/>
              <w:rPr>
                <w:rFonts w:hint="default" w:ascii="宋体" w:hAnsi="宋体" w:eastAsia="宋体" w:cs="宋体"/>
                <w:b w:val="0"/>
                <w:bCs w:val="0"/>
                <w:kern w:val="2"/>
                <w:sz w:val="24"/>
                <w:szCs w:val="24"/>
                <w:highlight w:val="none"/>
                <w:lang w:val="en-US" w:eastAsia="zh-CN" w:bidi="ar-SA"/>
              </w:rPr>
            </w:pPr>
            <w:r>
              <w:rPr>
                <w:rFonts w:hint="default" w:ascii="宋体" w:hAnsi="宋体" w:eastAsia="宋体" w:cs="宋体"/>
                <w:b w:val="0"/>
                <w:bCs w:val="0"/>
                <w:kern w:val="2"/>
                <w:sz w:val="24"/>
                <w:szCs w:val="24"/>
                <w:highlight w:val="none"/>
                <w:lang w:val="en-US" w:eastAsia="zh-CN" w:bidi="ar-SA"/>
              </w:rPr>
              <w:t>32,321.19</w:t>
            </w:r>
          </w:p>
        </w:tc>
        <w:tc>
          <w:tcPr>
            <w:tcW w:w="1730" w:type="dxa"/>
            <w:noWrap w:val="0"/>
            <w:vAlign w:val="center"/>
          </w:tcPr>
          <w:p>
            <w:pPr>
              <w:spacing w:line="556" w:lineRule="exact"/>
              <w:jc w:val="both"/>
              <w:rPr>
                <w:rFonts w:hint="eastAsia" w:ascii="宋体" w:hAnsi="宋体" w:eastAsia="宋体" w:cs="宋体"/>
                <w:b w:val="0"/>
                <w:bCs w:val="0"/>
                <w:kern w:val="2"/>
                <w:sz w:val="24"/>
                <w:szCs w:val="24"/>
                <w:highlight w:val="none"/>
                <w:lang w:val="en-US" w:eastAsia="zh-CN" w:bidi="ar-SA"/>
              </w:rPr>
            </w:pPr>
            <w:r>
              <w:rPr>
                <w:rFonts w:hint="eastAsia" w:ascii="宋体" w:hAnsi="宋体" w:cs="宋体"/>
                <w:b w:val="0"/>
                <w:bCs w:val="0"/>
                <w:color w:val="000000"/>
                <w:sz w:val="24"/>
                <w:szCs w:val="24"/>
                <w:highlight w:val="none"/>
                <w:lang w:val="en-US" w:eastAsia="zh-CN"/>
              </w:rPr>
              <w:t>237.85</w:t>
            </w:r>
            <w:r>
              <w:rPr>
                <w:rFonts w:hint="eastAsia" w:ascii="宋体" w:hAnsi="宋体" w:eastAsia="宋体" w:cs="宋体"/>
                <w:b w:val="0"/>
                <w:bCs w:val="0"/>
                <w:color w:val="000000"/>
                <w:sz w:val="24"/>
                <w:szCs w:val="24"/>
                <w:highlight w:val="none"/>
              </w:rPr>
              <w:t>%</w:t>
            </w:r>
          </w:p>
        </w:tc>
      </w:tr>
      <w:bookmarkEnd w:id="1"/>
    </w:tbl>
    <w:p>
      <w:pPr>
        <w:pStyle w:val="10"/>
        <w:keepNext w:val="0"/>
        <w:keepLines w:val="0"/>
        <w:pageBreakBefore w:val="0"/>
        <w:kinsoku/>
        <w:wordWrap/>
        <w:overflowPunct/>
        <w:topLinePunct w:val="0"/>
        <w:autoSpaceDE/>
        <w:autoSpaceDN/>
        <w:bidi w:val="0"/>
        <w:spacing w:line="540" w:lineRule="exact"/>
        <w:ind w:left="0" w:leftChars="0" w:firstLine="210" w:firstLineChars="100"/>
        <w:jc w:val="both"/>
        <w:outlineLvl w:val="1"/>
        <w:rPr>
          <w:rFonts w:hint="eastAsia" w:ascii="仿宋_GB2312" w:hAnsi="仿宋_GB2312" w:eastAsia="仿宋_GB2312" w:cs="仿宋_GB2312"/>
          <w:b w:val="0"/>
          <w:bCs w:val="0"/>
          <w:color w:val="000000"/>
          <w:sz w:val="21"/>
          <w:szCs w:val="21"/>
          <w:lang w:val="en-US" w:eastAsia="zh-CN"/>
        </w:rPr>
      </w:pPr>
      <w:bookmarkStart w:id="2" w:name="_Toc30913"/>
      <w:bookmarkStart w:id="3" w:name="_Toc6426"/>
      <w:r>
        <w:rPr>
          <w:rFonts w:hint="eastAsia" w:cs="仿宋_GB2312"/>
          <w:b w:val="0"/>
          <w:bCs w:val="0"/>
          <w:color w:val="000000"/>
          <w:sz w:val="21"/>
          <w:szCs w:val="21"/>
          <w:lang w:val="en-US" w:eastAsia="zh-CN"/>
        </w:rPr>
        <w:t>安阳县水利局</w:t>
      </w:r>
      <w:r>
        <w:rPr>
          <w:rFonts w:hint="eastAsia" w:ascii="仿宋_GB2312" w:hAnsi="仿宋_GB2312" w:eastAsia="仿宋_GB2312" w:cs="仿宋_GB2312"/>
          <w:b w:val="0"/>
          <w:bCs w:val="0"/>
          <w:color w:val="000000"/>
          <w:sz w:val="21"/>
          <w:szCs w:val="21"/>
          <w:lang w:val="en-US" w:eastAsia="zh-CN"/>
        </w:rPr>
        <w:t>部门预算执行率情况说明：本次评价以实际支出为评价依据。</w:t>
      </w:r>
      <w:bookmarkEnd w:id="2"/>
      <w:bookmarkEnd w:id="3"/>
    </w:p>
    <w:p>
      <w:pPr>
        <w:pStyle w:val="10"/>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lang w:val="en-US" w:eastAsia="zh-CN"/>
        </w:rPr>
      </w:pPr>
      <w:r>
        <w:rPr>
          <w:rFonts w:hint="eastAsia" w:cs="仿宋_GB2312"/>
          <w:b/>
          <w:bCs/>
          <w:color w:val="000000"/>
          <w:kern w:val="0"/>
          <w:sz w:val="32"/>
          <w:szCs w:val="32"/>
          <w:highlight w:val="none"/>
          <w:lang w:val="en-US" w:eastAsia="zh-CN" w:bidi="ar"/>
        </w:rPr>
        <w:t>（二）</w:t>
      </w:r>
      <w:r>
        <w:rPr>
          <w:rFonts w:hint="eastAsia" w:ascii="仿宋_GB2312" w:hAnsi="仿宋_GB2312" w:eastAsia="仿宋_GB2312" w:cs="仿宋_GB2312"/>
          <w:b/>
          <w:bCs/>
          <w:color w:val="000000"/>
          <w:kern w:val="0"/>
          <w:sz w:val="32"/>
          <w:szCs w:val="32"/>
          <w:highlight w:val="none"/>
          <w:lang w:val="en-US" w:eastAsia="zh-CN" w:bidi="ar"/>
        </w:rPr>
        <w:t>项目组织实施</w:t>
      </w:r>
    </w:p>
    <w:bookmarkEnd w:id="0"/>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1.2022年度项目支出共计31,120.51万元，主要用于年初申报10个项目，主要包括：（1）机井队人员工资保险、（2）修建水利工程受伤人员补助、（3）安阳县农村饮水安全工程维修基金、（4）河长制、洹南所、水旱防御、水保水资源工作经费、（5）16-20年河道治理、滞洪区独立费用、（6）2016-2018年水利工程占地补偿费、（7）2021年河道治理占地补偿费、（8）2019年安阳河占地补偿费、（9）2019年洪河占地补偿费、（10）广润坡滞洪区工程项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bCs w:val="0"/>
          <w:color w:val="000000"/>
          <w:kern w:val="0"/>
          <w:sz w:val="32"/>
          <w:szCs w:val="32"/>
          <w:lang w:val="en-US" w:eastAsia="zh-CN" w:bidi="ar"/>
        </w:rPr>
      </w:pPr>
      <w:r>
        <w:rPr>
          <w:rFonts w:hint="eastAsia" w:ascii="仿宋_GB2312" w:hAnsi="仿宋_GB2312" w:eastAsia="仿宋_GB2312" w:cs="仿宋_GB2312"/>
          <w:b w:val="0"/>
          <w:bCs w:val="0"/>
          <w:color w:val="000000"/>
          <w:kern w:val="0"/>
          <w:sz w:val="32"/>
          <w:szCs w:val="32"/>
          <w:lang w:val="en-US" w:eastAsia="zh-CN" w:bidi="ar"/>
        </w:rPr>
        <w:t>项目均完成良好，但广润坡滞洪区工程项目经实地考察，存在道路不平整、裂缝等现象。</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Theme="majorEastAsia" w:hAnsiTheme="majorEastAsia" w:eastAsiaTheme="majorEastAsia" w:cstheme="majorEastAsia"/>
          <w:b/>
          <w:bCs/>
          <w:color w:val="000000"/>
          <w:kern w:val="0"/>
          <w:sz w:val="32"/>
          <w:szCs w:val="32"/>
          <w:lang w:val="en-US" w:eastAsia="zh-CN" w:bidi="ar"/>
        </w:rPr>
      </w:pPr>
      <w:r>
        <w:rPr>
          <w:rFonts w:hint="eastAsia" w:asciiTheme="majorEastAsia" w:hAnsiTheme="majorEastAsia" w:eastAsiaTheme="majorEastAsia" w:cstheme="majorEastAsia"/>
          <w:b/>
          <w:bCs/>
          <w:color w:val="000000"/>
          <w:kern w:val="0"/>
          <w:sz w:val="32"/>
          <w:szCs w:val="32"/>
          <w:lang w:val="en-US" w:eastAsia="zh-CN" w:bidi="ar"/>
        </w:rPr>
        <w:t xml:space="preserve"> 三、绩效评价结论</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color w:val="000000"/>
          <w:kern w:val="0"/>
          <w:sz w:val="32"/>
          <w:szCs w:val="32"/>
          <w:lang w:val="en-US" w:eastAsia="zh-CN" w:bidi="ar"/>
        </w:rPr>
      </w:pPr>
      <w:r>
        <w:rPr>
          <w:rFonts w:hint="eastAsia" w:ascii="仿宋_GB2312" w:hAnsi="仿宋_GB2312" w:eastAsia="仿宋_GB2312" w:cs="仿宋_GB2312"/>
          <w:b w:val="0"/>
          <w:color w:val="000000"/>
          <w:kern w:val="0"/>
          <w:sz w:val="32"/>
          <w:szCs w:val="32"/>
          <w:lang w:val="en-US" w:eastAsia="zh-CN" w:bidi="ar"/>
        </w:rPr>
        <w:t>评价工作组认真查阅了</w:t>
      </w:r>
      <w:r>
        <w:rPr>
          <w:rFonts w:hint="eastAsia" w:cs="仿宋_GB2312"/>
          <w:b w:val="0"/>
          <w:color w:val="000000"/>
          <w:kern w:val="0"/>
          <w:sz w:val="32"/>
          <w:szCs w:val="32"/>
          <w:lang w:val="en-US" w:eastAsia="zh-CN" w:bidi="ar"/>
        </w:rPr>
        <w:t>安阳县水利局</w:t>
      </w:r>
      <w:r>
        <w:rPr>
          <w:rFonts w:hint="eastAsia" w:ascii="仿宋_GB2312" w:hAnsi="仿宋_GB2312" w:eastAsia="仿宋_GB2312" w:cs="仿宋_GB2312"/>
          <w:b w:val="0"/>
          <w:color w:val="000000"/>
          <w:kern w:val="0"/>
          <w:sz w:val="32"/>
          <w:szCs w:val="32"/>
          <w:lang w:val="en-US" w:eastAsia="zh-CN" w:bidi="ar"/>
        </w:rPr>
        <w:t>提供的相关资料，从年度主要任务、预算情况、投入管理指标、综合管理指标4个方面，通过数据采集、实地调查、问卷访谈等方式，对</w:t>
      </w:r>
      <w:r>
        <w:rPr>
          <w:rFonts w:hint="eastAsia" w:cs="仿宋_GB2312"/>
          <w:b w:val="0"/>
          <w:color w:val="000000"/>
          <w:kern w:val="0"/>
          <w:sz w:val="32"/>
          <w:szCs w:val="32"/>
          <w:lang w:val="en-US" w:eastAsia="zh-CN" w:bidi="ar"/>
        </w:rPr>
        <w:t>2022年安阳县水利局</w:t>
      </w:r>
      <w:r>
        <w:rPr>
          <w:rFonts w:hint="eastAsia" w:ascii="仿宋_GB2312" w:hAnsi="仿宋_GB2312" w:eastAsia="仿宋_GB2312" w:cs="仿宋_GB2312"/>
          <w:b w:val="0"/>
          <w:color w:val="000000"/>
          <w:kern w:val="0"/>
          <w:sz w:val="32"/>
          <w:szCs w:val="32"/>
          <w:lang w:val="en-US" w:eastAsia="zh-CN" w:bidi="ar"/>
        </w:rPr>
        <w:t>部门整体支出进行客观公平的评价，最后形成综合评价结论。</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仿宋_GB2312" w:hAnsi="仿宋_GB2312" w:eastAsia="仿宋_GB2312" w:cs="仿宋_GB2312"/>
          <w:b w:val="0"/>
          <w:color w:val="000000"/>
          <w:kern w:val="0"/>
          <w:sz w:val="32"/>
          <w:szCs w:val="32"/>
          <w:lang w:val="en-US" w:eastAsia="zh-CN" w:bidi="ar"/>
        </w:rPr>
      </w:pPr>
      <w:r>
        <w:rPr>
          <w:rFonts w:hint="default" w:ascii="仿宋_GB2312" w:hAnsi="仿宋_GB2312" w:eastAsia="仿宋_GB2312" w:cs="仿宋_GB2312"/>
          <w:b w:val="0"/>
          <w:color w:val="000000"/>
          <w:kern w:val="0"/>
          <w:sz w:val="32"/>
          <w:szCs w:val="32"/>
          <w:lang w:val="en-US" w:eastAsia="zh-CN" w:bidi="ar"/>
        </w:rPr>
        <w:t>根据评价指标体系和评分标准对每个指标分别评分，汇总后得出最终分数为</w:t>
      </w:r>
      <w:r>
        <w:rPr>
          <w:rFonts w:hint="eastAsia" w:cs="仿宋_GB2312"/>
          <w:b w:val="0"/>
          <w:color w:val="000000"/>
          <w:kern w:val="0"/>
          <w:sz w:val="32"/>
          <w:szCs w:val="32"/>
          <w:highlight w:val="none"/>
          <w:lang w:val="en-US" w:eastAsia="zh-CN" w:bidi="ar"/>
        </w:rPr>
        <w:t>91.8</w:t>
      </w:r>
      <w:r>
        <w:rPr>
          <w:rFonts w:hint="default" w:ascii="仿宋_GB2312" w:hAnsi="仿宋_GB2312" w:eastAsia="仿宋_GB2312" w:cs="仿宋_GB2312"/>
          <w:b w:val="0"/>
          <w:color w:val="000000"/>
          <w:kern w:val="0"/>
          <w:sz w:val="32"/>
          <w:szCs w:val="32"/>
          <w:lang w:val="en-US" w:eastAsia="zh-CN" w:bidi="ar"/>
        </w:rPr>
        <w:t>分（见表2-1）。按照《安阳县县级预算项目支出绩效评价管理办法》明确的90-100分为优、80-89分为良、60-79分为中、0-59分为差的评价等级设置，评价等级为“良”。具体指标体系及评价得分情况详见附件一。</w:t>
      </w:r>
    </w:p>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表</w:t>
      </w:r>
      <w:r>
        <w:rPr>
          <w:rFonts w:hint="eastAsia" w:ascii="仿宋_GB2312" w:hAnsi="仿宋_GB2312" w:eastAsia="仿宋_GB2312" w:cs="仿宋_GB2312"/>
          <w:b/>
          <w:bCs/>
          <w:sz w:val="32"/>
          <w:szCs w:val="32"/>
          <w:highlight w:val="none"/>
          <w:lang w:val="en-US" w:eastAsia="zh-CN"/>
        </w:rPr>
        <w:t>2</w:t>
      </w:r>
      <w:r>
        <w:rPr>
          <w:rFonts w:hint="eastAsia" w:ascii="仿宋_GB2312" w:hAnsi="仿宋_GB2312" w:eastAsia="仿宋_GB2312" w:cs="仿宋_GB2312"/>
          <w:b/>
          <w:bCs/>
          <w:sz w:val="32"/>
          <w:szCs w:val="32"/>
          <w:highlight w:val="none"/>
        </w:rPr>
        <w:t>-1总体得分情况表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1"/>
        <w:gridCol w:w="1545"/>
        <w:gridCol w:w="1545"/>
        <w:gridCol w:w="1545"/>
        <w:gridCol w:w="1545"/>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blHeader/>
          <w:jc w:val="center"/>
        </w:trPr>
        <w:tc>
          <w:tcPr>
            <w:tcW w:w="629"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指标</w:t>
            </w:r>
          </w:p>
        </w:tc>
        <w:tc>
          <w:tcPr>
            <w:tcW w:w="87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A年度主</w:t>
            </w:r>
            <w:r>
              <w:rPr>
                <w:rFonts w:hint="eastAsia" w:ascii="宋体" w:hAnsi="宋体" w:cs="宋体"/>
                <w:b w:val="0"/>
                <w:bCs/>
                <w:color w:val="000000"/>
                <w:kern w:val="0"/>
                <w:sz w:val="24"/>
                <w:szCs w:val="24"/>
                <w:lang w:eastAsia="zh-CN" w:bidi="ar"/>
              </w:rPr>
              <w:t>要</w:t>
            </w:r>
            <w:r>
              <w:rPr>
                <w:rFonts w:hint="eastAsia" w:ascii="宋体" w:hAnsi="宋体" w:eastAsia="宋体" w:cs="宋体"/>
                <w:b w:val="0"/>
                <w:bCs/>
                <w:color w:val="000000"/>
                <w:kern w:val="0"/>
                <w:sz w:val="24"/>
                <w:szCs w:val="24"/>
                <w:lang w:bidi="ar"/>
              </w:rPr>
              <w:t>任务</w:t>
            </w:r>
          </w:p>
        </w:tc>
        <w:tc>
          <w:tcPr>
            <w:tcW w:w="87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B预算情况</w:t>
            </w:r>
          </w:p>
        </w:tc>
        <w:tc>
          <w:tcPr>
            <w:tcW w:w="87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C投入管理指标</w:t>
            </w:r>
          </w:p>
        </w:tc>
        <w:tc>
          <w:tcPr>
            <w:tcW w:w="87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D综合管理指标</w:t>
            </w:r>
          </w:p>
        </w:tc>
        <w:tc>
          <w:tcPr>
            <w:tcW w:w="87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29"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分值</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4</w:t>
            </w:r>
            <w:r>
              <w:rPr>
                <w:rFonts w:hint="eastAsia" w:ascii="宋体" w:hAnsi="宋体" w:eastAsia="宋体" w:cs="宋体"/>
                <w:b w:val="0"/>
                <w:bCs/>
                <w:kern w:val="0"/>
                <w:sz w:val="24"/>
                <w:szCs w:val="24"/>
              </w:rPr>
              <w:t>0</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2</w:t>
            </w:r>
            <w:r>
              <w:rPr>
                <w:rFonts w:hint="eastAsia" w:ascii="宋体" w:hAnsi="宋体" w:eastAsia="宋体" w:cs="宋体"/>
                <w:b w:val="0"/>
                <w:bCs/>
                <w:kern w:val="0"/>
                <w:sz w:val="24"/>
                <w:szCs w:val="24"/>
              </w:rPr>
              <w:t>0</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30</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10</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29"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得分</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b w:val="0"/>
                <w:bCs/>
                <w:kern w:val="0"/>
                <w:sz w:val="24"/>
                <w:szCs w:val="24"/>
                <w:lang w:val="en-US" w:eastAsia="zh-CN"/>
              </w:rPr>
            </w:pPr>
            <w:r>
              <w:rPr>
                <w:rFonts w:hint="eastAsia" w:ascii="宋体" w:hAnsi="宋体" w:cs="宋体"/>
                <w:b w:val="0"/>
                <w:bCs/>
                <w:kern w:val="0"/>
                <w:sz w:val="24"/>
                <w:szCs w:val="24"/>
                <w:lang w:val="en-US" w:eastAsia="zh-CN"/>
              </w:rPr>
              <w:t>35</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b w:val="0"/>
                <w:bCs/>
                <w:kern w:val="0"/>
                <w:sz w:val="24"/>
                <w:szCs w:val="24"/>
                <w:lang w:val="en-US" w:eastAsia="zh-CN"/>
              </w:rPr>
            </w:pPr>
            <w:r>
              <w:rPr>
                <w:rFonts w:hint="eastAsia" w:ascii="宋体" w:hAnsi="宋体" w:cs="宋体"/>
                <w:b w:val="0"/>
                <w:bCs/>
                <w:kern w:val="0"/>
                <w:sz w:val="24"/>
                <w:szCs w:val="24"/>
                <w:lang w:val="en-US" w:eastAsia="zh-CN"/>
              </w:rPr>
              <w:t>17</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3</w:t>
            </w:r>
            <w:r>
              <w:rPr>
                <w:rFonts w:hint="eastAsia" w:ascii="宋体" w:hAnsi="宋体" w:eastAsia="宋体" w:cs="宋体"/>
                <w:b w:val="0"/>
                <w:bCs/>
                <w:kern w:val="0"/>
                <w:sz w:val="24"/>
                <w:szCs w:val="24"/>
              </w:rPr>
              <w:t>0</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b w:val="0"/>
                <w:bCs/>
                <w:kern w:val="0"/>
                <w:sz w:val="24"/>
                <w:szCs w:val="24"/>
                <w:lang w:val="en-US" w:eastAsia="zh-CN"/>
              </w:rPr>
            </w:pPr>
            <w:r>
              <w:rPr>
                <w:rFonts w:hint="eastAsia" w:ascii="宋体" w:hAnsi="宋体" w:cs="宋体"/>
                <w:b w:val="0"/>
                <w:bCs/>
                <w:kern w:val="0"/>
                <w:sz w:val="24"/>
                <w:szCs w:val="24"/>
                <w:lang w:val="en-US" w:eastAsia="zh-CN"/>
              </w:rPr>
              <w:t>9.8</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b w:val="0"/>
                <w:bCs/>
                <w:kern w:val="0"/>
                <w:sz w:val="24"/>
                <w:szCs w:val="24"/>
                <w:lang w:val="en-US" w:eastAsia="zh-CN"/>
              </w:rPr>
            </w:pPr>
            <w:r>
              <w:rPr>
                <w:rFonts w:hint="eastAsia" w:ascii="宋体" w:hAnsi="宋体" w:cs="宋体"/>
                <w:b w:val="0"/>
                <w:bCs/>
                <w:kern w:val="0"/>
                <w:sz w:val="24"/>
                <w:szCs w:val="24"/>
                <w:lang w:val="en-US" w:eastAsia="zh-CN"/>
              </w:rPr>
              <w:t>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得分率</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cs="宋体"/>
                <w:b w:val="0"/>
                <w:bCs/>
                <w:kern w:val="0"/>
                <w:sz w:val="24"/>
                <w:szCs w:val="24"/>
                <w:lang w:val="en-US" w:eastAsia="zh-CN"/>
              </w:rPr>
              <w:t>87.50</w:t>
            </w:r>
            <w:r>
              <w:rPr>
                <w:rFonts w:hint="eastAsia" w:ascii="宋体" w:hAnsi="宋体" w:eastAsia="宋体" w:cs="宋体"/>
                <w:b w:val="0"/>
                <w:bCs/>
                <w:kern w:val="0"/>
                <w:sz w:val="24"/>
                <w:szCs w:val="24"/>
              </w:rPr>
              <w:t>%</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cs="宋体"/>
                <w:b w:val="0"/>
                <w:bCs/>
                <w:kern w:val="0"/>
                <w:sz w:val="24"/>
                <w:szCs w:val="24"/>
                <w:lang w:val="en-US" w:eastAsia="zh-CN"/>
              </w:rPr>
              <w:t>85</w:t>
            </w:r>
            <w:r>
              <w:rPr>
                <w:rFonts w:hint="eastAsia" w:ascii="宋体" w:hAnsi="宋体" w:eastAsia="宋体" w:cs="宋体"/>
                <w:b w:val="0"/>
                <w:bCs/>
                <w:kern w:val="0"/>
                <w:sz w:val="24"/>
                <w:szCs w:val="24"/>
              </w:rPr>
              <w:t>%</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100</w:t>
            </w:r>
            <w:r>
              <w:rPr>
                <w:rFonts w:hint="eastAsia" w:ascii="宋体" w:hAnsi="宋体" w:eastAsia="宋体" w:cs="宋体"/>
                <w:b w:val="0"/>
                <w:bCs/>
                <w:kern w:val="0"/>
                <w:sz w:val="24"/>
                <w:szCs w:val="24"/>
              </w:rPr>
              <w:t>%</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cs="宋体"/>
                <w:b w:val="0"/>
                <w:bCs/>
                <w:kern w:val="0"/>
                <w:sz w:val="24"/>
                <w:szCs w:val="24"/>
                <w:lang w:val="en-US" w:eastAsia="zh-CN"/>
              </w:rPr>
              <w:t>98</w:t>
            </w:r>
            <w:r>
              <w:rPr>
                <w:rFonts w:hint="eastAsia" w:ascii="宋体" w:hAnsi="宋体" w:eastAsia="宋体" w:cs="宋体"/>
                <w:b w:val="0"/>
                <w:bCs/>
                <w:kern w:val="0"/>
                <w:sz w:val="24"/>
                <w:szCs w:val="24"/>
              </w:rPr>
              <w:t>%</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lang w:val="en-US" w:eastAsia="zh-CN"/>
              </w:rPr>
            </w:pPr>
            <w:r>
              <w:rPr>
                <w:rFonts w:hint="eastAsia" w:ascii="宋体" w:hAnsi="宋体" w:cs="宋体"/>
                <w:b w:val="0"/>
                <w:bCs/>
                <w:kern w:val="0"/>
                <w:sz w:val="24"/>
                <w:szCs w:val="24"/>
                <w:lang w:val="en-US" w:eastAsia="zh-CN"/>
              </w:rPr>
              <w:t>91.8</w:t>
            </w:r>
            <w:r>
              <w:rPr>
                <w:rFonts w:hint="eastAsia" w:ascii="宋体" w:hAnsi="宋体" w:eastAsia="宋体" w:cs="宋体"/>
                <w:b w:val="0"/>
                <w:bCs/>
                <w:kern w:val="0"/>
                <w:sz w:val="24"/>
                <w:szCs w:val="24"/>
                <w:lang w:val="en-US" w:eastAsia="zh-CN"/>
              </w:rPr>
              <w:t>%</w:t>
            </w:r>
          </w:p>
        </w:tc>
      </w:tr>
    </w:tbl>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heme="majorEastAsia" w:hAnsiTheme="majorEastAsia" w:eastAsiaTheme="majorEastAsia" w:cstheme="majorEastAsia"/>
          <w:b/>
          <w:bCs/>
          <w:color w:val="000000"/>
          <w:kern w:val="0"/>
          <w:sz w:val="32"/>
          <w:szCs w:val="32"/>
          <w:lang w:val="en-US" w:eastAsia="zh-CN" w:bidi="ar"/>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Theme="majorEastAsia" w:hAnsiTheme="majorEastAsia" w:eastAsiaTheme="majorEastAsia" w:cstheme="majorEastAsia"/>
          <w:b/>
          <w:bCs/>
          <w:color w:val="000000"/>
          <w:kern w:val="0"/>
          <w:sz w:val="32"/>
          <w:szCs w:val="32"/>
          <w:lang w:val="en-US" w:eastAsia="zh-CN" w:bidi="ar"/>
        </w:rPr>
      </w:pPr>
      <w:r>
        <w:rPr>
          <w:rFonts w:hint="eastAsia" w:asciiTheme="majorEastAsia" w:hAnsiTheme="majorEastAsia" w:eastAsiaTheme="majorEastAsia" w:cstheme="majorEastAsia"/>
          <w:b/>
          <w:bCs/>
          <w:color w:val="000000"/>
          <w:kern w:val="0"/>
          <w:sz w:val="32"/>
          <w:szCs w:val="32"/>
          <w:lang w:val="en-US" w:eastAsia="zh-CN" w:bidi="ar"/>
        </w:rPr>
        <w:t>三、存在问题</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（一）不合规支出</w:t>
      </w:r>
    </w:p>
    <w:p>
      <w:pPr>
        <w:pStyle w:val="10"/>
        <w:numPr>
          <w:ilvl w:val="0"/>
          <w:numId w:val="0"/>
        </w:numPr>
        <w:ind w:firstLine="640" w:firstLineChars="200"/>
        <w:rPr>
          <w:rFonts w:hint="eastAsia" w:cs="仿宋_GB2312"/>
          <w:b w:val="0"/>
          <w:color w:val="000000"/>
          <w:kern w:val="0"/>
          <w:sz w:val="32"/>
          <w:szCs w:val="32"/>
          <w:highlight w:val="none"/>
          <w:lang w:val="en-US" w:eastAsia="zh-CN" w:bidi="ar"/>
        </w:rPr>
      </w:pPr>
      <w:r>
        <w:rPr>
          <w:rFonts w:hint="eastAsia" w:ascii="仿宋_GB2312" w:hAnsi="仿宋_GB2312" w:eastAsia="仿宋_GB2312" w:cs="仿宋_GB2312"/>
          <w:b w:val="0"/>
          <w:color w:val="000000"/>
          <w:kern w:val="0"/>
          <w:sz w:val="32"/>
          <w:szCs w:val="32"/>
          <w:highlight w:val="none"/>
          <w:lang w:val="en-US" w:eastAsia="zh-CN" w:bidi="ar"/>
        </w:rPr>
        <w:t>1.20</w:t>
      </w:r>
      <w:r>
        <w:rPr>
          <w:rFonts w:hint="eastAsia" w:cs="仿宋_GB2312"/>
          <w:b w:val="0"/>
          <w:color w:val="000000"/>
          <w:kern w:val="0"/>
          <w:sz w:val="32"/>
          <w:szCs w:val="32"/>
          <w:highlight w:val="none"/>
          <w:lang w:val="en-US" w:eastAsia="zh-CN" w:bidi="ar"/>
        </w:rPr>
        <w:t>22年3月22日101号凭证，购买食品660.00元，慰问病人无姓名；</w:t>
      </w:r>
    </w:p>
    <w:p>
      <w:pPr>
        <w:pStyle w:val="10"/>
        <w:numPr>
          <w:ilvl w:val="0"/>
          <w:numId w:val="0"/>
        </w:numPr>
        <w:ind w:firstLine="640" w:firstLineChars="200"/>
        <w:rPr>
          <w:rFonts w:hint="eastAsia" w:cs="仿宋_GB2312"/>
          <w:b w:val="0"/>
          <w:color w:val="000000"/>
          <w:kern w:val="0"/>
          <w:sz w:val="32"/>
          <w:szCs w:val="32"/>
          <w:highlight w:val="none"/>
          <w:lang w:val="en-US" w:eastAsia="zh-CN" w:bidi="ar"/>
        </w:rPr>
      </w:pPr>
      <w:r>
        <w:rPr>
          <w:rFonts w:hint="eastAsia" w:cs="仿宋_GB2312"/>
          <w:b w:val="0"/>
          <w:color w:val="000000"/>
          <w:kern w:val="0"/>
          <w:sz w:val="32"/>
          <w:szCs w:val="32"/>
          <w:highlight w:val="none"/>
          <w:lang w:val="en-US" w:eastAsia="zh-CN" w:bidi="ar"/>
        </w:rPr>
        <w:t>2.2022年7月20日78号凭证，支付安阳县天主教爱国会电费27.35元；</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000000"/>
          <w:kern w:val="0"/>
          <w:sz w:val="32"/>
          <w:szCs w:val="32"/>
          <w:highlight w:val="none"/>
          <w:lang w:val="en-US" w:eastAsia="zh-CN" w:bidi="ar"/>
        </w:rPr>
      </w:pPr>
      <w:r>
        <w:rPr>
          <w:rFonts w:hint="eastAsia" w:ascii="仿宋_GB2312" w:hAnsi="仿宋_GB2312" w:eastAsia="仿宋_GB2312" w:cs="仿宋_GB2312"/>
          <w:b/>
          <w:bCs/>
          <w:color w:val="000000"/>
          <w:kern w:val="0"/>
          <w:sz w:val="32"/>
          <w:szCs w:val="32"/>
          <w:lang w:val="en-US" w:eastAsia="zh-CN" w:bidi="ar"/>
        </w:rPr>
        <w:t>（二）</w:t>
      </w:r>
      <w:r>
        <w:rPr>
          <w:rFonts w:hint="eastAsia" w:ascii="仿宋_GB2312" w:hAnsi="仿宋_GB2312" w:eastAsia="仿宋_GB2312" w:cs="仿宋_GB2312"/>
          <w:b/>
          <w:bCs/>
          <w:color w:val="000000"/>
          <w:kern w:val="0"/>
          <w:sz w:val="32"/>
          <w:szCs w:val="32"/>
          <w:highlight w:val="none"/>
          <w:lang w:val="en-US" w:eastAsia="zh-CN" w:bidi="ar"/>
        </w:rPr>
        <w:t>取得的原始凭证不合规、不完整</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default" w:ascii="仿宋_GB2312" w:hAnsi="仿宋_GB2312" w:eastAsia="仿宋_GB2312" w:cs="仿宋_GB2312"/>
          <w:color w:val="000000"/>
          <w:kern w:val="0"/>
          <w:sz w:val="32"/>
          <w:szCs w:val="32"/>
          <w:highlight w:val="none"/>
          <w:lang w:val="en-US" w:eastAsia="zh-CN" w:bidi="ar"/>
        </w:rPr>
      </w:pPr>
      <w:r>
        <w:rPr>
          <w:rFonts w:hint="eastAsia" w:ascii="仿宋_GB2312" w:hAnsi="仿宋_GB2312" w:eastAsia="仿宋_GB2312" w:cs="仿宋_GB2312"/>
          <w:color w:val="000000"/>
          <w:kern w:val="0"/>
          <w:sz w:val="32"/>
          <w:szCs w:val="32"/>
          <w:highlight w:val="none"/>
          <w:lang w:val="en-US" w:eastAsia="zh-CN" w:bidi="ar"/>
        </w:rPr>
        <w:t>1.2022年2月21日19号凭证，支付订报刊1,008.00元，取得的河南通用定额发票无付款单位名称和开票日期；</w:t>
      </w:r>
    </w:p>
    <w:p>
      <w:pPr>
        <w:pStyle w:val="10"/>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rPr>
          <w:rFonts w:hint="eastAsia" w:cs="仿宋_GB2312"/>
          <w:b w:val="0"/>
          <w:bCs/>
          <w:color w:val="000000"/>
          <w:kern w:val="0"/>
          <w:sz w:val="32"/>
          <w:szCs w:val="32"/>
          <w:highlight w:val="none"/>
          <w:lang w:val="en-US" w:eastAsia="zh-CN" w:bidi="ar"/>
        </w:rPr>
      </w:pPr>
      <w:r>
        <w:rPr>
          <w:rFonts w:hint="eastAsia" w:cs="仿宋_GB2312"/>
          <w:b w:val="0"/>
          <w:bCs/>
          <w:color w:val="000000"/>
          <w:kern w:val="0"/>
          <w:sz w:val="32"/>
          <w:szCs w:val="32"/>
          <w:highlight w:val="none"/>
          <w:lang w:val="en-US" w:eastAsia="zh-CN" w:bidi="ar"/>
        </w:rPr>
        <w:t>2.2022年5月19日47号凭证，支付洹南19·1标进度款1,144,780.28元，未附监理阶段性报告；</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3" w:firstLineChars="200"/>
        <w:jc w:val="both"/>
        <w:textAlignment w:val="auto"/>
        <w:outlineLvl w:val="1"/>
        <w:rPr>
          <w:rFonts w:hint="default" w:ascii="仿宋_GB2312" w:hAnsi="仿宋_GB2312" w:eastAsia="仿宋_GB2312" w:cs="仿宋_GB2312"/>
          <w:b/>
          <w:bCs/>
          <w:sz w:val="32"/>
          <w:szCs w:val="32"/>
          <w:highlight w:val="none"/>
          <w:lang w:val="en-US"/>
        </w:rPr>
      </w:pPr>
      <w:r>
        <w:rPr>
          <w:rFonts w:hint="eastAsia" w:ascii="仿宋_GB2312" w:hAnsi="仿宋_GB2312" w:eastAsia="仿宋_GB2312" w:cs="仿宋_GB2312"/>
          <w:b/>
          <w:bCs/>
          <w:color w:val="000000"/>
          <w:kern w:val="0"/>
          <w:sz w:val="32"/>
          <w:szCs w:val="32"/>
          <w:highlight w:val="none"/>
          <w:lang w:val="en-US" w:eastAsia="zh-CN" w:bidi="ar"/>
        </w:rPr>
        <w:t>（三）三重一大存在的问题</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outlineLvl w:val="1"/>
        <w:rPr>
          <w:rFonts w:hint="eastAsia" w:ascii="仿宋_GB2312" w:hAnsi="仿宋_GB2312" w:eastAsia="仿宋_GB2312" w:cs="仿宋_GB2312"/>
          <w:color w:val="282A2D"/>
          <w:kern w:val="0"/>
          <w:sz w:val="32"/>
          <w:szCs w:val="32"/>
          <w:highlight w:val="none"/>
          <w:lang w:val="en-US" w:eastAsia="zh-CN" w:bidi="ar"/>
        </w:rPr>
      </w:pPr>
      <w:r>
        <w:rPr>
          <w:rFonts w:hint="eastAsia" w:ascii="仿宋_GB2312" w:hAnsi="仿宋_GB2312" w:eastAsia="仿宋_GB2312" w:cs="仿宋_GB2312"/>
          <w:color w:val="282A2D"/>
          <w:kern w:val="0"/>
          <w:sz w:val="32"/>
          <w:szCs w:val="32"/>
          <w:highlight w:val="none"/>
          <w:lang w:val="en-US" w:eastAsia="zh-CN" w:bidi="ar"/>
        </w:rPr>
        <w:t>1.2022年3月18日83号凭证，支付河南隆云建设工程公司工程款331,158.00元；</w:t>
      </w:r>
    </w:p>
    <w:p>
      <w:pPr>
        <w:pStyle w:val="10"/>
        <w:rPr>
          <w:rFonts w:hint="eastAsia" w:cs="仿宋_GB2312"/>
          <w:b w:val="0"/>
          <w:color w:val="000000"/>
          <w:kern w:val="0"/>
          <w:sz w:val="32"/>
          <w:szCs w:val="32"/>
          <w:lang w:val="en-US" w:eastAsia="zh-CN" w:bidi="ar"/>
        </w:rPr>
      </w:pPr>
      <w:r>
        <w:rPr>
          <w:rFonts w:hint="eastAsia" w:cs="仿宋_GB2312"/>
          <w:b w:val="0"/>
          <w:color w:val="000000"/>
          <w:kern w:val="0"/>
          <w:sz w:val="32"/>
          <w:szCs w:val="32"/>
          <w:lang w:val="en-US" w:eastAsia="zh-CN" w:bidi="ar"/>
        </w:rPr>
        <w:t>2.2022年6月14日31号凭证，支付安阳市蓝鲸文化传媒有限公司重点项目开工会场费97,511.60元；</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color w:val="000000"/>
          <w:kern w:val="0"/>
          <w:sz w:val="32"/>
          <w:szCs w:val="32"/>
          <w:highlight w:val="none"/>
          <w:lang w:val="en-US" w:eastAsia="zh-CN" w:bidi="ar"/>
        </w:rPr>
        <w:t>（四）服务项目未询价和招标</w:t>
      </w:r>
    </w:p>
    <w:p>
      <w:pPr>
        <w:pStyle w:val="10"/>
        <w:rPr>
          <w:rFonts w:hint="eastAsia" w:cs="仿宋_GB2312"/>
          <w:b w:val="0"/>
          <w:color w:val="000000"/>
          <w:kern w:val="0"/>
          <w:sz w:val="32"/>
          <w:szCs w:val="32"/>
          <w:lang w:val="en-US" w:eastAsia="zh-CN" w:bidi="ar"/>
        </w:rPr>
      </w:pPr>
      <w:r>
        <w:rPr>
          <w:rFonts w:hint="eastAsia" w:cs="仿宋_GB2312"/>
          <w:b w:val="0"/>
          <w:color w:val="000000"/>
          <w:kern w:val="0"/>
          <w:sz w:val="32"/>
          <w:szCs w:val="32"/>
          <w:lang w:val="en-US" w:eastAsia="zh-CN" w:bidi="ar"/>
        </w:rPr>
        <w:t>1.2022年7月28日135号凭证，支付河南共信会计师事务所服务费22,000.00元；</w:t>
      </w:r>
    </w:p>
    <w:p>
      <w:pPr>
        <w:pStyle w:val="10"/>
        <w:rPr>
          <w:rFonts w:hint="default" w:cs="仿宋_GB2312"/>
          <w:b w:val="0"/>
          <w:color w:val="000000"/>
          <w:kern w:val="0"/>
          <w:sz w:val="32"/>
          <w:szCs w:val="32"/>
          <w:lang w:val="en-US" w:eastAsia="zh-CN" w:bidi="ar"/>
        </w:rPr>
      </w:pPr>
      <w:r>
        <w:rPr>
          <w:rFonts w:hint="eastAsia" w:cs="仿宋_GB2312"/>
          <w:b w:val="0"/>
          <w:color w:val="000000"/>
          <w:kern w:val="0"/>
          <w:sz w:val="32"/>
          <w:szCs w:val="32"/>
          <w:lang w:val="en-US" w:eastAsia="zh-CN" w:bidi="ar"/>
        </w:rPr>
        <w:t>2.2022年7月13日59号凭证，支付河南祥通建设工程检测有限公司工程质量检测费99,000.00元；</w:t>
      </w:r>
    </w:p>
    <w:p>
      <w:pPr>
        <w:pStyle w:val="10"/>
        <w:rPr>
          <w:rFonts w:hint="eastAsia" w:cs="仿宋_GB2312"/>
          <w:b/>
          <w:bCs/>
          <w:color w:val="000000"/>
          <w:kern w:val="0"/>
          <w:sz w:val="32"/>
          <w:szCs w:val="32"/>
          <w:lang w:val="en-US" w:eastAsia="zh-CN" w:bidi="ar"/>
        </w:rPr>
      </w:pPr>
      <w:r>
        <w:rPr>
          <w:rFonts w:hint="eastAsia" w:cs="仿宋_GB2312"/>
          <w:b/>
          <w:bCs/>
          <w:color w:val="000000"/>
          <w:kern w:val="0"/>
          <w:sz w:val="32"/>
          <w:szCs w:val="32"/>
          <w:lang w:val="en-US" w:eastAsia="zh-CN" w:bidi="ar"/>
        </w:rPr>
        <w:t>（五）工程项目未询价和招标</w:t>
      </w:r>
    </w:p>
    <w:p>
      <w:pPr>
        <w:pStyle w:val="10"/>
        <w:rPr>
          <w:rFonts w:hint="eastAsia" w:cs="仿宋_GB2312"/>
          <w:b w:val="0"/>
          <w:color w:val="000000"/>
          <w:kern w:val="0"/>
          <w:sz w:val="32"/>
          <w:szCs w:val="32"/>
          <w:lang w:val="en-US" w:eastAsia="zh-CN" w:bidi="ar"/>
        </w:rPr>
      </w:pPr>
      <w:r>
        <w:rPr>
          <w:rFonts w:hint="eastAsia" w:cs="仿宋_GB2312"/>
          <w:b w:val="0"/>
          <w:color w:val="000000"/>
          <w:kern w:val="0"/>
          <w:sz w:val="32"/>
          <w:szCs w:val="32"/>
          <w:lang w:val="en-US" w:eastAsia="zh-CN" w:bidi="ar"/>
        </w:rPr>
        <w:t>1.2022年6月14日31号凭证，支付安阳市蓝鲸文化传媒有限公司重点项目开工会场费97,511.60元；</w:t>
      </w:r>
    </w:p>
    <w:p>
      <w:pPr>
        <w:pStyle w:val="10"/>
        <w:rPr>
          <w:rFonts w:hint="eastAsia" w:cs="仿宋_GB2312"/>
          <w:b/>
          <w:bCs/>
          <w:color w:val="000000"/>
          <w:kern w:val="0"/>
          <w:sz w:val="32"/>
          <w:szCs w:val="32"/>
          <w:lang w:val="en-US" w:eastAsia="zh-CN" w:bidi="ar"/>
        </w:rPr>
      </w:pPr>
      <w:r>
        <w:rPr>
          <w:rFonts w:hint="eastAsia" w:cs="仿宋_GB2312"/>
          <w:b/>
          <w:bCs/>
          <w:color w:val="000000"/>
          <w:kern w:val="0"/>
          <w:sz w:val="32"/>
          <w:szCs w:val="32"/>
          <w:lang w:val="en-US" w:eastAsia="zh-CN" w:bidi="ar"/>
        </w:rPr>
        <w:t>（六）固定资产未验收</w:t>
      </w:r>
    </w:p>
    <w:p>
      <w:pPr>
        <w:pStyle w:val="10"/>
        <w:rPr>
          <w:rFonts w:hint="default" w:cs="仿宋_GB2312"/>
          <w:b w:val="0"/>
          <w:color w:val="000000"/>
          <w:kern w:val="0"/>
          <w:sz w:val="32"/>
          <w:szCs w:val="32"/>
          <w:lang w:val="en-US" w:eastAsia="zh-CN" w:bidi="ar"/>
        </w:rPr>
      </w:pPr>
      <w:r>
        <w:rPr>
          <w:rFonts w:hint="eastAsia" w:cs="仿宋_GB2312"/>
          <w:b w:val="0"/>
          <w:color w:val="000000"/>
          <w:kern w:val="0"/>
          <w:sz w:val="32"/>
          <w:szCs w:val="32"/>
          <w:lang w:val="en-US" w:eastAsia="zh-CN" w:bidi="ar"/>
        </w:rPr>
        <w:t>1.2022年8月2日17号凭证，购买床12张，共计11,496.00元；</w:t>
      </w:r>
    </w:p>
    <w:p>
      <w:pPr>
        <w:pStyle w:val="10"/>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both"/>
        <w:textAlignment w:val="auto"/>
        <w:rPr>
          <w:rFonts w:hint="eastAsia" w:cs="仿宋_GB2312"/>
          <w:color w:val="000000"/>
          <w:kern w:val="0"/>
          <w:sz w:val="32"/>
          <w:szCs w:val="32"/>
          <w:lang w:val="en-US" w:eastAsia="zh-CN" w:bidi="ar"/>
        </w:rPr>
      </w:pPr>
      <w:r>
        <w:rPr>
          <w:rFonts w:hint="eastAsia" w:cs="仿宋_GB2312"/>
          <w:b/>
          <w:bCs/>
          <w:color w:val="000000"/>
          <w:kern w:val="0"/>
          <w:sz w:val="32"/>
          <w:szCs w:val="32"/>
          <w:highlight w:val="none"/>
          <w:lang w:val="en-US" w:eastAsia="zh-CN" w:bidi="ar"/>
        </w:rPr>
        <w:t>（七）</w:t>
      </w:r>
      <w:r>
        <w:rPr>
          <w:rFonts w:hint="eastAsia" w:ascii="仿宋_GB2312" w:hAnsi="仿宋_GB2312" w:eastAsia="仿宋_GB2312" w:cs="仿宋_GB2312"/>
          <w:b/>
          <w:bCs/>
          <w:color w:val="000000"/>
          <w:kern w:val="0"/>
          <w:sz w:val="32"/>
          <w:szCs w:val="32"/>
          <w:highlight w:val="none"/>
          <w:lang w:val="en-US" w:eastAsia="zh-CN" w:bidi="ar"/>
        </w:rPr>
        <w:t>绩效管理有待进一步提升</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cs="仿宋_GB2312"/>
          <w:b w:val="0"/>
          <w:bCs/>
          <w:color w:val="000000"/>
          <w:kern w:val="0"/>
          <w:sz w:val="32"/>
          <w:szCs w:val="32"/>
          <w:lang w:val="en-US" w:eastAsia="zh-CN" w:bidi="ar"/>
        </w:rPr>
      </w:pPr>
      <w:r>
        <w:rPr>
          <w:rFonts w:hint="eastAsia" w:cs="仿宋_GB2312"/>
          <w:b w:val="0"/>
          <w:bCs/>
          <w:color w:val="000000"/>
          <w:kern w:val="0"/>
          <w:sz w:val="32"/>
          <w:szCs w:val="32"/>
          <w:lang w:val="en-US" w:eastAsia="zh-CN" w:bidi="ar"/>
        </w:rPr>
        <w:t>一是绩效管理工作有待提升。相关人员虽已逐步树立了绩效理念，但了解还不够深入，理论知识还不够扎实。二是项目绩效目标表中部分指标设置不够清晰合理，不能直观体现项目的实施效益。</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Theme="majorEastAsia" w:hAnsiTheme="majorEastAsia" w:eastAsiaTheme="majorEastAsia" w:cstheme="majorEastAsia"/>
          <w:b/>
          <w:bCs/>
          <w:color w:val="000000"/>
          <w:kern w:val="0"/>
          <w:sz w:val="32"/>
          <w:szCs w:val="32"/>
          <w:lang w:val="en-US" w:eastAsia="zh-CN" w:bidi="ar"/>
        </w:rPr>
      </w:pPr>
      <w:r>
        <w:rPr>
          <w:rFonts w:hint="eastAsia" w:asciiTheme="majorEastAsia" w:hAnsiTheme="majorEastAsia" w:eastAsiaTheme="majorEastAsia" w:cstheme="majorEastAsia"/>
          <w:b/>
          <w:bCs/>
          <w:color w:val="000000"/>
          <w:kern w:val="0"/>
          <w:sz w:val="32"/>
          <w:szCs w:val="32"/>
          <w:lang w:val="en-US" w:eastAsia="zh-CN" w:bidi="ar"/>
        </w:rPr>
        <w:t>四、相关建议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000000"/>
          <w:kern w:val="0"/>
          <w:sz w:val="32"/>
          <w:szCs w:val="32"/>
          <w:highlight w:val="none"/>
          <w:lang w:val="en-US" w:eastAsia="zh-CN" w:bidi="ar"/>
        </w:rPr>
      </w:pPr>
      <w:r>
        <w:rPr>
          <w:rFonts w:hint="eastAsia" w:ascii="仿宋_GB2312" w:hAnsi="仿宋_GB2312" w:eastAsia="仿宋_GB2312" w:cs="仿宋_GB2312"/>
          <w:b/>
          <w:bCs/>
          <w:color w:val="000000"/>
          <w:kern w:val="0"/>
          <w:sz w:val="32"/>
          <w:szCs w:val="32"/>
          <w:highlight w:val="none"/>
          <w:lang w:val="en-US" w:eastAsia="zh-CN" w:bidi="ar"/>
        </w:rPr>
        <w:t xml:space="preserve">（一）规范部门资金使用管理 </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bCs/>
          <w:color w:val="000000"/>
          <w:kern w:val="0"/>
          <w:sz w:val="32"/>
          <w:szCs w:val="32"/>
          <w:highlight w:val="none"/>
          <w:lang w:val="en-US" w:eastAsia="zh-CN" w:bidi="ar"/>
        </w:rPr>
      </w:pPr>
      <w:r>
        <w:rPr>
          <w:rFonts w:hint="eastAsia" w:cs="仿宋_GB2312"/>
          <w:b w:val="0"/>
          <w:bCs/>
          <w:color w:val="000000"/>
          <w:kern w:val="0"/>
          <w:sz w:val="32"/>
          <w:szCs w:val="32"/>
          <w:lang w:val="en-US" w:eastAsia="zh-CN" w:bidi="ar"/>
        </w:rPr>
        <w:t>一是建议安阳县水利局在资金执行过程中，按照预算批复的内容和使用方向支出，严格执行部门财务管理制度，如规范会计核算及记账，同时加强固定资产管理，定期对固定</w:t>
      </w:r>
      <w:r>
        <w:rPr>
          <w:rFonts w:hint="eastAsia" w:ascii="仿宋_GB2312" w:hAnsi="仿宋_GB2312" w:eastAsia="仿宋_GB2312" w:cs="仿宋_GB2312"/>
          <w:b w:val="0"/>
          <w:bCs w:val="0"/>
          <w:color w:val="000000"/>
          <w:kern w:val="0"/>
          <w:sz w:val="32"/>
          <w:szCs w:val="32"/>
          <w:highlight w:val="none"/>
          <w:lang w:val="en-US" w:eastAsia="zh-CN" w:bidi="ar"/>
        </w:rPr>
        <w:t>资产进行入账、盘点，保证国有资产的安全性。</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000000"/>
          <w:kern w:val="0"/>
          <w:sz w:val="32"/>
          <w:szCs w:val="32"/>
          <w:highlight w:val="none"/>
          <w:lang w:val="en-US" w:eastAsia="zh-CN" w:bidi="ar"/>
        </w:rPr>
      </w:pPr>
      <w:r>
        <w:rPr>
          <w:rFonts w:hint="eastAsia" w:ascii="仿宋_GB2312" w:hAnsi="仿宋_GB2312" w:eastAsia="仿宋_GB2312" w:cs="仿宋_GB2312"/>
          <w:b/>
          <w:bCs/>
          <w:color w:val="000000"/>
          <w:kern w:val="0"/>
          <w:sz w:val="32"/>
          <w:szCs w:val="32"/>
          <w:highlight w:val="none"/>
          <w:lang w:val="en-US" w:eastAsia="zh-CN" w:bidi="ar"/>
        </w:rPr>
        <w:t xml:space="preserve">（二）加强部门绩效管理意识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一是加强财政预算绩效管理意识，重视绩效目标申报表 </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的填写和管理工作，建议根据部门实际情况，科学填报项目 </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各项绩效指标，尽可能细化量化绩效指标，保证绩效目标和 </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指标内容完整、指向明确、合理可行，与部门年度工作计划 </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和预算资金相匹配，提高项目实施效果的可衡量性，清晰反 </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映预算资金的预期产出和效果。 </w:t>
      </w:r>
    </w:p>
    <w:p>
      <w:pPr>
        <w:pStyle w:val="10"/>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both"/>
        <w:textAlignment w:val="auto"/>
        <w:outlineLvl w:val="1"/>
        <w:rPr>
          <w:rFonts w:hint="eastAsia" w:cs="仿宋_GB2312"/>
          <w:b/>
          <w:bCs/>
          <w:color w:val="000000"/>
          <w:kern w:val="0"/>
          <w:sz w:val="32"/>
          <w:szCs w:val="32"/>
          <w:highlight w:val="none"/>
          <w:lang w:val="en-US" w:eastAsia="zh-CN" w:bidi="ar"/>
        </w:rPr>
      </w:pPr>
      <w:r>
        <w:rPr>
          <w:rFonts w:hint="eastAsia" w:cs="仿宋_GB2312"/>
          <w:b/>
          <w:bCs/>
          <w:color w:val="000000"/>
          <w:kern w:val="0"/>
          <w:sz w:val="32"/>
          <w:szCs w:val="32"/>
          <w:highlight w:val="none"/>
          <w:lang w:val="en-US" w:eastAsia="zh-CN" w:bidi="ar"/>
        </w:rPr>
        <w:t>（三）</w:t>
      </w:r>
      <w:r>
        <w:rPr>
          <w:rFonts w:hint="eastAsia" w:ascii="仿宋_GB2312" w:hAnsi="仿宋_GB2312" w:eastAsia="仿宋_GB2312" w:cs="仿宋_GB2312"/>
          <w:b/>
          <w:bCs/>
          <w:color w:val="000000"/>
          <w:kern w:val="0"/>
          <w:sz w:val="32"/>
          <w:szCs w:val="32"/>
          <w:highlight w:val="none"/>
          <w:lang w:val="en-US" w:eastAsia="zh-CN" w:bidi="ar"/>
        </w:rPr>
        <w:t>牢固依法管理国有资产的意识</w:t>
      </w:r>
      <w:r>
        <w:rPr>
          <w:rFonts w:hint="eastAsia" w:cs="仿宋_GB2312"/>
          <w:b/>
          <w:bCs/>
          <w:color w:val="000000"/>
          <w:kern w:val="0"/>
          <w:sz w:val="32"/>
          <w:szCs w:val="32"/>
          <w:highlight w:val="none"/>
          <w:lang w:val="en-US" w:eastAsia="zh-CN" w:bidi="ar"/>
        </w:rPr>
        <w:t>，完善资产管理制度</w:t>
      </w:r>
    </w:p>
    <w:p>
      <w:pPr>
        <w:pStyle w:val="10"/>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Theme="majorEastAsia" w:hAnsiTheme="majorEastAsia" w:eastAsiaTheme="majorEastAsia" w:cstheme="majorEastAsia"/>
          <w:b/>
          <w:bCs/>
          <w:color w:val="000000"/>
          <w:kern w:val="0"/>
          <w:sz w:val="32"/>
          <w:szCs w:val="32"/>
          <w:lang w:val="en-US" w:eastAsia="zh-CN" w:bidi="ar"/>
        </w:rPr>
      </w:pPr>
      <w:r>
        <w:rPr>
          <w:rFonts w:hint="eastAsia" w:cs="仿宋_GB2312"/>
          <w:b w:val="0"/>
          <w:color w:val="000000"/>
          <w:kern w:val="0"/>
          <w:sz w:val="32"/>
          <w:szCs w:val="32"/>
          <w:highlight w:val="none"/>
          <w:lang w:val="en-US" w:eastAsia="zh-CN" w:bidi="ar"/>
        </w:rPr>
        <w:t>一是加强固定资产管理</w:t>
      </w:r>
      <w:r>
        <w:rPr>
          <w:rFonts w:hint="eastAsia" w:ascii="仿宋_GB2312" w:hAnsi="仿宋_GB2312" w:eastAsia="仿宋_GB2312" w:cs="仿宋_GB2312"/>
          <w:b w:val="0"/>
          <w:color w:val="000000"/>
          <w:kern w:val="0"/>
          <w:sz w:val="32"/>
          <w:szCs w:val="32"/>
          <w:highlight w:val="none"/>
          <w:lang w:val="en-US" w:eastAsia="zh-CN" w:bidi="ar"/>
        </w:rPr>
        <w:t>，积极处理好闲置固定资产</w:t>
      </w:r>
      <w:r>
        <w:rPr>
          <w:rFonts w:hint="eastAsia" w:cs="仿宋_GB2312"/>
          <w:b w:val="0"/>
          <w:color w:val="000000"/>
          <w:kern w:val="0"/>
          <w:sz w:val="32"/>
          <w:szCs w:val="32"/>
          <w:highlight w:val="none"/>
          <w:lang w:val="en-US" w:eastAsia="zh-CN" w:bidi="ar"/>
        </w:rPr>
        <w:t>；二是</w:t>
      </w:r>
      <w:r>
        <w:rPr>
          <w:rFonts w:hint="eastAsia" w:ascii="仿宋_GB2312" w:hAnsi="仿宋_GB2312" w:eastAsia="仿宋_GB2312" w:cs="仿宋_GB2312"/>
          <w:b w:val="0"/>
          <w:color w:val="000000"/>
          <w:kern w:val="0"/>
          <w:sz w:val="32"/>
          <w:szCs w:val="32"/>
          <w:highlight w:val="none"/>
          <w:lang w:val="en-US" w:eastAsia="zh-CN" w:bidi="ar"/>
        </w:rPr>
        <w:t>建立固定资产</w:t>
      </w:r>
      <w:r>
        <w:rPr>
          <w:rFonts w:hint="eastAsia" w:cs="仿宋_GB2312"/>
          <w:b w:val="0"/>
          <w:color w:val="000000"/>
          <w:kern w:val="0"/>
          <w:sz w:val="32"/>
          <w:szCs w:val="32"/>
          <w:highlight w:val="none"/>
          <w:lang w:val="en-US" w:eastAsia="zh-CN" w:bidi="ar"/>
        </w:rPr>
        <w:t>外部监督</w:t>
      </w:r>
      <w:r>
        <w:rPr>
          <w:rFonts w:hint="eastAsia" w:ascii="仿宋_GB2312" w:hAnsi="仿宋_GB2312" w:eastAsia="仿宋_GB2312" w:cs="仿宋_GB2312"/>
          <w:b w:val="0"/>
          <w:color w:val="000000"/>
          <w:kern w:val="0"/>
          <w:sz w:val="32"/>
          <w:szCs w:val="32"/>
          <w:highlight w:val="none"/>
          <w:lang w:val="en-US" w:eastAsia="zh-CN" w:bidi="ar"/>
        </w:rPr>
        <w:t>管理制度，切实加强对行政事业单位固定资产购置、增减、租赁的监督，定期对使用中的资产进行盘点和监督检查，对需要处置的资产进行报备，避免处置的随意性</w:t>
      </w:r>
      <w:r>
        <w:rPr>
          <w:rFonts w:hint="eastAsia" w:cs="仿宋_GB2312"/>
          <w:b w:val="0"/>
          <w:color w:val="000000"/>
          <w:kern w:val="0"/>
          <w:sz w:val="32"/>
          <w:szCs w:val="32"/>
          <w:highlight w:val="none"/>
          <w:lang w:val="en-US" w:eastAsia="zh-CN" w:bidi="ar"/>
        </w:rPr>
        <w:t>。</w:t>
      </w:r>
    </w:p>
    <w:p>
      <w:pPr>
        <w:pStyle w:val="10"/>
        <w:keepNext w:val="0"/>
        <w:keepLines w:val="0"/>
        <w:pageBreakBefore w:val="0"/>
        <w:widowControl w:val="0"/>
        <w:numPr>
          <w:ilvl w:val="0"/>
          <w:numId w:val="0"/>
        </w:numPr>
        <w:kinsoku/>
        <w:wordWrap/>
        <w:overflowPunct/>
        <w:topLinePunct w:val="0"/>
        <w:autoSpaceDE/>
        <w:autoSpaceDN/>
        <w:bidi w:val="0"/>
        <w:adjustRightInd/>
        <w:snapToGrid/>
        <w:ind w:left="0" w:leftChars="0" w:firstLine="643" w:firstLineChars="200"/>
        <w:jc w:val="both"/>
        <w:textAlignment w:val="auto"/>
        <w:outlineLvl w:val="1"/>
        <w:rPr>
          <w:rFonts w:hint="eastAsia" w:cs="仿宋_GB2312"/>
          <w:b/>
          <w:bCs/>
          <w:color w:val="000000"/>
          <w:kern w:val="0"/>
          <w:sz w:val="32"/>
          <w:szCs w:val="32"/>
          <w:highlight w:val="none"/>
          <w:lang w:val="en-US" w:eastAsia="zh-CN" w:bidi="ar"/>
        </w:rPr>
      </w:pPr>
      <w:bookmarkStart w:id="4" w:name="_Toc24221"/>
      <w:bookmarkStart w:id="5" w:name="_Toc26374"/>
      <w:r>
        <w:rPr>
          <w:rFonts w:hint="eastAsia" w:ascii="仿宋_GB2312" w:hAnsi="仿宋_GB2312" w:eastAsia="仿宋_GB2312" w:cs="仿宋_GB2312"/>
          <w:b/>
          <w:bCs/>
          <w:color w:val="000000"/>
          <w:kern w:val="0"/>
          <w:sz w:val="32"/>
          <w:szCs w:val="32"/>
          <w:lang w:val="en-US" w:eastAsia="zh-CN" w:bidi="ar"/>
        </w:rPr>
        <w:t>（</w:t>
      </w:r>
      <w:r>
        <w:rPr>
          <w:rFonts w:hint="eastAsia" w:cs="仿宋_GB2312"/>
          <w:b/>
          <w:bCs/>
          <w:color w:val="000000"/>
          <w:kern w:val="0"/>
          <w:sz w:val="32"/>
          <w:szCs w:val="32"/>
          <w:lang w:val="en-US" w:eastAsia="zh-CN" w:bidi="ar"/>
        </w:rPr>
        <w:t>四</w:t>
      </w:r>
      <w:r>
        <w:rPr>
          <w:rFonts w:hint="eastAsia" w:ascii="仿宋_GB2312" w:hAnsi="仿宋_GB2312" w:eastAsia="仿宋_GB2312" w:cs="仿宋_GB2312"/>
          <w:b/>
          <w:bCs/>
          <w:color w:val="000000"/>
          <w:kern w:val="0"/>
          <w:sz w:val="32"/>
          <w:szCs w:val="32"/>
          <w:lang w:val="en-US" w:eastAsia="zh-CN" w:bidi="ar"/>
        </w:rPr>
        <w:t>）</w:t>
      </w:r>
      <w:r>
        <w:rPr>
          <w:rFonts w:hint="eastAsia" w:cs="仿宋_GB2312"/>
          <w:b/>
          <w:bCs/>
          <w:color w:val="000000"/>
          <w:kern w:val="0"/>
          <w:sz w:val="32"/>
          <w:szCs w:val="32"/>
          <w:highlight w:val="none"/>
          <w:lang w:val="en-US" w:eastAsia="zh-CN" w:bidi="ar"/>
        </w:rPr>
        <w:t>加强项目实施的监督管理</w:t>
      </w:r>
    </w:p>
    <w:p>
      <w:pPr>
        <w:pStyle w:val="10"/>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b w:val="0"/>
          <w:color w:val="000000"/>
          <w:kern w:val="0"/>
          <w:sz w:val="32"/>
          <w:szCs w:val="32"/>
          <w:highlight w:val="none"/>
          <w:lang w:val="en-US" w:eastAsia="zh-CN" w:bidi="ar"/>
        </w:rPr>
      </w:pPr>
      <w:r>
        <w:rPr>
          <w:rFonts w:hint="eastAsia" w:ascii="仿宋_GB2312" w:hAnsi="仿宋_GB2312" w:eastAsia="仿宋_GB2312" w:cs="仿宋_GB2312"/>
          <w:b w:val="0"/>
          <w:color w:val="000000"/>
          <w:kern w:val="0"/>
          <w:sz w:val="32"/>
          <w:szCs w:val="32"/>
          <w:highlight w:val="none"/>
          <w:lang w:val="en-US" w:eastAsia="zh-CN" w:bidi="ar"/>
        </w:rPr>
        <w:t>完善建筑工程质量监督管理制度，深入掌握监督工作的方式、手段，全面监督工程建设、工程监理单位的工作，增强质量行为的规范性，保障项目实施成果的可持续性</w:t>
      </w:r>
      <w:r>
        <w:rPr>
          <w:rFonts w:hint="eastAsia" w:cs="仿宋_GB2312"/>
          <w:b w:val="0"/>
          <w:color w:val="000000"/>
          <w:kern w:val="0"/>
          <w:sz w:val="32"/>
          <w:szCs w:val="32"/>
          <w:highlight w:val="none"/>
          <w:lang w:val="en-US" w:eastAsia="zh-CN" w:bidi="ar"/>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heme="majorEastAsia" w:hAnsiTheme="majorEastAsia" w:eastAsiaTheme="majorEastAsia" w:cstheme="majorEastAsia"/>
          <w:b/>
          <w:bCs/>
          <w:color w:val="000000"/>
          <w:kern w:val="0"/>
          <w:sz w:val="32"/>
          <w:szCs w:val="32"/>
          <w:lang w:val="en-US" w:eastAsia="zh-CN" w:bidi="ar"/>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heme="majorEastAsia" w:hAnsiTheme="majorEastAsia" w:eastAsiaTheme="majorEastAsia" w:cstheme="majorEastAsia"/>
          <w:b/>
          <w:bCs/>
          <w:color w:val="000000"/>
          <w:kern w:val="0"/>
          <w:sz w:val="32"/>
          <w:szCs w:val="32"/>
          <w:lang w:val="en-US" w:eastAsia="zh-CN" w:bidi="ar"/>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heme="majorEastAsia" w:hAnsiTheme="majorEastAsia" w:eastAsiaTheme="majorEastAsia" w:cstheme="majorEastAsia"/>
          <w:b/>
          <w:bCs/>
          <w:color w:val="000000"/>
          <w:kern w:val="0"/>
          <w:sz w:val="32"/>
          <w:szCs w:val="32"/>
          <w:lang w:val="en-US" w:eastAsia="zh-CN" w:bidi="ar"/>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heme="majorEastAsia" w:hAnsiTheme="majorEastAsia" w:eastAsiaTheme="majorEastAsia" w:cstheme="majorEastAsia"/>
          <w:b/>
          <w:bCs/>
          <w:color w:val="000000"/>
          <w:kern w:val="0"/>
          <w:sz w:val="32"/>
          <w:szCs w:val="32"/>
          <w:lang w:val="en-US" w:eastAsia="zh-CN" w:bidi="ar"/>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heme="majorEastAsia" w:hAnsiTheme="majorEastAsia" w:eastAsiaTheme="majorEastAsia" w:cstheme="majorEastAsia"/>
          <w:b/>
          <w:bCs/>
          <w:color w:val="000000"/>
          <w:kern w:val="0"/>
          <w:sz w:val="32"/>
          <w:szCs w:val="32"/>
          <w:lang w:val="en-US" w:eastAsia="zh-CN" w:bidi="ar"/>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heme="majorEastAsia" w:hAnsiTheme="majorEastAsia" w:eastAsiaTheme="majorEastAsia" w:cstheme="majorEastAsia"/>
          <w:b/>
          <w:bCs/>
          <w:color w:val="000000"/>
          <w:kern w:val="0"/>
          <w:sz w:val="32"/>
          <w:szCs w:val="32"/>
          <w:lang w:val="en-US" w:eastAsia="zh-CN" w:bidi="ar"/>
        </w:rPr>
      </w:pPr>
    </w:p>
    <w:sdt>
      <w:sdtPr>
        <w:rPr>
          <w:rFonts w:ascii="宋体" w:hAnsi="宋体" w:eastAsia="宋体" w:cs="Times New Roman"/>
          <w:kern w:val="2"/>
          <w:sz w:val="21"/>
          <w:szCs w:val="24"/>
          <w:lang w:val="en-US" w:eastAsia="zh-CN" w:bidi="ar-SA"/>
        </w:rPr>
        <w:id w:val="147468352"/>
        <w15:color w:val="DBDBDB"/>
        <w:docPartObj>
          <w:docPartGallery w:val="Table of Contents"/>
          <w:docPartUnique/>
        </w:docPartObj>
      </w:sdtPr>
      <w:sdtEndPr>
        <w:rPr>
          <w:rFonts w:hint="eastAsia" w:asciiTheme="majorEastAsia" w:hAnsiTheme="majorEastAsia" w:eastAsiaTheme="majorEastAsia" w:cstheme="majorEastAsia"/>
          <w:b/>
          <w:bCs/>
          <w:color w:val="000000"/>
          <w:kern w:val="0"/>
          <w:sz w:val="44"/>
          <w:szCs w:val="32"/>
          <w:lang w:val="en-US" w:eastAsia="zh-CN" w:bidi="ar"/>
        </w:rPr>
      </w:sdtEndPr>
      <w:sdtContent>
        <w:p>
          <w:pPr>
            <w:spacing w:before="0" w:beforeLines="0" w:after="0" w:afterLines="0" w:line="240" w:lineRule="auto"/>
            <w:ind w:left="0" w:leftChars="0" w:right="0" w:rightChars="0" w:firstLine="0" w:firstLineChars="0"/>
            <w:jc w:val="center"/>
          </w:pPr>
          <w:r>
            <w:rPr>
              <w:rFonts w:hint="eastAsia" w:asciiTheme="majorEastAsia" w:hAnsiTheme="majorEastAsia" w:eastAsiaTheme="majorEastAsia" w:cstheme="majorEastAsia"/>
              <w:b/>
              <w:bCs/>
              <w:spacing w:val="57"/>
              <w:kern w:val="0"/>
              <w:sz w:val="32"/>
              <w:szCs w:val="32"/>
              <w:lang w:val="en-US" w:eastAsia="zh-CN" w:bidi="ar"/>
            </w:rPr>
            <w:t>目录</w:t>
          </w:r>
          <w:r>
            <w:rPr>
              <w:rFonts w:hint="eastAsia" w:asciiTheme="majorEastAsia" w:hAnsiTheme="majorEastAsia" w:eastAsiaTheme="majorEastAsia" w:cstheme="majorEastAsia"/>
              <w:b/>
              <w:bCs/>
              <w:color w:val="000000"/>
              <w:kern w:val="0"/>
              <w:sz w:val="32"/>
              <w:szCs w:val="32"/>
              <w:lang w:val="en-US" w:eastAsia="zh-CN" w:bidi="ar"/>
            </w:rPr>
            <w:fldChar w:fldCharType="begin"/>
          </w:r>
          <w:r>
            <w:rPr>
              <w:rFonts w:hint="eastAsia" w:asciiTheme="majorEastAsia" w:hAnsiTheme="majorEastAsia" w:eastAsiaTheme="majorEastAsia" w:cstheme="majorEastAsia"/>
              <w:b/>
              <w:bCs/>
              <w:color w:val="000000"/>
              <w:kern w:val="0"/>
              <w:sz w:val="32"/>
              <w:szCs w:val="32"/>
              <w:lang w:val="en-US" w:eastAsia="zh-CN" w:bidi="ar"/>
            </w:rPr>
            <w:instrText xml:space="preserve">TOC \o "1-2" \h \u </w:instrText>
          </w:r>
          <w:r>
            <w:rPr>
              <w:rFonts w:hint="eastAsia" w:asciiTheme="majorEastAsia" w:hAnsiTheme="majorEastAsia" w:eastAsiaTheme="majorEastAsia" w:cstheme="majorEastAsia"/>
              <w:b/>
              <w:bCs/>
              <w:color w:val="000000"/>
              <w:kern w:val="0"/>
              <w:sz w:val="32"/>
              <w:szCs w:val="32"/>
              <w:lang w:val="en-US" w:eastAsia="zh-CN" w:bidi="ar"/>
            </w:rPr>
            <w:fldChar w:fldCharType="separate"/>
          </w:r>
        </w:p>
        <w:p>
          <w:pPr>
            <w:pStyle w:val="16"/>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b/>
              <w:sz w:val="28"/>
              <w:szCs w:val="28"/>
            </w:rPr>
          </w:pPr>
          <w:r>
            <w:rPr>
              <w:rFonts w:hint="eastAsia" w:asciiTheme="majorEastAsia" w:hAnsiTheme="majorEastAsia" w:eastAsiaTheme="majorEastAsia" w:cstheme="majorEastAsia"/>
              <w:b/>
              <w:bCs/>
              <w:color w:val="000000"/>
              <w:kern w:val="0"/>
              <w:sz w:val="28"/>
              <w:szCs w:val="28"/>
              <w:lang w:val="en-US" w:eastAsia="zh-CN" w:bidi="ar"/>
            </w:rPr>
            <w:fldChar w:fldCharType="begin"/>
          </w:r>
          <w:r>
            <w:rPr>
              <w:rFonts w:hint="eastAsia" w:asciiTheme="majorEastAsia" w:hAnsiTheme="majorEastAsia" w:eastAsiaTheme="majorEastAsia" w:cstheme="majorEastAsia"/>
              <w:b/>
              <w:bCs/>
              <w:kern w:val="0"/>
              <w:sz w:val="28"/>
              <w:szCs w:val="28"/>
              <w:lang w:val="en-US" w:eastAsia="zh-CN" w:bidi="ar"/>
            </w:rPr>
            <w:instrText xml:space="preserve"> HYPERLINK \l _Toc31633 </w:instrText>
          </w:r>
          <w:r>
            <w:rPr>
              <w:rFonts w:hint="eastAsia" w:asciiTheme="majorEastAsia" w:hAnsiTheme="majorEastAsia" w:eastAsiaTheme="majorEastAsia" w:cstheme="majorEastAsia"/>
              <w:b/>
              <w:bCs/>
              <w:kern w:val="0"/>
              <w:sz w:val="28"/>
              <w:szCs w:val="28"/>
              <w:lang w:val="en-US" w:eastAsia="zh-CN" w:bidi="ar"/>
            </w:rPr>
            <w:fldChar w:fldCharType="separate"/>
          </w:r>
          <w:r>
            <w:rPr>
              <w:rFonts w:hint="eastAsia" w:asciiTheme="majorEastAsia" w:hAnsiTheme="majorEastAsia" w:eastAsiaTheme="majorEastAsia" w:cstheme="majorEastAsia"/>
              <w:b/>
              <w:bCs/>
              <w:kern w:val="0"/>
              <w:sz w:val="28"/>
              <w:szCs w:val="28"/>
              <w:lang w:val="en-US" w:eastAsia="zh-CN" w:bidi="ar"/>
            </w:rPr>
            <w:t>一、 基本情况</w:t>
          </w:r>
          <w:r>
            <w:rPr>
              <w:b/>
              <w:sz w:val="28"/>
              <w:szCs w:val="28"/>
            </w:rPr>
            <w:tab/>
          </w:r>
          <w:r>
            <w:rPr>
              <w:b/>
              <w:sz w:val="28"/>
              <w:szCs w:val="28"/>
            </w:rPr>
            <w:fldChar w:fldCharType="begin"/>
          </w:r>
          <w:r>
            <w:rPr>
              <w:b/>
              <w:sz w:val="28"/>
              <w:szCs w:val="28"/>
            </w:rPr>
            <w:instrText xml:space="preserve"> PAGEREF _Toc31633 \h </w:instrText>
          </w:r>
          <w:r>
            <w:rPr>
              <w:b/>
              <w:sz w:val="28"/>
              <w:szCs w:val="28"/>
            </w:rPr>
            <w:fldChar w:fldCharType="separate"/>
          </w:r>
          <w:r>
            <w:rPr>
              <w:b/>
              <w:sz w:val="28"/>
              <w:szCs w:val="28"/>
            </w:rPr>
            <w:t>1</w:t>
          </w:r>
          <w:r>
            <w:rPr>
              <w:b/>
              <w:sz w:val="28"/>
              <w:szCs w:val="28"/>
            </w:rPr>
            <w:fldChar w:fldCharType="end"/>
          </w:r>
          <w:r>
            <w:rPr>
              <w:rFonts w:hint="eastAsia" w:asciiTheme="majorEastAsia" w:hAnsiTheme="majorEastAsia" w:eastAsiaTheme="majorEastAsia" w:cstheme="majorEastAsia"/>
              <w:b/>
              <w:bCs/>
              <w:color w:val="000000"/>
              <w:kern w:val="0"/>
              <w:sz w:val="28"/>
              <w:szCs w:val="28"/>
              <w:lang w:val="en-US" w:eastAsia="zh-CN" w:bidi="ar"/>
            </w:rPr>
            <w:fldChar w:fldCharType="end"/>
          </w:r>
        </w:p>
        <w:p>
          <w:pPr>
            <w:pStyle w:val="15"/>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sz w:val="28"/>
              <w:szCs w:val="28"/>
            </w:rPr>
          </w:pPr>
          <w:r>
            <w:rPr>
              <w:rFonts w:hint="eastAsia" w:asciiTheme="majorEastAsia" w:hAnsiTheme="majorEastAsia" w:eastAsiaTheme="majorEastAsia" w:cstheme="majorEastAsia"/>
              <w:bCs/>
              <w:color w:val="000000"/>
              <w:kern w:val="0"/>
              <w:sz w:val="28"/>
              <w:szCs w:val="28"/>
              <w:lang w:val="en-US" w:eastAsia="zh-CN" w:bidi="ar"/>
            </w:rPr>
            <w:fldChar w:fldCharType="begin"/>
          </w:r>
          <w:r>
            <w:rPr>
              <w:rFonts w:hint="eastAsia" w:asciiTheme="majorEastAsia" w:hAnsiTheme="majorEastAsia" w:eastAsiaTheme="majorEastAsia" w:cstheme="majorEastAsia"/>
              <w:bCs/>
              <w:kern w:val="0"/>
              <w:sz w:val="28"/>
              <w:szCs w:val="28"/>
              <w:lang w:val="en-US" w:eastAsia="zh-CN" w:bidi="ar"/>
            </w:rPr>
            <w:instrText xml:space="preserve"> HYPERLINK \l _Toc4180 </w:instrText>
          </w:r>
          <w:r>
            <w:rPr>
              <w:rFonts w:hint="eastAsia" w:asciiTheme="majorEastAsia" w:hAnsiTheme="majorEastAsia" w:eastAsiaTheme="majorEastAsia" w:cstheme="majorEastAsia"/>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（一） 部门概况</w:t>
          </w:r>
          <w:r>
            <w:rPr>
              <w:sz w:val="28"/>
              <w:szCs w:val="28"/>
            </w:rPr>
            <w:tab/>
          </w:r>
          <w:r>
            <w:rPr>
              <w:sz w:val="28"/>
              <w:szCs w:val="28"/>
            </w:rPr>
            <w:fldChar w:fldCharType="begin"/>
          </w:r>
          <w:r>
            <w:rPr>
              <w:sz w:val="28"/>
              <w:szCs w:val="28"/>
            </w:rPr>
            <w:instrText xml:space="preserve"> PAGEREF _Toc4180 \h </w:instrText>
          </w:r>
          <w:r>
            <w:rPr>
              <w:sz w:val="28"/>
              <w:szCs w:val="28"/>
            </w:rPr>
            <w:fldChar w:fldCharType="separate"/>
          </w:r>
          <w:r>
            <w:rPr>
              <w:sz w:val="28"/>
              <w:szCs w:val="28"/>
            </w:rPr>
            <w:t>1</w:t>
          </w:r>
          <w:r>
            <w:rPr>
              <w:sz w:val="28"/>
              <w:szCs w:val="28"/>
            </w:rPr>
            <w:fldChar w:fldCharType="end"/>
          </w:r>
          <w:r>
            <w:rPr>
              <w:rFonts w:hint="eastAsia" w:asciiTheme="majorEastAsia" w:hAnsiTheme="majorEastAsia" w:eastAsiaTheme="majorEastAsia" w:cstheme="majorEastAsia"/>
              <w:bCs/>
              <w:color w:val="000000"/>
              <w:kern w:val="0"/>
              <w:sz w:val="28"/>
              <w:szCs w:val="28"/>
              <w:lang w:val="en-US" w:eastAsia="zh-CN" w:bidi="ar"/>
            </w:rPr>
            <w:fldChar w:fldCharType="end"/>
          </w:r>
        </w:p>
        <w:p>
          <w:pPr>
            <w:pStyle w:val="15"/>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rFonts w:hint="eastAsia" w:ascii="仿宋_GB2312" w:hAnsi="仿宋_GB2312" w:eastAsia="仿宋_GB2312" w:cs="仿宋_GB2312"/>
              <w:bCs/>
              <w:kern w:val="0"/>
              <w:sz w:val="28"/>
              <w:szCs w:val="28"/>
              <w:lang w:val="en-US" w:eastAsia="zh-CN" w:bidi="ar"/>
            </w:rPr>
          </w:pP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HYPERLINK \l _Toc23065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（二） 当年部门履职总体目标、工作任务</w:t>
          </w:r>
          <w:r>
            <w:rPr>
              <w:rFonts w:hint="eastAsia" w:ascii="仿宋_GB2312" w:hAnsi="仿宋_GB2312" w:eastAsia="仿宋_GB2312" w:cs="仿宋_GB2312"/>
              <w:bCs/>
              <w:kern w:val="0"/>
              <w:sz w:val="28"/>
              <w:szCs w:val="28"/>
              <w:lang w:val="en-US" w:eastAsia="zh-CN" w:bidi="ar"/>
            </w:rPr>
            <w:tab/>
          </w: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PAGEREF _Toc23065 \h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4</w:t>
          </w:r>
          <w:r>
            <w:rPr>
              <w:rFonts w:hint="eastAsia" w:ascii="仿宋_GB2312" w:hAnsi="仿宋_GB2312" w:eastAsia="仿宋_GB2312" w:cs="仿宋_GB2312"/>
              <w:bCs/>
              <w:kern w:val="0"/>
              <w:sz w:val="28"/>
              <w:szCs w:val="28"/>
              <w:lang w:val="en-US" w:eastAsia="zh-CN" w:bidi="ar"/>
            </w:rPr>
            <w:fldChar w:fldCharType="end"/>
          </w:r>
          <w:r>
            <w:rPr>
              <w:rFonts w:hint="eastAsia" w:ascii="仿宋_GB2312" w:hAnsi="仿宋_GB2312" w:eastAsia="仿宋_GB2312" w:cs="仿宋_GB2312"/>
              <w:bCs/>
              <w:kern w:val="0"/>
              <w:sz w:val="28"/>
              <w:szCs w:val="28"/>
              <w:lang w:val="en-US" w:eastAsia="zh-CN" w:bidi="ar"/>
            </w:rPr>
            <w:fldChar w:fldCharType="end"/>
          </w:r>
        </w:p>
        <w:p>
          <w:pPr>
            <w:pStyle w:val="15"/>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rFonts w:hint="eastAsia" w:ascii="仿宋_GB2312" w:hAnsi="仿宋_GB2312" w:eastAsia="仿宋_GB2312" w:cs="仿宋_GB2312"/>
              <w:bCs/>
              <w:kern w:val="0"/>
              <w:sz w:val="28"/>
              <w:szCs w:val="28"/>
              <w:lang w:val="en-US" w:eastAsia="zh-CN" w:bidi="ar"/>
            </w:rPr>
          </w:pP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HYPERLINK \l _Toc23359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（三） 部门年度整体绩效目标</w:t>
          </w:r>
          <w:r>
            <w:rPr>
              <w:rFonts w:hint="eastAsia" w:ascii="仿宋_GB2312" w:hAnsi="仿宋_GB2312" w:eastAsia="仿宋_GB2312" w:cs="仿宋_GB2312"/>
              <w:bCs/>
              <w:kern w:val="0"/>
              <w:sz w:val="28"/>
              <w:szCs w:val="28"/>
              <w:lang w:val="en-US" w:eastAsia="zh-CN" w:bidi="ar"/>
            </w:rPr>
            <w:tab/>
          </w: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PAGEREF _Toc23359 \h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5</w:t>
          </w:r>
          <w:r>
            <w:rPr>
              <w:rFonts w:hint="eastAsia" w:ascii="仿宋_GB2312" w:hAnsi="仿宋_GB2312" w:eastAsia="仿宋_GB2312" w:cs="仿宋_GB2312"/>
              <w:bCs/>
              <w:kern w:val="0"/>
              <w:sz w:val="28"/>
              <w:szCs w:val="28"/>
              <w:lang w:val="en-US" w:eastAsia="zh-CN" w:bidi="ar"/>
            </w:rPr>
            <w:fldChar w:fldCharType="end"/>
          </w:r>
          <w:r>
            <w:rPr>
              <w:rFonts w:hint="eastAsia" w:ascii="仿宋_GB2312" w:hAnsi="仿宋_GB2312" w:eastAsia="仿宋_GB2312" w:cs="仿宋_GB2312"/>
              <w:bCs/>
              <w:kern w:val="0"/>
              <w:sz w:val="28"/>
              <w:szCs w:val="28"/>
              <w:lang w:val="en-US" w:eastAsia="zh-CN" w:bidi="ar"/>
            </w:rPr>
            <w:fldChar w:fldCharType="end"/>
          </w:r>
        </w:p>
        <w:p>
          <w:pPr>
            <w:pStyle w:val="15"/>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rFonts w:hint="eastAsia" w:ascii="仿宋_GB2312" w:hAnsi="仿宋_GB2312" w:eastAsia="仿宋_GB2312" w:cs="仿宋_GB2312"/>
              <w:bCs/>
              <w:kern w:val="0"/>
              <w:sz w:val="28"/>
              <w:szCs w:val="28"/>
              <w:lang w:val="en-US" w:eastAsia="zh-CN" w:bidi="ar"/>
            </w:rPr>
          </w:pP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HYPERLINK \l _Toc7104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（四） 绩效自评情况及结论</w:t>
          </w:r>
          <w:r>
            <w:rPr>
              <w:rFonts w:hint="eastAsia" w:ascii="仿宋_GB2312" w:hAnsi="仿宋_GB2312" w:eastAsia="仿宋_GB2312" w:cs="仿宋_GB2312"/>
              <w:bCs/>
              <w:kern w:val="0"/>
              <w:sz w:val="28"/>
              <w:szCs w:val="28"/>
              <w:lang w:val="en-US" w:eastAsia="zh-CN" w:bidi="ar"/>
            </w:rPr>
            <w:tab/>
          </w: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PAGEREF _Toc7104 \h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7</w:t>
          </w:r>
          <w:r>
            <w:rPr>
              <w:rFonts w:hint="eastAsia" w:ascii="仿宋_GB2312" w:hAnsi="仿宋_GB2312" w:eastAsia="仿宋_GB2312" w:cs="仿宋_GB2312"/>
              <w:bCs/>
              <w:kern w:val="0"/>
              <w:sz w:val="28"/>
              <w:szCs w:val="28"/>
              <w:lang w:val="en-US" w:eastAsia="zh-CN" w:bidi="ar"/>
            </w:rPr>
            <w:fldChar w:fldCharType="end"/>
          </w:r>
          <w:r>
            <w:rPr>
              <w:rFonts w:hint="eastAsia" w:ascii="仿宋_GB2312" w:hAnsi="仿宋_GB2312" w:eastAsia="仿宋_GB2312" w:cs="仿宋_GB2312"/>
              <w:bCs/>
              <w:kern w:val="0"/>
              <w:sz w:val="28"/>
              <w:szCs w:val="28"/>
              <w:lang w:val="en-US" w:eastAsia="zh-CN" w:bidi="ar"/>
            </w:rPr>
            <w:fldChar w:fldCharType="end"/>
          </w:r>
        </w:p>
        <w:p>
          <w:pPr>
            <w:pStyle w:val="15"/>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sz w:val="28"/>
              <w:szCs w:val="28"/>
            </w:rPr>
          </w:pP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HYPERLINK \l _Toc3570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（五） 当年单位预算及执行情况</w:t>
          </w:r>
          <w:r>
            <w:rPr>
              <w:rFonts w:hint="eastAsia" w:ascii="仿宋_GB2312" w:hAnsi="仿宋_GB2312" w:eastAsia="仿宋_GB2312" w:cs="仿宋_GB2312"/>
              <w:bCs/>
              <w:kern w:val="0"/>
              <w:sz w:val="28"/>
              <w:szCs w:val="28"/>
              <w:lang w:val="en-US" w:eastAsia="zh-CN" w:bidi="ar"/>
            </w:rPr>
            <w:tab/>
          </w: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PAGEREF _Toc3570 \h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8</w:t>
          </w:r>
          <w:r>
            <w:rPr>
              <w:rFonts w:hint="eastAsia" w:ascii="仿宋_GB2312" w:hAnsi="仿宋_GB2312" w:eastAsia="仿宋_GB2312" w:cs="仿宋_GB2312"/>
              <w:bCs/>
              <w:kern w:val="0"/>
              <w:sz w:val="28"/>
              <w:szCs w:val="28"/>
              <w:lang w:val="en-US" w:eastAsia="zh-CN" w:bidi="ar"/>
            </w:rPr>
            <w:fldChar w:fldCharType="end"/>
          </w:r>
          <w:r>
            <w:rPr>
              <w:rFonts w:hint="eastAsia" w:ascii="仿宋_GB2312" w:hAnsi="仿宋_GB2312" w:eastAsia="仿宋_GB2312" w:cs="仿宋_GB2312"/>
              <w:bCs/>
              <w:kern w:val="0"/>
              <w:sz w:val="28"/>
              <w:szCs w:val="28"/>
              <w:lang w:val="en-US" w:eastAsia="zh-CN" w:bidi="ar"/>
            </w:rPr>
            <w:fldChar w:fldCharType="end"/>
          </w:r>
        </w:p>
        <w:p>
          <w:pPr>
            <w:pStyle w:val="16"/>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b/>
              <w:sz w:val="28"/>
              <w:szCs w:val="28"/>
            </w:rPr>
          </w:pPr>
          <w:r>
            <w:rPr>
              <w:rFonts w:hint="eastAsia" w:asciiTheme="majorEastAsia" w:hAnsiTheme="majorEastAsia" w:eastAsiaTheme="majorEastAsia" w:cstheme="majorEastAsia"/>
              <w:b/>
              <w:bCs/>
              <w:color w:val="000000"/>
              <w:kern w:val="0"/>
              <w:sz w:val="28"/>
              <w:szCs w:val="28"/>
              <w:lang w:val="en-US" w:eastAsia="zh-CN" w:bidi="ar"/>
            </w:rPr>
            <w:fldChar w:fldCharType="begin"/>
          </w:r>
          <w:r>
            <w:rPr>
              <w:rFonts w:hint="eastAsia" w:asciiTheme="majorEastAsia" w:hAnsiTheme="majorEastAsia" w:eastAsiaTheme="majorEastAsia" w:cstheme="majorEastAsia"/>
              <w:b/>
              <w:bCs/>
              <w:kern w:val="0"/>
              <w:sz w:val="28"/>
              <w:szCs w:val="28"/>
              <w:lang w:val="en-US" w:eastAsia="zh-CN" w:bidi="ar"/>
            </w:rPr>
            <w:instrText xml:space="preserve"> HYPERLINK \l _Toc24496 </w:instrText>
          </w:r>
          <w:r>
            <w:rPr>
              <w:rFonts w:hint="eastAsia" w:asciiTheme="majorEastAsia" w:hAnsiTheme="majorEastAsia" w:eastAsiaTheme="majorEastAsia" w:cstheme="majorEastAsia"/>
              <w:b/>
              <w:bCs/>
              <w:kern w:val="0"/>
              <w:sz w:val="28"/>
              <w:szCs w:val="28"/>
              <w:lang w:val="en-US" w:eastAsia="zh-CN" w:bidi="ar"/>
            </w:rPr>
            <w:fldChar w:fldCharType="separate"/>
          </w:r>
          <w:r>
            <w:rPr>
              <w:rFonts w:hint="eastAsia" w:asciiTheme="majorEastAsia" w:hAnsiTheme="majorEastAsia" w:eastAsiaTheme="majorEastAsia" w:cstheme="majorEastAsia"/>
              <w:b/>
              <w:bCs/>
              <w:kern w:val="0"/>
              <w:sz w:val="28"/>
              <w:szCs w:val="28"/>
              <w:lang w:val="en-US" w:eastAsia="zh-CN" w:bidi="ar"/>
            </w:rPr>
            <w:t>二、 绩效评价指标体系分析</w:t>
          </w:r>
          <w:r>
            <w:rPr>
              <w:b/>
              <w:sz w:val="28"/>
              <w:szCs w:val="28"/>
            </w:rPr>
            <w:tab/>
          </w:r>
          <w:r>
            <w:rPr>
              <w:b/>
              <w:sz w:val="28"/>
              <w:szCs w:val="28"/>
            </w:rPr>
            <w:fldChar w:fldCharType="begin"/>
          </w:r>
          <w:r>
            <w:rPr>
              <w:b/>
              <w:sz w:val="28"/>
              <w:szCs w:val="28"/>
            </w:rPr>
            <w:instrText xml:space="preserve"> PAGEREF _Toc24496 \h </w:instrText>
          </w:r>
          <w:r>
            <w:rPr>
              <w:b/>
              <w:sz w:val="28"/>
              <w:szCs w:val="28"/>
            </w:rPr>
            <w:fldChar w:fldCharType="separate"/>
          </w:r>
          <w:r>
            <w:rPr>
              <w:b/>
              <w:sz w:val="28"/>
              <w:szCs w:val="28"/>
            </w:rPr>
            <w:t>8</w:t>
          </w:r>
          <w:r>
            <w:rPr>
              <w:b/>
              <w:sz w:val="28"/>
              <w:szCs w:val="28"/>
            </w:rPr>
            <w:fldChar w:fldCharType="end"/>
          </w:r>
          <w:r>
            <w:rPr>
              <w:rFonts w:hint="eastAsia" w:asciiTheme="majorEastAsia" w:hAnsiTheme="majorEastAsia" w:eastAsiaTheme="majorEastAsia" w:cstheme="majorEastAsia"/>
              <w:b/>
              <w:bCs/>
              <w:color w:val="000000"/>
              <w:kern w:val="0"/>
              <w:sz w:val="28"/>
              <w:szCs w:val="28"/>
              <w:lang w:val="en-US" w:eastAsia="zh-CN" w:bidi="ar"/>
            </w:rPr>
            <w:fldChar w:fldCharType="end"/>
          </w:r>
        </w:p>
        <w:p>
          <w:pPr>
            <w:pStyle w:val="16"/>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b/>
              <w:sz w:val="28"/>
              <w:szCs w:val="28"/>
            </w:rPr>
          </w:pPr>
          <w:r>
            <w:rPr>
              <w:rFonts w:hint="eastAsia" w:asciiTheme="majorEastAsia" w:hAnsiTheme="majorEastAsia" w:eastAsiaTheme="majorEastAsia" w:cstheme="majorEastAsia"/>
              <w:b/>
              <w:bCs/>
              <w:color w:val="000000"/>
              <w:kern w:val="0"/>
              <w:sz w:val="28"/>
              <w:szCs w:val="28"/>
              <w:lang w:val="en-US" w:eastAsia="zh-CN" w:bidi="ar"/>
            </w:rPr>
            <w:fldChar w:fldCharType="begin"/>
          </w:r>
          <w:r>
            <w:rPr>
              <w:rFonts w:hint="eastAsia" w:asciiTheme="majorEastAsia" w:hAnsiTheme="majorEastAsia" w:eastAsiaTheme="majorEastAsia" w:cstheme="majorEastAsia"/>
              <w:b/>
              <w:bCs/>
              <w:kern w:val="0"/>
              <w:sz w:val="28"/>
              <w:szCs w:val="28"/>
              <w:lang w:val="en-US" w:eastAsia="zh-CN" w:bidi="ar"/>
            </w:rPr>
            <w:instrText xml:space="preserve"> HYPERLINK \l _Toc28205 </w:instrText>
          </w:r>
          <w:r>
            <w:rPr>
              <w:rFonts w:hint="eastAsia" w:asciiTheme="majorEastAsia" w:hAnsiTheme="majorEastAsia" w:eastAsiaTheme="majorEastAsia" w:cstheme="majorEastAsia"/>
              <w:b/>
              <w:bCs/>
              <w:kern w:val="0"/>
              <w:sz w:val="28"/>
              <w:szCs w:val="28"/>
              <w:lang w:val="en-US" w:eastAsia="zh-CN" w:bidi="ar"/>
            </w:rPr>
            <w:fldChar w:fldCharType="separate"/>
          </w:r>
          <w:r>
            <w:rPr>
              <w:rFonts w:hint="eastAsia" w:asciiTheme="majorEastAsia" w:hAnsiTheme="majorEastAsia" w:eastAsiaTheme="majorEastAsia" w:cstheme="majorEastAsia"/>
              <w:b/>
              <w:bCs/>
              <w:kern w:val="0"/>
              <w:sz w:val="28"/>
              <w:szCs w:val="28"/>
              <w:lang w:val="en-US" w:eastAsia="zh-CN" w:bidi="ar"/>
            </w:rPr>
            <w:t>三、 绩效评价指标分析</w:t>
          </w:r>
          <w:r>
            <w:rPr>
              <w:b/>
              <w:sz w:val="28"/>
              <w:szCs w:val="28"/>
            </w:rPr>
            <w:tab/>
          </w:r>
          <w:r>
            <w:rPr>
              <w:b/>
              <w:sz w:val="28"/>
              <w:szCs w:val="28"/>
            </w:rPr>
            <w:fldChar w:fldCharType="begin"/>
          </w:r>
          <w:r>
            <w:rPr>
              <w:b/>
              <w:sz w:val="28"/>
              <w:szCs w:val="28"/>
            </w:rPr>
            <w:instrText xml:space="preserve"> PAGEREF _Toc28205 \h </w:instrText>
          </w:r>
          <w:r>
            <w:rPr>
              <w:b/>
              <w:sz w:val="28"/>
              <w:szCs w:val="28"/>
            </w:rPr>
            <w:fldChar w:fldCharType="separate"/>
          </w:r>
          <w:r>
            <w:rPr>
              <w:b/>
              <w:sz w:val="28"/>
              <w:szCs w:val="28"/>
            </w:rPr>
            <w:t>9</w:t>
          </w:r>
          <w:r>
            <w:rPr>
              <w:b/>
              <w:sz w:val="28"/>
              <w:szCs w:val="28"/>
            </w:rPr>
            <w:fldChar w:fldCharType="end"/>
          </w:r>
          <w:r>
            <w:rPr>
              <w:rFonts w:hint="eastAsia" w:asciiTheme="majorEastAsia" w:hAnsiTheme="majorEastAsia" w:eastAsiaTheme="majorEastAsia" w:cstheme="majorEastAsia"/>
              <w:b/>
              <w:bCs/>
              <w:color w:val="000000"/>
              <w:kern w:val="0"/>
              <w:sz w:val="28"/>
              <w:szCs w:val="28"/>
              <w:lang w:val="en-US" w:eastAsia="zh-CN" w:bidi="ar"/>
            </w:rPr>
            <w:fldChar w:fldCharType="end"/>
          </w:r>
        </w:p>
        <w:p>
          <w:pPr>
            <w:pStyle w:val="15"/>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rFonts w:hint="eastAsia" w:ascii="仿宋_GB2312" w:hAnsi="仿宋_GB2312" w:eastAsia="仿宋_GB2312" w:cs="仿宋_GB2312"/>
              <w:bCs/>
              <w:kern w:val="0"/>
              <w:sz w:val="28"/>
              <w:szCs w:val="28"/>
              <w:lang w:val="en-US" w:eastAsia="zh-CN" w:bidi="ar"/>
            </w:rPr>
          </w:pP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HYPERLINK \l _Toc3275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（一） 年度主要任务指标分析</w:t>
          </w:r>
          <w:r>
            <w:rPr>
              <w:rFonts w:hint="eastAsia" w:ascii="仿宋_GB2312" w:hAnsi="仿宋_GB2312" w:eastAsia="仿宋_GB2312" w:cs="仿宋_GB2312"/>
              <w:bCs/>
              <w:kern w:val="0"/>
              <w:sz w:val="28"/>
              <w:szCs w:val="28"/>
              <w:lang w:val="en-US" w:eastAsia="zh-CN" w:bidi="ar"/>
            </w:rPr>
            <w:tab/>
          </w: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PAGEREF _Toc3275 \h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9</w:t>
          </w:r>
          <w:r>
            <w:rPr>
              <w:rFonts w:hint="eastAsia" w:ascii="仿宋_GB2312" w:hAnsi="仿宋_GB2312" w:eastAsia="仿宋_GB2312" w:cs="仿宋_GB2312"/>
              <w:bCs/>
              <w:kern w:val="0"/>
              <w:sz w:val="28"/>
              <w:szCs w:val="28"/>
              <w:lang w:val="en-US" w:eastAsia="zh-CN" w:bidi="ar"/>
            </w:rPr>
            <w:fldChar w:fldCharType="end"/>
          </w:r>
          <w:r>
            <w:rPr>
              <w:rFonts w:hint="eastAsia" w:ascii="仿宋_GB2312" w:hAnsi="仿宋_GB2312" w:eastAsia="仿宋_GB2312" w:cs="仿宋_GB2312"/>
              <w:bCs/>
              <w:kern w:val="0"/>
              <w:sz w:val="28"/>
              <w:szCs w:val="28"/>
              <w:lang w:val="en-US" w:eastAsia="zh-CN" w:bidi="ar"/>
            </w:rPr>
            <w:fldChar w:fldCharType="end"/>
          </w:r>
        </w:p>
        <w:p>
          <w:pPr>
            <w:pStyle w:val="15"/>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rFonts w:hint="eastAsia" w:ascii="仿宋_GB2312" w:hAnsi="仿宋_GB2312" w:eastAsia="仿宋_GB2312" w:cs="仿宋_GB2312"/>
              <w:bCs/>
              <w:kern w:val="0"/>
              <w:sz w:val="28"/>
              <w:szCs w:val="28"/>
              <w:lang w:val="en-US" w:eastAsia="zh-CN" w:bidi="ar"/>
            </w:rPr>
          </w:pP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HYPERLINK \l _Toc15587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（二） 预算情况指标分析</w:t>
          </w:r>
          <w:r>
            <w:rPr>
              <w:rFonts w:hint="eastAsia" w:ascii="仿宋_GB2312" w:hAnsi="仿宋_GB2312" w:eastAsia="仿宋_GB2312" w:cs="仿宋_GB2312"/>
              <w:bCs/>
              <w:kern w:val="0"/>
              <w:sz w:val="28"/>
              <w:szCs w:val="28"/>
              <w:lang w:val="en-US" w:eastAsia="zh-CN" w:bidi="ar"/>
            </w:rPr>
            <w:tab/>
          </w: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PAGEREF _Toc15587 \h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12</w:t>
          </w:r>
          <w:r>
            <w:rPr>
              <w:rFonts w:hint="eastAsia" w:ascii="仿宋_GB2312" w:hAnsi="仿宋_GB2312" w:eastAsia="仿宋_GB2312" w:cs="仿宋_GB2312"/>
              <w:bCs/>
              <w:kern w:val="0"/>
              <w:sz w:val="28"/>
              <w:szCs w:val="28"/>
              <w:lang w:val="en-US" w:eastAsia="zh-CN" w:bidi="ar"/>
            </w:rPr>
            <w:fldChar w:fldCharType="end"/>
          </w:r>
          <w:r>
            <w:rPr>
              <w:rFonts w:hint="eastAsia" w:ascii="仿宋_GB2312" w:hAnsi="仿宋_GB2312" w:eastAsia="仿宋_GB2312" w:cs="仿宋_GB2312"/>
              <w:bCs/>
              <w:kern w:val="0"/>
              <w:sz w:val="28"/>
              <w:szCs w:val="28"/>
              <w:lang w:val="en-US" w:eastAsia="zh-CN" w:bidi="ar"/>
            </w:rPr>
            <w:fldChar w:fldCharType="end"/>
          </w:r>
        </w:p>
        <w:p>
          <w:pPr>
            <w:pStyle w:val="15"/>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rFonts w:hint="eastAsia" w:ascii="仿宋_GB2312" w:hAnsi="仿宋_GB2312" w:eastAsia="仿宋_GB2312" w:cs="仿宋_GB2312"/>
              <w:bCs/>
              <w:kern w:val="0"/>
              <w:sz w:val="28"/>
              <w:szCs w:val="28"/>
              <w:lang w:val="en-US" w:eastAsia="zh-CN" w:bidi="ar"/>
            </w:rPr>
          </w:pP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HYPERLINK \l _Toc17694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（三） 投入管理指标分析</w:t>
          </w:r>
          <w:r>
            <w:rPr>
              <w:rFonts w:hint="eastAsia" w:ascii="仿宋_GB2312" w:hAnsi="仿宋_GB2312" w:eastAsia="仿宋_GB2312" w:cs="仿宋_GB2312"/>
              <w:bCs/>
              <w:kern w:val="0"/>
              <w:sz w:val="28"/>
              <w:szCs w:val="28"/>
              <w:lang w:val="en-US" w:eastAsia="zh-CN" w:bidi="ar"/>
            </w:rPr>
            <w:tab/>
          </w: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PAGEREF _Toc17694 \h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13</w:t>
          </w:r>
          <w:r>
            <w:rPr>
              <w:rFonts w:hint="eastAsia" w:ascii="仿宋_GB2312" w:hAnsi="仿宋_GB2312" w:eastAsia="仿宋_GB2312" w:cs="仿宋_GB2312"/>
              <w:bCs/>
              <w:kern w:val="0"/>
              <w:sz w:val="28"/>
              <w:szCs w:val="28"/>
              <w:lang w:val="en-US" w:eastAsia="zh-CN" w:bidi="ar"/>
            </w:rPr>
            <w:fldChar w:fldCharType="end"/>
          </w:r>
          <w:r>
            <w:rPr>
              <w:rFonts w:hint="eastAsia" w:ascii="仿宋_GB2312" w:hAnsi="仿宋_GB2312" w:eastAsia="仿宋_GB2312" w:cs="仿宋_GB2312"/>
              <w:bCs/>
              <w:kern w:val="0"/>
              <w:sz w:val="28"/>
              <w:szCs w:val="28"/>
              <w:lang w:val="en-US" w:eastAsia="zh-CN" w:bidi="ar"/>
            </w:rPr>
            <w:fldChar w:fldCharType="end"/>
          </w:r>
        </w:p>
        <w:p>
          <w:pPr>
            <w:pStyle w:val="15"/>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sz w:val="28"/>
              <w:szCs w:val="28"/>
            </w:rPr>
          </w:pP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HYPERLINK \l _Toc14519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（四） 综合管理指标分析</w:t>
          </w:r>
          <w:r>
            <w:rPr>
              <w:rFonts w:hint="eastAsia" w:ascii="仿宋_GB2312" w:hAnsi="仿宋_GB2312" w:eastAsia="仿宋_GB2312" w:cs="仿宋_GB2312"/>
              <w:bCs/>
              <w:kern w:val="0"/>
              <w:sz w:val="28"/>
              <w:szCs w:val="28"/>
              <w:lang w:val="en-US" w:eastAsia="zh-CN" w:bidi="ar"/>
            </w:rPr>
            <w:tab/>
          </w:r>
          <w:r>
            <w:rPr>
              <w:rFonts w:hint="eastAsia" w:ascii="仿宋_GB2312" w:hAnsi="仿宋_GB2312" w:eastAsia="仿宋_GB2312" w:cs="仿宋_GB2312"/>
              <w:bCs/>
              <w:kern w:val="0"/>
              <w:sz w:val="28"/>
              <w:szCs w:val="28"/>
              <w:lang w:val="en-US" w:eastAsia="zh-CN" w:bidi="ar"/>
            </w:rPr>
            <w:fldChar w:fldCharType="begin"/>
          </w:r>
          <w:r>
            <w:rPr>
              <w:rFonts w:hint="eastAsia" w:ascii="仿宋_GB2312" w:hAnsi="仿宋_GB2312" w:eastAsia="仿宋_GB2312" w:cs="仿宋_GB2312"/>
              <w:bCs/>
              <w:kern w:val="0"/>
              <w:sz w:val="28"/>
              <w:szCs w:val="28"/>
              <w:lang w:val="en-US" w:eastAsia="zh-CN" w:bidi="ar"/>
            </w:rPr>
            <w:instrText xml:space="preserve"> PAGEREF _Toc14519 \h </w:instrText>
          </w:r>
          <w:r>
            <w:rPr>
              <w:rFonts w:hint="eastAsia" w:ascii="仿宋_GB2312" w:hAnsi="仿宋_GB2312" w:eastAsia="仿宋_GB2312" w:cs="仿宋_GB2312"/>
              <w:bCs/>
              <w:kern w:val="0"/>
              <w:sz w:val="28"/>
              <w:szCs w:val="28"/>
              <w:lang w:val="en-US" w:eastAsia="zh-CN" w:bidi="ar"/>
            </w:rPr>
            <w:fldChar w:fldCharType="separate"/>
          </w:r>
          <w:r>
            <w:rPr>
              <w:rFonts w:hint="eastAsia" w:ascii="仿宋_GB2312" w:hAnsi="仿宋_GB2312" w:eastAsia="仿宋_GB2312" w:cs="仿宋_GB2312"/>
              <w:bCs/>
              <w:kern w:val="0"/>
              <w:sz w:val="28"/>
              <w:szCs w:val="28"/>
              <w:lang w:val="en-US" w:eastAsia="zh-CN" w:bidi="ar"/>
            </w:rPr>
            <w:t>15</w:t>
          </w:r>
          <w:r>
            <w:rPr>
              <w:rFonts w:hint="eastAsia" w:ascii="仿宋_GB2312" w:hAnsi="仿宋_GB2312" w:eastAsia="仿宋_GB2312" w:cs="仿宋_GB2312"/>
              <w:bCs/>
              <w:kern w:val="0"/>
              <w:sz w:val="28"/>
              <w:szCs w:val="28"/>
              <w:lang w:val="en-US" w:eastAsia="zh-CN" w:bidi="ar"/>
            </w:rPr>
            <w:fldChar w:fldCharType="end"/>
          </w:r>
          <w:r>
            <w:rPr>
              <w:rFonts w:hint="eastAsia" w:ascii="仿宋_GB2312" w:hAnsi="仿宋_GB2312" w:eastAsia="仿宋_GB2312" w:cs="仿宋_GB2312"/>
              <w:bCs/>
              <w:kern w:val="0"/>
              <w:sz w:val="28"/>
              <w:szCs w:val="28"/>
              <w:lang w:val="en-US" w:eastAsia="zh-CN" w:bidi="ar"/>
            </w:rPr>
            <w:fldChar w:fldCharType="end"/>
          </w:r>
        </w:p>
        <w:p>
          <w:pPr>
            <w:pStyle w:val="16"/>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b/>
              <w:sz w:val="28"/>
              <w:szCs w:val="28"/>
            </w:rPr>
          </w:pPr>
          <w:r>
            <w:rPr>
              <w:rFonts w:hint="eastAsia" w:asciiTheme="majorEastAsia" w:hAnsiTheme="majorEastAsia" w:eastAsiaTheme="majorEastAsia" w:cstheme="majorEastAsia"/>
              <w:b/>
              <w:bCs/>
              <w:color w:val="000000"/>
              <w:kern w:val="0"/>
              <w:sz w:val="28"/>
              <w:szCs w:val="28"/>
              <w:lang w:val="en-US" w:eastAsia="zh-CN" w:bidi="ar"/>
            </w:rPr>
            <w:fldChar w:fldCharType="begin"/>
          </w:r>
          <w:r>
            <w:rPr>
              <w:rFonts w:hint="eastAsia" w:asciiTheme="majorEastAsia" w:hAnsiTheme="majorEastAsia" w:eastAsiaTheme="majorEastAsia" w:cstheme="majorEastAsia"/>
              <w:b/>
              <w:bCs/>
              <w:kern w:val="0"/>
              <w:sz w:val="28"/>
              <w:szCs w:val="28"/>
              <w:lang w:val="en-US" w:eastAsia="zh-CN" w:bidi="ar"/>
            </w:rPr>
            <w:instrText xml:space="preserve"> HYPERLINK \l _Toc2590 </w:instrText>
          </w:r>
          <w:r>
            <w:rPr>
              <w:rFonts w:hint="eastAsia" w:asciiTheme="majorEastAsia" w:hAnsiTheme="majorEastAsia" w:eastAsiaTheme="majorEastAsia" w:cstheme="majorEastAsia"/>
              <w:b/>
              <w:bCs/>
              <w:kern w:val="0"/>
              <w:sz w:val="28"/>
              <w:szCs w:val="28"/>
              <w:lang w:val="en-US" w:eastAsia="zh-CN" w:bidi="ar"/>
            </w:rPr>
            <w:fldChar w:fldCharType="separate"/>
          </w:r>
          <w:r>
            <w:rPr>
              <w:rFonts w:hint="eastAsia" w:asciiTheme="majorEastAsia" w:hAnsiTheme="majorEastAsia" w:eastAsiaTheme="majorEastAsia" w:cstheme="majorEastAsia"/>
              <w:b/>
              <w:bCs/>
              <w:kern w:val="0"/>
              <w:sz w:val="28"/>
              <w:szCs w:val="28"/>
              <w:lang w:val="en-US" w:eastAsia="zh-CN" w:bidi="ar"/>
            </w:rPr>
            <w:t>四、 绩效评价结论</w:t>
          </w:r>
          <w:r>
            <w:rPr>
              <w:b/>
              <w:sz w:val="28"/>
              <w:szCs w:val="28"/>
            </w:rPr>
            <w:tab/>
          </w:r>
          <w:r>
            <w:rPr>
              <w:b/>
              <w:sz w:val="28"/>
              <w:szCs w:val="28"/>
            </w:rPr>
            <w:fldChar w:fldCharType="begin"/>
          </w:r>
          <w:r>
            <w:rPr>
              <w:b/>
              <w:sz w:val="28"/>
              <w:szCs w:val="28"/>
            </w:rPr>
            <w:instrText xml:space="preserve"> PAGEREF _Toc2590 \h </w:instrText>
          </w:r>
          <w:r>
            <w:rPr>
              <w:b/>
              <w:sz w:val="28"/>
              <w:szCs w:val="28"/>
            </w:rPr>
            <w:fldChar w:fldCharType="separate"/>
          </w:r>
          <w:r>
            <w:rPr>
              <w:b/>
              <w:sz w:val="28"/>
              <w:szCs w:val="28"/>
            </w:rPr>
            <w:t>17</w:t>
          </w:r>
          <w:r>
            <w:rPr>
              <w:b/>
              <w:sz w:val="28"/>
              <w:szCs w:val="28"/>
            </w:rPr>
            <w:fldChar w:fldCharType="end"/>
          </w:r>
          <w:r>
            <w:rPr>
              <w:rFonts w:hint="eastAsia" w:asciiTheme="majorEastAsia" w:hAnsiTheme="majorEastAsia" w:eastAsiaTheme="majorEastAsia" w:cstheme="majorEastAsia"/>
              <w:b/>
              <w:bCs/>
              <w:color w:val="000000"/>
              <w:kern w:val="0"/>
              <w:sz w:val="28"/>
              <w:szCs w:val="28"/>
              <w:lang w:val="en-US" w:eastAsia="zh-CN" w:bidi="ar"/>
            </w:rPr>
            <w:fldChar w:fldCharType="end"/>
          </w:r>
        </w:p>
        <w:p>
          <w:pPr>
            <w:pStyle w:val="16"/>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b/>
              <w:sz w:val="28"/>
              <w:szCs w:val="28"/>
            </w:rPr>
          </w:pPr>
          <w:r>
            <w:rPr>
              <w:rFonts w:hint="eastAsia" w:asciiTheme="majorEastAsia" w:hAnsiTheme="majorEastAsia" w:eastAsiaTheme="majorEastAsia" w:cstheme="majorEastAsia"/>
              <w:b/>
              <w:bCs/>
              <w:color w:val="000000"/>
              <w:kern w:val="0"/>
              <w:sz w:val="28"/>
              <w:szCs w:val="28"/>
              <w:lang w:val="en-US" w:eastAsia="zh-CN" w:bidi="ar"/>
            </w:rPr>
            <w:fldChar w:fldCharType="begin"/>
          </w:r>
          <w:r>
            <w:rPr>
              <w:rFonts w:hint="eastAsia" w:asciiTheme="majorEastAsia" w:hAnsiTheme="majorEastAsia" w:eastAsiaTheme="majorEastAsia" w:cstheme="majorEastAsia"/>
              <w:b/>
              <w:bCs/>
              <w:kern w:val="0"/>
              <w:sz w:val="28"/>
              <w:szCs w:val="28"/>
              <w:lang w:val="en-US" w:eastAsia="zh-CN" w:bidi="ar"/>
            </w:rPr>
            <w:instrText xml:space="preserve"> HYPERLINK \l _Toc1475 </w:instrText>
          </w:r>
          <w:r>
            <w:rPr>
              <w:rFonts w:hint="eastAsia" w:asciiTheme="majorEastAsia" w:hAnsiTheme="majorEastAsia" w:eastAsiaTheme="majorEastAsia" w:cstheme="majorEastAsia"/>
              <w:b/>
              <w:bCs/>
              <w:kern w:val="0"/>
              <w:sz w:val="28"/>
              <w:szCs w:val="28"/>
              <w:lang w:val="en-US" w:eastAsia="zh-CN" w:bidi="ar"/>
            </w:rPr>
            <w:fldChar w:fldCharType="separate"/>
          </w:r>
          <w:r>
            <w:rPr>
              <w:rFonts w:hint="eastAsia" w:asciiTheme="majorEastAsia" w:hAnsiTheme="majorEastAsia" w:eastAsiaTheme="majorEastAsia" w:cstheme="majorEastAsia"/>
              <w:b/>
              <w:bCs/>
              <w:kern w:val="0"/>
              <w:sz w:val="28"/>
              <w:szCs w:val="28"/>
              <w:lang w:val="en-US" w:eastAsia="zh-CN" w:bidi="ar"/>
            </w:rPr>
            <w:t>五、 主要经验及做法</w:t>
          </w:r>
          <w:r>
            <w:rPr>
              <w:b/>
              <w:sz w:val="28"/>
              <w:szCs w:val="28"/>
            </w:rPr>
            <w:tab/>
          </w:r>
          <w:r>
            <w:rPr>
              <w:b/>
              <w:sz w:val="28"/>
              <w:szCs w:val="28"/>
            </w:rPr>
            <w:fldChar w:fldCharType="begin"/>
          </w:r>
          <w:r>
            <w:rPr>
              <w:b/>
              <w:sz w:val="28"/>
              <w:szCs w:val="28"/>
            </w:rPr>
            <w:instrText xml:space="preserve"> PAGEREF _Toc1475 \h </w:instrText>
          </w:r>
          <w:r>
            <w:rPr>
              <w:b/>
              <w:sz w:val="28"/>
              <w:szCs w:val="28"/>
            </w:rPr>
            <w:fldChar w:fldCharType="separate"/>
          </w:r>
          <w:r>
            <w:rPr>
              <w:b/>
              <w:sz w:val="28"/>
              <w:szCs w:val="28"/>
            </w:rPr>
            <w:t>18</w:t>
          </w:r>
          <w:r>
            <w:rPr>
              <w:b/>
              <w:sz w:val="28"/>
              <w:szCs w:val="28"/>
            </w:rPr>
            <w:fldChar w:fldCharType="end"/>
          </w:r>
          <w:r>
            <w:rPr>
              <w:rFonts w:hint="eastAsia" w:asciiTheme="majorEastAsia" w:hAnsiTheme="majorEastAsia" w:eastAsiaTheme="majorEastAsia" w:cstheme="majorEastAsia"/>
              <w:b/>
              <w:bCs/>
              <w:color w:val="000000"/>
              <w:kern w:val="0"/>
              <w:sz w:val="28"/>
              <w:szCs w:val="28"/>
              <w:lang w:val="en-US" w:eastAsia="zh-CN" w:bidi="ar"/>
            </w:rPr>
            <w:fldChar w:fldCharType="end"/>
          </w:r>
        </w:p>
        <w:p>
          <w:pPr>
            <w:pStyle w:val="16"/>
            <w:keepNext w:val="0"/>
            <w:keepLines w:val="0"/>
            <w:pageBreakBefore w:val="0"/>
            <w:widowControl/>
            <w:tabs>
              <w:tab w:val="right" w:leader="dot" w:pos="8620"/>
            </w:tabs>
            <w:kinsoku/>
            <w:wordWrap/>
            <w:overflowPunct/>
            <w:topLinePunct w:val="0"/>
            <w:autoSpaceDE/>
            <w:autoSpaceDN/>
            <w:bidi w:val="0"/>
            <w:adjustRightInd/>
            <w:snapToGrid/>
            <w:spacing w:line="480" w:lineRule="auto"/>
            <w:jc w:val="both"/>
            <w:textAlignment w:val="auto"/>
            <w:rPr>
              <w:b/>
              <w:sz w:val="28"/>
              <w:szCs w:val="28"/>
            </w:rPr>
          </w:pPr>
          <w:r>
            <w:rPr>
              <w:rFonts w:hint="eastAsia" w:asciiTheme="majorEastAsia" w:hAnsiTheme="majorEastAsia" w:eastAsiaTheme="majorEastAsia" w:cstheme="majorEastAsia"/>
              <w:b/>
              <w:bCs/>
              <w:color w:val="000000"/>
              <w:kern w:val="0"/>
              <w:sz w:val="28"/>
              <w:szCs w:val="28"/>
              <w:lang w:val="en-US" w:eastAsia="zh-CN" w:bidi="ar"/>
            </w:rPr>
            <w:fldChar w:fldCharType="begin"/>
          </w:r>
          <w:r>
            <w:rPr>
              <w:rFonts w:hint="eastAsia" w:asciiTheme="majorEastAsia" w:hAnsiTheme="majorEastAsia" w:eastAsiaTheme="majorEastAsia" w:cstheme="majorEastAsia"/>
              <w:b/>
              <w:bCs/>
              <w:kern w:val="0"/>
              <w:sz w:val="28"/>
              <w:szCs w:val="28"/>
              <w:lang w:val="en-US" w:eastAsia="zh-CN" w:bidi="ar"/>
            </w:rPr>
            <w:instrText xml:space="preserve"> HYPERLINK \l _Toc9720 </w:instrText>
          </w:r>
          <w:r>
            <w:rPr>
              <w:rFonts w:hint="eastAsia" w:asciiTheme="majorEastAsia" w:hAnsiTheme="majorEastAsia" w:eastAsiaTheme="majorEastAsia" w:cstheme="majorEastAsia"/>
              <w:b/>
              <w:bCs/>
              <w:kern w:val="0"/>
              <w:sz w:val="28"/>
              <w:szCs w:val="28"/>
              <w:lang w:val="en-US" w:eastAsia="zh-CN" w:bidi="ar"/>
            </w:rPr>
            <w:fldChar w:fldCharType="separate"/>
          </w:r>
          <w:r>
            <w:rPr>
              <w:rFonts w:hint="eastAsia" w:asciiTheme="majorEastAsia" w:hAnsiTheme="majorEastAsia" w:eastAsiaTheme="majorEastAsia" w:cstheme="majorEastAsia"/>
              <w:b/>
              <w:bCs/>
              <w:kern w:val="0"/>
              <w:sz w:val="28"/>
              <w:szCs w:val="28"/>
              <w:lang w:val="en-US" w:eastAsia="zh-CN" w:bidi="ar"/>
            </w:rPr>
            <w:t>六、 存在问题及原因分析</w:t>
          </w:r>
          <w:r>
            <w:rPr>
              <w:b/>
              <w:sz w:val="28"/>
              <w:szCs w:val="28"/>
            </w:rPr>
            <w:tab/>
          </w:r>
          <w:r>
            <w:rPr>
              <w:b/>
              <w:sz w:val="28"/>
              <w:szCs w:val="28"/>
            </w:rPr>
            <w:fldChar w:fldCharType="begin"/>
          </w:r>
          <w:r>
            <w:rPr>
              <w:b/>
              <w:sz w:val="28"/>
              <w:szCs w:val="28"/>
            </w:rPr>
            <w:instrText xml:space="preserve"> PAGEREF _Toc9720 \h </w:instrText>
          </w:r>
          <w:r>
            <w:rPr>
              <w:b/>
              <w:sz w:val="28"/>
              <w:szCs w:val="28"/>
            </w:rPr>
            <w:fldChar w:fldCharType="separate"/>
          </w:r>
          <w:r>
            <w:rPr>
              <w:b/>
              <w:sz w:val="28"/>
              <w:szCs w:val="28"/>
            </w:rPr>
            <w:t>19</w:t>
          </w:r>
          <w:r>
            <w:rPr>
              <w:b/>
              <w:sz w:val="28"/>
              <w:szCs w:val="28"/>
            </w:rPr>
            <w:fldChar w:fldCharType="end"/>
          </w:r>
          <w:r>
            <w:rPr>
              <w:rFonts w:hint="eastAsia" w:asciiTheme="majorEastAsia" w:hAnsiTheme="majorEastAsia" w:eastAsiaTheme="majorEastAsia" w:cstheme="majorEastAsia"/>
              <w:b/>
              <w:bCs/>
              <w:color w:val="000000"/>
              <w:kern w:val="0"/>
              <w:sz w:val="28"/>
              <w:szCs w:val="28"/>
              <w:lang w:val="en-US" w:eastAsia="zh-CN" w:bidi="ar"/>
            </w:rPr>
            <w:fldChar w:fldCharType="end"/>
          </w:r>
        </w:p>
        <w:p>
          <w:pPr>
            <w:pStyle w:val="15"/>
            <w:keepNext w:val="0"/>
            <w:keepLines w:val="0"/>
            <w:pageBreakBefore w:val="0"/>
            <w:widowControl/>
            <w:tabs>
              <w:tab w:val="right" w:leader="dot" w:pos="8620"/>
            </w:tabs>
            <w:kinsoku/>
            <w:wordWrap/>
            <w:overflowPunct/>
            <w:topLinePunct w:val="0"/>
            <w:autoSpaceDE/>
            <w:autoSpaceDN/>
            <w:bidi w:val="0"/>
            <w:adjustRightInd/>
            <w:snapToGrid/>
            <w:spacing w:line="480" w:lineRule="auto"/>
            <w:ind w:left="0" w:leftChars="0" w:firstLine="0" w:firstLineChars="0"/>
            <w:jc w:val="both"/>
            <w:textAlignment w:val="auto"/>
            <w:rPr>
              <w:b/>
              <w:sz w:val="28"/>
              <w:szCs w:val="28"/>
            </w:rPr>
          </w:pPr>
          <w:r>
            <w:rPr>
              <w:rFonts w:hint="eastAsia" w:asciiTheme="majorEastAsia" w:hAnsiTheme="majorEastAsia" w:eastAsiaTheme="majorEastAsia" w:cstheme="majorEastAsia"/>
              <w:b/>
              <w:bCs/>
              <w:color w:val="000000"/>
              <w:kern w:val="0"/>
              <w:sz w:val="28"/>
              <w:szCs w:val="28"/>
              <w:lang w:val="en-US" w:eastAsia="zh-CN" w:bidi="ar"/>
            </w:rPr>
            <w:fldChar w:fldCharType="begin"/>
          </w:r>
          <w:r>
            <w:rPr>
              <w:rFonts w:hint="eastAsia" w:asciiTheme="majorEastAsia" w:hAnsiTheme="majorEastAsia" w:eastAsiaTheme="majorEastAsia" w:cstheme="majorEastAsia"/>
              <w:b/>
              <w:bCs/>
              <w:kern w:val="0"/>
              <w:sz w:val="28"/>
              <w:szCs w:val="28"/>
              <w:lang w:val="en-US" w:eastAsia="zh-CN" w:bidi="ar"/>
            </w:rPr>
            <w:instrText xml:space="preserve"> HYPERLINK \l _Toc11440 </w:instrText>
          </w:r>
          <w:r>
            <w:rPr>
              <w:rFonts w:hint="eastAsia" w:asciiTheme="majorEastAsia" w:hAnsiTheme="majorEastAsia" w:eastAsiaTheme="majorEastAsia" w:cstheme="majorEastAsia"/>
              <w:b/>
              <w:bCs/>
              <w:kern w:val="0"/>
              <w:sz w:val="28"/>
              <w:szCs w:val="28"/>
              <w:lang w:val="en-US" w:eastAsia="zh-CN" w:bidi="ar"/>
            </w:rPr>
            <w:fldChar w:fldCharType="separate"/>
          </w:r>
          <w:r>
            <w:rPr>
              <w:rFonts w:hint="eastAsia" w:asciiTheme="majorEastAsia" w:hAnsiTheme="majorEastAsia" w:eastAsiaTheme="majorEastAsia" w:cstheme="majorEastAsia"/>
              <w:b/>
              <w:bCs/>
              <w:kern w:val="0"/>
              <w:sz w:val="28"/>
              <w:szCs w:val="28"/>
              <w:lang w:val="en-US" w:eastAsia="zh-CN" w:bidi="ar"/>
            </w:rPr>
            <w:t>七、 相关建议</w:t>
          </w:r>
          <w:r>
            <w:rPr>
              <w:b/>
              <w:sz w:val="28"/>
              <w:szCs w:val="28"/>
            </w:rPr>
            <w:tab/>
          </w:r>
          <w:r>
            <w:rPr>
              <w:b/>
              <w:sz w:val="28"/>
              <w:szCs w:val="28"/>
            </w:rPr>
            <w:fldChar w:fldCharType="begin"/>
          </w:r>
          <w:r>
            <w:rPr>
              <w:b/>
              <w:sz w:val="28"/>
              <w:szCs w:val="28"/>
            </w:rPr>
            <w:instrText xml:space="preserve"> PAGEREF _Toc11440 \h </w:instrText>
          </w:r>
          <w:r>
            <w:rPr>
              <w:b/>
              <w:sz w:val="28"/>
              <w:szCs w:val="28"/>
            </w:rPr>
            <w:fldChar w:fldCharType="separate"/>
          </w:r>
          <w:r>
            <w:rPr>
              <w:b/>
              <w:sz w:val="28"/>
              <w:szCs w:val="28"/>
            </w:rPr>
            <w:t>22</w:t>
          </w:r>
          <w:r>
            <w:rPr>
              <w:b/>
              <w:sz w:val="28"/>
              <w:szCs w:val="28"/>
            </w:rPr>
            <w:fldChar w:fldCharType="end"/>
          </w:r>
          <w:r>
            <w:rPr>
              <w:rFonts w:hint="eastAsia" w:asciiTheme="majorEastAsia" w:hAnsiTheme="majorEastAsia" w:eastAsiaTheme="majorEastAsia" w:cstheme="majorEastAsia"/>
              <w:b/>
              <w:bCs/>
              <w:color w:val="000000"/>
              <w:kern w:val="0"/>
              <w:sz w:val="28"/>
              <w:szCs w:val="28"/>
              <w:lang w:val="en-US" w:eastAsia="zh-CN" w:bidi="ar"/>
            </w:rPr>
            <w:fldChar w:fldCharType="end"/>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Theme="majorEastAsia" w:hAnsiTheme="majorEastAsia" w:eastAsiaTheme="majorEastAsia" w:cstheme="majorEastAsia"/>
              <w:bCs/>
              <w:color w:val="000000"/>
              <w:kern w:val="0"/>
              <w:szCs w:val="32"/>
              <w:lang w:val="en-US" w:eastAsia="zh-CN" w:bidi="ar"/>
            </w:rPr>
          </w:pPr>
          <w:r>
            <w:rPr>
              <w:rFonts w:hint="eastAsia" w:asciiTheme="majorEastAsia" w:hAnsiTheme="majorEastAsia" w:eastAsiaTheme="majorEastAsia" w:cstheme="majorEastAsia"/>
              <w:bCs/>
              <w:color w:val="000000"/>
              <w:kern w:val="0"/>
              <w:szCs w:val="32"/>
              <w:lang w:val="en-US" w:eastAsia="zh-CN" w:bidi="ar"/>
            </w:rPr>
            <w:fldChar w:fldCharType="end"/>
          </w:r>
          <w:r>
            <w:rPr>
              <w:rFonts w:hint="eastAsia" w:asciiTheme="majorEastAsia" w:hAnsiTheme="majorEastAsia" w:eastAsiaTheme="majorEastAsia" w:cstheme="majorEastAsia"/>
              <w:b/>
              <w:bCs/>
              <w:kern w:val="0"/>
              <w:sz w:val="28"/>
              <w:szCs w:val="28"/>
              <w:lang w:val="en-US" w:eastAsia="zh-CN" w:bidi="ar"/>
            </w:rPr>
            <w:t>附件：</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Theme="majorEastAsia" w:hAnsiTheme="majorEastAsia" w:eastAsiaTheme="majorEastAsia" w:cstheme="majorEastAsia"/>
              <w:b/>
              <w:bCs/>
              <w:kern w:val="0"/>
              <w:sz w:val="28"/>
              <w:szCs w:val="28"/>
              <w:lang w:val="en-US" w:eastAsia="zh-CN" w:bidi="ar"/>
            </w:rPr>
          </w:pPr>
          <w:r>
            <w:rPr>
              <w:rFonts w:hint="eastAsia" w:asciiTheme="majorEastAsia" w:hAnsiTheme="majorEastAsia" w:eastAsiaTheme="majorEastAsia" w:cstheme="majorEastAsia"/>
              <w:b/>
              <w:bCs/>
              <w:kern w:val="0"/>
              <w:sz w:val="28"/>
              <w:szCs w:val="28"/>
              <w:lang w:val="en-US" w:eastAsia="zh-CN" w:bidi="ar"/>
            </w:rPr>
            <w:t>1.安阳县水利局2022年度部门整体项目绩效评价评分表</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Theme="majorEastAsia" w:hAnsiTheme="majorEastAsia" w:eastAsiaTheme="majorEastAsia" w:cstheme="majorEastAsia"/>
              <w:b/>
              <w:bCs/>
              <w:kern w:val="0"/>
              <w:sz w:val="28"/>
              <w:szCs w:val="28"/>
              <w:lang w:val="en-US" w:eastAsia="zh-CN" w:bidi="ar"/>
            </w:rPr>
          </w:pPr>
          <w:r>
            <w:rPr>
              <w:rFonts w:hint="eastAsia" w:asciiTheme="majorEastAsia" w:hAnsiTheme="majorEastAsia" w:eastAsiaTheme="majorEastAsia" w:cstheme="majorEastAsia"/>
              <w:b/>
              <w:bCs/>
              <w:kern w:val="0"/>
              <w:sz w:val="28"/>
              <w:szCs w:val="28"/>
              <w:lang w:val="en-US" w:eastAsia="zh-CN" w:bidi="ar"/>
            </w:rPr>
            <w:t>2.项目绩效目标申报表</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Theme="majorEastAsia" w:hAnsiTheme="majorEastAsia" w:eastAsiaTheme="majorEastAsia" w:cstheme="majorEastAsia"/>
              <w:b/>
              <w:bCs/>
              <w:kern w:val="0"/>
              <w:sz w:val="28"/>
              <w:szCs w:val="28"/>
              <w:lang w:val="en-US" w:eastAsia="zh-CN" w:bidi="ar"/>
            </w:rPr>
          </w:pPr>
          <w:r>
            <w:rPr>
              <w:rFonts w:hint="eastAsia" w:asciiTheme="majorEastAsia" w:hAnsiTheme="majorEastAsia" w:eastAsiaTheme="majorEastAsia" w:cstheme="majorEastAsia"/>
              <w:b/>
              <w:bCs/>
              <w:kern w:val="0"/>
              <w:sz w:val="28"/>
              <w:szCs w:val="28"/>
              <w:lang w:val="en-US" w:eastAsia="zh-CN" w:bidi="ar"/>
            </w:rPr>
            <w:t>3.项目支出绩效自评表</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Theme="majorEastAsia" w:hAnsiTheme="majorEastAsia" w:eastAsiaTheme="majorEastAsia" w:cstheme="majorEastAsia"/>
              <w:b/>
              <w:bCs/>
              <w:color w:val="000000"/>
              <w:kern w:val="0"/>
              <w:sz w:val="32"/>
              <w:szCs w:val="32"/>
              <w:lang w:val="en-US" w:eastAsia="zh-CN" w:bidi="ar"/>
            </w:rPr>
            <w:sectPr>
              <w:pgSz w:w="11906" w:h="16838"/>
              <w:pgMar w:top="1440" w:right="1486" w:bottom="1440" w:left="1800" w:header="851" w:footer="992" w:gutter="0"/>
              <w:cols w:space="425" w:num="1"/>
              <w:docGrid w:type="lines" w:linePitch="312" w:charSpace="0"/>
            </w:sectPr>
          </w:pPr>
          <w:r>
            <w:rPr>
              <w:rFonts w:hint="eastAsia" w:asciiTheme="majorEastAsia" w:hAnsiTheme="majorEastAsia" w:eastAsiaTheme="majorEastAsia" w:cstheme="majorEastAsia"/>
              <w:b/>
              <w:bCs/>
              <w:kern w:val="0"/>
              <w:sz w:val="28"/>
              <w:szCs w:val="28"/>
              <w:lang w:val="en-US" w:eastAsia="zh-CN" w:bidi="ar"/>
            </w:rPr>
            <w:t>4.部门整体预算绩效自评表及部门整体自评报告</w:t>
          </w:r>
        </w:p>
      </w:sdtContent>
    </w:sdt>
    <w:p>
      <w:pPr>
        <w:pStyle w:val="10"/>
        <w:keepNext w:val="0"/>
        <w:keepLines w:val="0"/>
        <w:pageBreakBefore w:val="0"/>
        <w:widowControl w:val="0"/>
        <w:numPr>
          <w:ilvl w:val="0"/>
          <w:numId w:val="2"/>
        </w:numPr>
        <w:kinsoku/>
        <w:wordWrap/>
        <w:overflowPunct/>
        <w:topLinePunct w:val="0"/>
        <w:autoSpaceDE/>
        <w:autoSpaceDN/>
        <w:bidi w:val="0"/>
        <w:adjustRightInd/>
        <w:snapToGrid/>
        <w:spacing w:line="360" w:lineRule="auto"/>
        <w:ind w:left="-342" w:leftChars="0" w:firstLineChars="0"/>
        <w:jc w:val="both"/>
        <w:textAlignment w:val="auto"/>
        <w:outlineLvl w:val="0"/>
        <w:rPr>
          <w:rFonts w:hint="eastAsia" w:asciiTheme="majorEastAsia" w:hAnsiTheme="majorEastAsia" w:eastAsiaTheme="majorEastAsia" w:cstheme="majorEastAsia"/>
          <w:b/>
          <w:bCs/>
          <w:color w:val="000000"/>
          <w:kern w:val="0"/>
          <w:sz w:val="32"/>
          <w:szCs w:val="32"/>
          <w:lang w:val="en-US" w:eastAsia="zh-CN" w:bidi="ar"/>
        </w:rPr>
      </w:pPr>
      <w:bookmarkStart w:id="6" w:name="_Toc31633"/>
      <w:r>
        <w:rPr>
          <w:rFonts w:hint="eastAsia" w:asciiTheme="majorEastAsia" w:hAnsiTheme="majorEastAsia" w:eastAsiaTheme="majorEastAsia" w:cstheme="majorEastAsia"/>
          <w:b/>
          <w:bCs/>
          <w:color w:val="000000"/>
          <w:kern w:val="0"/>
          <w:sz w:val="32"/>
          <w:szCs w:val="32"/>
          <w:lang w:val="en-US" w:eastAsia="zh-CN" w:bidi="ar"/>
        </w:rPr>
        <w:t>基本情况</w:t>
      </w:r>
      <w:bookmarkEnd w:id="4"/>
      <w:bookmarkEnd w:id="5"/>
      <w:bookmarkEnd w:id="6"/>
      <w:r>
        <w:rPr>
          <w:rFonts w:hint="eastAsia" w:asciiTheme="majorEastAsia" w:hAnsiTheme="majorEastAsia" w:eastAsiaTheme="majorEastAsia" w:cstheme="majorEastAsia"/>
          <w:b/>
          <w:bCs/>
          <w:color w:val="000000"/>
          <w:kern w:val="0"/>
          <w:sz w:val="32"/>
          <w:szCs w:val="32"/>
          <w:lang w:val="en-US" w:eastAsia="zh-CN" w:bidi="ar"/>
        </w:rPr>
        <w:t xml:space="preserve"> </w:t>
      </w:r>
    </w:p>
    <w:p>
      <w:pPr>
        <w:pStyle w:val="10"/>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000000"/>
          <w:kern w:val="0"/>
          <w:sz w:val="32"/>
          <w:szCs w:val="32"/>
          <w:lang w:val="en-US" w:eastAsia="zh-CN" w:bidi="ar"/>
        </w:rPr>
      </w:pPr>
      <w:bookmarkStart w:id="7" w:name="_Toc4180"/>
      <w:r>
        <w:rPr>
          <w:rFonts w:hint="eastAsia" w:ascii="仿宋_GB2312" w:hAnsi="仿宋_GB2312" w:eastAsia="仿宋_GB2312" w:cs="仿宋_GB2312"/>
          <w:b/>
          <w:bCs/>
          <w:color w:val="000000"/>
          <w:kern w:val="0"/>
          <w:sz w:val="32"/>
          <w:szCs w:val="32"/>
          <w:lang w:val="en-US" w:eastAsia="zh-CN" w:bidi="ar"/>
        </w:rPr>
        <w:t>部门概况</w:t>
      </w:r>
      <w:bookmarkEnd w:id="7"/>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Times New Roman" w:eastAsia="仿宋_GB2312"/>
          <w:sz w:val="32"/>
          <w:szCs w:val="32"/>
          <w:highlight w:val="none"/>
        </w:rPr>
      </w:pPr>
      <w:r>
        <w:rPr>
          <w:rFonts w:hint="eastAsia" w:ascii="仿宋_GB2312" w:hAnsi="Times New Roman" w:eastAsia="仿宋_GB2312"/>
          <w:sz w:val="32"/>
          <w:szCs w:val="32"/>
          <w:lang w:eastAsia="zh-CN"/>
        </w:rPr>
        <w:t>安阳县水利局</w:t>
      </w:r>
      <w:r>
        <w:rPr>
          <w:rFonts w:hint="eastAsia" w:ascii="仿宋_GB2312" w:hAnsi="Times New Roman" w:eastAsia="仿宋_GB2312"/>
          <w:sz w:val="32"/>
          <w:szCs w:val="32"/>
        </w:rPr>
        <w:t>是一个独立财务核算机构，单位执行政府会计制度，部门预算即指单位本级预算。</w:t>
      </w:r>
      <w:r>
        <w:rPr>
          <w:rFonts w:hint="eastAsia" w:ascii="仿宋_GB2312" w:hAnsi="Times New Roman" w:eastAsia="仿宋_GB2312"/>
          <w:sz w:val="32"/>
          <w:szCs w:val="32"/>
          <w:lang w:eastAsia="zh-CN"/>
        </w:rPr>
        <w:t>安阳县水利局</w:t>
      </w:r>
      <w:r>
        <w:rPr>
          <w:rFonts w:hint="eastAsia" w:ascii="仿宋_GB2312" w:hAnsi="Times New Roman" w:eastAsia="仿宋_GB2312"/>
          <w:sz w:val="32"/>
          <w:szCs w:val="32"/>
        </w:rPr>
        <w:t>是县政府直属</w:t>
      </w:r>
      <w:r>
        <w:rPr>
          <w:rFonts w:hint="eastAsia" w:ascii="仿宋_GB2312" w:hAnsi="Times New Roman" w:eastAsia="仿宋_GB2312"/>
          <w:sz w:val="32"/>
          <w:szCs w:val="32"/>
          <w:highlight w:val="none"/>
        </w:rPr>
        <w:t>机关，安阳县水利局内设5个股室，4个事业二级机构，共有在编制75人，其中行政编制14人，事业编制61人。</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jc w:val="both"/>
        <w:textAlignment w:val="auto"/>
        <w:outlineLvl w:val="1"/>
        <w:rPr>
          <w:rFonts w:hint="eastAsia" w:ascii="仿宋_GB2312" w:hAnsi="Times New Roman" w:eastAsia="仿宋_GB2312"/>
          <w:sz w:val="32"/>
          <w:szCs w:val="32"/>
          <w:lang w:val="en-US" w:eastAsia="zh-CN"/>
        </w:rPr>
      </w:pPr>
      <w:bookmarkStart w:id="8" w:name="_Toc1842"/>
      <w:r>
        <w:rPr>
          <w:rFonts w:hint="eastAsia" w:ascii="仿宋_GB2312" w:hAnsi="Times New Roman" w:eastAsia="仿宋_GB2312"/>
          <w:sz w:val="32"/>
          <w:szCs w:val="32"/>
        </w:rPr>
        <w:t>主要职责为：</w:t>
      </w:r>
      <w:bookmarkEnd w:id="8"/>
      <w:r>
        <w:rPr>
          <w:rFonts w:hint="eastAsia" w:ascii="仿宋_GB2312" w:hAnsi="Times New Roman" w:eastAsia="仿宋_GB2312"/>
          <w:sz w:val="32"/>
          <w:szCs w:val="32"/>
          <w:lang w:val="en-US" w:eastAsia="zh-CN"/>
        </w:rPr>
        <w:t>(一)贯彻执行国家、省、市有关水利工作方针政策，负责全县水资源的统一管理和监督工作。</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jc w:val="both"/>
        <w:textAlignment w:val="auto"/>
        <w:outlineLvl w:val="1"/>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(二)负责保障水资源的合理开发利用。拟订全县水利规划，起草有关全县水利行业管理办法和规定并监督实施，组织编制、审查、申报水利综合规划、专业规划、专项规划。</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jc w:val="both"/>
        <w:textAlignment w:val="auto"/>
        <w:outlineLvl w:val="1"/>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三)负责生活、生产经营和生态环境用水的统筹和保障。组织实施最严格水资源管理制度，拟订全县水中长期供求规划、水量分配方案并监督实施;负责河湖库和重要水工程的水资源调度;组织实施取水许可、水资源有偿使用制度和水资源论证、防洪论证制度;指导水利行业供水和乡镇供水工作。</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jc w:val="both"/>
        <w:textAlignment w:val="auto"/>
        <w:outlineLvl w:val="1"/>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四)按规定制定水利工程建设有关制度并组织实施，负责提出中央、省、市下达的和县级水利固定资产投资规模、方向、具体安排建议并组织实施，按照县政府规定权限审批、核准规划内和年度计划规模内固定资产投资项目，提出中央、省、市下达的和县级水利资金安排建议并负责项目实施的监督管理;组织编制、审查、申报全县大中型水利基本建设项目建议书、可行性研究报告和初步设计，负责审批水利基本建设项目初步设计文件工作。</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jc w:val="both"/>
        <w:textAlignment w:val="auto"/>
        <w:outlineLvl w:val="1"/>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五)负责水资源管理保护工作。组织编制并实施水资源保护规划，组织开展河湖水生态保护与修复，指导河湖生态流量水量管理以及河湖水系连通工作;指导饮用水水源保护有关工作，开展重要河湖库健康评估，指导地下水开发利用和地下水资源管理保护;组织指导地下水超采区综合治理;指导水文工作，组织编制并发布水资源公报和信息、开展水资源评价和水资源承载能力监测预警工作，承担水资源调查有关工作。</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jc w:val="both"/>
        <w:textAlignment w:val="auto"/>
        <w:outlineLvl w:val="1"/>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(六)负责节约用水工作。拟订全县节约用水政策，组织编制节约用水规划、节水行动方案并监督实施，指导和推动节水型社会建设工作。</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jc w:val="both"/>
        <w:textAlignment w:val="auto"/>
        <w:outlineLvl w:val="1"/>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(七)负责全县水利设施、水域及其岸线的管理、保护与综合利用。</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jc w:val="both"/>
        <w:textAlignment w:val="auto"/>
        <w:outlineLvl w:val="1"/>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八)负责水土保持工作。组织开展全县水土保持法律、法规宣传教育工作，拟订全县水土保持规划并监督实施;组织实施水土流失综合防治、监测预报工作;负责生产建设项目水土保持监督管理工作，指导全县水土保持重点建设项目实施。</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jc w:val="both"/>
        <w:textAlignment w:val="auto"/>
        <w:outlineLvl w:val="1"/>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(九)负责农村水利工作。组织开展大中型灌排工程建设与改造;指导农村饮水安全、节水灌溉等工程建设与管理工作;指导农村水利改革创新和社会化服务体系建设;指导水利扶贫工作。</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jc w:val="both"/>
        <w:textAlignment w:val="auto"/>
        <w:outlineLvl w:val="1"/>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(十)负责分散安置移民后期扶持工作;管理和监督移民资金的使用。</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jc w:val="both"/>
        <w:textAlignment w:val="auto"/>
        <w:outlineLvl w:val="1"/>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(十一)负责重大涉水违法事件查处工作。</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jc w:val="both"/>
        <w:textAlignment w:val="auto"/>
        <w:outlineLvl w:val="1"/>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(十二)开展全县水利科技和外事工作。</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jc w:val="both"/>
        <w:textAlignment w:val="auto"/>
        <w:outlineLvl w:val="1"/>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(十三)负责落实全县综合防灾减灾规划相关要求，组织编制洪水干旱灾害防治规划和防护标准并指导实施。</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640" w:firstLineChars="200"/>
        <w:jc w:val="both"/>
        <w:textAlignment w:val="auto"/>
        <w:outlineLvl w:val="1"/>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(十四)完成县委、县政府交办的其他任务。</w:t>
      </w:r>
    </w:p>
    <w:p>
      <w:pPr>
        <w:pStyle w:val="10"/>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3" w:firstLineChars="200"/>
        <w:jc w:val="both"/>
        <w:textAlignment w:val="auto"/>
        <w:outlineLvl w:val="1"/>
        <w:rPr>
          <w:rFonts w:hint="eastAsia" w:asciiTheme="majorEastAsia" w:hAnsiTheme="majorEastAsia" w:eastAsiaTheme="majorEastAsia" w:cstheme="majorEastAsia"/>
          <w:b/>
          <w:bCs/>
          <w:color w:val="000000"/>
          <w:spacing w:val="11"/>
          <w:kern w:val="0"/>
          <w:sz w:val="32"/>
          <w:szCs w:val="32"/>
          <w:lang w:val="en-US" w:eastAsia="zh-CN" w:bidi="ar"/>
        </w:rPr>
      </w:pPr>
      <w:bookmarkStart w:id="9" w:name="_Toc23065"/>
      <w:r>
        <w:rPr>
          <w:rFonts w:hint="eastAsia" w:ascii="仿宋_GB2312" w:hAnsi="仿宋_GB2312" w:eastAsia="仿宋_GB2312" w:cs="仿宋_GB2312"/>
          <w:b/>
          <w:bCs/>
          <w:color w:val="000000"/>
          <w:kern w:val="0"/>
          <w:sz w:val="32"/>
          <w:szCs w:val="32"/>
          <w:lang w:val="en-US" w:eastAsia="zh-CN" w:bidi="ar"/>
        </w:rPr>
        <w:t>当年部门履职总体目标、工作任务</w:t>
      </w:r>
      <w:bookmarkEnd w:id="9"/>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安阳县水利局部门年度履职总体目标为全面贯彻党的十九届五中全会精神，着力践行水利改革发展总基调，深入推进四水同治，加快构建兴利除害现代水网体系，有力发挥稳投资促增长保民生作用。紧盯超标洪水、水库失事、山洪灾害三大突出风险，认真做好水灾害应对工作，确保人民群众生命安全；以“合理分水，管住用水”为抓手，以取水许可、用途管制、地下水治理和生态流量管理为重点，推进水资源节约集约利用；以河长制为主平台，紧盯水资源、河湖管理等风险高发领域，坚持以问题为导向，以整改为目标，以问责为抓手，建立健全务实高效管用的监管体系，全力推进水利事业高质量发展，为经济社会持续健康发展提供强有力的水利支撑。具体工作任务如下：</w:t>
      </w:r>
    </w:p>
    <w:p>
      <w:pPr>
        <w:keepNext w:val="0"/>
        <w:keepLines w:val="0"/>
        <w:pageBreakBefore w:val="0"/>
        <w:kinsoku/>
        <w:wordWrap/>
        <w:overflowPunct/>
        <w:topLinePunct w:val="0"/>
        <w:autoSpaceDE/>
        <w:autoSpaceDN/>
        <w:bidi w:val="0"/>
        <w:spacing w:after="160" w:line="54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z w:val="32"/>
          <w:szCs w:val="32"/>
        </w:rPr>
        <w:t xml:space="preserve">表1-1 </w:t>
      </w:r>
      <w:r>
        <w:rPr>
          <w:rFonts w:hint="eastAsia" w:ascii="仿宋_GB2312" w:hAnsi="仿宋_GB2312" w:eastAsia="仿宋_GB2312" w:cs="仿宋_GB2312"/>
          <w:b/>
          <w:bCs/>
          <w:color w:val="000000"/>
          <w:sz w:val="32"/>
          <w:szCs w:val="32"/>
          <w:lang w:val="en-US" w:eastAsia="zh-CN"/>
        </w:rPr>
        <w:t xml:space="preserve">  </w:t>
      </w:r>
      <w:r>
        <w:rPr>
          <w:rFonts w:hint="eastAsia" w:ascii="仿宋_GB2312" w:hAnsi="仿宋_GB2312" w:eastAsia="仿宋_GB2312" w:cs="仿宋_GB2312"/>
          <w:b/>
          <w:bCs/>
          <w:color w:val="000000"/>
          <w:sz w:val="32"/>
          <w:szCs w:val="32"/>
          <w:lang w:eastAsia="zh-CN"/>
        </w:rPr>
        <w:t>2022年度安阳县水利局</w:t>
      </w:r>
      <w:r>
        <w:rPr>
          <w:rFonts w:hint="eastAsia" w:ascii="仿宋_GB2312" w:hAnsi="仿宋_GB2312" w:eastAsia="仿宋_GB2312" w:cs="仿宋_GB2312"/>
          <w:b/>
          <w:bCs/>
          <w:color w:val="000000"/>
          <w:sz w:val="32"/>
          <w:szCs w:val="32"/>
        </w:rPr>
        <w:t>年度工作任务</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55"/>
        <w:gridCol w:w="2205"/>
        <w:gridCol w:w="5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855"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bCs/>
                <w:sz w:val="24"/>
                <w:szCs w:val="24"/>
              </w:rPr>
            </w:pPr>
            <w:r>
              <w:rPr>
                <w:rFonts w:hint="eastAsia" w:ascii="宋体" w:hAnsi="宋体" w:eastAsia="宋体" w:cs="宋体"/>
                <w:b/>
                <w:bCs/>
                <w:color w:val="000000"/>
                <w:sz w:val="24"/>
                <w:szCs w:val="24"/>
              </w:rPr>
              <w:t>序号</w:t>
            </w:r>
          </w:p>
        </w:tc>
        <w:tc>
          <w:tcPr>
            <w:tcW w:w="2205"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bCs/>
                <w:color w:val="000000"/>
                <w:sz w:val="24"/>
                <w:szCs w:val="24"/>
                <w:lang w:eastAsia="zh-CN"/>
              </w:rPr>
            </w:pPr>
            <w:r>
              <w:rPr>
                <w:rFonts w:hint="eastAsia" w:ascii="宋体" w:hAnsi="宋体" w:eastAsia="宋体" w:cs="宋体"/>
                <w:b/>
                <w:bCs/>
                <w:color w:val="000000"/>
                <w:sz w:val="24"/>
                <w:szCs w:val="24"/>
                <w:lang w:eastAsia="zh-CN"/>
              </w:rPr>
              <w:t>任务名称</w:t>
            </w:r>
          </w:p>
        </w:tc>
        <w:tc>
          <w:tcPr>
            <w:tcW w:w="5358"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bCs/>
                <w:sz w:val="24"/>
                <w:szCs w:val="24"/>
                <w:lang w:eastAsia="zh-CN"/>
              </w:rPr>
            </w:pPr>
            <w:r>
              <w:rPr>
                <w:rFonts w:hint="eastAsia" w:ascii="宋体" w:hAnsi="宋体" w:eastAsia="宋体" w:cs="宋体"/>
                <w:b/>
                <w:bCs/>
                <w:color w:val="000000"/>
                <w:sz w:val="24"/>
                <w:szCs w:val="24"/>
                <w:lang w:eastAsia="zh-CN"/>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85" w:hRule="atLeast"/>
        </w:trPr>
        <w:tc>
          <w:tcPr>
            <w:tcW w:w="855"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sz w:val="24"/>
                <w:szCs w:val="24"/>
                <w:lang w:val="en-US" w:eastAsia="zh-CN"/>
              </w:rPr>
            </w:pPr>
            <w:bookmarkStart w:id="10" w:name="OLE_LINK11" w:colFirst="1" w:colLast="2"/>
            <w:r>
              <w:rPr>
                <w:rFonts w:hint="eastAsia" w:ascii="宋体" w:hAnsi="宋体" w:eastAsia="宋体" w:cs="宋体"/>
                <w:sz w:val="24"/>
                <w:szCs w:val="24"/>
                <w:lang w:val="en-US" w:eastAsia="zh-CN"/>
              </w:rPr>
              <w:t>1</w:t>
            </w:r>
          </w:p>
        </w:tc>
        <w:tc>
          <w:tcPr>
            <w:tcW w:w="2205"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水网建设</w:t>
            </w:r>
          </w:p>
        </w:tc>
        <w:tc>
          <w:tcPr>
            <w:tcW w:w="5358"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sz w:val="24"/>
                <w:szCs w:val="24"/>
              </w:rPr>
            </w:pPr>
            <w:r>
              <w:rPr>
                <w:rFonts w:hint="eastAsia" w:ascii="宋体" w:hAnsi="宋体" w:eastAsia="宋体" w:cs="宋体"/>
                <w:sz w:val="24"/>
                <w:szCs w:val="24"/>
              </w:rPr>
              <w:t>围绕促进高质量发展和我县重大发展战略，深入推进四水同治，加快构建兴利除害现代水网体系。力保农村饮水安全项目—城乡一体化供水、广润坡蓄滞洪区工程建设。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55" w:hRule="atLeast"/>
        </w:trPr>
        <w:tc>
          <w:tcPr>
            <w:tcW w:w="855"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2205"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灾害防御</w:t>
            </w:r>
          </w:p>
        </w:tc>
        <w:tc>
          <w:tcPr>
            <w:tcW w:w="5358"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sz w:val="24"/>
                <w:szCs w:val="24"/>
              </w:rPr>
            </w:pPr>
            <w:r>
              <w:rPr>
                <w:rFonts w:hint="eastAsia" w:ascii="宋体" w:hAnsi="宋体" w:eastAsia="宋体" w:cs="宋体"/>
                <w:sz w:val="24"/>
                <w:szCs w:val="24"/>
              </w:rPr>
              <w:t>加强水旱灾害防御预案体系建设和演练，提高雨情水情汛情分析研判和预报预警能力，依法依规科学实施水工程调度；发挥好行业优势，根据需要提供可靠的抢险技术支撑，紧盯超标洪水突出风险，认真做好应对。坚持防汛抗旱两手抓，做好应对旱情的思想准备，防止旱涝急转。落实应急供水保障措施，全力确保居民生活、工农业生产和生态用水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50" w:hRule="atLeast"/>
        </w:trPr>
        <w:tc>
          <w:tcPr>
            <w:tcW w:w="855"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2205"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sz w:val="24"/>
                <w:szCs w:val="24"/>
              </w:rPr>
            </w:pPr>
            <w:r>
              <w:rPr>
                <w:rFonts w:hint="eastAsia" w:ascii="宋体" w:hAnsi="宋体" w:eastAsia="宋体" w:cs="宋体"/>
                <w:sz w:val="24"/>
                <w:szCs w:val="24"/>
                <w:lang w:val="en-US" w:eastAsia="zh-CN"/>
              </w:rPr>
              <w:t>水资源刚性约束</w:t>
            </w:r>
          </w:p>
        </w:tc>
        <w:tc>
          <w:tcPr>
            <w:tcW w:w="5358"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sz w:val="24"/>
                <w:szCs w:val="24"/>
              </w:rPr>
            </w:pPr>
            <w:r>
              <w:rPr>
                <w:rFonts w:hint="eastAsia" w:ascii="宋体" w:hAnsi="宋体" w:eastAsia="宋体" w:cs="宋体"/>
                <w:color w:val="000000"/>
                <w:sz w:val="24"/>
                <w:szCs w:val="24"/>
              </w:rPr>
              <w:t>以“合理分水，管住用水”为抓手，以取水许可、地下水治理和生态流量管理为重点，推进水资源节约集约利用。推进主要河流水量分配和生态流量确定、水资源监控体系建设和水资源管理法制建设，提升水资源管理能力。扩大南水北调供水范围，提高水资源保障能力。深入实施节水行动，推进节水型社会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10" w:hRule="atLeast"/>
        </w:trPr>
        <w:tc>
          <w:tcPr>
            <w:tcW w:w="855"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2205"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sz w:val="24"/>
                <w:szCs w:val="24"/>
              </w:rPr>
            </w:pPr>
            <w:r>
              <w:rPr>
                <w:rFonts w:hint="eastAsia" w:ascii="宋体" w:hAnsi="宋体" w:eastAsia="宋体" w:cs="宋体"/>
                <w:sz w:val="24"/>
                <w:szCs w:val="24"/>
              </w:rPr>
              <w:t>河湖管理</w:t>
            </w:r>
          </w:p>
        </w:tc>
        <w:tc>
          <w:tcPr>
            <w:tcW w:w="5358"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sz w:val="24"/>
                <w:szCs w:val="24"/>
              </w:rPr>
            </w:pPr>
            <w:r>
              <w:rPr>
                <w:rFonts w:hint="eastAsia" w:ascii="宋体" w:hAnsi="宋体" w:eastAsia="宋体" w:cs="宋体"/>
                <w:sz w:val="24"/>
                <w:szCs w:val="24"/>
              </w:rPr>
              <w:t>完善流域、水系河湖长制工作体系，探索建立跨行政区域河流上下游、左右岸联防联控机制，压实河长湖长责任。持续开展河湖“清四乱”常态化规范化，消除存量、遏制增量，防止问题反弹。在全市建设一批示范河湖，发挥示范引领作用。严打非法采砂，推进合法采砂标准化建设，大力推广机制砂。</w:t>
            </w:r>
          </w:p>
        </w:tc>
      </w:tr>
      <w:bookmarkEnd w:id="10"/>
    </w:tbl>
    <w:p>
      <w:pPr>
        <w:pStyle w:val="10"/>
        <w:jc w:val="both"/>
        <w:rPr>
          <w:rFonts w:hint="eastAsia"/>
        </w:rPr>
      </w:pPr>
    </w:p>
    <w:p>
      <w:pPr>
        <w:pStyle w:val="10"/>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000000"/>
          <w:kern w:val="0"/>
          <w:sz w:val="32"/>
          <w:szCs w:val="32"/>
          <w:lang w:val="en-US" w:eastAsia="zh-CN" w:bidi="ar"/>
        </w:rPr>
      </w:pPr>
      <w:bookmarkStart w:id="11" w:name="_Toc23359"/>
      <w:r>
        <w:rPr>
          <w:rFonts w:hint="eastAsia" w:ascii="仿宋_GB2312" w:hAnsi="仿宋_GB2312" w:eastAsia="仿宋_GB2312" w:cs="仿宋_GB2312"/>
          <w:b/>
          <w:bCs/>
          <w:color w:val="000000"/>
          <w:kern w:val="0"/>
          <w:sz w:val="32"/>
          <w:szCs w:val="32"/>
          <w:lang w:val="en-US" w:eastAsia="zh-CN" w:bidi="ar"/>
        </w:rPr>
        <w:t>部门年度整体绩效目标</w:t>
      </w:r>
      <w:bookmarkEnd w:id="11"/>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cs="仿宋_GB2312"/>
          <w:b w:val="0"/>
          <w:color w:val="000000"/>
          <w:kern w:val="0"/>
          <w:sz w:val="32"/>
          <w:szCs w:val="32"/>
          <w:lang w:val="en-US" w:eastAsia="zh-CN" w:bidi="ar"/>
        </w:rPr>
      </w:pPr>
      <w:r>
        <w:rPr>
          <w:rFonts w:hint="eastAsia" w:cs="仿宋_GB2312"/>
          <w:b w:val="0"/>
          <w:color w:val="000000"/>
          <w:kern w:val="0"/>
          <w:sz w:val="32"/>
          <w:szCs w:val="32"/>
          <w:lang w:val="en-US" w:eastAsia="zh-CN" w:bidi="ar"/>
        </w:rPr>
        <w:t>安阳县水利局</w:t>
      </w:r>
      <w:r>
        <w:rPr>
          <w:rFonts w:hint="eastAsia" w:ascii="仿宋_GB2312" w:hAnsi="仿宋_GB2312" w:eastAsia="仿宋_GB2312" w:cs="仿宋_GB2312"/>
          <w:b w:val="0"/>
          <w:color w:val="000000"/>
          <w:kern w:val="0"/>
          <w:sz w:val="32"/>
          <w:szCs w:val="32"/>
          <w:lang w:val="en-US" w:eastAsia="zh-CN" w:bidi="ar"/>
        </w:rPr>
        <w:t>填报了202</w:t>
      </w:r>
      <w:r>
        <w:rPr>
          <w:rFonts w:hint="eastAsia" w:cs="仿宋_GB2312"/>
          <w:b w:val="0"/>
          <w:color w:val="000000"/>
          <w:kern w:val="0"/>
          <w:sz w:val="32"/>
          <w:szCs w:val="32"/>
          <w:lang w:val="en-US" w:eastAsia="zh-CN" w:bidi="ar"/>
        </w:rPr>
        <w:t>2</w:t>
      </w:r>
      <w:r>
        <w:rPr>
          <w:rFonts w:hint="eastAsia" w:ascii="仿宋_GB2312" w:hAnsi="仿宋_GB2312" w:eastAsia="仿宋_GB2312" w:cs="仿宋_GB2312"/>
          <w:b w:val="0"/>
          <w:color w:val="000000"/>
          <w:kern w:val="0"/>
          <w:sz w:val="32"/>
          <w:szCs w:val="32"/>
          <w:lang w:val="en-US" w:eastAsia="zh-CN" w:bidi="ar"/>
        </w:rPr>
        <w:t>年度部门整体支出绩效目标申报表，明确了年度履职目标和年度主要任务</w:t>
      </w:r>
      <w:r>
        <w:rPr>
          <w:rFonts w:hint="eastAsia" w:cs="仿宋_GB2312"/>
          <w:b w:val="0"/>
          <w:color w:val="000000"/>
          <w:kern w:val="0"/>
          <w:sz w:val="32"/>
          <w:szCs w:val="32"/>
          <w:lang w:val="en-US" w:eastAsia="zh-CN" w:bidi="ar"/>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color w:val="000000"/>
          <w:kern w:val="0"/>
          <w:sz w:val="32"/>
          <w:szCs w:val="32"/>
          <w:lang w:val="en-US" w:eastAsia="zh-CN" w:bidi="ar"/>
        </w:rPr>
      </w:pPr>
      <w:r>
        <w:rPr>
          <w:rFonts w:hint="eastAsia" w:ascii="仿宋_GB2312" w:hAnsi="仿宋_GB2312" w:eastAsia="仿宋_GB2312" w:cs="仿宋_GB2312"/>
          <w:b w:val="0"/>
          <w:color w:val="000000"/>
          <w:kern w:val="0"/>
          <w:sz w:val="32"/>
          <w:szCs w:val="32"/>
          <w:lang w:val="en-US" w:eastAsia="zh-CN" w:bidi="ar"/>
        </w:rPr>
        <w:t>年度绩效目标：全面贯彻党的十九届五中全会精神，着力践行水利改革发展总基调，深入推进四水同治，加快构建兴利除害现代水网体系，有力发挥稳投资促增长保民生作用。紧盯超标洪水、水库失事、山洪灾害三大突出风险，认真做好水灾害应对工作，确保人民群众生命安全；以“合理分水，管住用水”为抓手，以取水许可、用途管制、地下水治理和生态流量管理为重点，推进水资源节约集约利用；以河长制为主平台，紧盯水资源、河湖管理等风险高发领域，坚持以问题为导向，以整改为目标，以问责为抓手，建立健全务实高效管用的监管体系，全力推进水利事业高质量发展，为经济社会持续健康发展提供强有力的水利支撑。</w:t>
      </w:r>
    </w:p>
    <w:p>
      <w:pPr>
        <w:keepNext w:val="0"/>
        <w:keepLines w:val="0"/>
        <w:pageBreakBefore w:val="0"/>
        <w:widowControl/>
        <w:suppressLineNumbers w:val="0"/>
        <w:kinsoku/>
        <w:wordWrap/>
        <w:overflowPunct/>
        <w:topLinePunct w:val="0"/>
        <w:autoSpaceDE/>
        <w:autoSpaceDN/>
        <w:bidi w:val="0"/>
        <w:spacing w:line="540" w:lineRule="exact"/>
        <w:ind w:firstLine="321" w:firstLineChars="10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color w:val="000000"/>
          <w:sz w:val="32"/>
          <w:szCs w:val="32"/>
        </w:rPr>
        <w:t>表1-2</w:t>
      </w:r>
      <w:r>
        <w:rPr>
          <w:rFonts w:hint="eastAsia" w:ascii="仿宋_GB2312" w:hAnsi="仿宋_GB2312" w:eastAsia="仿宋_GB2312" w:cs="仿宋_GB2312"/>
          <w:b/>
          <w:bCs/>
          <w:color w:val="000000"/>
          <w:sz w:val="32"/>
          <w:szCs w:val="32"/>
          <w:lang w:val="en-US" w:eastAsia="zh-CN"/>
        </w:rPr>
        <w:t xml:space="preserve"> </w:t>
      </w:r>
      <w:r>
        <w:rPr>
          <w:rFonts w:hint="eastAsia" w:ascii="仿宋_GB2312" w:hAnsi="仿宋_GB2312" w:eastAsia="仿宋_GB2312" w:cs="仿宋_GB2312"/>
          <w:b/>
          <w:bCs/>
          <w:color w:val="000000"/>
          <w:sz w:val="32"/>
          <w:szCs w:val="32"/>
        </w:rPr>
        <w:t xml:space="preserve"> </w:t>
      </w:r>
      <w:r>
        <w:rPr>
          <w:rFonts w:hint="eastAsia" w:ascii="仿宋_GB2312" w:hAnsi="仿宋_GB2312" w:eastAsia="仿宋_GB2312" w:cs="仿宋_GB2312"/>
          <w:b/>
          <w:bCs/>
          <w:color w:val="000000"/>
          <w:sz w:val="32"/>
          <w:szCs w:val="32"/>
          <w:lang w:eastAsia="zh-CN"/>
        </w:rPr>
        <w:t>2022年度安阳县水利局</w:t>
      </w:r>
      <w:r>
        <w:rPr>
          <w:rFonts w:hint="eastAsia" w:ascii="仿宋_GB2312" w:hAnsi="仿宋_GB2312" w:eastAsia="仿宋_GB2312" w:cs="仿宋_GB2312"/>
          <w:b/>
          <w:bCs/>
          <w:color w:val="000000"/>
          <w:sz w:val="32"/>
          <w:szCs w:val="32"/>
        </w:rPr>
        <w:t>部门整体支出绩效目标申报表</w:t>
      </w:r>
    </w:p>
    <w:tbl>
      <w:tblPr>
        <w:tblStyle w:val="6"/>
        <w:tblW w:w="9240"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25"/>
        <w:gridCol w:w="1591"/>
        <w:gridCol w:w="1283"/>
        <w:gridCol w:w="951"/>
        <w:gridCol w:w="3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0" w:hRule="atLeast"/>
        </w:trPr>
        <w:tc>
          <w:tcPr>
            <w:tcW w:w="1425"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部门名称</w:t>
            </w:r>
          </w:p>
        </w:tc>
        <w:tc>
          <w:tcPr>
            <w:tcW w:w="7815" w:type="dxa"/>
            <w:gridSpan w:val="4"/>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lang w:val="en-US" w:eastAsia="zh-CN"/>
              </w:rPr>
            </w:pPr>
            <w:r>
              <w:rPr>
                <w:rFonts w:hint="eastAsia" w:ascii="宋体" w:hAnsi="宋体" w:cs="宋体"/>
                <w:b w:val="0"/>
                <w:bCs w:val="0"/>
                <w:color w:val="000000"/>
                <w:sz w:val="24"/>
                <w:szCs w:val="24"/>
                <w:lang w:val="en-US" w:eastAsia="zh-CN"/>
              </w:rPr>
              <w:t>安阳县水利局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19" w:hRule="atLeast"/>
        </w:trPr>
        <w:tc>
          <w:tcPr>
            <w:tcW w:w="1425" w:type="dxa"/>
            <w:noWrap w:val="0"/>
            <w:vAlign w:val="top"/>
          </w:tcPr>
          <w:p>
            <w:pPr>
              <w:keepNext w:val="0"/>
              <w:keepLines w:val="0"/>
              <w:pageBreakBefore w:val="0"/>
              <w:kinsoku/>
              <w:wordWrap/>
              <w:overflowPunct/>
              <w:topLinePunct w:val="0"/>
              <w:autoSpaceDE/>
              <w:autoSpaceDN/>
              <w:bidi w:val="0"/>
              <w:spacing w:before="135"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年度</w:t>
            </w:r>
            <w:r>
              <w:rPr>
                <w:rFonts w:hint="eastAsia" w:ascii="宋体" w:hAnsi="宋体" w:cs="宋体"/>
                <w:b w:val="0"/>
                <w:bCs w:val="0"/>
                <w:color w:val="000000"/>
                <w:sz w:val="24"/>
                <w:szCs w:val="24"/>
                <w:lang w:eastAsia="zh-CN"/>
              </w:rPr>
              <w:t>履</w:t>
            </w:r>
            <w:r>
              <w:rPr>
                <w:rFonts w:hint="eastAsia" w:ascii="宋体" w:hAnsi="宋体" w:eastAsia="宋体" w:cs="宋体"/>
                <w:b w:val="0"/>
                <w:bCs w:val="0"/>
                <w:color w:val="000000"/>
                <w:sz w:val="24"/>
                <w:szCs w:val="24"/>
              </w:rPr>
              <w:t>职</w:t>
            </w:r>
          </w:p>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目标</w:t>
            </w:r>
          </w:p>
        </w:tc>
        <w:tc>
          <w:tcPr>
            <w:tcW w:w="7815" w:type="dxa"/>
            <w:gridSpan w:val="4"/>
            <w:noWrap w:val="0"/>
            <w:vAlign w:val="top"/>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kern w:val="2"/>
                <w:sz w:val="24"/>
                <w:szCs w:val="24"/>
                <w:lang w:val="en-US" w:eastAsia="zh-CN" w:bidi="ar-SA"/>
              </w:rPr>
              <w:t>全面贯彻党的十九届五中全会精神，着力践行水利改革发展总基调，深入推进四水同治，加快构建兴利除害现代水网体系，有力发挥稳投资促增长保民生作用。紧盯超标洪水、水库失事、山洪灾害三大突出风险，认真做好水灾害应对工作，确保人民群众生命安全；以“合理分水，管住用水”为抓手，以取水许可、用途管制、地下水治理和生态流量管理为重点，推进水资源节约集约利用；以河长制为主平台，紧盯水资源、河湖管理等风险高发领域，坚持以问题为导向，以整改为目标，以问责为抓手，建立健全务实高效管用的监管体系，全力推进水利事业高质量发展，为经济社会持续健康发展提供强有力的水利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1425" w:type="dxa"/>
            <w:vMerge w:val="restart"/>
            <w:noWrap w:val="0"/>
            <w:vAlign w:val="top"/>
          </w:tcPr>
          <w:p>
            <w:pPr>
              <w:keepNext w:val="0"/>
              <w:keepLines w:val="0"/>
              <w:pageBreakBefore w:val="0"/>
              <w:kinsoku/>
              <w:wordWrap/>
              <w:overflowPunct/>
              <w:topLinePunct w:val="0"/>
              <w:autoSpaceDE/>
              <w:autoSpaceDN/>
              <w:bidi w:val="0"/>
              <w:spacing w:before="1395"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年度主要</w:t>
            </w:r>
          </w:p>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任务</w:t>
            </w:r>
          </w:p>
        </w:tc>
        <w:tc>
          <w:tcPr>
            <w:tcW w:w="2874" w:type="dxa"/>
            <w:gridSpan w:val="2"/>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任务名称</w:t>
            </w:r>
          </w:p>
        </w:tc>
        <w:tc>
          <w:tcPr>
            <w:tcW w:w="4941" w:type="dxa"/>
            <w:gridSpan w:val="2"/>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425" w:type="dxa"/>
            <w:vMerge w:val="continue"/>
            <w:noWrap w:val="0"/>
            <w:vAlign w:val="top"/>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p>
        </w:tc>
        <w:tc>
          <w:tcPr>
            <w:tcW w:w="2874" w:type="dxa"/>
            <w:gridSpan w:val="2"/>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sz w:val="24"/>
                <w:szCs w:val="24"/>
                <w:lang w:eastAsia="zh-CN"/>
              </w:rPr>
              <w:t>水网建设</w:t>
            </w:r>
          </w:p>
        </w:tc>
        <w:tc>
          <w:tcPr>
            <w:tcW w:w="4941" w:type="dxa"/>
            <w:gridSpan w:val="2"/>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sz w:val="24"/>
                <w:szCs w:val="24"/>
              </w:rPr>
              <w:t>围绕促进高质量发展和我县重大发展战略，深入推进四水同治，加快构建兴利除害现代水网体系。力保农村饮水安全项目—城乡一体化供水、广润坡蓄滞洪区工程建设。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35" w:hRule="atLeast"/>
        </w:trPr>
        <w:tc>
          <w:tcPr>
            <w:tcW w:w="1425" w:type="dxa"/>
            <w:vMerge w:val="continue"/>
            <w:noWrap w:val="0"/>
            <w:vAlign w:val="top"/>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p>
        </w:tc>
        <w:tc>
          <w:tcPr>
            <w:tcW w:w="2874" w:type="dxa"/>
            <w:gridSpan w:val="2"/>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sz w:val="24"/>
                <w:szCs w:val="24"/>
                <w:lang w:eastAsia="zh-CN"/>
              </w:rPr>
              <w:t>灾害防御</w:t>
            </w:r>
          </w:p>
        </w:tc>
        <w:tc>
          <w:tcPr>
            <w:tcW w:w="4941" w:type="dxa"/>
            <w:gridSpan w:val="2"/>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sz w:val="24"/>
                <w:szCs w:val="24"/>
              </w:rPr>
              <w:t>加强水旱灾害防御预案体系建设和演练，提高雨情水情汛情分析研判和预报预警能力，依法依规科学实施水工程调度；发挥好行业优势，根据需要提供可靠的抢险技术支撑，紧盯超标洪水突出风险，认真做好应对。坚持防汛抗旱两手抓，做好应对旱情的思想准备，防止旱涝急转。落实应急供水保障措施，全力确保居民生活、工农业生产和生态用水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1" w:hRule="atLeast"/>
        </w:trPr>
        <w:tc>
          <w:tcPr>
            <w:tcW w:w="1425" w:type="dxa"/>
            <w:vMerge w:val="continue"/>
            <w:noWrap w:val="0"/>
            <w:vAlign w:val="top"/>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p>
        </w:tc>
        <w:tc>
          <w:tcPr>
            <w:tcW w:w="2874" w:type="dxa"/>
            <w:gridSpan w:val="2"/>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sz w:val="24"/>
                <w:szCs w:val="24"/>
                <w:lang w:val="en-US" w:eastAsia="zh-CN"/>
              </w:rPr>
              <w:t>水资源刚性约束</w:t>
            </w:r>
          </w:p>
        </w:tc>
        <w:tc>
          <w:tcPr>
            <w:tcW w:w="4941" w:type="dxa"/>
            <w:gridSpan w:val="2"/>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color w:val="000000"/>
                <w:sz w:val="24"/>
                <w:szCs w:val="24"/>
              </w:rPr>
              <w:t>以“合理分水，管住用水”为抓手，以取水许可、地下水治理和生态流量管理为重点，推进水资源节约集约利用。推进主要河流水量分配和生态流量确定、水资源监控体系建设和水资源管理法制建设，提升水资源管理能力。扩大南水北调供水范围，提高水资源保障能力。深入实施节水行动，推进节水型社会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60" w:hRule="atLeast"/>
        </w:trPr>
        <w:tc>
          <w:tcPr>
            <w:tcW w:w="1425" w:type="dxa"/>
            <w:vMerge w:val="continue"/>
            <w:noWrap w:val="0"/>
            <w:vAlign w:val="top"/>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p>
        </w:tc>
        <w:tc>
          <w:tcPr>
            <w:tcW w:w="2874" w:type="dxa"/>
            <w:gridSpan w:val="2"/>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sz w:val="24"/>
                <w:szCs w:val="24"/>
              </w:rPr>
              <w:t>河湖管理</w:t>
            </w:r>
          </w:p>
        </w:tc>
        <w:tc>
          <w:tcPr>
            <w:tcW w:w="4941" w:type="dxa"/>
            <w:gridSpan w:val="2"/>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sz w:val="24"/>
                <w:szCs w:val="24"/>
              </w:rPr>
              <w:t>完善流域、水系河湖长制工作体系，探索建立跨行政区域河流上下游、左右岸联防联控机制，压实河长湖长责任。持续开展河湖“清四乱”常态化规范化，消除存量、遏制增量，防止问题反弹。在全市建设一批示范河湖，发挥示范引领作用。严打非法采砂，推进合法采砂标准化建设，大力推广机制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425"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一级指标</w:t>
            </w:r>
          </w:p>
        </w:tc>
        <w:tc>
          <w:tcPr>
            <w:tcW w:w="1591"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二级指标</w:t>
            </w:r>
          </w:p>
        </w:tc>
        <w:tc>
          <w:tcPr>
            <w:tcW w:w="1283"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三级指标</w:t>
            </w:r>
          </w:p>
        </w:tc>
        <w:tc>
          <w:tcPr>
            <w:tcW w:w="951"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指标值</w:t>
            </w:r>
          </w:p>
        </w:tc>
        <w:tc>
          <w:tcPr>
            <w:tcW w:w="3990"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指标值说明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265" w:hRule="atLeast"/>
        </w:trPr>
        <w:tc>
          <w:tcPr>
            <w:tcW w:w="1425" w:type="dxa"/>
            <w:noWrap w:val="0"/>
            <w:vAlign w:val="top"/>
          </w:tcPr>
          <w:p>
            <w:pPr>
              <w:keepNext w:val="0"/>
              <w:keepLines w:val="0"/>
              <w:pageBreakBefore w:val="0"/>
              <w:kinsoku/>
              <w:wordWrap/>
              <w:overflowPunct/>
              <w:topLinePunct w:val="0"/>
              <w:autoSpaceDE/>
              <w:autoSpaceDN/>
              <w:bidi w:val="0"/>
              <w:spacing w:before="542"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投入管理</w:t>
            </w:r>
          </w:p>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指标</w:t>
            </w:r>
          </w:p>
        </w:tc>
        <w:tc>
          <w:tcPr>
            <w:tcW w:w="1591" w:type="dxa"/>
            <w:noWrap w:val="0"/>
            <w:vAlign w:val="top"/>
          </w:tcPr>
          <w:p>
            <w:pPr>
              <w:keepNext w:val="0"/>
              <w:keepLines w:val="0"/>
              <w:pageBreakBefore w:val="0"/>
              <w:kinsoku/>
              <w:wordWrap/>
              <w:overflowPunct/>
              <w:topLinePunct w:val="0"/>
              <w:autoSpaceDE/>
              <w:autoSpaceDN/>
              <w:bidi w:val="0"/>
              <w:spacing w:before="545"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预算和财务</w:t>
            </w:r>
          </w:p>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管理</w:t>
            </w:r>
          </w:p>
        </w:tc>
        <w:tc>
          <w:tcPr>
            <w:tcW w:w="1283"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预算执行率</w:t>
            </w:r>
          </w:p>
        </w:tc>
        <w:tc>
          <w:tcPr>
            <w:tcW w:w="951"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100%</w:t>
            </w:r>
          </w:p>
        </w:tc>
        <w:tc>
          <w:tcPr>
            <w:tcW w:w="3990"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预算执行率=（预算完成数/预算数）×100%。预算完成数指部门实际执行的预算数；预算数指财政部门批复的本年度部门的（调整）预算数。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55" w:hRule="atLeast"/>
        </w:trPr>
        <w:tc>
          <w:tcPr>
            <w:tcW w:w="1425" w:type="dxa"/>
            <w:noWrap w:val="0"/>
            <w:vAlign w:val="center"/>
          </w:tcPr>
          <w:p>
            <w:pPr>
              <w:keepNext w:val="0"/>
              <w:keepLines w:val="0"/>
              <w:pageBreakBefore w:val="0"/>
              <w:kinsoku/>
              <w:wordWrap/>
              <w:overflowPunct/>
              <w:topLinePunct w:val="0"/>
              <w:autoSpaceDE/>
              <w:autoSpaceDN/>
              <w:bidi w:val="0"/>
              <w:spacing w:before="367"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投入管理</w:t>
            </w:r>
          </w:p>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指标</w:t>
            </w:r>
          </w:p>
        </w:tc>
        <w:tc>
          <w:tcPr>
            <w:tcW w:w="1591" w:type="dxa"/>
            <w:noWrap w:val="0"/>
            <w:vAlign w:val="center"/>
          </w:tcPr>
          <w:p>
            <w:pPr>
              <w:keepNext w:val="0"/>
              <w:keepLines w:val="0"/>
              <w:pageBreakBefore w:val="0"/>
              <w:kinsoku/>
              <w:wordWrap/>
              <w:overflowPunct/>
              <w:topLinePunct w:val="0"/>
              <w:autoSpaceDE/>
              <w:autoSpaceDN/>
              <w:bidi w:val="0"/>
              <w:spacing w:before="386"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预算和财务</w:t>
            </w:r>
          </w:p>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管理</w:t>
            </w:r>
          </w:p>
        </w:tc>
        <w:tc>
          <w:tcPr>
            <w:tcW w:w="1283"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结转结余率</w:t>
            </w:r>
          </w:p>
        </w:tc>
        <w:tc>
          <w:tcPr>
            <w:tcW w:w="951"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lang w:val="en-US" w:eastAsia="zh-CN"/>
              </w:rPr>
            </w:pPr>
            <w:r>
              <w:rPr>
                <w:rFonts w:hint="eastAsia" w:ascii="宋体" w:hAnsi="宋体" w:cs="宋体"/>
                <w:b w:val="0"/>
                <w:bCs w:val="0"/>
                <w:color w:val="000000"/>
                <w:sz w:val="24"/>
                <w:szCs w:val="24"/>
                <w:lang w:val="en-US" w:eastAsia="zh-CN"/>
              </w:rPr>
              <w:t>0</w:t>
            </w:r>
          </w:p>
        </w:tc>
        <w:tc>
          <w:tcPr>
            <w:tcW w:w="3990"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结转结余率=结转结余总额/预算数*100%。结转结余总额是指部门本年度的结转结余资金之和。预算数是指财政部门批复的本年度部门的（调整）预算数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50" w:hRule="atLeast"/>
        </w:trPr>
        <w:tc>
          <w:tcPr>
            <w:tcW w:w="1425" w:type="dxa"/>
            <w:noWrap w:val="0"/>
            <w:vAlign w:val="top"/>
          </w:tcPr>
          <w:p>
            <w:pPr>
              <w:keepNext w:val="0"/>
              <w:keepLines w:val="0"/>
              <w:pageBreakBefore w:val="0"/>
              <w:kinsoku/>
              <w:wordWrap/>
              <w:overflowPunct/>
              <w:topLinePunct w:val="0"/>
              <w:autoSpaceDE/>
              <w:autoSpaceDN/>
              <w:bidi w:val="0"/>
              <w:spacing w:before="180"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投入管理</w:t>
            </w:r>
          </w:p>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指标</w:t>
            </w:r>
          </w:p>
        </w:tc>
        <w:tc>
          <w:tcPr>
            <w:tcW w:w="1591" w:type="dxa"/>
            <w:noWrap w:val="0"/>
            <w:vAlign w:val="top"/>
          </w:tcPr>
          <w:p>
            <w:pPr>
              <w:keepNext w:val="0"/>
              <w:keepLines w:val="0"/>
              <w:pageBreakBefore w:val="0"/>
              <w:kinsoku/>
              <w:wordWrap/>
              <w:overflowPunct/>
              <w:topLinePunct w:val="0"/>
              <w:autoSpaceDE/>
              <w:autoSpaceDN/>
              <w:bidi w:val="0"/>
              <w:spacing w:before="170"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预算和财务</w:t>
            </w:r>
          </w:p>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管理</w:t>
            </w:r>
          </w:p>
        </w:tc>
        <w:tc>
          <w:tcPr>
            <w:tcW w:w="1283" w:type="dxa"/>
            <w:noWrap w:val="0"/>
            <w:vAlign w:val="center"/>
          </w:tcPr>
          <w:p>
            <w:pPr>
              <w:keepNext w:val="0"/>
              <w:keepLines w:val="0"/>
              <w:pageBreakBefore w:val="0"/>
              <w:kinsoku/>
              <w:wordWrap/>
              <w:overflowPunct/>
              <w:topLinePunct w:val="0"/>
              <w:autoSpaceDE/>
              <w:autoSpaceDN/>
              <w:bidi w:val="0"/>
              <w:spacing w:before="175"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w:t>
            </w:r>
            <w:r>
              <w:rPr>
                <w:rFonts w:hint="eastAsia" w:ascii="宋体" w:hAnsi="宋体" w:cs="宋体"/>
                <w:b w:val="0"/>
                <w:bCs w:val="0"/>
                <w:color w:val="000000"/>
                <w:sz w:val="24"/>
                <w:szCs w:val="24"/>
                <w:lang w:eastAsia="zh-CN"/>
              </w:rPr>
              <w:t>三公经费”</w:t>
            </w:r>
            <w:r>
              <w:rPr>
                <w:rFonts w:hint="eastAsia" w:ascii="宋体" w:hAnsi="宋体" w:eastAsia="宋体" w:cs="宋体"/>
                <w:b w:val="0"/>
                <w:bCs w:val="0"/>
                <w:color w:val="000000"/>
                <w:sz w:val="24"/>
                <w:szCs w:val="24"/>
              </w:rPr>
              <w:t>控制率</w:t>
            </w:r>
          </w:p>
        </w:tc>
        <w:tc>
          <w:tcPr>
            <w:tcW w:w="951"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93%</w:t>
            </w:r>
          </w:p>
        </w:tc>
        <w:tc>
          <w:tcPr>
            <w:tcW w:w="3990"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“三公经费”控制率=本年度“三公经费”实际支出数/“三公经费”预算数*100%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595" w:hRule="atLeast"/>
        </w:trPr>
        <w:tc>
          <w:tcPr>
            <w:tcW w:w="1425" w:type="dxa"/>
            <w:noWrap w:val="0"/>
            <w:vAlign w:val="top"/>
          </w:tcPr>
          <w:p>
            <w:pPr>
              <w:keepNext w:val="0"/>
              <w:keepLines w:val="0"/>
              <w:pageBreakBefore w:val="0"/>
              <w:kinsoku/>
              <w:wordWrap/>
              <w:overflowPunct/>
              <w:topLinePunct w:val="0"/>
              <w:autoSpaceDE/>
              <w:autoSpaceDN/>
              <w:bidi w:val="0"/>
              <w:spacing w:before="595"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投入管理</w:t>
            </w:r>
          </w:p>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指标</w:t>
            </w:r>
          </w:p>
        </w:tc>
        <w:tc>
          <w:tcPr>
            <w:tcW w:w="1591" w:type="dxa"/>
            <w:noWrap w:val="0"/>
            <w:vAlign w:val="top"/>
          </w:tcPr>
          <w:p>
            <w:pPr>
              <w:keepNext w:val="0"/>
              <w:keepLines w:val="0"/>
              <w:pageBreakBefore w:val="0"/>
              <w:kinsoku/>
              <w:wordWrap/>
              <w:overflowPunct/>
              <w:topLinePunct w:val="0"/>
              <w:autoSpaceDE/>
              <w:autoSpaceDN/>
              <w:bidi w:val="0"/>
              <w:spacing w:before="570"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预算和财务</w:t>
            </w:r>
          </w:p>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管理</w:t>
            </w:r>
          </w:p>
        </w:tc>
        <w:tc>
          <w:tcPr>
            <w:tcW w:w="1283" w:type="dxa"/>
            <w:noWrap w:val="0"/>
            <w:vAlign w:val="top"/>
          </w:tcPr>
          <w:p>
            <w:pPr>
              <w:keepNext w:val="0"/>
              <w:keepLines w:val="0"/>
              <w:pageBreakBefore w:val="0"/>
              <w:kinsoku/>
              <w:wordWrap/>
              <w:overflowPunct/>
              <w:topLinePunct w:val="0"/>
              <w:autoSpaceDE/>
              <w:autoSpaceDN/>
              <w:bidi w:val="0"/>
              <w:spacing w:before="587"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政府采购执</w:t>
            </w:r>
          </w:p>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sz w:val="24"/>
                <w:szCs w:val="24"/>
              </w:rPr>
            </w:pPr>
            <w:r>
              <w:rPr>
                <w:rFonts w:hint="eastAsia" w:ascii="宋体" w:hAnsi="宋体" w:eastAsia="宋体" w:cs="宋体"/>
                <w:b w:val="0"/>
                <w:bCs w:val="0"/>
                <w:color w:val="000000"/>
                <w:sz w:val="24"/>
                <w:szCs w:val="24"/>
              </w:rPr>
              <w:t>行率</w:t>
            </w:r>
          </w:p>
        </w:tc>
        <w:tc>
          <w:tcPr>
            <w:tcW w:w="951" w:type="dxa"/>
            <w:noWrap w:val="0"/>
            <w:vAlign w:val="center"/>
          </w:tcPr>
          <w:p>
            <w:pPr>
              <w:keepNext w:val="0"/>
              <w:keepLines w:val="0"/>
              <w:pageBreakBefore w:val="0"/>
              <w:kinsoku/>
              <w:wordWrap/>
              <w:overflowPunct/>
              <w:topLinePunct w:val="0"/>
              <w:autoSpaceDE/>
              <w:autoSpaceDN/>
              <w:bidi w:val="0"/>
              <w:spacing w:line="540" w:lineRule="exact"/>
              <w:jc w:val="both"/>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75%</w:t>
            </w:r>
          </w:p>
        </w:tc>
        <w:tc>
          <w:tcPr>
            <w:tcW w:w="3990"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政府采购执行率=（实际政府采购金额/政府采购预算数）×100%。政府采购预算：采购机关根据事业发展计划和行政任务编制的、并经过规定程序批准的年度政府采购计划</w:t>
            </w:r>
          </w:p>
        </w:tc>
      </w:tr>
    </w:tbl>
    <w:p>
      <w:pPr>
        <w:pStyle w:val="10"/>
        <w:keepNext w:val="0"/>
        <w:keepLines w:val="0"/>
        <w:pageBreakBefore w:val="0"/>
        <w:kinsoku/>
        <w:wordWrap/>
        <w:overflowPunct/>
        <w:topLinePunct w:val="0"/>
        <w:autoSpaceDE/>
        <w:autoSpaceDN/>
        <w:bidi w:val="0"/>
        <w:spacing w:line="540" w:lineRule="exact"/>
        <w:ind w:left="0" w:leftChars="0" w:firstLine="0" w:firstLineChars="0"/>
        <w:jc w:val="both"/>
        <w:outlineLvl w:val="1"/>
        <w:rPr>
          <w:rFonts w:hint="eastAsia" w:ascii="仿宋_GB2312" w:hAnsi="仿宋_GB2312" w:eastAsia="仿宋_GB2312" w:cs="仿宋_GB2312"/>
          <w:b w:val="0"/>
          <w:bCs w:val="0"/>
          <w:color w:val="000000"/>
          <w:sz w:val="21"/>
          <w:szCs w:val="21"/>
          <w:lang w:val="en-US" w:eastAsia="zh-CN"/>
        </w:rPr>
      </w:pPr>
      <w:bookmarkStart w:id="12" w:name="_Toc19408"/>
      <w:bookmarkStart w:id="13" w:name="_Toc30201"/>
      <w:r>
        <w:rPr>
          <w:rFonts w:hint="eastAsia" w:ascii="仿宋_GB2312" w:hAnsi="仿宋_GB2312" w:eastAsia="仿宋_GB2312" w:cs="仿宋_GB2312"/>
          <w:b w:val="0"/>
          <w:bCs w:val="0"/>
          <w:color w:val="000000"/>
          <w:sz w:val="21"/>
          <w:szCs w:val="21"/>
          <w:lang w:val="en-US" w:eastAsia="zh-CN"/>
        </w:rPr>
        <w:t>注：资料来源于</w:t>
      </w:r>
      <w:r>
        <w:rPr>
          <w:rFonts w:hint="eastAsia" w:cs="仿宋_GB2312"/>
          <w:b w:val="0"/>
          <w:bCs w:val="0"/>
          <w:color w:val="000000"/>
          <w:sz w:val="21"/>
          <w:szCs w:val="21"/>
          <w:lang w:val="en-US" w:eastAsia="zh-CN"/>
        </w:rPr>
        <w:t>安阳县水利局2022年</w:t>
      </w:r>
      <w:r>
        <w:rPr>
          <w:rFonts w:hint="eastAsia" w:ascii="仿宋_GB2312" w:hAnsi="仿宋_GB2312" w:eastAsia="仿宋_GB2312" w:cs="仿宋_GB2312"/>
          <w:b w:val="0"/>
          <w:bCs w:val="0"/>
          <w:color w:val="000000"/>
          <w:sz w:val="21"/>
          <w:szCs w:val="21"/>
          <w:lang w:val="en-US" w:eastAsia="zh-CN"/>
        </w:rPr>
        <w:t>度部门整体支出绩效目标申报表。</w:t>
      </w:r>
      <w:bookmarkEnd w:id="12"/>
      <w:bookmarkEnd w:id="13"/>
    </w:p>
    <w:p>
      <w:pPr>
        <w:pStyle w:val="10"/>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000000"/>
          <w:kern w:val="0"/>
          <w:sz w:val="32"/>
          <w:szCs w:val="32"/>
          <w:lang w:val="en-US" w:eastAsia="zh-CN" w:bidi="ar"/>
        </w:rPr>
      </w:pPr>
      <w:bookmarkStart w:id="14" w:name="_Toc7104"/>
      <w:r>
        <w:rPr>
          <w:rFonts w:hint="eastAsia" w:ascii="仿宋_GB2312" w:hAnsi="仿宋_GB2312" w:eastAsia="仿宋_GB2312" w:cs="仿宋_GB2312"/>
          <w:b/>
          <w:bCs/>
          <w:color w:val="000000"/>
          <w:kern w:val="0"/>
          <w:sz w:val="32"/>
          <w:szCs w:val="32"/>
          <w:lang w:val="en-US" w:eastAsia="zh-CN" w:bidi="ar"/>
        </w:rPr>
        <w:t>绩效自评情况及结论</w:t>
      </w:r>
      <w:bookmarkEnd w:id="14"/>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color w:val="000000"/>
          <w:kern w:val="0"/>
          <w:sz w:val="32"/>
          <w:szCs w:val="32"/>
          <w:lang w:val="en-US" w:eastAsia="zh-CN" w:bidi="ar"/>
        </w:rPr>
      </w:pPr>
      <w:r>
        <w:rPr>
          <w:rFonts w:hint="eastAsia" w:cs="仿宋_GB2312"/>
          <w:b w:val="0"/>
          <w:color w:val="000000"/>
          <w:kern w:val="0"/>
          <w:sz w:val="32"/>
          <w:szCs w:val="32"/>
          <w:lang w:val="en-US" w:eastAsia="zh-CN" w:bidi="ar"/>
        </w:rPr>
        <w:t>安阳</w:t>
      </w:r>
      <w:r>
        <w:rPr>
          <w:rFonts w:hint="eastAsia" w:cs="仿宋_GB2312"/>
          <w:b w:val="0"/>
          <w:color w:val="000000"/>
          <w:kern w:val="0"/>
          <w:sz w:val="32"/>
          <w:szCs w:val="32"/>
          <w:highlight w:val="none"/>
          <w:lang w:val="en-US" w:eastAsia="zh-CN" w:bidi="ar"/>
        </w:rPr>
        <w:t>县水利局</w:t>
      </w:r>
      <w:r>
        <w:rPr>
          <w:rFonts w:hint="eastAsia" w:ascii="仿宋_GB2312" w:hAnsi="仿宋_GB2312" w:eastAsia="仿宋_GB2312" w:cs="仿宋_GB2312"/>
          <w:b w:val="0"/>
          <w:color w:val="000000"/>
          <w:kern w:val="0"/>
          <w:sz w:val="32"/>
          <w:szCs w:val="32"/>
          <w:highlight w:val="none"/>
          <w:lang w:val="en-US" w:eastAsia="zh-CN" w:bidi="ar"/>
        </w:rPr>
        <w:t>于202</w:t>
      </w:r>
      <w:r>
        <w:rPr>
          <w:rFonts w:hint="eastAsia" w:cs="仿宋_GB2312"/>
          <w:b w:val="0"/>
          <w:color w:val="000000"/>
          <w:kern w:val="0"/>
          <w:sz w:val="32"/>
          <w:szCs w:val="32"/>
          <w:highlight w:val="none"/>
          <w:lang w:val="en-US" w:eastAsia="zh-CN" w:bidi="ar"/>
        </w:rPr>
        <w:t>3</w:t>
      </w:r>
      <w:r>
        <w:rPr>
          <w:rFonts w:hint="eastAsia" w:ascii="仿宋_GB2312" w:hAnsi="仿宋_GB2312" w:eastAsia="仿宋_GB2312" w:cs="仿宋_GB2312"/>
          <w:b w:val="0"/>
          <w:color w:val="000000"/>
          <w:kern w:val="0"/>
          <w:sz w:val="32"/>
          <w:szCs w:val="32"/>
          <w:highlight w:val="none"/>
          <w:lang w:val="en-US" w:eastAsia="zh-CN" w:bidi="ar"/>
        </w:rPr>
        <w:t>年</w:t>
      </w:r>
      <w:r>
        <w:rPr>
          <w:rFonts w:hint="eastAsia" w:cs="仿宋_GB2312"/>
          <w:b w:val="0"/>
          <w:color w:val="000000"/>
          <w:kern w:val="0"/>
          <w:sz w:val="32"/>
          <w:szCs w:val="32"/>
          <w:highlight w:val="none"/>
          <w:lang w:val="en-US" w:eastAsia="zh-CN" w:bidi="ar"/>
        </w:rPr>
        <w:t>3</w:t>
      </w:r>
      <w:r>
        <w:rPr>
          <w:rFonts w:hint="eastAsia" w:ascii="仿宋_GB2312" w:hAnsi="仿宋_GB2312" w:eastAsia="仿宋_GB2312" w:cs="仿宋_GB2312"/>
          <w:b w:val="0"/>
          <w:color w:val="000000"/>
          <w:kern w:val="0"/>
          <w:sz w:val="32"/>
          <w:szCs w:val="32"/>
          <w:highlight w:val="none"/>
          <w:lang w:val="en-US" w:eastAsia="zh-CN" w:bidi="ar"/>
        </w:rPr>
        <w:t>月开展</w:t>
      </w:r>
      <w:r>
        <w:rPr>
          <w:rFonts w:hint="eastAsia" w:ascii="仿宋_GB2312" w:hAnsi="仿宋_GB2312" w:eastAsia="仿宋_GB2312" w:cs="仿宋_GB2312"/>
          <w:b w:val="0"/>
          <w:color w:val="000000"/>
          <w:kern w:val="0"/>
          <w:sz w:val="32"/>
          <w:szCs w:val="32"/>
          <w:lang w:val="en-US" w:eastAsia="zh-CN" w:bidi="ar"/>
        </w:rPr>
        <w:t>了部门(单位)整体预算绩效自评工作。</w:t>
      </w:r>
      <w:r>
        <w:rPr>
          <w:rFonts w:hint="eastAsia" w:cs="仿宋_GB2312"/>
          <w:b w:val="0"/>
          <w:color w:val="000000"/>
          <w:kern w:val="0"/>
          <w:sz w:val="32"/>
          <w:szCs w:val="32"/>
          <w:lang w:val="en-US" w:eastAsia="zh-CN" w:bidi="ar"/>
        </w:rPr>
        <w:t>安阳县水利局</w:t>
      </w:r>
      <w:r>
        <w:rPr>
          <w:rFonts w:hint="eastAsia" w:ascii="仿宋_GB2312" w:hAnsi="仿宋_GB2312" w:eastAsia="仿宋_GB2312" w:cs="仿宋_GB2312"/>
          <w:b w:val="0"/>
          <w:color w:val="000000"/>
          <w:kern w:val="0"/>
          <w:sz w:val="32"/>
          <w:szCs w:val="32"/>
          <w:lang w:val="en-US" w:eastAsia="zh-CN" w:bidi="ar"/>
        </w:rPr>
        <w:t>202</w:t>
      </w:r>
      <w:r>
        <w:rPr>
          <w:rFonts w:hint="eastAsia" w:cs="仿宋_GB2312"/>
          <w:b w:val="0"/>
          <w:color w:val="000000"/>
          <w:kern w:val="0"/>
          <w:sz w:val="32"/>
          <w:szCs w:val="32"/>
          <w:lang w:val="en-US" w:eastAsia="zh-CN" w:bidi="ar"/>
        </w:rPr>
        <w:t>2</w:t>
      </w:r>
      <w:r>
        <w:rPr>
          <w:rFonts w:hint="eastAsia" w:ascii="仿宋_GB2312" w:hAnsi="仿宋_GB2312" w:eastAsia="仿宋_GB2312" w:cs="仿宋_GB2312"/>
          <w:b w:val="0"/>
          <w:color w:val="000000"/>
          <w:kern w:val="0"/>
          <w:sz w:val="32"/>
          <w:szCs w:val="32"/>
          <w:lang w:val="en-US" w:eastAsia="zh-CN" w:bidi="ar"/>
        </w:rPr>
        <w:t>年部门(单位)整体预算绩效自评得分9</w:t>
      </w:r>
      <w:r>
        <w:rPr>
          <w:rFonts w:hint="eastAsia" w:cs="仿宋_GB2312"/>
          <w:b w:val="0"/>
          <w:color w:val="000000"/>
          <w:kern w:val="0"/>
          <w:sz w:val="32"/>
          <w:szCs w:val="32"/>
          <w:lang w:val="en-US" w:eastAsia="zh-CN" w:bidi="ar"/>
        </w:rPr>
        <w:t>1</w:t>
      </w:r>
      <w:r>
        <w:rPr>
          <w:rFonts w:hint="eastAsia" w:ascii="仿宋_GB2312" w:hAnsi="仿宋_GB2312" w:eastAsia="仿宋_GB2312" w:cs="仿宋_GB2312"/>
          <w:b w:val="0"/>
          <w:color w:val="000000"/>
          <w:kern w:val="0"/>
          <w:sz w:val="32"/>
          <w:szCs w:val="32"/>
          <w:lang w:val="en-US" w:eastAsia="zh-CN" w:bidi="ar"/>
        </w:rPr>
        <w:t>分，绩效等级为“优”。</w:t>
      </w:r>
    </w:p>
    <w:p>
      <w:pPr>
        <w:pStyle w:val="10"/>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000000"/>
          <w:kern w:val="0"/>
          <w:sz w:val="32"/>
          <w:szCs w:val="32"/>
          <w:lang w:val="en-US" w:eastAsia="zh-CN" w:bidi="ar"/>
        </w:rPr>
      </w:pPr>
      <w:bookmarkStart w:id="15" w:name="_Toc19674"/>
      <w:bookmarkStart w:id="16" w:name="_Toc5690"/>
      <w:bookmarkStart w:id="17" w:name="_Toc3570"/>
      <w:r>
        <w:rPr>
          <w:rFonts w:hint="eastAsia" w:ascii="仿宋_GB2312" w:hAnsi="仿宋_GB2312" w:eastAsia="仿宋_GB2312" w:cs="仿宋_GB2312"/>
          <w:b/>
          <w:bCs/>
          <w:color w:val="000000"/>
          <w:kern w:val="0"/>
          <w:sz w:val="32"/>
          <w:szCs w:val="32"/>
          <w:lang w:val="en-US" w:eastAsia="zh-CN" w:bidi="ar"/>
        </w:rPr>
        <w:t>当年单位预算及执行情况</w:t>
      </w:r>
      <w:bookmarkEnd w:id="15"/>
      <w:bookmarkEnd w:id="16"/>
      <w:bookmarkEnd w:id="17"/>
      <w:r>
        <w:rPr>
          <w:rFonts w:hint="eastAsia" w:ascii="仿宋_GB2312" w:hAnsi="仿宋_GB2312" w:eastAsia="仿宋_GB2312" w:cs="仿宋_GB2312"/>
          <w:b/>
          <w:bCs/>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安阳县水利局2022年初财政预算收入为13,589.10万元，预算支出为13,589.10万元，其中：基本支出1,484.60万元，项目支出12,104.50万元。年终财政决算收入为32,321.19万元，财政决算支出为32,321.19万元，其中基本支出1,200.68万元，项目支出31,120.51万元。2022年无结余财政资金。</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表1-3  安阳县水利局部门预算资金批复、到位、执行情况汇总表</w:t>
      </w:r>
    </w:p>
    <w:p>
      <w:pPr>
        <w:pStyle w:val="10"/>
        <w:keepNext w:val="0"/>
        <w:keepLines w:val="0"/>
        <w:pageBreakBefore w:val="0"/>
        <w:kinsoku/>
        <w:wordWrap/>
        <w:overflowPunct/>
        <w:topLinePunct w:val="0"/>
        <w:autoSpaceDE/>
        <w:autoSpaceDN/>
        <w:bidi w:val="0"/>
        <w:spacing w:line="540" w:lineRule="exact"/>
        <w:ind w:left="0" w:leftChars="0" w:firstLine="6425" w:firstLineChars="2000"/>
        <w:jc w:val="both"/>
        <w:outlineLvl w:val="1"/>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 </w:t>
      </w:r>
      <w:bookmarkStart w:id="18" w:name="_Toc21793"/>
      <w:bookmarkStart w:id="19" w:name="_Toc3011"/>
      <w:bookmarkStart w:id="20" w:name="_Toc6427"/>
      <w:bookmarkStart w:id="21" w:name="_Toc31880"/>
      <w:r>
        <w:rPr>
          <w:rFonts w:hint="eastAsia" w:ascii="仿宋_GB2312" w:hAnsi="仿宋_GB2312" w:eastAsia="仿宋_GB2312" w:cs="仿宋_GB2312"/>
          <w:color w:val="000000"/>
          <w:sz w:val="28"/>
          <w:szCs w:val="28"/>
          <w:lang w:val="en-US" w:eastAsia="zh-CN"/>
        </w:rPr>
        <w:t>单位：万元</w:t>
      </w:r>
      <w:bookmarkEnd w:id="18"/>
      <w:bookmarkEnd w:id="19"/>
      <w:bookmarkEnd w:id="20"/>
      <w:bookmarkEnd w:id="21"/>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85"/>
        <w:gridCol w:w="1356"/>
        <w:gridCol w:w="1456"/>
        <w:gridCol w:w="1516"/>
        <w:gridCol w:w="1621"/>
        <w:gridCol w:w="1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8" w:hRule="atLeast"/>
        </w:trPr>
        <w:tc>
          <w:tcPr>
            <w:tcW w:w="585" w:type="dxa"/>
            <w:noWrap w:val="0"/>
            <w:vAlign w:val="center"/>
          </w:tcPr>
          <w:p>
            <w:pPr>
              <w:spacing w:line="491" w:lineRule="exact"/>
              <w:jc w:val="both"/>
              <w:rPr>
                <w:rFonts w:hint="eastAsia" w:ascii="宋体" w:hAnsi="宋体" w:eastAsia="宋体" w:cs="宋体"/>
                <w:b/>
                <w:bCs/>
                <w:sz w:val="24"/>
                <w:szCs w:val="24"/>
              </w:rPr>
            </w:pPr>
            <w:r>
              <w:rPr>
                <w:rFonts w:hint="eastAsia" w:ascii="宋体" w:hAnsi="宋体" w:eastAsia="宋体" w:cs="宋体"/>
                <w:b/>
                <w:bCs/>
                <w:color w:val="000000"/>
                <w:sz w:val="24"/>
                <w:szCs w:val="24"/>
              </w:rPr>
              <w:t>序号</w:t>
            </w:r>
          </w:p>
        </w:tc>
        <w:tc>
          <w:tcPr>
            <w:tcW w:w="1356" w:type="dxa"/>
            <w:noWrap w:val="0"/>
            <w:vAlign w:val="center"/>
          </w:tcPr>
          <w:p>
            <w:pPr>
              <w:spacing w:line="506" w:lineRule="exact"/>
              <w:jc w:val="both"/>
              <w:rPr>
                <w:rFonts w:hint="eastAsia" w:ascii="宋体" w:hAnsi="宋体" w:eastAsia="宋体" w:cs="宋体"/>
                <w:b/>
                <w:bCs/>
                <w:sz w:val="24"/>
                <w:szCs w:val="24"/>
              </w:rPr>
            </w:pPr>
            <w:r>
              <w:rPr>
                <w:rFonts w:hint="eastAsia" w:ascii="宋体" w:hAnsi="宋体" w:eastAsia="宋体" w:cs="宋体"/>
                <w:b/>
                <w:bCs/>
                <w:color w:val="000000"/>
                <w:sz w:val="24"/>
                <w:szCs w:val="24"/>
              </w:rPr>
              <w:t>名称</w:t>
            </w:r>
          </w:p>
        </w:tc>
        <w:tc>
          <w:tcPr>
            <w:tcW w:w="1456" w:type="dxa"/>
            <w:noWrap w:val="0"/>
            <w:vAlign w:val="center"/>
          </w:tcPr>
          <w:p>
            <w:pPr>
              <w:spacing w:line="450" w:lineRule="exact"/>
              <w:jc w:val="both"/>
              <w:rPr>
                <w:rFonts w:hint="eastAsia" w:ascii="宋体" w:hAnsi="宋体" w:eastAsia="宋体" w:cs="宋体"/>
                <w:b/>
                <w:bCs/>
                <w:sz w:val="24"/>
                <w:szCs w:val="24"/>
              </w:rPr>
            </w:pPr>
            <w:r>
              <w:rPr>
                <w:rFonts w:hint="eastAsia" w:ascii="宋体" w:hAnsi="宋体" w:eastAsia="宋体" w:cs="宋体"/>
                <w:b/>
                <w:bCs/>
                <w:color w:val="000000"/>
                <w:sz w:val="24"/>
                <w:szCs w:val="24"/>
              </w:rPr>
              <w:t>预算数</w:t>
            </w:r>
          </w:p>
        </w:tc>
        <w:tc>
          <w:tcPr>
            <w:tcW w:w="1516" w:type="dxa"/>
            <w:noWrap w:val="0"/>
            <w:vAlign w:val="center"/>
          </w:tcPr>
          <w:p>
            <w:pPr>
              <w:spacing w:line="574" w:lineRule="exact"/>
              <w:jc w:val="both"/>
              <w:rPr>
                <w:rFonts w:hint="eastAsia" w:ascii="宋体" w:hAnsi="宋体" w:eastAsia="宋体" w:cs="宋体"/>
                <w:b/>
                <w:bCs/>
                <w:sz w:val="24"/>
                <w:szCs w:val="24"/>
              </w:rPr>
            </w:pPr>
            <w:r>
              <w:rPr>
                <w:rFonts w:hint="eastAsia" w:ascii="宋体" w:hAnsi="宋体" w:eastAsia="宋体" w:cs="宋体"/>
                <w:b/>
                <w:bCs/>
                <w:color w:val="000000"/>
                <w:sz w:val="24"/>
                <w:szCs w:val="24"/>
                <w:lang w:eastAsia="zh-CN"/>
              </w:rPr>
              <w:t>实际</w:t>
            </w:r>
            <w:r>
              <w:rPr>
                <w:rFonts w:hint="eastAsia" w:ascii="宋体" w:hAnsi="宋体" w:eastAsia="宋体" w:cs="宋体"/>
                <w:b/>
                <w:bCs/>
                <w:color w:val="000000"/>
                <w:sz w:val="24"/>
                <w:szCs w:val="24"/>
              </w:rPr>
              <w:t>到位数</w:t>
            </w:r>
          </w:p>
        </w:tc>
        <w:tc>
          <w:tcPr>
            <w:tcW w:w="1621" w:type="dxa"/>
            <w:noWrap w:val="0"/>
            <w:vAlign w:val="center"/>
          </w:tcPr>
          <w:p>
            <w:pPr>
              <w:spacing w:line="464" w:lineRule="exact"/>
              <w:jc w:val="both"/>
              <w:rPr>
                <w:rFonts w:hint="eastAsia" w:ascii="宋体" w:hAnsi="宋体" w:eastAsia="宋体" w:cs="宋体"/>
                <w:b/>
                <w:bCs/>
                <w:sz w:val="24"/>
                <w:szCs w:val="24"/>
              </w:rPr>
            </w:pPr>
            <w:r>
              <w:rPr>
                <w:rFonts w:hint="eastAsia" w:ascii="宋体" w:hAnsi="宋体" w:eastAsia="宋体" w:cs="宋体"/>
                <w:b/>
                <w:bCs/>
                <w:color w:val="000000"/>
                <w:sz w:val="24"/>
                <w:szCs w:val="24"/>
                <w:lang w:eastAsia="zh-CN"/>
              </w:rPr>
              <w:t>实际</w:t>
            </w:r>
            <w:r>
              <w:rPr>
                <w:rFonts w:hint="eastAsia" w:ascii="宋体" w:hAnsi="宋体" w:eastAsia="宋体" w:cs="宋体"/>
                <w:b/>
                <w:bCs/>
                <w:color w:val="000000"/>
                <w:sz w:val="24"/>
                <w:szCs w:val="24"/>
              </w:rPr>
              <w:t>支</w:t>
            </w:r>
            <w:r>
              <w:rPr>
                <w:rFonts w:hint="eastAsia" w:ascii="宋体" w:hAnsi="宋体" w:eastAsia="宋体" w:cs="宋体"/>
                <w:b/>
                <w:bCs/>
                <w:color w:val="000000"/>
                <w:sz w:val="24"/>
                <w:szCs w:val="24"/>
                <w:lang w:eastAsia="zh-CN"/>
              </w:rPr>
              <w:t>出</w:t>
            </w:r>
            <w:r>
              <w:rPr>
                <w:rFonts w:hint="eastAsia" w:ascii="宋体" w:hAnsi="宋体" w:eastAsia="宋体" w:cs="宋体"/>
                <w:b/>
                <w:bCs/>
                <w:color w:val="000000"/>
                <w:sz w:val="24"/>
                <w:szCs w:val="24"/>
              </w:rPr>
              <w:t>数</w:t>
            </w:r>
          </w:p>
        </w:tc>
        <w:tc>
          <w:tcPr>
            <w:tcW w:w="1730" w:type="dxa"/>
            <w:noWrap w:val="0"/>
            <w:vAlign w:val="center"/>
          </w:tcPr>
          <w:p>
            <w:pPr>
              <w:spacing w:line="471" w:lineRule="exact"/>
              <w:jc w:val="both"/>
              <w:rPr>
                <w:rFonts w:hint="eastAsia" w:ascii="宋体" w:hAnsi="宋体" w:eastAsia="宋体" w:cs="宋体"/>
                <w:b/>
                <w:bCs/>
                <w:sz w:val="24"/>
                <w:szCs w:val="24"/>
              </w:rPr>
            </w:pPr>
            <w:r>
              <w:rPr>
                <w:rFonts w:hint="eastAsia" w:ascii="宋体" w:hAnsi="宋体" w:eastAsia="宋体" w:cs="宋体"/>
                <w:b/>
                <w:bCs/>
                <w:color w:val="000000"/>
                <w:sz w:val="24"/>
                <w:szCs w:val="24"/>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8" w:hRule="atLeast"/>
        </w:trPr>
        <w:tc>
          <w:tcPr>
            <w:tcW w:w="585" w:type="dxa"/>
            <w:noWrap w:val="0"/>
            <w:vAlign w:val="center"/>
          </w:tcPr>
          <w:p>
            <w:pPr>
              <w:spacing w:line="556" w:lineRule="exact"/>
              <w:jc w:val="both"/>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w:t>
            </w:r>
          </w:p>
        </w:tc>
        <w:tc>
          <w:tcPr>
            <w:tcW w:w="1356" w:type="dxa"/>
            <w:noWrap w:val="0"/>
            <w:vAlign w:val="center"/>
          </w:tcPr>
          <w:p>
            <w:pPr>
              <w:spacing w:line="556" w:lineRule="exact"/>
              <w:jc w:val="both"/>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基本支出</w:t>
            </w:r>
          </w:p>
        </w:tc>
        <w:tc>
          <w:tcPr>
            <w:tcW w:w="1456" w:type="dxa"/>
            <w:noWrap w:val="0"/>
            <w:vAlign w:val="center"/>
          </w:tcPr>
          <w:p>
            <w:pPr>
              <w:spacing w:line="556" w:lineRule="exact"/>
              <w:jc w:val="both"/>
              <w:rPr>
                <w:rFonts w:hint="default" w:ascii="宋体" w:hAnsi="宋体" w:eastAsia="宋体" w:cs="宋体"/>
                <w:b w:val="0"/>
                <w:bCs w:val="0"/>
                <w:sz w:val="24"/>
                <w:szCs w:val="24"/>
                <w:lang w:val="en-US" w:eastAsia="zh-CN"/>
              </w:rPr>
            </w:pPr>
            <w:r>
              <w:rPr>
                <w:rFonts w:hint="eastAsia" w:ascii="宋体" w:hAnsi="宋体" w:cs="宋体"/>
                <w:b w:val="0"/>
                <w:bCs w:val="0"/>
                <w:sz w:val="24"/>
                <w:szCs w:val="24"/>
                <w:highlight w:val="none"/>
                <w:lang w:val="en-US" w:eastAsia="zh-CN"/>
              </w:rPr>
              <w:t>1,484.60</w:t>
            </w:r>
          </w:p>
        </w:tc>
        <w:tc>
          <w:tcPr>
            <w:tcW w:w="1516" w:type="dxa"/>
            <w:noWrap w:val="0"/>
            <w:vAlign w:val="center"/>
          </w:tcPr>
          <w:p>
            <w:pPr>
              <w:spacing w:line="540" w:lineRule="exact"/>
              <w:jc w:val="both"/>
              <w:rPr>
                <w:rFonts w:hint="default" w:ascii="宋体" w:hAnsi="宋体" w:eastAsia="宋体" w:cs="宋体"/>
                <w:b w:val="0"/>
                <w:bCs w:val="0"/>
                <w:sz w:val="24"/>
                <w:szCs w:val="24"/>
                <w:highlight w:val="none"/>
                <w:lang w:val="en-US" w:eastAsia="zh-CN"/>
              </w:rPr>
            </w:pPr>
            <w:r>
              <w:rPr>
                <w:rFonts w:hint="default" w:ascii="宋体" w:hAnsi="宋体" w:eastAsia="宋体" w:cs="宋体"/>
                <w:b w:val="0"/>
                <w:bCs w:val="0"/>
                <w:sz w:val="24"/>
                <w:szCs w:val="24"/>
                <w:highlight w:val="none"/>
                <w:lang w:val="en-US" w:eastAsia="zh-CN"/>
              </w:rPr>
              <w:t>1,200.68</w:t>
            </w:r>
          </w:p>
        </w:tc>
        <w:tc>
          <w:tcPr>
            <w:tcW w:w="1621" w:type="dxa"/>
            <w:noWrap w:val="0"/>
            <w:vAlign w:val="center"/>
          </w:tcPr>
          <w:p>
            <w:pPr>
              <w:spacing w:line="537" w:lineRule="exact"/>
              <w:jc w:val="both"/>
              <w:rPr>
                <w:rFonts w:hint="default" w:ascii="宋体" w:hAnsi="宋体" w:eastAsia="宋体" w:cs="宋体"/>
                <w:b w:val="0"/>
                <w:bCs w:val="0"/>
                <w:sz w:val="24"/>
                <w:szCs w:val="24"/>
                <w:highlight w:val="none"/>
                <w:lang w:val="en-US" w:eastAsia="zh-CN"/>
              </w:rPr>
            </w:pPr>
            <w:r>
              <w:rPr>
                <w:rFonts w:hint="default" w:ascii="宋体" w:hAnsi="宋体" w:eastAsia="宋体" w:cs="宋体"/>
                <w:b w:val="0"/>
                <w:bCs w:val="0"/>
                <w:sz w:val="24"/>
                <w:szCs w:val="24"/>
                <w:highlight w:val="none"/>
                <w:lang w:val="en-US" w:eastAsia="zh-CN"/>
              </w:rPr>
              <w:t>1,200.68</w:t>
            </w:r>
          </w:p>
        </w:tc>
        <w:tc>
          <w:tcPr>
            <w:tcW w:w="1730" w:type="dxa"/>
            <w:noWrap w:val="0"/>
            <w:vAlign w:val="center"/>
          </w:tcPr>
          <w:p>
            <w:pPr>
              <w:spacing w:line="525" w:lineRule="exact"/>
              <w:jc w:val="both"/>
              <w:rPr>
                <w:rFonts w:hint="eastAsia" w:ascii="宋体" w:hAnsi="宋体" w:eastAsia="宋体" w:cs="宋体"/>
                <w:b w:val="0"/>
                <w:bCs w:val="0"/>
                <w:sz w:val="24"/>
                <w:szCs w:val="24"/>
                <w:highlight w:val="none"/>
              </w:rPr>
            </w:pPr>
            <w:r>
              <w:rPr>
                <w:rFonts w:hint="eastAsia" w:ascii="宋体" w:hAnsi="宋体" w:cs="宋体"/>
                <w:b w:val="0"/>
                <w:bCs w:val="0"/>
                <w:color w:val="000000"/>
                <w:sz w:val="24"/>
                <w:szCs w:val="24"/>
                <w:highlight w:val="none"/>
                <w:lang w:val="en-US" w:eastAsia="zh-CN"/>
              </w:rPr>
              <w:t>80.88</w:t>
            </w:r>
            <w:r>
              <w:rPr>
                <w:rFonts w:hint="eastAsia" w:ascii="宋体" w:hAnsi="宋体" w:eastAsia="宋体" w:cs="宋体"/>
                <w:b w:val="0"/>
                <w:bCs w:val="0"/>
                <w:color w:val="00000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8" w:hRule="atLeast"/>
        </w:trPr>
        <w:tc>
          <w:tcPr>
            <w:tcW w:w="585" w:type="dxa"/>
            <w:noWrap w:val="0"/>
            <w:vAlign w:val="center"/>
          </w:tcPr>
          <w:p>
            <w:pPr>
              <w:spacing w:line="556" w:lineRule="exact"/>
              <w:jc w:val="both"/>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w:t>
            </w:r>
          </w:p>
        </w:tc>
        <w:tc>
          <w:tcPr>
            <w:tcW w:w="1356" w:type="dxa"/>
            <w:noWrap w:val="0"/>
            <w:vAlign w:val="center"/>
          </w:tcPr>
          <w:p>
            <w:pPr>
              <w:spacing w:line="556" w:lineRule="exact"/>
              <w:jc w:val="both"/>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项目支出</w:t>
            </w:r>
          </w:p>
        </w:tc>
        <w:tc>
          <w:tcPr>
            <w:tcW w:w="1456" w:type="dxa"/>
            <w:noWrap w:val="0"/>
            <w:vAlign w:val="center"/>
          </w:tcPr>
          <w:p>
            <w:pPr>
              <w:spacing w:line="560" w:lineRule="exact"/>
              <w:jc w:val="both"/>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12,104.50</w:t>
            </w:r>
          </w:p>
        </w:tc>
        <w:tc>
          <w:tcPr>
            <w:tcW w:w="1516" w:type="dxa"/>
            <w:noWrap w:val="0"/>
            <w:vAlign w:val="center"/>
          </w:tcPr>
          <w:p>
            <w:pPr>
              <w:spacing w:line="540" w:lineRule="exact"/>
              <w:jc w:val="both"/>
              <w:rPr>
                <w:rFonts w:hint="default" w:ascii="宋体" w:hAnsi="宋体" w:eastAsia="宋体" w:cs="宋体"/>
                <w:b w:val="0"/>
                <w:bCs w:val="0"/>
                <w:sz w:val="24"/>
                <w:szCs w:val="24"/>
                <w:highlight w:val="none"/>
                <w:lang w:val="en-US" w:eastAsia="zh-CN"/>
              </w:rPr>
            </w:pPr>
            <w:r>
              <w:rPr>
                <w:rFonts w:hint="default" w:ascii="宋体" w:hAnsi="宋体" w:eastAsia="宋体" w:cs="宋体"/>
                <w:b w:val="0"/>
                <w:bCs w:val="0"/>
                <w:sz w:val="24"/>
                <w:szCs w:val="24"/>
                <w:highlight w:val="none"/>
                <w:lang w:val="en-US" w:eastAsia="zh-CN"/>
              </w:rPr>
              <w:t>31,120.51</w:t>
            </w:r>
          </w:p>
        </w:tc>
        <w:tc>
          <w:tcPr>
            <w:tcW w:w="1621" w:type="dxa"/>
            <w:noWrap w:val="0"/>
            <w:vAlign w:val="center"/>
          </w:tcPr>
          <w:p>
            <w:pPr>
              <w:spacing w:line="537" w:lineRule="exact"/>
              <w:jc w:val="both"/>
              <w:rPr>
                <w:rFonts w:hint="eastAsia" w:ascii="宋体" w:hAnsi="宋体" w:eastAsia="宋体" w:cs="宋体"/>
                <w:b w:val="0"/>
                <w:bCs w:val="0"/>
                <w:sz w:val="24"/>
                <w:szCs w:val="24"/>
                <w:highlight w:val="none"/>
                <w:lang w:val="en-US" w:eastAsia="zh-CN"/>
              </w:rPr>
            </w:pPr>
            <w:r>
              <w:rPr>
                <w:rFonts w:hint="default" w:ascii="宋体" w:hAnsi="宋体" w:eastAsia="宋体" w:cs="宋体"/>
                <w:b w:val="0"/>
                <w:bCs w:val="0"/>
                <w:sz w:val="24"/>
                <w:szCs w:val="24"/>
                <w:highlight w:val="none"/>
                <w:lang w:val="en-US" w:eastAsia="zh-CN"/>
              </w:rPr>
              <w:t>31,120.51</w:t>
            </w:r>
          </w:p>
        </w:tc>
        <w:tc>
          <w:tcPr>
            <w:tcW w:w="1730" w:type="dxa"/>
            <w:noWrap w:val="0"/>
            <w:vAlign w:val="center"/>
          </w:tcPr>
          <w:p>
            <w:pPr>
              <w:spacing w:line="502" w:lineRule="exact"/>
              <w:jc w:val="both"/>
              <w:rPr>
                <w:rFonts w:hint="eastAsia" w:ascii="宋体" w:hAnsi="宋体" w:eastAsia="宋体" w:cs="宋体"/>
                <w:b w:val="0"/>
                <w:bCs w:val="0"/>
                <w:sz w:val="24"/>
                <w:szCs w:val="24"/>
                <w:highlight w:val="none"/>
              </w:rPr>
            </w:pPr>
            <w:r>
              <w:rPr>
                <w:rFonts w:hint="eastAsia" w:ascii="宋体" w:hAnsi="宋体" w:cs="宋体"/>
                <w:b w:val="0"/>
                <w:bCs w:val="0"/>
                <w:color w:val="000000"/>
                <w:sz w:val="24"/>
                <w:szCs w:val="24"/>
                <w:highlight w:val="none"/>
                <w:lang w:val="en-US" w:eastAsia="zh-CN"/>
              </w:rPr>
              <w:t>257.10</w:t>
            </w:r>
            <w:r>
              <w:rPr>
                <w:rFonts w:hint="eastAsia" w:ascii="宋体" w:hAnsi="宋体" w:eastAsia="宋体" w:cs="宋体"/>
                <w:b w:val="0"/>
                <w:bCs w:val="0"/>
                <w:color w:val="00000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8" w:hRule="atLeast"/>
        </w:trPr>
        <w:tc>
          <w:tcPr>
            <w:tcW w:w="1941" w:type="dxa"/>
            <w:gridSpan w:val="2"/>
            <w:noWrap w:val="0"/>
            <w:vAlign w:val="center"/>
          </w:tcPr>
          <w:p>
            <w:pPr>
              <w:spacing w:line="556" w:lineRule="exact"/>
              <w:jc w:val="both"/>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sz w:val="24"/>
                <w:szCs w:val="24"/>
                <w:highlight w:val="none"/>
                <w:lang w:val="en-US" w:eastAsia="zh-CN"/>
              </w:rPr>
              <w:t>合计</w:t>
            </w:r>
          </w:p>
        </w:tc>
        <w:tc>
          <w:tcPr>
            <w:tcW w:w="1456" w:type="dxa"/>
            <w:noWrap w:val="0"/>
            <w:vAlign w:val="center"/>
          </w:tcPr>
          <w:p>
            <w:pPr>
              <w:spacing w:line="558" w:lineRule="exact"/>
              <w:jc w:val="both"/>
              <w:rPr>
                <w:rFonts w:hint="default" w:ascii="宋体" w:hAnsi="宋体" w:eastAsia="宋体" w:cs="宋体"/>
                <w:b w:val="0"/>
                <w:bCs w:val="0"/>
                <w:kern w:val="2"/>
                <w:sz w:val="24"/>
                <w:szCs w:val="24"/>
                <w:lang w:val="en-US" w:eastAsia="zh-CN" w:bidi="ar-SA"/>
              </w:rPr>
            </w:pPr>
            <w:r>
              <w:rPr>
                <w:rFonts w:hint="default" w:ascii="宋体" w:hAnsi="宋体" w:eastAsia="宋体" w:cs="宋体"/>
                <w:b w:val="0"/>
                <w:bCs w:val="0"/>
                <w:kern w:val="2"/>
                <w:sz w:val="24"/>
                <w:szCs w:val="24"/>
                <w:lang w:val="en-US" w:eastAsia="zh-CN" w:bidi="ar-SA"/>
              </w:rPr>
              <w:t>13,589.10</w:t>
            </w:r>
          </w:p>
        </w:tc>
        <w:tc>
          <w:tcPr>
            <w:tcW w:w="1516" w:type="dxa"/>
            <w:noWrap w:val="0"/>
            <w:vAlign w:val="center"/>
          </w:tcPr>
          <w:p>
            <w:pPr>
              <w:spacing w:line="556" w:lineRule="exact"/>
              <w:jc w:val="both"/>
              <w:rPr>
                <w:rFonts w:hint="default" w:ascii="宋体" w:hAnsi="宋体" w:eastAsia="宋体" w:cs="宋体"/>
                <w:b w:val="0"/>
                <w:bCs w:val="0"/>
                <w:kern w:val="2"/>
                <w:sz w:val="24"/>
                <w:szCs w:val="24"/>
                <w:highlight w:val="none"/>
                <w:lang w:val="en-US" w:eastAsia="zh-CN" w:bidi="ar-SA"/>
              </w:rPr>
            </w:pPr>
            <w:r>
              <w:rPr>
                <w:rFonts w:hint="default" w:ascii="宋体" w:hAnsi="宋体" w:eastAsia="宋体" w:cs="宋体"/>
                <w:b w:val="0"/>
                <w:bCs w:val="0"/>
                <w:kern w:val="2"/>
                <w:sz w:val="24"/>
                <w:szCs w:val="24"/>
                <w:highlight w:val="none"/>
                <w:lang w:val="en-US" w:eastAsia="zh-CN" w:bidi="ar-SA"/>
              </w:rPr>
              <w:t>32,321.19</w:t>
            </w:r>
          </w:p>
        </w:tc>
        <w:tc>
          <w:tcPr>
            <w:tcW w:w="1621" w:type="dxa"/>
            <w:noWrap w:val="0"/>
            <w:vAlign w:val="center"/>
          </w:tcPr>
          <w:p>
            <w:pPr>
              <w:spacing w:line="551" w:lineRule="exact"/>
              <w:jc w:val="both"/>
              <w:rPr>
                <w:rFonts w:hint="default" w:ascii="宋体" w:hAnsi="宋体" w:eastAsia="宋体" w:cs="宋体"/>
                <w:b w:val="0"/>
                <w:bCs w:val="0"/>
                <w:kern w:val="2"/>
                <w:sz w:val="24"/>
                <w:szCs w:val="24"/>
                <w:highlight w:val="none"/>
                <w:lang w:val="en-US" w:eastAsia="zh-CN" w:bidi="ar-SA"/>
              </w:rPr>
            </w:pPr>
            <w:r>
              <w:rPr>
                <w:rFonts w:hint="default" w:ascii="宋体" w:hAnsi="宋体" w:eastAsia="宋体" w:cs="宋体"/>
                <w:b w:val="0"/>
                <w:bCs w:val="0"/>
                <w:kern w:val="2"/>
                <w:sz w:val="24"/>
                <w:szCs w:val="24"/>
                <w:highlight w:val="none"/>
                <w:lang w:val="en-US" w:eastAsia="zh-CN" w:bidi="ar-SA"/>
              </w:rPr>
              <w:t>32,321.19</w:t>
            </w:r>
          </w:p>
        </w:tc>
        <w:tc>
          <w:tcPr>
            <w:tcW w:w="1730" w:type="dxa"/>
            <w:noWrap w:val="0"/>
            <w:vAlign w:val="center"/>
          </w:tcPr>
          <w:p>
            <w:pPr>
              <w:spacing w:line="556" w:lineRule="exact"/>
              <w:jc w:val="both"/>
              <w:rPr>
                <w:rFonts w:hint="eastAsia" w:ascii="宋体" w:hAnsi="宋体" w:eastAsia="宋体" w:cs="宋体"/>
                <w:b w:val="0"/>
                <w:bCs w:val="0"/>
                <w:kern w:val="2"/>
                <w:sz w:val="24"/>
                <w:szCs w:val="24"/>
                <w:highlight w:val="none"/>
                <w:lang w:val="en-US" w:eastAsia="zh-CN" w:bidi="ar-SA"/>
              </w:rPr>
            </w:pPr>
            <w:r>
              <w:rPr>
                <w:rFonts w:hint="eastAsia" w:ascii="宋体" w:hAnsi="宋体" w:cs="宋体"/>
                <w:b w:val="0"/>
                <w:bCs w:val="0"/>
                <w:color w:val="000000"/>
                <w:sz w:val="24"/>
                <w:szCs w:val="24"/>
                <w:highlight w:val="none"/>
                <w:lang w:val="en-US" w:eastAsia="zh-CN"/>
              </w:rPr>
              <w:t>237.85</w:t>
            </w:r>
            <w:r>
              <w:rPr>
                <w:rFonts w:hint="eastAsia" w:ascii="宋体" w:hAnsi="宋体" w:eastAsia="宋体" w:cs="宋体"/>
                <w:b w:val="0"/>
                <w:bCs w:val="0"/>
                <w:color w:val="000000"/>
                <w:sz w:val="24"/>
                <w:szCs w:val="24"/>
                <w:highlight w:val="none"/>
              </w:rPr>
              <w:t>%</w:t>
            </w:r>
          </w:p>
        </w:tc>
      </w:tr>
    </w:tbl>
    <w:p>
      <w:pPr>
        <w:pStyle w:val="10"/>
        <w:keepNext w:val="0"/>
        <w:keepLines w:val="0"/>
        <w:pageBreakBefore w:val="0"/>
        <w:widowControl w:val="0"/>
        <w:numPr>
          <w:ilvl w:val="0"/>
          <w:numId w:val="2"/>
        </w:numPr>
        <w:kinsoku/>
        <w:wordWrap/>
        <w:overflowPunct/>
        <w:topLinePunct w:val="0"/>
        <w:autoSpaceDE/>
        <w:autoSpaceDN/>
        <w:bidi w:val="0"/>
        <w:adjustRightInd/>
        <w:snapToGrid/>
        <w:spacing w:line="360" w:lineRule="auto"/>
        <w:ind w:left="-342" w:leftChars="0" w:firstLineChars="0"/>
        <w:jc w:val="both"/>
        <w:textAlignment w:val="auto"/>
        <w:outlineLvl w:val="0"/>
        <w:rPr>
          <w:rFonts w:hint="eastAsia" w:asciiTheme="majorEastAsia" w:hAnsiTheme="majorEastAsia" w:eastAsiaTheme="majorEastAsia" w:cstheme="majorEastAsia"/>
          <w:b/>
          <w:bCs/>
          <w:color w:val="000000"/>
          <w:kern w:val="0"/>
          <w:sz w:val="32"/>
          <w:szCs w:val="32"/>
          <w:lang w:val="en-US" w:eastAsia="zh-CN" w:bidi="ar"/>
        </w:rPr>
      </w:pPr>
      <w:bookmarkStart w:id="22" w:name="_Toc24496"/>
      <w:r>
        <w:rPr>
          <w:rFonts w:hint="eastAsia" w:asciiTheme="majorEastAsia" w:hAnsiTheme="majorEastAsia" w:eastAsiaTheme="majorEastAsia" w:cstheme="majorEastAsia"/>
          <w:b/>
          <w:bCs/>
          <w:color w:val="000000"/>
          <w:kern w:val="0"/>
          <w:sz w:val="32"/>
          <w:szCs w:val="32"/>
          <w:lang w:val="en-US" w:eastAsia="zh-CN" w:bidi="ar"/>
        </w:rPr>
        <w:t>绩效评价指标体系分析</w:t>
      </w:r>
      <w:bookmarkEnd w:id="22"/>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仿宋_GB2312" w:hAnsi="仿宋_GB2312" w:eastAsia="仿宋_GB2312" w:cs="仿宋_GB2312"/>
          <w:b/>
          <w:bCs/>
          <w:color w:val="000000"/>
          <w:kern w:val="0"/>
          <w:sz w:val="32"/>
          <w:szCs w:val="32"/>
          <w:lang w:val="en-US" w:eastAsia="zh-CN" w:bidi="ar"/>
        </w:rPr>
      </w:pPr>
      <w:r>
        <w:rPr>
          <w:rFonts w:hint="eastAsia" w:cs="仿宋_GB2312"/>
          <w:b/>
          <w:bCs/>
          <w:color w:val="000000"/>
          <w:kern w:val="0"/>
          <w:sz w:val="32"/>
          <w:szCs w:val="32"/>
          <w:lang w:val="en-US" w:eastAsia="zh-CN" w:bidi="ar"/>
        </w:rPr>
        <w:t>（一）</w:t>
      </w:r>
      <w:r>
        <w:rPr>
          <w:rFonts w:hint="eastAsia" w:ascii="仿宋_GB2312" w:hAnsi="仿宋_GB2312" w:eastAsia="仿宋_GB2312" w:cs="仿宋_GB2312"/>
          <w:b/>
          <w:bCs/>
          <w:color w:val="000000"/>
          <w:kern w:val="0"/>
          <w:sz w:val="32"/>
          <w:szCs w:val="32"/>
          <w:lang w:val="en-US" w:eastAsia="zh-CN" w:bidi="ar"/>
        </w:rPr>
        <w:t>评价指标体系</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color w:val="000000"/>
          <w:kern w:val="0"/>
          <w:sz w:val="32"/>
          <w:szCs w:val="32"/>
          <w:lang w:val="en-US" w:eastAsia="zh-CN" w:bidi="ar"/>
        </w:rPr>
      </w:pPr>
      <w:r>
        <w:rPr>
          <w:rFonts w:hint="eastAsia" w:ascii="仿宋_GB2312" w:hAnsi="仿宋_GB2312" w:eastAsia="仿宋_GB2312" w:cs="仿宋_GB2312"/>
          <w:b w:val="0"/>
          <w:color w:val="000000"/>
          <w:kern w:val="0"/>
          <w:sz w:val="32"/>
          <w:szCs w:val="32"/>
          <w:lang w:val="en-US" w:eastAsia="zh-CN" w:bidi="ar"/>
        </w:rPr>
        <w:t>本次评价指标体系依据《预算绩效评价共性指标体系框架》（财预〔2013〕53号），以</w:t>
      </w:r>
      <w:r>
        <w:rPr>
          <w:rFonts w:hint="eastAsia" w:cs="仿宋_GB2312"/>
          <w:b w:val="0"/>
          <w:color w:val="000000"/>
          <w:kern w:val="0"/>
          <w:sz w:val="32"/>
          <w:szCs w:val="32"/>
          <w:lang w:val="en-US" w:eastAsia="zh-CN" w:bidi="ar"/>
        </w:rPr>
        <w:t>安阳县水利局</w:t>
      </w:r>
      <w:r>
        <w:rPr>
          <w:rFonts w:hint="eastAsia" w:ascii="仿宋_GB2312" w:hAnsi="仿宋_GB2312" w:eastAsia="仿宋_GB2312" w:cs="仿宋_GB2312"/>
          <w:b w:val="0"/>
          <w:color w:val="000000"/>
          <w:kern w:val="0"/>
          <w:sz w:val="32"/>
          <w:szCs w:val="32"/>
          <w:lang w:val="en-US" w:eastAsia="zh-CN" w:bidi="ar"/>
        </w:rPr>
        <w:t>的部门职责为基础，按照“年度主要任务-预算情况-投入管理-综合管理”的逻辑路径分层设定，划分为4个一级指标、4个二级指标和21个三级指标，总分值为100分。</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一是年度主要任务（40分）。主要评价内容包括绩效目标合理性、绩效指标明确性、预算编制完整性、在职人员经费变动率、人均共用经费变动率、“三公经费”变动率。</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二是预算情况（20分）。主要评价内容包括预算完成率、预算调整率、支付进度率、结转结余率、结转结余变动率。 </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三是投入管理指标（30分）。主要评价内容包括公用经费控制率、“三公经费”控制率、固定资产使用率。</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四是综合管理指标（10分）。主要评价部门履职效益，包括管理制度健全性、资金使用合规性、预决算信息公开性、基础信息完善性；资产管理包括资产管理制度健全性、资产管理规范性和群众满意度。</w:t>
      </w:r>
    </w:p>
    <w:p>
      <w:pPr>
        <w:pStyle w:val="10"/>
        <w:keepNext w:val="0"/>
        <w:keepLines w:val="0"/>
        <w:pageBreakBefore w:val="0"/>
        <w:widowControl w:val="0"/>
        <w:numPr>
          <w:ilvl w:val="0"/>
          <w:numId w:val="2"/>
        </w:numPr>
        <w:kinsoku/>
        <w:wordWrap/>
        <w:overflowPunct/>
        <w:topLinePunct w:val="0"/>
        <w:autoSpaceDE/>
        <w:autoSpaceDN/>
        <w:bidi w:val="0"/>
        <w:adjustRightInd/>
        <w:snapToGrid/>
        <w:spacing w:line="360" w:lineRule="auto"/>
        <w:ind w:left="-342" w:leftChars="0" w:firstLineChars="0"/>
        <w:jc w:val="both"/>
        <w:textAlignment w:val="auto"/>
        <w:outlineLvl w:val="0"/>
        <w:rPr>
          <w:rFonts w:hint="eastAsia" w:asciiTheme="majorEastAsia" w:hAnsiTheme="majorEastAsia" w:eastAsiaTheme="majorEastAsia" w:cstheme="majorEastAsia"/>
          <w:b/>
          <w:bCs/>
          <w:color w:val="000000"/>
          <w:kern w:val="0"/>
          <w:sz w:val="32"/>
          <w:szCs w:val="32"/>
          <w:lang w:val="en-US" w:eastAsia="zh-CN" w:bidi="ar"/>
        </w:rPr>
      </w:pPr>
      <w:bookmarkStart w:id="23" w:name="_Toc22248"/>
      <w:bookmarkStart w:id="24" w:name="_Toc398"/>
      <w:bookmarkStart w:id="25" w:name="_Toc28205"/>
      <w:r>
        <w:rPr>
          <w:rFonts w:hint="eastAsia" w:asciiTheme="majorEastAsia" w:hAnsiTheme="majorEastAsia" w:eastAsiaTheme="majorEastAsia" w:cstheme="majorEastAsia"/>
          <w:b/>
          <w:bCs/>
          <w:color w:val="000000"/>
          <w:kern w:val="0"/>
          <w:sz w:val="32"/>
          <w:szCs w:val="32"/>
          <w:lang w:val="en-US" w:eastAsia="zh-CN" w:bidi="ar"/>
        </w:rPr>
        <w:t>绩效评价指标分析</w:t>
      </w:r>
      <w:bookmarkEnd w:id="23"/>
      <w:bookmarkEnd w:id="24"/>
      <w:bookmarkEnd w:id="25"/>
    </w:p>
    <w:p>
      <w:pPr>
        <w:pStyle w:val="10"/>
        <w:keepNext w:val="0"/>
        <w:keepLines w:val="0"/>
        <w:pageBreakBefore w:val="0"/>
        <w:widowControl w:val="0"/>
        <w:numPr>
          <w:ilvl w:val="0"/>
          <w:numId w:val="4"/>
        </w:numPr>
        <w:kinsoku/>
        <w:wordWrap/>
        <w:overflowPunct/>
        <w:topLinePunct w:val="0"/>
        <w:autoSpaceDE/>
        <w:autoSpaceDN/>
        <w:bidi w:val="0"/>
        <w:adjustRightInd/>
        <w:snapToGrid/>
        <w:spacing w:line="360" w:lineRule="auto"/>
        <w:ind w:left="-13" w:leftChars="0" w:firstLine="643" w:firstLineChars="0"/>
        <w:jc w:val="both"/>
        <w:textAlignment w:val="auto"/>
        <w:outlineLvl w:val="1"/>
        <w:rPr>
          <w:rFonts w:hint="eastAsia" w:ascii="仿宋_GB2312" w:hAnsi="仿宋_GB2312" w:eastAsia="仿宋_GB2312" w:cs="仿宋_GB2312"/>
          <w:b/>
          <w:bCs/>
          <w:color w:val="000000"/>
          <w:kern w:val="0"/>
          <w:sz w:val="32"/>
          <w:szCs w:val="32"/>
          <w:lang w:val="en-US" w:eastAsia="zh-CN" w:bidi="ar"/>
        </w:rPr>
      </w:pPr>
      <w:bookmarkStart w:id="26" w:name="_Toc6706"/>
      <w:bookmarkStart w:id="27" w:name="_Toc53344488"/>
      <w:bookmarkStart w:id="28" w:name="_Toc26431"/>
      <w:bookmarkStart w:id="29" w:name="_Toc3275"/>
      <w:r>
        <w:rPr>
          <w:rFonts w:hint="eastAsia" w:ascii="仿宋_GB2312" w:hAnsi="仿宋_GB2312" w:eastAsia="仿宋_GB2312" w:cs="仿宋_GB2312"/>
          <w:b/>
          <w:bCs/>
          <w:color w:val="000000"/>
          <w:kern w:val="0"/>
          <w:sz w:val="32"/>
          <w:szCs w:val="32"/>
          <w:lang w:val="en-US" w:eastAsia="zh-CN" w:bidi="ar"/>
        </w:rPr>
        <w:t>年度主要任务指标分析</w:t>
      </w:r>
      <w:bookmarkEnd w:id="26"/>
      <w:bookmarkEnd w:id="27"/>
      <w:bookmarkEnd w:id="28"/>
      <w:bookmarkEnd w:id="29"/>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color w:val="000000"/>
          <w:kern w:val="0"/>
          <w:sz w:val="32"/>
          <w:szCs w:val="32"/>
          <w:lang w:val="en-US" w:eastAsia="zh-CN" w:bidi="ar"/>
        </w:rPr>
      </w:pPr>
      <w:r>
        <w:rPr>
          <w:rFonts w:hint="eastAsia" w:ascii="仿宋_GB2312" w:hAnsi="仿宋_GB2312" w:eastAsia="仿宋_GB2312" w:cs="仿宋_GB2312"/>
          <w:b w:val="0"/>
          <w:color w:val="000000"/>
          <w:kern w:val="0"/>
          <w:sz w:val="32"/>
          <w:szCs w:val="32"/>
          <w:lang w:val="en-US" w:eastAsia="zh-CN" w:bidi="ar"/>
        </w:rPr>
        <w:t>年度主要任务类指标共分1个二级指标，6个三级指标，权重分值共40分，实际得分3</w:t>
      </w:r>
      <w:r>
        <w:rPr>
          <w:rFonts w:hint="eastAsia" w:cs="仿宋_GB2312"/>
          <w:b w:val="0"/>
          <w:color w:val="000000"/>
          <w:kern w:val="0"/>
          <w:sz w:val="32"/>
          <w:szCs w:val="32"/>
          <w:lang w:val="en-US" w:eastAsia="zh-CN" w:bidi="ar"/>
        </w:rPr>
        <w:t>2</w:t>
      </w:r>
      <w:r>
        <w:rPr>
          <w:rFonts w:hint="eastAsia" w:ascii="仿宋_GB2312" w:hAnsi="仿宋_GB2312" w:eastAsia="仿宋_GB2312" w:cs="仿宋_GB2312"/>
          <w:b w:val="0"/>
          <w:color w:val="000000"/>
          <w:kern w:val="0"/>
          <w:sz w:val="32"/>
          <w:szCs w:val="32"/>
          <w:lang w:val="en-US" w:eastAsia="zh-CN" w:bidi="ar"/>
        </w:rPr>
        <w:t>分，得分率</w:t>
      </w:r>
      <w:r>
        <w:rPr>
          <w:rFonts w:hint="eastAsia" w:cs="仿宋_GB2312"/>
          <w:b w:val="0"/>
          <w:color w:val="000000"/>
          <w:kern w:val="0"/>
          <w:sz w:val="32"/>
          <w:szCs w:val="32"/>
          <w:lang w:val="en-US" w:eastAsia="zh-CN" w:bidi="ar"/>
        </w:rPr>
        <w:t>80</w:t>
      </w:r>
      <w:r>
        <w:rPr>
          <w:rFonts w:hint="eastAsia" w:ascii="仿宋_GB2312" w:hAnsi="仿宋_GB2312" w:eastAsia="仿宋_GB2312" w:cs="仿宋_GB2312"/>
          <w:b w:val="0"/>
          <w:color w:val="000000"/>
          <w:kern w:val="0"/>
          <w:sz w:val="32"/>
          <w:szCs w:val="32"/>
          <w:lang w:val="en-US" w:eastAsia="zh-CN" w:bidi="ar"/>
        </w:rPr>
        <w:t>%。各指标具体得分情况如下：</w:t>
      </w:r>
    </w:p>
    <w:p>
      <w:pPr>
        <w:keepNext w:val="0"/>
        <w:keepLines w:val="0"/>
        <w:pageBreakBefore w:val="0"/>
        <w:kinsoku/>
        <w:wordWrap/>
        <w:overflowPunct/>
        <w:topLinePunct w:val="0"/>
        <w:autoSpaceDE/>
        <w:autoSpaceDN/>
        <w:bidi w:val="0"/>
        <w:spacing w:line="54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表3-1年度主要任务指标评分结果汇总表</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3277"/>
        <w:gridCol w:w="981"/>
        <w:gridCol w:w="981"/>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2051" w:type="dxa"/>
            <w:tcBorders>
              <w:bottom w:val="single" w:color="000000" w:sz="4" w:space="0"/>
            </w:tcBorders>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二级指标</w:t>
            </w:r>
          </w:p>
        </w:tc>
        <w:tc>
          <w:tcPr>
            <w:tcW w:w="3158"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三级指标</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权重</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得分</w:t>
            </w:r>
          </w:p>
        </w:tc>
        <w:tc>
          <w:tcPr>
            <w:tcW w:w="1417"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51"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bidi="ar"/>
              </w:rPr>
              <w:t>A1.</w:t>
            </w:r>
            <w:r>
              <w:rPr>
                <w:rFonts w:hint="eastAsia" w:ascii="宋体" w:hAnsi="宋体" w:eastAsia="宋体" w:cs="宋体"/>
                <w:b/>
                <w:bCs/>
                <w:sz w:val="24"/>
                <w:szCs w:val="24"/>
              </w:rPr>
              <w:t>年度主要任务</w:t>
            </w:r>
          </w:p>
        </w:tc>
        <w:tc>
          <w:tcPr>
            <w:tcW w:w="3158" w:type="dxa"/>
            <w:tcBorders>
              <w:left w:val="single" w:color="000000" w:sz="4" w:space="0"/>
            </w:tcBorders>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bidi="ar"/>
              </w:rPr>
              <w:t>A01.</w:t>
            </w:r>
            <w:r>
              <w:rPr>
                <w:rStyle w:val="11"/>
                <w:rFonts w:hint="eastAsia" w:ascii="宋体" w:hAnsi="宋体" w:eastAsia="宋体" w:cs="宋体"/>
                <w:sz w:val="24"/>
                <w:szCs w:val="24"/>
                <w:lang w:bidi="ar"/>
              </w:rPr>
              <w:t>绩效目标合理性</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10</w:t>
            </w:r>
          </w:p>
        </w:tc>
        <w:tc>
          <w:tcPr>
            <w:tcW w:w="1417"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cs="宋体"/>
                <w:color w:val="000000"/>
                <w:kern w:val="0"/>
                <w:sz w:val="24"/>
                <w:szCs w:val="24"/>
                <w:lang w:val="en-US" w:eastAsia="zh-CN"/>
              </w:rPr>
              <w:t>10</w:t>
            </w:r>
            <w:r>
              <w:rPr>
                <w:rFonts w:hint="eastAsia" w:ascii="宋体" w:hAnsi="宋体" w:eastAsia="宋体" w:cs="宋体"/>
                <w:color w:val="000000"/>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051"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kern w:val="0"/>
                <w:sz w:val="24"/>
                <w:szCs w:val="24"/>
              </w:rPr>
            </w:pPr>
          </w:p>
        </w:tc>
        <w:tc>
          <w:tcPr>
            <w:tcW w:w="3158" w:type="dxa"/>
            <w:tcBorders>
              <w:left w:val="single" w:color="000000" w:sz="4" w:space="0"/>
            </w:tcBorders>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bidi="ar"/>
              </w:rPr>
              <w:t>A02</w:t>
            </w:r>
            <w:r>
              <w:rPr>
                <w:rStyle w:val="11"/>
                <w:rFonts w:hint="eastAsia" w:ascii="宋体" w:hAnsi="宋体" w:eastAsia="宋体" w:cs="宋体"/>
                <w:sz w:val="24"/>
                <w:szCs w:val="24"/>
                <w:lang w:bidi="ar"/>
              </w:rPr>
              <w:t>绩效指标明确性</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10</w:t>
            </w:r>
          </w:p>
        </w:tc>
        <w:tc>
          <w:tcPr>
            <w:tcW w:w="1417"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cs="宋体"/>
                <w:color w:val="000000"/>
                <w:kern w:val="0"/>
                <w:sz w:val="24"/>
                <w:szCs w:val="24"/>
                <w:lang w:val="en-US" w:eastAsia="zh-CN"/>
              </w:rPr>
              <w:t>100</w:t>
            </w:r>
            <w:r>
              <w:rPr>
                <w:rFonts w:hint="eastAsia" w:ascii="宋体" w:hAnsi="宋体" w:eastAsia="宋体" w:cs="宋体"/>
                <w:color w:val="000000"/>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51"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p>
        </w:tc>
        <w:tc>
          <w:tcPr>
            <w:tcW w:w="3158" w:type="dxa"/>
            <w:tcBorders>
              <w:left w:val="single" w:color="000000" w:sz="4" w:space="0"/>
            </w:tcBorders>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bidi="ar"/>
              </w:rPr>
              <w:t>A03.</w:t>
            </w:r>
            <w:r>
              <w:rPr>
                <w:rStyle w:val="11"/>
                <w:rFonts w:hint="eastAsia" w:ascii="宋体" w:hAnsi="宋体" w:eastAsia="宋体" w:cs="宋体"/>
                <w:sz w:val="24"/>
                <w:szCs w:val="24"/>
                <w:lang w:bidi="ar"/>
              </w:rPr>
              <w:t>预算编制完整性</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417"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51"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kern w:val="0"/>
                <w:sz w:val="24"/>
                <w:szCs w:val="24"/>
              </w:rPr>
            </w:pPr>
          </w:p>
        </w:tc>
        <w:tc>
          <w:tcPr>
            <w:tcW w:w="3158" w:type="dxa"/>
            <w:tcBorders>
              <w:left w:val="single" w:color="000000" w:sz="4" w:space="0"/>
            </w:tcBorders>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bidi="ar"/>
              </w:rPr>
              <w:t>A04.</w:t>
            </w:r>
            <w:r>
              <w:rPr>
                <w:rStyle w:val="11"/>
                <w:rFonts w:hint="eastAsia" w:ascii="宋体" w:hAnsi="宋体" w:eastAsia="宋体" w:cs="宋体"/>
                <w:sz w:val="24"/>
                <w:szCs w:val="24"/>
                <w:lang w:bidi="ar"/>
              </w:rPr>
              <w:t>在职人员经费变动率</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6</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val="en-US" w:eastAsia="zh-CN"/>
              </w:rPr>
              <w:t>3</w:t>
            </w:r>
          </w:p>
        </w:tc>
        <w:tc>
          <w:tcPr>
            <w:tcW w:w="1417"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51"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kern w:val="0"/>
                <w:sz w:val="24"/>
                <w:szCs w:val="24"/>
              </w:rPr>
            </w:pPr>
          </w:p>
        </w:tc>
        <w:tc>
          <w:tcPr>
            <w:tcW w:w="3158" w:type="dxa"/>
            <w:tcBorders>
              <w:left w:val="single" w:color="000000" w:sz="4" w:space="0"/>
            </w:tcBorders>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bidi="ar"/>
              </w:rPr>
              <w:t>A</w:t>
            </w:r>
            <w:r>
              <w:rPr>
                <w:rStyle w:val="12"/>
                <w:rFonts w:hint="eastAsia" w:ascii="宋体" w:hAnsi="宋体" w:eastAsia="宋体" w:cs="宋体"/>
                <w:sz w:val="24"/>
                <w:szCs w:val="24"/>
                <w:lang w:bidi="ar"/>
              </w:rPr>
              <w:t>05.</w:t>
            </w:r>
            <w:r>
              <w:rPr>
                <w:rStyle w:val="11"/>
                <w:rFonts w:hint="eastAsia" w:ascii="宋体" w:hAnsi="宋体" w:eastAsia="宋体" w:cs="宋体"/>
                <w:sz w:val="24"/>
                <w:szCs w:val="24"/>
                <w:lang w:bidi="ar"/>
              </w:rPr>
              <w:t>人均公用经费变动率</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2</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2</w:t>
            </w:r>
          </w:p>
        </w:tc>
        <w:tc>
          <w:tcPr>
            <w:tcW w:w="1417" w:type="dxa"/>
            <w:noWrap w:val="0"/>
            <w:vAlign w:val="top"/>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051"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kern w:val="0"/>
                <w:sz w:val="24"/>
                <w:szCs w:val="24"/>
              </w:rPr>
            </w:pPr>
          </w:p>
        </w:tc>
        <w:tc>
          <w:tcPr>
            <w:tcW w:w="3158" w:type="dxa"/>
            <w:tcBorders>
              <w:left w:val="single" w:color="000000" w:sz="4" w:space="0"/>
            </w:tcBorders>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bidi="ar"/>
              </w:rPr>
              <w:t>A06.</w:t>
            </w:r>
            <w:r>
              <w:rPr>
                <w:rStyle w:val="11"/>
                <w:rFonts w:hint="eastAsia" w:ascii="宋体" w:hAnsi="宋体" w:eastAsia="宋体" w:cs="宋体"/>
                <w:sz w:val="24"/>
                <w:szCs w:val="24"/>
                <w:lang w:bidi="ar"/>
              </w:rPr>
              <w:t>“三公经费”变动率</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2</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0</w:t>
            </w:r>
          </w:p>
        </w:tc>
        <w:tc>
          <w:tcPr>
            <w:tcW w:w="1417" w:type="dxa"/>
            <w:noWrap w:val="0"/>
            <w:vAlign w:val="top"/>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09" w:type="dxa"/>
            <w:gridSpan w:val="2"/>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小计</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4</w:t>
            </w:r>
            <w:r>
              <w:rPr>
                <w:rFonts w:hint="eastAsia" w:ascii="宋体" w:hAnsi="宋体" w:eastAsia="宋体" w:cs="宋体"/>
                <w:b/>
                <w:bCs/>
                <w:color w:val="000000"/>
                <w:kern w:val="0"/>
                <w:sz w:val="24"/>
                <w:szCs w:val="24"/>
              </w:rPr>
              <w:t>0</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b/>
                <w:bCs/>
                <w:color w:val="000000"/>
                <w:kern w:val="0"/>
                <w:sz w:val="24"/>
                <w:szCs w:val="24"/>
                <w:lang w:val="en-US" w:eastAsia="zh-CN"/>
              </w:rPr>
            </w:pPr>
            <w:r>
              <w:rPr>
                <w:rFonts w:hint="eastAsia" w:ascii="宋体" w:hAnsi="宋体" w:cs="宋体"/>
                <w:b/>
                <w:bCs/>
                <w:color w:val="000000"/>
                <w:kern w:val="0"/>
                <w:sz w:val="24"/>
                <w:szCs w:val="24"/>
                <w:lang w:val="en-US" w:eastAsia="zh-CN"/>
              </w:rPr>
              <w:t>35</w:t>
            </w:r>
          </w:p>
        </w:tc>
        <w:tc>
          <w:tcPr>
            <w:tcW w:w="1417"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cs="宋体"/>
                <w:b/>
                <w:bCs/>
                <w:color w:val="000000"/>
                <w:kern w:val="0"/>
                <w:sz w:val="24"/>
                <w:szCs w:val="24"/>
                <w:lang w:val="en-US" w:eastAsia="zh-CN"/>
              </w:rPr>
              <w:t>87.5</w:t>
            </w:r>
            <w:r>
              <w:rPr>
                <w:rFonts w:hint="eastAsia" w:ascii="宋体" w:hAnsi="宋体" w:eastAsia="宋体" w:cs="宋体"/>
                <w:b/>
                <w:bCs/>
                <w:color w:val="000000"/>
                <w:kern w:val="0"/>
                <w:sz w:val="24"/>
                <w:szCs w:val="24"/>
              </w:rPr>
              <w:t>%</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A01.绩效目标合理性</w:t>
      </w:r>
      <w:r>
        <w:rPr>
          <w:rFonts w:hint="eastAsia" w:ascii="仿宋_GB2312" w:hAnsi="仿宋_GB2312" w:eastAsia="仿宋_GB2312" w:cs="仿宋_GB2312"/>
          <w:sz w:val="32"/>
          <w:szCs w:val="32"/>
        </w:rPr>
        <w:t>：该指标分值10分，实际得分为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w:t>
      </w:r>
      <w:bookmarkStart w:id="30" w:name="OLE_LINK64"/>
      <w:r>
        <w:rPr>
          <w:rFonts w:hint="eastAsia" w:ascii="仿宋_GB2312" w:hAnsi="仿宋_GB2312" w:eastAsia="仿宋_GB2312" w:cs="仿宋_GB2312"/>
          <w:sz w:val="32"/>
          <w:szCs w:val="32"/>
        </w:rPr>
        <w:t>本次绩效评价根据《</w:t>
      </w:r>
      <w:r>
        <w:rPr>
          <w:rFonts w:hint="eastAsia" w:ascii="仿宋_GB2312" w:hAnsi="仿宋_GB2312" w:eastAsia="仿宋_GB2312" w:cs="仿宋_GB2312"/>
          <w:sz w:val="32"/>
          <w:szCs w:val="32"/>
          <w:lang w:eastAsia="zh-CN"/>
        </w:rPr>
        <w:t>2022年度安阳县水利局</w:t>
      </w:r>
      <w:r>
        <w:rPr>
          <w:rFonts w:hint="eastAsia" w:ascii="仿宋_GB2312" w:hAnsi="仿宋_GB2312" w:eastAsia="仿宋_GB2312" w:cs="仿宋_GB2312"/>
          <w:sz w:val="32"/>
          <w:szCs w:val="32"/>
        </w:rPr>
        <w:t>部门预算公开说明》</w:t>
      </w:r>
      <w:r>
        <w:rPr>
          <w:rFonts w:hint="eastAsia" w:ascii="仿宋_GB2312" w:hAnsi="仿宋_GB2312" w:eastAsia="仿宋_GB2312" w:cs="仿宋_GB2312"/>
          <w:sz w:val="32"/>
          <w:szCs w:val="32"/>
          <w:lang w:eastAsia="zh-CN"/>
        </w:rPr>
        <w:t>和部门整体绩效目标表</w:t>
      </w:r>
      <w:r>
        <w:rPr>
          <w:rFonts w:hint="eastAsia" w:ascii="仿宋_GB2312" w:hAnsi="仿宋_GB2312" w:eastAsia="仿宋_GB2312" w:cs="仿宋_GB2312"/>
          <w:sz w:val="32"/>
          <w:szCs w:val="32"/>
        </w:rPr>
        <w:t>等资料，考核其目标合理性和完成情况，</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安阳县水利局预期目标为全面贯彻党的十九届五中全会精神，着力践行水利改革发展总基调，深入推进四水同治，加快构建兴利除害现代水网体系，有力发挥稳投资促增长保民生作用。紧盯超标洪水、水库失事、山洪灾害三大突出风险，认真做好水灾害应对工作，确保人民群众生命安全；以“合理分水，管住用水”为抓手，以取水许可、用途管制、地下水治理和生态流量管理为重点，推进水资源节约集约利用；以河长制为主平台，紧盯水资源、河湖管理等风险高发领域，坚持以问题为导向，以整改为目标，以问责为抓手，建立健全务实高效管用的监管体系，全力推进水利事业高质量发展，为经济社会持续健康发展提供强有力的水利支撑。年度目标设置合理</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rPr>
        <w:t>根据评分规则，该指标得</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w:t>
      </w:r>
    </w:p>
    <w:bookmarkEnd w:id="30"/>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A02.绩效指标明确性</w:t>
      </w:r>
      <w:r>
        <w:rPr>
          <w:rFonts w:hint="eastAsia" w:ascii="仿宋_GB2312" w:hAnsi="仿宋_GB2312" w:eastAsia="仿宋_GB2312" w:cs="仿宋_GB2312"/>
          <w:sz w:val="32"/>
          <w:szCs w:val="32"/>
        </w:rPr>
        <w:t>：该指标分值10分，实际得分为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w:t>
      </w:r>
      <w:bookmarkStart w:id="31" w:name="OLE_LINK4"/>
      <w:r>
        <w:rPr>
          <w:rFonts w:hint="eastAsia" w:ascii="仿宋_GB2312" w:hAnsi="仿宋_GB2312" w:eastAsia="仿宋_GB2312" w:cs="仿宋_GB2312"/>
          <w:sz w:val="32"/>
          <w:szCs w:val="32"/>
        </w:rPr>
        <w:t>本次绩效评价根据其《</w:t>
      </w:r>
      <w:r>
        <w:rPr>
          <w:rFonts w:hint="eastAsia" w:ascii="仿宋_GB2312" w:hAnsi="仿宋_GB2312" w:eastAsia="仿宋_GB2312" w:cs="仿宋_GB2312"/>
          <w:sz w:val="32"/>
          <w:szCs w:val="32"/>
          <w:lang w:eastAsia="zh-CN"/>
        </w:rPr>
        <w:t>2022年度安阳县水利局</w:t>
      </w:r>
      <w:r>
        <w:rPr>
          <w:rFonts w:hint="eastAsia" w:ascii="仿宋_GB2312" w:hAnsi="仿宋_GB2312" w:eastAsia="仿宋_GB2312" w:cs="仿宋_GB2312"/>
          <w:sz w:val="32"/>
          <w:szCs w:val="32"/>
        </w:rPr>
        <w:t>部门预算公开说明》等资料，考核其绩效指标的设置情况，①</w:t>
      </w:r>
      <w:r>
        <w:rPr>
          <w:rFonts w:hint="eastAsia" w:ascii="仿宋_GB2312" w:hAnsi="仿宋_GB2312" w:eastAsia="仿宋_GB2312" w:cs="仿宋_GB2312"/>
          <w:sz w:val="32"/>
          <w:szCs w:val="32"/>
          <w:lang w:eastAsia="zh-CN"/>
        </w:rPr>
        <w:t>2022年</w:t>
      </w:r>
      <w:r>
        <w:rPr>
          <w:rFonts w:hint="eastAsia" w:ascii="仿宋_GB2312" w:hAnsi="仿宋_GB2312" w:eastAsia="仿宋_GB2312" w:cs="仿宋_GB2312"/>
          <w:sz w:val="32"/>
          <w:szCs w:val="32"/>
        </w:rPr>
        <w:t>部门整体工作总结内容清晰，工作完成明确，相关工作任务可衡量；②该单位的年度工作总结基本落实到位；③</w:t>
      </w:r>
      <w:r>
        <w:rPr>
          <w:rFonts w:hint="eastAsia" w:ascii="仿宋_GB2312" w:hAnsi="仿宋_GB2312" w:eastAsia="仿宋_GB2312" w:cs="仿宋_GB2312"/>
          <w:sz w:val="32"/>
          <w:szCs w:val="32"/>
          <w:lang w:eastAsia="zh-CN"/>
        </w:rPr>
        <w:t>2022年安阳县水利局</w:t>
      </w:r>
      <w:r>
        <w:rPr>
          <w:rFonts w:hint="eastAsia" w:ascii="仿宋_GB2312" w:hAnsi="仿宋_GB2312" w:eastAsia="仿宋_GB2312" w:cs="仿宋_GB2312"/>
          <w:sz w:val="32"/>
          <w:szCs w:val="32"/>
        </w:rPr>
        <w:t>部门预算为一般公共预算，其预算资金与部门整体预算资金基本匹配。根据评分规则，该指标得</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w:t>
      </w:r>
    </w:p>
    <w:bookmarkEnd w:id="31"/>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A03.预算编制完整性</w:t>
      </w:r>
      <w:r>
        <w:rPr>
          <w:rFonts w:hint="eastAsia" w:ascii="仿宋_GB2312" w:hAnsi="仿宋_GB2312" w:eastAsia="仿宋_GB2312" w:cs="仿宋_GB2312"/>
          <w:sz w:val="32"/>
          <w:szCs w:val="32"/>
        </w:rPr>
        <w:t>：该指标分值</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分，实际得分为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w:t>
      </w:r>
      <w:bookmarkStart w:id="32" w:name="OLE_LINK15"/>
      <w:r>
        <w:rPr>
          <w:rFonts w:hint="eastAsia" w:ascii="仿宋_GB2312" w:hAnsi="仿宋_GB2312" w:eastAsia="仿宋_GB2312" w:cs="仿宋_GB2312"/>
          <w:sz w:val="32"/>
          <w:szCs w:val="32"/>
        </w:rPr>
        <w:t>。①根据《</w:t>
      </w:r>
      <w:r>
        <w:rPr>
          <w:rFonts w:hint="eastAsia" w:ascii="仿宋_GB2312" w:hAnsi="仿宋_GB2312" w:eastAsia="仿宋_GB2312" w:cs="仿宋_GB2312"/>
          <w:sz w:val="32"/>
          <w:szCs w:val="32"/>
          <w:lang w:eastAsia="zh-CN"/>
        </w:rPr>
        <w:t>2022年度安阳县水利局</w:t>
      </w:r>
      <w:r>
        <w:rPr>
          <w:rFonts w:hint="eastAsia" w:ascii="仿宋_GB2312" w:hAnsi="仿宋_GB2312" w:eastAsia="仿宋_GB2312" w:cs="仿宋_GB2312"/>
          <w:sz w:val="32"/>
          <w:szCs w:val="32"/>
        </w:rPr>
        <w:t>部门预算公开说明》等资料，</w:t>
      </w:r>
      <w:r>
        <w:rPr>
          <w:rFonts w:hint="eastAsia" w:ascii="仿宋_GB2312" w:hAnsi="仿宋_GB2312" w:eastAsia="仿宋_GB2312" w:cs="仿宋_GB2312"/>
          <w:sz w:val="32"/>
          <w:szCs w:val="32"/>
          <w:lang w:eastAsia="zh-CN"/>
        </w:rPr>
        <w:t>安阳县水利局</w:t>
      </w:r>
      <w:r>
        <w:rPr>
          <w:rFonts w:hint="eastAsia" w:ascii="仿宋_GB2312" w:hAnsi="仿宋_GB2312" w:eastAsia="仿宋_GB2312" w:cs="仿宋_GB2312"/>
          <w:sz w:val="32"/>
          <w:szCs w:val="32"/>
        </w:rPr>
        <w:t>经费实行全额预算管理，经检查</w:t>
      </w:r>
      <w:r>
        <w:rPr>
          <w:rFonts w:hint="eastAsia" w:ascii="仿宋_GB2312" w:hAnsi="仿宋_GB2312" w:eastAsia="仿宋_GB2312" w:cs="仿宋_GB2312"/>
          <w:sz w:val="32"/>
          <w:szCs w:val="32"/>
          <w:lang w:eastAsia="zh-CN"/>
        </w:rPr>
        <w:t>2022年度安阳县水利局</w:t>
      </w:r>
      <w:r>
        <w:rPr>
          <w:rFonts w:hint="eastAsia" w:ascii="仿宋_GB2312" w:hAnsi="仿宋_GB2312" w:eastAsia="仿宋_GB2312" w:cs="仿宋_GB2312"/>
          <w:sz w:val="32"/>
          <w:szCs w:val="32"/>
        </w:rPr>
        <w:t>收入分别为一般公共预算</w:t>
      </w:r>
      <w:r>
        <w:rPr>
          <w:rFonts w:hint="eastAsia" w:ascii="仿宋_GB2312" w:hAnsi="仿宋_GB2312" w:eastAsia="仿宋_GB2312" w:cs="仿宋_GB2312"/>
          <w:sz w:val="32"/>
          <w:szCs w:val="32"/>
          <w:lang w:eastAsia="zh-CN"/>
        </w:rPr>
        <w:t>财政拨款收入和政府性基金收入</w:t>
      </w:r>
      <w:r>
        <w:rPr>
          <w:rFonts w:hint="eastAsia" w:ascii="仿宋_GB2312" w:hAnsi="仿宋_GB2312" w:eastAsia="仿宋_GB2312" w:cs="仿宋_GB2312"/>
          <w:sz w:val="32"/>
          <w:szCs w:val="32"/>
        </w:rPr>
        <w:t>，收入全部编入收入预算；②经检查</w:t>
      </w:r>
      <w:r>
        <w:rPr>
          <w:rFonts w:hint="eastAsia" w:ascii="仿宋_GB2312" w:hAnsi="仿宋_GB2312" w:eastAsia="仿宋_GB2312" w:cs="仿宋_GB2312"/>
          <w:sz w:val="32"/>
          <w:szCs w:val="32"/>
          <w:lang w:eastAsia="zh-CN"/>
        </w:rPr>
        <w:t>安阳县水利局</w:t>
      </w:r>
      <w:r>
        <w:rPr>
          <w:rFonts w:hint="eastAsia" w:ascii="仿宋_GB2312" w:hAnsi="仿宋_GB2312" w:eastAsia="仿宋_GB2312" w:cs="仿宋_GB2312"/>
          <w:sz w:val="32"/>
          <w:szCs w:val="32"/>
        </w:rPr>
        <w:t>预算公开信息，其人员经费按标准、日常公用经费，按定额、专项经费按项目分别编制。根据评分规则，该指标得</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w:t>
      </w:r>
    </w:p>
    <w:bookmarkEnd w:id="32"/>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A04.在职人员经费变动率</w:t>
      </w:r>
      <w:r>
        <w:rPr>
          <w:rFonts w:hint="eastAsia" w:ascii="仿宋_GB2312" w:hAnsi="仿宋_GB2312" w:eastAsia="仿宋_GB2312" w:cs="仿宋_GB2312"/>
          <w:sz w:val="32"/>
          <w:szCs w:val="32"/>
          <w:highlight w:val="none"/>
        </w:rPr>
        <w:t>：该指标分值</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分，实际得分为</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分。</w:t>
      </w:r>
      <w:bookmarkStart w:id="33" w:name="OLE_LINK46"/>
      <w:r>
        <w:rPr>
          <w:rFonts w:hint="eastAsia" w:ascii="仿宋_GB2312" w:hAnsi="仿宋_GB2312" w:eastAsia="仿宋_GB2312" w:cs="仿宋_GB2312"/>
          <w:sz w:val="32"/>
          <w:szCs w:val="32"/>
          <w:highlight w:val="none"/>
        </w:rPr>
        <w:t>根据</w:t>
      </w:r>
      <w:r>
        <w:rPr>
          <w:rFonts w:hint="eastAsia" w:ascii="仿宋_GB2312" w:hAnsi="仿宋_GB2312" w:eastAsia="仿宋_GB2312" w:cs="仿宋_GB2312"/>
          <w:sz w:val="32"/>
          <w:szCs w:val="32"/>
          <w:highlight w:val="none"/>
          <w:lang w:eastAsia="zh-CN"/>
        </w:rPr>
        <w:t>安阳县水利局2022年</w:t>
      </w:r>
      <w:r>
        <w:rPr>
          <w:rFonts w:hint="eastAsia" w:ascii="仿宋_GB2312" w:hAnsi="仿宋_GB2312" w:eastAsia="仿宋_GB2312" w:cs="仿宋_GB2312"/>
          <w:sz w:val="32"/>
          <w:szCs w:val="32"/>
          <w:highlight w:val="none"/>
        </w:rPr>
        <w:t>度</w:t>
      </w:r>
      <w:r>
        <w:rPr>
          <w:rFonts w:hint="eastAsia" w:ascii="仿宋_GB2312" w:hAnsi="仿宋_GB2312" w:eastAsia="仿宋_GB2312" w:cs="仿宋_GB2312"/>
          <w:sz w:val="32"/>
          <w:szCs w:val="32"/>
          <w:highlight w:val="none"/>
          <w:lang w:val="en-US" w:eastAsia="zh-CN"/>
        </w:rPr>
        <w:t>实际支出数</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安阳县水利局202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年人员经费</w:t>
      </w:r>
      <w:r>
        <w:rPr>
          <w:rFonts w:hint="eastAsia" w:ascii="仿宋_GB2312" w:hAnsi="仿宋_GB2312" w:eastAsia="仿宋_GB2312" w:cs="仿宋_GB2312"/>
          <w:sz w:val="32"/>
          <w:szCs w:val="32"/>
          <w:highlight w:val="none"/>
          <w:lang w:val="en-US" w:eastAsia="zh-CN"/>
        </w:rPr>
        <w:t>支出11,568,772.10</w:t>
      </w:r>
      <w:r>
        <w:rPr>
          <w:rFonts w:hint="eastAsia" w:ascii="仿宋_GB2312" w:hAnsi="仿宋_GB2312" w:eastAsia="仿宋_GB2312" w:cs="仿宋_GB2312"/>
          <w:sz w:val="32"/>
          <w:szCs w:val="32"/>
          <w:highlight w:val="none"/>
        </w:rPr>
        <w:t>元，</w:t>
      </w: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年</w:t>
      </w:r>
      <w:r>
        <w:rPr>
          <w:rFonts w:hint="eastAsia" w:ascii="仿宋_GB2312" w:hAnsi="仿宋_GB2312" w:eastAsia="仿宋_GB2312" w:cs="仿宋_GB2312"/>
          <w:sz w:val="32"/>
          <w:szCs w:val="32"/>
          <w:highlight w:val="none"/>
        </w:rPr>
        <w:t>人员经费</w:t>
      </w:r>
      <w:r>
        <w:rPr>
          <w:rFonts w:hint="eastAsia" w:ascii="仿宋_GB2312" w:hAnsi="仿宋_GB2312" w:eastAsia="仿宋_GB2312" w:cs="仿宋_GB2312"/>
          <w:sz w:val="32"/>
          <w:szCs w:val="32"/>
          <w:highlight w:val="none"/>
          <w:lang w:val="en-US" w:eastAsia="zh-CN"/>
        </w:rPr>
        <w:t>实际支出数9,257,495.28</w:t>
      </w:r>
      <w:r>
        <w:rPr>
          <w:rFonts w:hint="eastAsia" w:ascii="仿宋_GB2312" w:hAnsi="仿宋_GB2312" w:eastAsia="仿宋_GB2312" w:cs="仿宋_GB2312"/>
          <w:sz w:val="32"/>
          <w:szCs w:val="32"/>
          <w:highlight w:val="none"/>
        </w:rPr>
        <w:t>元，在职人员经费变动率=〔（</w:t>
      </w:r>
      <w:r>
        <w:rPr>
          <w:rFonts w:hint="eastAsia" w:ascii="仿宋_GB2312" w:hAnsi="仿宋_GB2312" w:eastAsia="仿宋_GB2312" w:cs="仿宋_GB2312"/>
          <w:sz w:val="32"/>
          <w:szCs w:val="32"/>
          <w:highlight w:val="none"/>
          <w:lang w:eastAsia="zh-CN"/>
        </w:rPr>
        <w:t>11,568,772.10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9,257,495.28</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9,257,495.28</w:t>
      </w:r>
      <w:r>
        <w:rPr>
          <w:rFonts w:hint="eastAsia"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lang w:val="en-US" w:eastAsia="zh-CN"/>
        </w:rPr>
        <w:t>24.97</w:t>
      </w:r>
      <w:r>
        <w:rPr>
          <w:rFonts w:hint="eastAsia" w:ascii="仿宋_GB2312" w:hAnsi="仿宋_GB2312" w:eastAsia="仿宋_GB2312" w:cs="仿宋_GB2312"/>
          <w:sz w:val="32"/>
          <w:szCs w:val="32"/>
          <w:highlight w:val="none"/>
        </w:rPr>
        <w:t>%。根据评分规则，该指标得</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highlight w:val="none"/>
          <w:lang w:eastAsia="zh-CN"/>
        </w:rPr>
        <w:t>。</w:t>
      </w:r>
    </w:p>
    <w:bookmarkEnd w:id="33"/>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A05.人均公用经费变动率</w:t>
      </w:r>
      <w:r>
        <w:rPr>
          <w:rFonts w:hint="eastAsia" w:ascii="仿宋_GB2312" w:hAnsi="仿宋_GB2312" w:eastAsia="仿宋_GB2312" w:cs="仿宋_GB2312"/>
          <w:sz w:val="32"/>
          <w:szCs w:val="32"/>
          <w:highlight w:val="none"/>
        </w:rPr>
        <w:t>：该指标分值</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分，实际得分为</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分。</w:t>
      </w:r>
      <w:bookmarkStart w:id="34" w:name="OLE_LINK47"/>
      <w:r>
        <w:rPr>
          <w:rFonts w:hint="eastAsia" w:ascii="仿宋_GB2312" w:hAnsi="仿宋_GB2312" w:eastAsia="仿宋_GB2312" w:cs="仿宋_GB2312"/>
          <w:sz w:val="32"/>
          <w:szCs w:val="32"/>
          <w:highlight w:val="none"/>
        </w:rPr>
        <w:t>根据</w:t>
      </w:r>
      <w:r>
        <w:rPr>
          <w:rFonts w:hint="eastAsia" w:ascii="仿宋_GB2312" w:hAnsi="仿宋_GB2312" w:eastAsia="仿宋_GB2312" w:cs="仿宋_GB2312"/>
          <w:sz w:val="32"/>
          <w:szCs w:val="32"/>
          <w:highlight w:val="none"/>
          <w:lang w:eastAsia="zh-CN"/>
        </w:rPr>
        <w:t>安阳县水利局2022年</w:t>
      </w:r>
      <w:r>
        <w:rPr>
          <w:rFonts w:hint="eastAsia" w:ascii="仿宋_GB2312" w:hAnsi="仿宋_GB2312" w:eastAsia="仿宋_GB2312" w:cs="仿宋_GB2312"/>
          <w:sz w:val="32"/>
          <w:szCs w:val="32"/>
          <w:highlight w:val="none"/>
        </w:rPr>
        <w:t>度</w:t>
      </w:r>
      <w:r>
        <w:rPr>
          <w:rFonts w:hint="eastAsia" w:ascii="仿宋_GB2312" w:hAnsi="仿宋_GB2312" w:eastAsia="仿宋_GB2312" w:cs="仿宋_GB2312"/>
          <w:sz w:val="32"/>
          <w:szCs w:val="32"/>
          <w:highlight w:val="none"/>
          <w:lang w:val="en-US" w:eastAsia="zh-CN"/>
        </w:rPr>
        <w:t>实际支出数</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安阳县水利局2022年</w:t>
      </w:r>
      <w:r>
        <w:rPr>
          <w:rFonts w:hint="eastAsia" w:ascii="仿宋_GB2312" w:hAnsi="仿宋_GB2312" w:eastAsia="仿宋_GB2312" w:cs="仿宋_GB2312"/>
          <w:sz w:val="32"/>
          <w:szCs w:val="32"/>
          <w:highlight w:val="none"/>
        </w:rPr>
        <w:t>度公用经费总额</w:t>
      </w:r>
      <w:r>
        <w:rPr>
          <w:rFonts w:hint="eastAsia" w:ascii="仿宋_GB2312" w:hAnsi="仿宋_GB2312" w:eastAsia="仿宋_GB2312" w:cs="仿宋_GB2312"/>
          <w:sz w:val="32"/>
          <w:szCs w:val="32"/>
          <w:highlight w:val="none"/>
          <w:lang w:eastAsia="zh-CN"/>
        </w:rPr>
        <w:t>438,010.49</w:t>
      </w:r>
      <w:r>
        <w:rPr>
          <w:rFonts w:hint="eastAsia" w:ascii="仿宋_GB2312" w:hAnsi="仿宋_GB2312" w:eastAsia="仿宋_GB2312" w:cs="仿宋_GB2312"/>
          <w:sz w:val="32"/>
          <w:szCs w:val="32"/>
          <w:highlight w:val="none"/>
        </w:rPr>
        <w:t>元，</w:t>
      </w:r>
      <w:r>
        <w:rPr>
          <w:rFonts w:hint="eastAsia" w:ascii="仿宋_GB2312" w:hAnsi="仿宋_GB2312" w:eastAsia="仿宋_GB2312" w:cs="仿宋_GB2312"/>
          <w:sz w:val="32"/>
          <w:szCs w:val="32"/>
          <w:highlight w:val="none"/>
          <w:lang w:val="en-US" w:eastAsia="zh-CN"/>
        </w:rPr>
        <w:t>在职人数74人，人均公用经费5,919.06元，</w:t>
      </w: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年</w:t>
      </w:r>
      <w:r>
        <w:rPr>
          <w:rFonts w:hint="eastAsia" w:ascii="仿宋_GB2312" w:hAnsi="仿宋_GB2312" w:eastAsia="仿宋_GB2312" w:cs="仿宋_GB2312"/>
          <w:sz w:val="32"/>
          <w:szCs w:val="32"/>
          <w:highlight w:val="none"/>
        </w:rPr>
        <w:t>度公用经费总额</w:t>
      </w:r>
      <w:r>
        <w:rPr>
          <w:rFonts w:hint="eastAsia" w:ascii="仿宋_GB2312" w:hAnsi="仿宋_GB2312" w:eastAsia="仿宋_GB2312" w:cs="仿宋_GB2312"/>
          <w:sz w:val="32"/>
          <w:szCs w:val="32"/>
          <w:highlight w:val="none"/>
          <w:lang w:eastAsia="zh-CN"/>
        </w:rPr>
        <w:t>523,307.47</w:t>
      </w:r>
      <w:r>
        <w:rPr>
          <w:rFonts w:hint="eastAsia" w:ascii="仿宋_GB2312" w:hAnsi="仿宋_GB2312" w:eastAsia="仿宋_GB2312" w:cs="仿宋_GB2312"/>
          <w:sz w:val="32"/>
          <w:szCs w:val="32"/>
          <w:highlight w:val="none"/>
        </w:rPr>
        <w:t>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在职人数73人，人均公用经费7,168.60元，</w:t>
      </w:r>
      <w:r>
        <w:rPr>
          <w:rFonts w:hint="eastAsia" w:ascii="仿宋_GB2312" w:hAnsi="仿宋_GB2312" w:eastAsia="仿宋_GB2312" w:cs="仿宋_GB2312"/>
          <w:sz w:val="32"/>
          <w:szCs w:val="32"/>
          <w:highlight w:val="none"/>
        </w:rPr>
        <w:t>人均用经费变动率=〔（</w:t>
      </w:r>
      <w:r>
        <w:rPr>
          <w:rFonts w:hint="eastAsia" w:ascii="仿宋_GB2312" w:hAnsi="仿宋_GB2312" w:eastAsia="仿宋_GB2312" w:cs="仿宋_GB2312"/>
          <w:sz w:val="32"/>
          <w:szCs w:val="32"/>
          <w:highlight w:val="none"/>
          <w:lang w:val="en-US" w:eastAsia="zh-CN"/>
        </w:rPr>
        <w:t>5,919.06</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7,168.60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7,168.60</w:t>
      </w:r>
      <w:r>
        <w:rPr>
          <w:rFonts w:hint="eastAsia"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lang w:val="en-US" w:eastAsia="zh-CN"/>
        </w:rPr>
        <w:t>-17.43</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根据评分规则，该指标得</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分。</w:t>
      </w:r>
      <w:bookmarkEnd w:id="34"/>
    </w:p>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A06.“三公经费”变动率</w:t>
      </w:r>
      <w:r>
        <w:rPr>
          <w:rFonts w:hint="eastAsia" w:ascii="仿宋_GB2312" w:hAnsi="仿宋_GB2312" w:eastAsia="仿宋_GB2312" w:cs="仿宋_GB2312"/>
          <w:sz w:val="32"/>
          <w:szCs w:val="32"/>
          <w:highlight w:val="none"/>
        </w:rPr>
        <w:t>：该指标分值</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分，实际得分为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分。</w:t>
      </w:r>
      <w:bookmarkStart w:id="35" w:name="OLE_LINK48"/>
      <w:r>
        <w:rPr>
          <w:rFonts w:hint="eastAsia" w:ascii="仿宋_GB2312" w:hAnsi="仿宋_GB2312" w:eastAsia="仿宋_GB2312" w:cs="仿宋_GB2312"/>
          <w:sz w:val="32"/>
          <w:szCs w:val="32"/>
          <w:highlight w:val="none"/>
        </w:rPr>
        <w:t>根据</w:t>
      </w:r>
      <w:r>
        <w:rPr>
          <w:rFonts w:hint="eastAsia" w:ascii="仿宋_GB2312" w:hAnsi="仿宋_GB2312" w:eastAsia="仿宋_GB2312" w:cs="仿宋_GB2312"/>
          <w:sz w:val="32"/>
          <w:szCs w:val="32"/>
          <w:highlight w:val="none"/>
          <w:lang w:eastAsia="zh-CN"/>
        </w:rPr>
        <w:t>安阳县水利局2022年</w:t>
      </w:r>
      <w:r>
        <w:rPr>
          <w:rFonts w:hint="eastAsia" w:ascii="仿宋_GB2312" w:hAnsi="仿宋_GB2312" w:eastAsia="仿宋_GB2312" w:cs="仿宋_GB2312"/>
          <w:sz w:val="32"/>
          <w:szCs w:val="32"/>
          <w:highlight w:val="none"/>
        </w:rPr>
        <w:t>度</w:t>
      </w:r>
      <w:r>
        <w:rPr>
          <w:rFonts w:hint="eastAsia" w:ascii="仿宋_GB2312" w:hAnsi="仿宋_GB2312" w:eastAsia="仿宋_GB2312" w:cs="仿宋_GB2312"/>
          <w:sz w:val="32"/>
          <w:szCs w:val="32"/>
          <w:highlight w:val="none"/>
          <w:lang w:val="en-US" w:eastAsia="zh-CN"/>
        </w:rPr>
        <w:t>实际支出数</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安阳县水利局2022年</w:t>
      </w:r>
      <w:r>
        <w:rPr>
          <w:rFonts w:hint="eastAsia" w:ascii="仿宋_GB2312" w:hAnsi="仿宋_GB2312" w:eastAsia="仿宋_GB2312" w:cs="仿宋_GB2312"/>
          <w:sz w:val="32"/>
          <w:szCs w:val="32"/>
          <w:highlight w:val="none"/>
        </w:rPr>
        <w:t>度“三公经费”</w:t>
      </w:r>
      <w:r>
        <w:rPr>
          <w:rFonts w:hint="eastAsia" w:ascii="仿宋_GB2312" w:hAnsi="仿宋_GB2312" w:eastAsia="仿宋_GB2312" w:cs="仿宋_GB2312"/>
          <w:sz w:val="32"/>
          <w:szCs w:val="32"/>
          <w:highlight w:val="none"/>
          <w:lang w:val="en-US" w:eastAsia="zh-CN"/>
        </w:rPr>
        <w:t>支</w:t>
      </w:r>
      <w:r>
        <w:rPr>
          <w:rFonts w:hint="eastAsia" w:ascii="仿宋_GB2312" w:hAnsi="仿宋_GB2312" w:eastAsia="仿宋_GB2312" w:cs="仿宋_GB2312"/>
          <w:color w:val="auto"/>
          <w:sz w:val="32"/>
          <w:szCs w:val="32"/>
          <w:highlight w:val="none"/>
          <w:lang w:val="en-US" w:eastAsia="zh-CN"/>
        </w:rPr>
        <w:t>出</w:t>
      </w:r>
      <w:r>
        <w:rPr>
          <w:rFonts w:hint="eastAsia" w:ascii="仿宋_GB2312" w:hAnsi="仿宋_GB2312" w:eastAsia="仿宋_GB2312" w:cs="仿宋_GB2312"/>
          <w:color w:val="auto"/>
          <w:sz w:val="32"/>
          <w:szCs w:val="32"/>
          <w:highlight w:val="none"/>
        </w:rPr>
        <w:t>数</w:t>
      </w:r>
      <w:r>
        <w:rPr>
          <w:rFonts w:hint="eastAsia" w:ascii="仿宋_GB2312" w:hAnsi="仿宋_GB2312" w:eastAsia="仿宋_GB2312" w:cs="仿宋_GB2312"/>
          <w:color w:val="auto"/>
          <w:sz w:val="32"/>
          <w:szCs w:val="32"/>
          <w:highlight w:val="none"/>
          <w:lang w:eastAsia="zh-CN"/>
        </w:rPr>
        <w:t>566,818.17</w:t>
      </w:r>
      <w:r>
        <w:rPr>
          <w:rFonts w:hint="eastAsia" w:ascii="仿宋_GB2312" w:hAnsi="仿宋_GB2312" w:eastAsia="仿宋_GB2312" w:cs="仿宋_GB2312"/>
          <w:color w:val="auto"/>
          <w:sz w:val="32"/>
          <w:szCs w:val="32"/>
          <w:highlight w:val="none"/>
        </w:rPr>
        <w:t>元，</w:t>
      </w:r>
      <w:r>
        <w:rPr>
          <w:rFonts w:hint="eastAsia" w:ascii="仿宋_GB2312" w:hAnsi="仿宋_GB2312" w:eastAsia="仿宋_GB2312" w:cs="仿宋_GB2312"/>
          <w:sz w:val="32"/>
          <w:szCs w:val="32"/>
          <w:highlight w:val="none"/>
          <w:lang w:eastAsia="zh-CN"/>
        </w:rPr>
        <w:t>2021年</w:t>
      </w:r>
      <w:r>
        <w:rPr>
          <w:rFonts w:hint="eastAsia" w:ascii="仿宋_GB2312" w:hAnsi="仿宋_GB2312" w:eastAsia="仿宋_GB2312" w:cs="仿宋_GB2312"/>
          <w:sz w:val="32"/>
          <w:szCs w:val="32"/>
          <w:highlight w:val="none"/>
        </w:rPr>
        <w:t>度“三公经费”</w:t>
      </w:r>
      <w:r>
        <w:rPr>
          <w:rFonts w:hint="eastAsia" w:ascii="仿宋_GB2312" w:hAnsi="仿宋_GB2312" w:eastAsia="仿宋_GB2312" w:cs="仿宋_GB2312"/>
          <w:sz w:val="32"/>
          <w:szCs w:val="32"/>
          <w:highlight w:val="none"/>
          <w:lang w:val="en-US" w:eastAsia="zh-CN"/>
        </w:rPr>
        <w:t>支出数116,769.16元，</w:t>
      </w:r>
      <w:r>
        <w:rPr>
          <w:rFonts w:hint="eastAsia" w:ascii="仿宋_GB2312" w:hAnsi="仿宋_GB2312" w:eastAsia="仿宋_GB2312" w:cs="仿宋_GB2312"/>
          <w:sz w:val="32"/>
          <w:szCs w:val="32"/>
          <w:highlight w:val="none"/>
        </w:rPr>
        <w:t>“三公经费”变动率=〔（</w:t>
      </w:r>
      <w:r>
        <w:rPr>
          <w:rFonts w:hint="eastAsia" w:ascii="仿宋_GB2312" w:hAnsi="仿宋_GB2312" w:eastAsia="仿宋_GB2312" w:cs="仿宋_GB2312"/>
          <w:sz w:val="32"/>
          <w:szCs w:val="32"/>
          <w:highlight w:val="none"/>
          <w:lang w:eastAsia="zh-CN"/>
        </w:rPr>
        <w:t>566,818.17</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116,769.16</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116,769.16</w:t>
      </w:r>
      <w:r>
        <w:rPr>
          <w:rFonts w:hint="eastAsia"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lang w:val="en-US" w:eastAsia="zh-CN"/>
        </w:rPr>
        <w:t>385.42</w:t>
      </w:r>
      <w:r>
        <w:rPr>
          <w:rFonts w:hint="eastAsia" w:ascii="仿宋_GB2312" w:hAnsi="仿宋_GB2312" w:eastAsia="仿宋_GB2312" w:cs="仿宋_GB2312"/>
          <w:sz w:val="32"/>
          <w:szCs w:val="32"/>
          <w:highlight w:val="none"/>
        </w:rPr>
        <w:t>%。根据评分规则，该指标得</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分。</w:t>
      </w:r>
      <w:bookmarkEnd w:id="35"/>
    </w:p>
    <w:p>
      <w:pPr>
        <w:pStyle w:val="10"/>
        <w:keepNext w:val="0"/>
        <w:keepLines w:val="0"/>
        <w:pageBreakBefore w:val="0"/>
        <w:widowControl w:val="0"/>
        <w:numPr>
          <w:ilvl w:val="0"/>
          <w:numId w:val="4"/>
        </w:numPr>
        <w:kinsoku/>
        <w:wordWrap/>
        <w:overflowPunct/>
        <w:topLinePunct w:val="0"/>
        <w:autoSpaceDE/>
        <w:autoSpaceDN/>
        <w:bidi w:val="0"/>
        <w:adjustRightInd/>
        <w:snapToGrid/>
        <w:spacing w:line="360" w:lineRule="auto"/>
        <w:ind w:left="-13" w:leftChars="0" w:firstLine="643" w:firstLineChars="0"/>
        <w:jc w:val="both"/>
        <w:textAlignment w:val="auto"/>
        <w:outlineLvl w:val="1"/>
        <w:rPr>
          <w:rFonts w:hint="eastAsia" w:ascii="仿宋_GB2312" w:hAnsi="仿宋_GB2312" w:eastAsia="仿宋_GB2312" w:cs="仿宋_GB2312"/>
          <w:b/>
          <w:bCs/>
          <w:color w:val="000000"/>
          <w:kern w:val="0"/>
          <w:sz w:val="32"/>
          <w:szCs w:val="32"/>
          <w:lang w:val="en-US" w:eastAsia="zh-CN" w:bidi="ar"/>
        </w:rPr>
      </w:pPr>
      <w:bookmarkStart w:id="36" w:name="_Toc7009"/>
      <w:bookmarkStart w:id="37" w:name="_Toc9762"/>
      <w:bookmarkStart w:id="38" w:name="_Toc3668"/>
      <w:bookmarkStart w:id="39" w:name="_Toc15587"/>
      <w:r>
        <w:rPr>
          <w:rFonts w:hint="eastAsia" w:ascii="仿宋_GB2312" w:hAnsi="仿宋_GB2312" w:eastAsia="仿宋_GB2312" w:cs="仿宋_GB2312"/>
          <w:b/>
          <w:bCs/>
          <w:color w:val="000000"/>
          <w:kern w:val="0"/>
          <w:sz w:val="32"/>
          <w:szCs w:val="32"/>
          <w:lang w:val="en-US" w:eastAsia="zh-CN" w:bidi="ar"/>
        </w:rPr>
        <w:t>预算情况指标分析</w:t>
      </w:r>
      <w:bookmarkEnd w:id="36"/>
      <w:bookmarkEnd w:id="37"/>
      <w:bookmarkEnd w:id="38"/>
      <w:bookmarkEnd w:id="39"/>
    </w:p>
    <w:p>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1"/>
        <w:rPr>
          <w:rFonts w:hint="eastAsia" w:ascii="仿宋_GB2312" w:hAnsi="仿宋_GB2312" w:eastAsia="仿宋_GB2312" w:cs="仿宋_GB2312"/>
          <w:sz w:val="32"/>
          <w:szCs w:val="32"/>
        </w:rPr>
      </w:pPr>
      <w:bookmarkStart w:id="40" w:name="_Toc24275"/>
      <w:bookmarkStart w:id="41" w:name="_Toc15567"/>
      <w:bookmarkStart w:id="42" w:name="_Toc23393"/>
      <w:bookmarkStart w:id="43" w:name="_Toc16091"/>
      <w:bookmarkStart w:id="44" w:name="_Toc9505"/>
      <w:bookmarkStart w:id="45" w:name="_Toc22476"/>
      <w:bookmarkStart w:id="46" w:name="_Toc16928"/>
      <w:bookmarkStart w:id="47" w:name="_Toc507"/>
      <w:bookmarkStart w:id="48" w:name="_Toc2613"/>
      <w:r>
        <w:rPr>
          <w:rFonts w:hint="eastAsia" w:ascii="仿宋_GB2312" w:hAnsi="仿宋_GB2312" w:eastAsia="仿宋_GB2312" w:cs="仿宋_GB2312"/>
          <w:sz w:val="32"/>
          <w:szCs w:val="32"/>
        </w:rPr>
        <w:t>预算情况类指标共分1个二级指标，5个三级指标，权重分值共</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0分，实际得分</w:t>
      </w:r>
      <w:r>
        <w:rPr>
          <w:rFonts w:hint="eastAsia" w:ascii="仿宋_GB2312" w:hAnsi="仿宋_GB2312" w:cs="仿宋_GB2312"/>
          <w:sz w:val="32"/>
          <w:szCs w:val="32"/>
          <w:lang w:val="en-US" w:eastAsia="zh-CN"/>
        </w:rPr>
        <w:t>17</w:t>
      </w:r>
      <w:r>
        <w:rPr>
          <w:rFonts w:hint="eastAsia" w:ascii="仿宋_GB2312" w:hAnsi="仿宋_GB2312" w:eastAsia="仿宋_GB2312" w:cs="仿宋_GB2312"/>
          <w:sz w:val="32"/>
          <w:szCs w:val="32"/>
        </w:rPr>
        <w:t>分，得分率</w:t>
      </w:r>
      <w:r>
        <w:rPr>
          <w:rFonts w:hint="eastAsia" w:ascii="仿宋_GB2312" w:hAnsi="仿宋_GB2312" w:cs="仿宋_GB2312"/>
          <w:sz w:val="32"/>
          <w:szCs w:val="32"/>
          <w:lang w:val="en-US" w:eastAsia="zh-CN"/>
        </w:rPr>
        <w:t>85</w:t>
      </w:r>
      <w:r>
        <w:rPr>
          <w:rFonts w:hint="eastAsia" w:ascii="仿宋_GB2312" w:hAnsi="仿宋_GB2312" w:eastAsia="仿宋_GB2312" w:cs="仿宋_GB2312"/>
          <w:sz w:val="32"/>
          <w:szCs w:val="32"/>
        </w:rPr>
        <w:t>%。各指标具体得分情况如下：</w:t>
      </w:r>
      <w:bookmarkEnd w:id="40"/>
      <w:bookmarkEnd w:id="41"/>
      <w:bookmarkEnd w:id="42"/>
      <w:bookmarkEnd w:id="43"/>
      <w:bookmarkEnd w:id="44"/>
      <w:bookmarkEnd w:id="45"/>
      <w:bookmarkEnd w:id="46"/>
      <w:bookmarkEnd w:id="47"/>
      <w:bookmarkEnd w:id="48"/>
    </w:p>
    <w:p>
      <w:pPr>
        <w:keepNext w:val="0"/>
        <w:keepLines w:val="0"/>
        <w:pageBreakBefore w:val="0"/>
        <w:kinsoku/>
        <w:wordWrap/>
        <w:overflowPunct/>
        <w:topLinePunct w:val="0"/>
        <w:autoSpaceDE/>
        <w:autoSpaceDN/>
        <w:bidi w:val="0"/>
        <w:spacing w:line="54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表3-2预算情况指标评分结果汇总表</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4"/>
        <w:gridCol w:w="3041"/>
        <w:gridCol w:w="981"/>
        <w:gridCol w:w="981"/>
        <w:gridCol w:w="1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blHeader/>
        </w:trPr>
        <w:tc>
          <w:tcPr>
            <w:tcW w:w="2279"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二级指标</w:t>
            </w:r>
          </w:p>
        </w:tc>
        <w:tc>
          <w:tcPr>
            <w:tcW w:w="2931"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三级指标</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权重</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得分</w:t>
            </w:r>
          </w:p>
        </w:tc>
        <w:tc>
          <w:tcPr>
            <w:tcW w:w="1416"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79" w:type="dxa"/>
            <w:vMerge w:val="restar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bidi="ar"/>
              </w:rPr>
              <w:t>B1.预算执行情况</w:t>
            </w:r>
          </w:p>
        </w:tc>
        <w:tc>
          <w:tcPr>
            <w:tcW w:w="2931"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bidi="ar"/>
              </w:rPr>
              <w:t>B01.预算完成率</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8</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8</w:t>
            </w:r>
          </w:p>
        </w:tc>
        <w:tc>
          <w:tcPr>
            <w:tcW w:w="1416"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cs="宋体"/>
                <w:color w:val="000000"/>
                <w:kern w:val="0"/>
                <w:sz w:val="24"/>
                <w:szCs w:val="24"/>
                <w:lang w:val="en-US" w:eastAsia="zh-CN"/>
              </w:rPr>
              <w:t>100</w:t>
            </w:r>
            <w:r>
              <w:rPr>
                <w:rFonts w:hint="eastAsia" w:ascii="宋体" w:hAnsi="宋体" w:eastAsia="宋体" w:cs="宋体"/>
                <w:color w:val="000000"/>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79" w:type="dxa"/>
            <w:vMerge w:val="continue"/>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kern w:val="0"/>
                <w:sz w:val="24"/>
                <w:szCs w:val="24"/>
              </w:rPr>
            </w:pPr>
          </w:p>
        </w:tc>
        <w:tc>
          <w:tcPr>
            <w:tcW w:w="2931"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bidi="ar"/>
              </w:rPr>
              <w:t>B02.预算调整率</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0</w:t>
            </w:r>
          </w:p>
        </w:tc>
        <w:tc>
          <w:tcPr>
            <w:tcW w:w="1416"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cs="宋体"/>
                <w:color w:val="000000"/>
                <w:kern w:val="0"/>
                <w:sz w:val="24"/>
                <w:szCs w:val="24"/>
                <w:lang w:val="en-US" w:eastAsia="zh-CN"/>
              </w:rPr>
              <w:t>0</w:t>
            </w:r>
            <w:r>
              <w:rPr>
                <w:rFonts w:hint="eastAsia" w:ascii="宋体" w:hAnsi="宋体" w:eastAsia="宋体" w:cs="宋体"/>
                <w:color w:val="000000"/>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79" w:type="dxa"/>
            <w:vMerge w:val="continue"/>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kern w:val="0"/>
                <w:sz w:val="24"/>
                <w:szCs w:val="24"/>
              </w:rPr>
            </w:pPr>
          </w:p>
        </w:tc>
        <w:tc>
          <w:tcPr>
            <w:tcW w:w="2931"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bidi="ar"/>
              </w:rPr>
              <w:t>B</w:t>
            </w:r>
            <w:r>
              <w:rPr>
                <w:rStyle w:val="14"/>
                <w:rFonts w:hint="eastAsia" w:ascii="宋体" w:hAnsi="宋体" w:eastAsia="宋体" w:cs="宋体"/>
                <w:sz w:val="24"/>
                <w:szCs w:val="24"/>
                <w:lang w:bidi="ar"/>
              </w:rPr>
              <w:t>03.项目</w:t>
            </w:r>
            <w:r>
              <w:rPr>
                <w:rFonts w:hint="eastAsia" w:ascii="宋体" w:hAnsi="宋体" w:eastAsia="宋体" w:cs="宋体"/>
                <w:color w:val="000000"/>
                <w:kern w:val="0"/>
                <w:sz w:val="24"/>
                <w:szCs w:val="24"/>
                <w:lang w:bidi="ar"/>
              </w:rPr>
              <w:t>支付进度率</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3</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3</w:t>
            </w:r>
          </w:p>
        </w:tc>
        <w:tc>
          <w:tcPr>
            <w:tcW w:w="1416"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cs="宋体"/>
                <w:color w:val="000000"/>
                <w:kern w:val="0"/>
                <w:sz w:val="24"/>
                <w:szCs w:val="24"/>
                <w:lang w:val="en-US" w:eastAsia="zh-CN"/>
              </w:rPr>
              <w:t>100</w:t>
            </w:r>
            <w:r>
              <w:rPr>
                <w:rFonts w:hint="eastAsia" w:ascii="宋体" w:hAnsi="宋体" w:eastAsia="宋体" w:cs="宋体"/>
                <w:color w:val="000000"/>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79" w:type="dxa"/>
            <w:vMerge w:val="continue"/>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kern w:val="0"/>
                <w:sz w:val="24"/>
                <w:szCs w:val="24"/>
              </w:rPr>
            </w:pPr>
          </w:p>
        </w:tc>
        <w:tc>
          <w:tcPr>
            <w:tcW w:w="2931"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B</w:t>
            </w:r>
            <w:r>
              <w:rPr>
                <w:rStyle w:val="14"/>
                <w:rFonts w:hint="eastAsia" w:ascii="宋体" w:hAnsi="宋体" w:eastAsia="宋体" w:cs="宋体"/>
                <w:sz w:val="24"/>
                <w:szCs w:val="24"/>
                <w:lang w:bidi="ar"/>
              </w:rPr>
              <w:t>04.</w:t>
            </w:r>
            <w:r>
              <w:rPr>
                <w:rFonts w:hint="eastAsia" w:ascii="宋体" w:hAnsi="宋体" w:eastAsia="宋体" w:cs="宋体"/>
                <w:color w:val="000000"/>
                <w:kern w:val="0"/>
                <w:sz w:val="24"/>
                <w:szCs w:val="24"/>
                <w:lang w:bidi="ar"/>
              </w:rPr>
              <w:t>结转结余率</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3</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3</w:t>
            </w:r>
          </w:p>
        </w:tc>
        <w:tc>
          <w:tcPr>
            <w:tcW w:w="1416"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cs="宋体"/>
                <w:color w:val="000000"/>
                <w:kern w:val="0"/>
                <w:sz w:val="24"/>
                <w:szCs w:val="24"/>
                <w:lang w:val="en-US" w:eastAsia="zh-CN"/>
              </w:rPr>
              <w:t>10</w:t>
            </w:r>
            <w:r>
              <w:rPr>
                <w:rFonts w:hint="eastAsia" w:ascii="宋体" w:hAnsi="宋体" w:eastAsia="宋体" w:cs="宋体"/>
                <w:color w:val="000000"/>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79" w:type="dxa"/>
            <w:vMerge w:val="continue"/>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kern w:val="0"/>
                <w:sz w:val="24"/>
                <w:szCs w:val="24"/>
              </w:rPr>
            </w:pPr>
          </w:p>
        </w:tc>
        <w:tc>
          <w:tcPr>
            <w:tcW w:w="2931"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color w:val="000000"/>
                <w:kern w:val="0"/>
                <w:sz w:val="24"/>
                <w:szCs w:val="24"/>
                <w:lang w:bidi="ar"/>
              </w:rPr>
            </w:pPr>
            <w:r>
              <w:rPr>
                <w:rFonts w:hint="eastAsia" w:ascii="宋体" w:hAnsi="宋体" w:eastAsia="宋体" w:cs="宋体"/>
                <w:color w:val="000000"/>
                <w:kern w:val="0"/>
                <w:sz w:val="24"/>
                <w:szCs w:val="24"/>
                <w:lang w:bidi="ar"/>
              </w:rPr>
              <w:t>B05.结转结余变动率</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lang w:eastAsia="zh-CN"/>
              </w:rPr>
            </w:pPr>
            <w:r>
              <w:rPr>
                <w:rFonts w:hint="eastAsia" w:ascii="宋体" w:hAnsi="宋体" w:eastAsia="宋体" w:cs="宋体"/>
                <w:color w:val="000000"/>
                <w:kern w:val="0"/>
                <w:sz w:val="24"/>
                <w:szCs w:val="24"/>
                <w:lang w:val="en-US" w:eastAsia="zh-CN"/>
              </w:rPr>
              <w:t>3</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3</w:t>
            </w:r>
          </w:p>
        </w:tc>
        <w:tc>
          <w:tcPr>
            <w:tcW w:w="1416"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cs="宋体"/>
                <w:color w:val="000000"/>
                <w:kern w:val="0"/>
                <w:sz w:val="24"/>
                <w:szCs w:val="24"/>
                <w:lang w:val="en-US" w:eastAsia="zh-CN"/>
              </w:rPr>
              <w:t>100</w:t>
            </w:r>
            <w:r>
              <w:rPr>
                <w:rFonts w:hint="eastAsia" w:ascii="宋体" w:hAnsi="宋体" w:eastAsia="宋体" w:cs="宋体"/>
                <w:color w:val="000000"/>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79" w:type="dxa"/>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kern w:val="0"/>
                <w:sz w:val="24"/>
                <w:szCs w:val="24"/>
              </w:rPr>
            </w:pPr>
          </w:p>
        </w:tc>
        <w:tc>
          <w:tcPr>
            <w:tcW w:w="2931"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color w:val="000000"/>
                <w:kern w:val="0"/>
                <w:sz w:val="24"/>
                <w:szCs w:val="24"/>
              </w:rPr>
            </w:pPr>
            <w:r>
              <w:rPr>
                <w:rFonts w:hint="eastAsia" w:ascii="宋体" w:hAnsi="宋体" w:eastAsia="宋体" w:cs="宋体"/>
                <w:b w:val="0"/>
                <w:bCs/>
                <w:color w:val="000000"/>
                <w:kern w:val="0"/>
                <w:sz w:val="24"/>
                <w:szCs w:val="24"/>
                <w:lang w:bidi="ar"/>
              </w:rPr>
              <w:t>小计</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color w:val="000000"/>
                <w:kern w:val="0"/>
                <w:sz w:val="24"/>
                <w:szCs w:val="24"/>
              </w:rPr>
            </w:pPr>
            <w:r>
              <w:rPr>
                <w:rFonts w:hint="eastAsia" w:ascii="宋体" w:hAnsi="宋体" w:eastAsia="宋体" w:cs="宋体"/>
                <w:b w:val="0"/>
                <w:bCs/>
                <w:color w:val="000000"/>
                <w:kern w:val="0"/>
                <w:sz w:val="24"/>
                <w:szCs w:val="24"/>
                <w:lang w:val="en-US" w:eastAsia="zh-CN"/>
              </w:rPr>
              <w:t>2</w:t>
            </w:r>
            <w:r>
              <w:rPr>
                <w:rFonts w:hint="eastAsia" w:ascii="宋体" w:hAnsi="宋体" w:eastAsia="宋体" w:cs="宋体"/>
                <w:b w:val="0"/>
                <w:bCs/>
                <w:color w:val="000000"/>
                <w:kern w:val="0"/>
                <w:sz w:val="24"/>
                <w:szCs w:val="24"/>
              </w:rPr>
              <w:t>0</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b w:val="0"/>
                <w:bCs/>
                <w:color w:val="000000"/>
                <w:kern w:val="0"/>
                <w:sz w:val="24"/>
                <w:szCs w:val="24"/>
                <w:lang w:val="en-US" w:eastAsia="zh-CN"/>
              </w:rPr>
            </w:pPr>
            <w:r>
              <w:rPr>
                <w:rFonts w:hint="eastAsia" w:ascii="宋体" w:hAnsi="宋体" w:cs="宋体"/>
                <w:b w:val="0"/>
                <w:bCs/>
                <w:color w:val="000000"/>
                <w:kern w:val="0"/>
                <w:sz w:val="24"/>
                <w:szCs w:val="24"/>
                <w:highlight w:val="none"/>
                <w:lang w:val="en-US" w:eastAsia="zh-CN"/>
              </w:rPr>
              <w:t>17</w:t>
            </w:r>
          </w:p>
        </w:tc>
        <w:tc>
          <w:tcPr>
            <w:tcW w:w="1416"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cs="宋体"/>
                <w:color w:val="000000"/>
                <w:kern w:val="0"/>
                <w:sz w:val="24"/>
                <w:szCs w:val="24"/>
                <w:lang w:val="en-US" w:eastAsia="zh-CN"/>
              </w:rPr>
              <w:t>85</w:t>
            </w:r>
            <w:r>
              <w:rPr>
                <w:rFonts w:hint="eastAsia" w:ascii="宋体" w:hAnsi="宋体" w:eastAsia="宋体" w:cs="宋体"/>
                <w:color w:val="000000"/>
                <w:kern w:val="0"/>
                <w:sz w:val="24"/>
                <w:szCs w:val="24"/>
              </w:rPr>
              <w:t>%</w:t>
            </w:r>
          </w:p>
        </w:tc>
      </w:tr>
    </w:tbl>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B01.预算完成率</w:t>
      </w:r>
      <w:r>
        <w:rPr>
          <w:rFonts w:hint="eastAsia" w:ascii="仿宋_GB2312" w:hAnsi="仿宋_GB2312" w:eastAsia="仿宋_GB2312" w:cs="仿宋_GB2312"/>
          <w:sz w:val="32"/>
          <w:szCs w:val="32"/>
        </w:rPr>
        <w:t>：该指标分值</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分，实际得分为</w:t>
      </w:r>
      <w:r>
        <w:rPr>
          <w:rFonts w:hint="eastAsia" w:ascii="仿宋_GB2312" w:hAnsi="仿宋_GB2312" w:cs="仿宋_GB2312"/>
          <w:sz w:val="32"/>
          <w:szCs w:val="32"/>
          <w:lang w:val="en-US" w:eastAsia="zh-CN"/>
        </w:rPr>
        <w:t>8</w:t>
      </w:r>
      <w:r>
        <w:rPr>
          <w:rFonts w:hint="eastAsia" w:ascii="仿宋_GB2312" w:hAnsi="仿宋_GB2312" w:eastAsia="仿宋_GB2312" w:cs="仿宋_GB2312"/>
          <w:sz w:val="32"/>
          <w:szCs w:val="32"/>
        </w:rPr>
        <w:t>分。</w:t>
      </w:r>
      <w:bookmarkStart w:id="49" w:name="OLE_LINK49"/>
      <w:r>
        <w:rPr>
          <w:rFonts w:hint="eastAsia" w:ascii="仿宋_GB2312" w:hAnsi="仿宋_GB2312" w:eastAsia="仿宋_GB2312" w:cs="仿宋_GB2312"/>
          <w:sz w:val="32"/>
          <w:szCs w:val="32"/>
        </w:rPr>
        <w:t>根据</w:t>
      </w:r>
      <w:r>
        <w:rPr>
          <w:rFonts w:hint="eastAsia" w:ascii="仿宋_GB2312" w:hAnsi="仿宋_GB2312" w:cs="仿宋_GB2312"/>
          <w:sz w:val="32"/>
          <w:szCs w:val="32"/>
          <w:lang w:eastAsia="zh-CN"/>
        </w:rPr>
        <w:t>安阳县水利局2022年</w:t>
      </w:r>
      <w:r>
        <w:rPr>
          <w:rFonts w:hint="eastAsia" w:ascii="仿宋_GB2312" w:hAnsi="仿宋_GB2312" w:eastAsia="仿宋_GB2312" w:cs="仿宋_GB2312"/>
          <w:sz w:val="32"/>
          <w:szCs w:val="32"/>
        </w:rPr>
        <w:t>度</w:t>
      </w:r>
      <w:r>
        <w:rPr>
          <w:rFonts w:hint="eastAsia" w:ascii="仿宋_GB2312" w:hAnsi="仿宋_GB2312" w:eastAsia="仿宋_GB2312" w:cs="仿宋_GB2312"/>
          <w:sz w:val="32"/>
          <w:szCs w:val="32"/>
          <w:lang w:val="en-US" w:eastAsia="zh-CN"/>
        </w:rPr>
        <w:t>实际支出数</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安阳县水利局2022年</w:t>
      </w:r>
      <w:r>
        <w:rPr>
          <w:rFonts w:hint="eastAsia" w:ascii="仿宋_GB2312" w:hAnsi="仿宋_GB2312" w:eastAsia="仿宋_GB2312" w:cs="仿宋_GB2312"/>
          <w:sz w:val="32"/>
          <w:szCs w:val="32"/>
        </w:rPr>
        <w:t>度预算完成数</w:t>
      </w:r>
      <w:r>
        <w:rPr>
          <w:rFonts w:hint="eastAsia" w:ascii="仿宋_GB2312" w:hAnsi="仿宋_GB2312" w:cs="仿宋_GB2312"/>
          <w:sz w:val="32"/>
          <w:szCs w:val="32"/>
          <w:lang w:val="en-US" w:eastAsia="zh-CN"/>
        </w:rPr>
        <w:t>32,321.19万</w:t>
      </w:r>
      <w:r>
        <w:rPr>
          <w:rFonts w:hint="eastAsia" w:ascii="仿宋_GB2312" w:hAnsi="仿宋_GB2312" w:eastAsia="仿宋_GB2312" w:cs="仿宋_GB2312"/>
          <w:sz w:val="32"/>
          <w:szCs w:val="32"/>
        </w:rPr>
        <w:t>元，</w:t>
      </w:r>
      <w:r>
        <w:rPr>
          <w:rFonts w:hint="eastAsia" w:ascii="仿宋_GB2312" w:hAnsi="仿宋_GB2312" w:cs="仿宋_GB2312"/>
          <w:sz w:val="32"/>
          <w:szCs w:val="32"/>
          <w:lang w:eastAsia="zh-CN"/>
        </w:rPr>
        <w:t>2022年</w:t>
      </w:r>
      <w:r>
        <w:rPr>
          <w:rFonts w:hint="eastAsia" w:ascii="仿宋_GB2312" w:hAnsi="仿宋_GB2312" w:eastAsia="仿宋_GB2312" w:cs="仿宋_GB2312"/>
          <w:sz w:val="32"/>
          <w:szCs w:val="32"/>
        </w:rPr>
        <w:t>度预算数</w:t>
      </w:r>
      <w:r>
        <w:rPr>
          <w:rFonts w:hint="eastAsia" w:ascii="仿宋_GB2312" w:hAnsi="仿宋_GB2312" w:cs="仿宋_GB2312"/>
          <w:sz w:val="32"/>
          <w:szCs w:val="32"/>
          <w:lang w:val="en-US" w:eastAsia="zh-CN"/>
        </w:rPr>
        <w:t>13,589.10</w:t>
      </w:r>
      <w:r>
        <w:rPr>
          <w:rFonts w:hint="eastAsia" w:ascii="仿宋_GB2312" w:hAnsi="仿宋_GB2312" w:eastAsia="仿宋_GB2312" w:cs="仿宋_GB2312"/>
          <w:sz w:val="32"/>
          <w:szCs w:val="32"/>
          <w:lang w:val="en-US" w:eastAsia="zh-CN"/>
        </w:rPr>
        <w:t>万</w:t>
      </w:r>
      <w:r>
        <w:rPr>
          <w:rFonts w:hint="eastAsia" w:ascii="仿宋_GB2312" w:hAnsi="仿宋_GB2312" w:eastAsia="仿宋_GB2312" w:cs="仿宋_GB2312"/>
          <w:sz w:val="32"/>
          <w:szCs w:val="32"/>
        </w:rPr>
        <w:t>元，预算完成率=（</w:t>
      </w:r>
      <w:r>
        <w:rPr>
          <w:rFonts w:hint="eastAsia" w:ascii="仿宋_GB2312" w:hAnsi="仿宋_GB2312" w:cs="仿宋_GB2312"/>
          <w:sz w:val="32"/>
          <w:szCs w:val="32"/>
          <w:lang w:val="en-US" w:eastAsia="zh-CN"/>
        </w:rPr>
        <w:t>32,321.19</w:t>
      </w:r>
      <w:r>
        <w:rPr>
          <w:rFonts w:hint="eastAsia" w:ascii="仿宋_GB2312" w:hAnsi="仿宋_GB2312" w:eastAsia="仿宋_GB2312" w:cs="仿宋_GB2312"/>
          <w:sz w:val="32"/>
          <w:szCs w:val="32"/>
        </w:rPr>
        <w:t>/</w:t>
      </w:r>
      <w:r>
        <w:rPr>
          <w:rFonts w:hint="eastAsia" w:ascii="仿宋_GB2312" w:hAnsi="仿宋_GB2312" w:cs="仿宋_GB2312"/>
          <w:sz w:val="32"/>
          <w:szCs w:val="32"/>
          <w:lang w:val="en-US" w:eastAsia="zh-CN"/>
        </w:rPr>
        <w:t>13,589.10</w:t>
      </w:r>
      <w:r>
        <w:rPr>
          <w:rFonts w:hint="eastAsia" w:ascii="仿宋_GB2312" w:hAnsi="仿宋_GB2312" w:eastAsia="仿宋_GB2312" w:cs="仿宋_GB2312"/>
          <w:sz w:val="32"/>
          <w:szCs w:val="32"/>
        </w:rPr>
        <w:t>）×100%=</w:t>
      </w:r>
      <w:r>
        <w:rPr>
          <w:rFonts w:hint="eastAsia" w:ascii="仿宋_GB2312" w:hAnsi="仿宋_GB2312" w:cs="仿宋_GB2312"/>
          <w:sz w:val="32"/>
          <w:szCs w:val="32"/>
          <w:lang w:val="en-US" w:eastAsia="zh-CN"/>
        </w:rPr>
        <w:t>237.85</w:t>
      </w:r>
      <w:r>
        <w:rPr>
          <w:rFonts w:hint="eastAsia" w:ascii="仿宋_GB2312" w:hAnsi="仿宋_GB2312" w:eastAsia="仿宋_GB2312" w:cs="仿宋_GB2312"/>
          <w:sz w:val="32"/>
          <w:szCs w:val="32"/>
        </w:rPr>
        <w:t>%，根据评分规则，指标得分</w:t>
      </w:r>
      <w:r>
        <w:rPr>
          <w:rFonts w:hint="eastAsia" w:ascii="仿宋_GB2312" w:hAnsi="仿宋_GB2312" w:cs="仿宋_GB2312"/>
          <w:sz w:val="32"/>
          <w:szCs w:val="32"/>
          <w:lang w:val="en-US" w:eastAsia="zh-CN"/>
        </w:rPr>
        <w:t>8</w:t>
      </w:r>
      <w:r>
        <w:rPr>
          <w:rFonts w:hint="eastAsia" w:ascii="仿宋_GB2312" w:hAnsi="仿宋_GB2312" w:eastAsia="仿宋_GB2312" w:cs="仿宋_GB2312"/>
          <w:sz w:val="32"/>
          <w:szCs w:val="32"/>
        </w:rPr>
        <w:t>分。</w:t>
      </w:r>
      <w:bookmarkEnd w:id="49"/>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B02.预算调整率</w:t>
      </w:r>
      <w:r>
        <w:rPr>
          <w:rFonts w:hint="eastAsia" w:ascii="仿宋_GB2312" w:hAnsi="仿宋_GB2312" w:eastAsia="仿宋_GB2312" w:cs="仿宋_GB2312"/>
          <w:sz w:val="32"/>
          <w:szCs w:val="32"/>
        </w:rPr>
        <w:t>：该指标分值</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分，实际得分为</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分。</w:t>
      </w:r>
      <w:bookmarkStart w:id="50" w:name="OLE_LINK50"/>
      <w:r>
        <w:rPr>
          <w:rFonts w:hint="eastAsia" w:ascii="仿宋_GB2312" w:hAnsi="仿宋_GB2312" w:eastAsia="仿宋_GB2312" w:cs="仿宋_GB2312"/>
          <w:sz w:val="32"/>
          <w:szCs w:val="32"/>
        </w:rPr>
        <w:t>根据</w:t>
      </w:r>
      <w:r>
        <w:rPr>
          <w:rFonts w:hint="eastAsia" w:ascii="仿宋_GB2312" w:hAnsi="仿宋_GB2312" w:cs="仿宋_GB2312"/>
          <w:sz w:val="32"/>
          <w:szCs w:val="32"/>
          <w:lang w:eastAsia="zh-CN"/>
        </w:rPr>
        <w:t>安阳县水利局2022年</w:t>
      </w:r>
      <w:r>
        <w:rPr>
          <w:rFonts w:hint="eastAsia" w:ascii="仿宋_GB2312" w:hAnsi="仿宋_GB2312" w:eastAsia="仿宋_GB2312" w:cs="仿宋_GB2312"/>
          <w:sz w:val="32"/>
          <w:szCs w:val="32"/>
          <w:lang w:val="en-US" w:eastAsia="zh-CN"/>
        </w:rPr>
        <w:t>实际支出数</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安阳县水利局2022年</w:t>
      </w:r>
      <w:r>
        <w:rPr>
          <w:rFonts w:hint="eastAsia" w:ascii="仿宋_GB2312" w:hAnsi="仿宋_GB2312" w:eastAsia="仿宋_GB2312" w:cs="仿宋_GB2312"/>
          <w:sz w:val="32"/>
          <w:szCs w:val="32"/>
        </w:rPr>
        <w:t>度预算调整数为</w:t>
      </w:r>
      <w:r>
        <w:rPr>
          <w:rFonts w:hint="eastAsia" w:ascii="仿宋_GB2312" w:hAnsi="仿宋_GB2312" w:cs="仿宋_GB2312"/>
          <w:sz w:val="32"/>
          <w:szCs w:val="32"/>
          <w:lang w:val="en-US" w:eastAsia="zh-CN"/>
        </w:rPr>
        <w:t>30,865.16</w:t>
      </w:r>
      <w:r>
        <w:rPr>
          <w:rFonts w:hint="eastAsia" w:ascii="仿宋_GB2312" w:hAnsi="仿宋_GB2312" w:eastAsia="仿宋_GB2312" w:cs="仿宋_GB2312"/>
          <w:sz w:val="32"/>
          <w:szCs w:val="32"/>
          <w:lang w:val="en-US" w:eastAsia="zh-CN"/>
        </w:rPr>
        <w:t>万</w:t>
      </w:r>
      <w:r>
        <w:rPr>
          <w:rFonts w:hint="eastAsia" w:ascii="仿宋_GB2312" w:hAnsi="仿宋_GB2312" w:eastAsia="仿宋_GB2312" w:cs="仿宋_GB2312"/>
          <w:sz w:val="32"/>
          <w:szCs w:val="32"/>
        </w:rPr>
        <w:t>元，预算数为</w:t>
      </w:r>
      <w:r>
        <w:rPr>
          <w:rFonts w:hint="eastAsia" w:ascii="仿宋_GB2312" w:hAnsi="仿宋_GB2312" w:cs="仿宋_GB2312"/>
          <w:sz w:val="32"/>
          <w:szCs w:val="32"/>
          <w:lang w:val="en-US" w:eastAsia="zh-CN"/>
        </w:rPr>
        <w:t>13,589.10</w:t>
      </w:r>
      <w:r>
        <w:rPr>
          <w:rFonts w:hint="eastAsia" w:ascii="仿宋_GB2312" w:hAnsi="仿宋_GB2312" w:eastAsia="仿宋_GB2312" w:cs="仿宋_GB2312"/>
          <w:sz w:val="32"/>
          <w:szCs w:val="32"/>
          <w:lang w:val="en-US" w:eastAsia="zh-CN"/>
        </w:rPr>
        <w:t>万</w:t>
      </w:r>
      <w:r>
        <w:rPr>
          <w:rFonts w:hint="eastAsia" w:ascii="仿宋_GB2312" w:hAnsi="仿宋_GB2312" w:eastAsia="仿宋_GB2312" w:cs="仿宋_GB2312"/>
          <w:sz w:val="32"/>
          <w:szCs w:val="32"/>
        </w:rPr>
        <w:t>元，预算调整率=[（</w:t>
      </w:r>
      <w:r>
        <w:rPr>
          <w:rFonts w:hint="eastAsia" w:ascii="仿宋_GB2312" w:hAnsi="仿宋_GB2312" w:cs="仿宋_GB2312"/>
          <w:sz w:val="32"/>
          <w:szCs w:val="32"/>
          <w:lang w:val="en-US" w:eastAsia="zh-CN"/>
        </w:rPr>
        <w:t>30,865.16-13,589.10</w:t>
      </w:r>
      <w:r>
        <w:rPr>
          <w:rFonts w:hint="eastAsia" w:ascii="仿宋_GB2312" w:hAnsi="仿宋_GB2312" w:eastAsia="仿宋_GB2312" w:cs="仿宋_GB2312"/>
          <w:sz w:val="32"/>
          <w:szCs w:val="32"/>
        </w:rPr>
        <w:t>）/</w:t>
      </w:r>
      <w:r>
        <w:rPr>
          <w:rFonts w:hint="eastAsia" w:ascii="仿宋_GB2312" w:hAnsi="仿宋_GB2312" w:cs="仿宋_GB2312"/>
          <w:sz w:val="32"/>
          <w:szCs w:val="32"/>
          <w:lang w:val="en-US" w:eastAsia="zh-CN"/>
        </w:rPr>
        <w:t>13,589.10</w:t>
      </w:r>
      <w:r>
        <w:rPr>
          <w:rFonts w:hint="eastAsia" w:ascii="仿宋_GB2312" w:hAnsi="仿宋_GB2312" w:eastAsia="仿宋_GB2312" w:cs="仿宋_GB2312"/>
          <w:sz w:val="32"/>
          <w:szCs w:val="32"/>
        </w:rPr>
        <w:t>]×100%=</w:t>
      </w:r>
      <w:r>
        <w:rPr>
          <w:rFonts w:hint="eastAsia" w:ascii="仿宋_GB2312" w:hAnsi="仿宋_GB2312" w:cs="仿宋_GB2312"/>
          <w:sz w:val="32"/>
          <w:szCs w:val="32"/>
          <w:lang w:val="en-US" w:eastAsia="zh-CN"/>
        </w:rPr>
        <w:t>127.13</w:t>
      </w:r>
      <w:r>
        <w:rPr>
          <w:rFonts w:hint="eastAsia" w:ascii="仿宋_GB2312" w:hAnsi="仿宋_GB2312" w:eastAsia="仿宋_GB2312" w:cs="仿宋_GB2312"/>
          <w:sz w:val="32"/>
          <w:szCs w:val="32"/>
        </w:rPr>
        <w:t>%。根据评分规则，实际得</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分。</w:t>
      </w:r>
      <w:bookmarkEnd w:id="50"/>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B03.项目支付进度率</w:t>
      </w:r>
      <w:r>
        <w:rPr>
          <w:rFonts w:hint="eastAsia" w:ascii="仿宋_GB2312" w:hAnsi="仿宋_GB2312" w:eastAsia="仿宋_GB2312" w:cs="仿宋_GB2312"/>
          <w:sz w:val="32"/>
          <w:szCs w:val="32"/>
        </w:rPr>
        <w:t>：该指标分值</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分，实际得分为</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分。</w:t>
      </w:r>
      <w:bookmarkStart w:id="51" w:name="OLE_LINK51"/>
      <w:r>
        <w:rPr>
          <w:rFonts w:hint="eastAsia" w:ascii="仿宋_GB2312" w:hAnsi="仿宋_GB2312" w:eastAsia="仿宋_GB2312" w:cs="仿宋_GB2312"/>
          <w:sz w:val="32"/>
          <w:szCs w:val="32"/>
          <w:lang w:eastAsia="zh-CN"/>
        </w:rPr>
        <w:t>根据</w:t>
      </w:r>
      <w:r>
        <w:rPr>
          <w:rFonts w:hint="eastAsia" w:ascii="仿宋_GB2312" w:hAnsi="仿宋_GB2312" w:cs="仿宋_GB2312"/>
          <w:sz w:val="32"/>
          <w:szCs w:val="32"/>
          <w:lang w:eastAsia="zh-CN"/>
        </w:rPr>
        <w:t>安阳县水利局2022年收入支出决算总表</w:t>
      </w:r>
      <w:r>
        <w:rPr>
          <w:rFonts w:hint="eastAsia" w:ascii="仿宋_GB2312" w:hAnsi="仿宋_GB2312" w:eastAsia="仿宋_GB2312" w:cs="仿宋_GB2312"/>
          <w:sz w:val="32"/>
          <w:szCs w:val="32"/>
          <w:lang w:eastAsia="zh-CN"/>
        </w:rPr>
        <w:t>，</w:t>
      </w:r>
      <w:r>
        <w:rPr>
          <w:rFonts w:hint="eastAsia" w:ascii="仿宋_GB2312" w:hAnsi="仿宋_GB2312" w:cs="仿宋_GB2312"/>
          <w:sz w:val="32"/>
          <w:szCs w:val="32"/>
          <w:lang w:eastAsia="zh-CN"/>
        </w:rPr>
        <w:t>安阳县水利局2022年</w:t>
      </w:r>
      <w:r>
        <w:rPr>
          <w:rFonts w:hint="eastAsia" w:ascii="仿宋_GB2312" w:hAnsi="仿宋_GB2312" w:eastAsia="仿宋_GB2312" w:cs="仿宋_GB2312"/>
          <w:sz w:val="32"/>
          <w:szCs w:val="32"/>
          <w:lang w:eastAsia="zh-CN"/>
        </w:rPr>
        <w:t>度项目支付进度率=</w:t>
      </w:r>
      <w:r>
        <w:rPr>
          <w:rFonts w:hint="eastAsia" w:ascii="仿宋_GB2312" w:hAnsi="仿宋_GB2312" w:cs="仿宋_GB2312"/>
          <w:sz w:val="32"/>
          <w:szCs w:val="32"/>
          <w:lang w:val="en-US" w:eastAsia="zh-CN"/>
        </w:rPr>
        <w:t>31,120.51万元</w:t>
      </w:r>
      <w:r>
        <w:rPr>
          <w:rFonts w:hint="eastAsia" w:ascii="仿宋_GB2312" w:hAnsi="仿宋_GB2312" w:eastAsia="仿宋_GB2312" w:cs="仿宋_GB2312"/>
          <w:sz w:val="32"/>
          <w:szCs w:val="32"/>
          <w:lang w:eastAsia="zh-CN"/>
        </w:rPr>
        <w:t>/</w:t>
      </w:r>
      <w:r>
        <w:rPr>
          <w:rFonts w:hint="eastAsia" w:ascii="仿宋_GB2312" w:hAnsi="仿宋_GB2312" w:cs="仿宋_GB2312"/>
          <w:sz w:val="32"/>
          <w:szCs w:val="32"/>
          <w:lang w:val="en-US" w:eastAsia="zh-CN"/>
        </w:rPr>
        <w:t>12,104.50万元</w:t>
      </w:r>
      <w:r>
        <w:rPr>
          <w:rFonts w:hint="eastAsia" w:ascii="仿宋_GB2312" w:hAnsi="仿宋_GB2312" w:eastAsia="仿宋_GB2312" w:cs="仿宋_GB2312"/>
          <w:sz w:val="32"/>
          <w:szCs w:val="32"/>
          <w:lang w:eastAsia="zh-CN"/>
        </w:rPr>
        <w:t>×100%=</w:t>
      </w:r>
      <w:r>
        <w:rPr>
          <w:rFonts w:hint="eastAsia" w:ascii="仿宋_GB2312" w:hAnsi="仿宋_GB2312" w:cs="仿宋_GB2312"/>
          <w:sz w:val="32"/>
          <w:szCs w:val="32"/>
          <w:lang w:val="en-US" w:eastAsia="zh-CN"/>
        </w:rPr>
        <w:t>257.10</w:t>
      </w:r>
      <w:r>
        <w:rPr>
          <w:rFonts w:hint="eastAsia" w:ascii="仿宋_GB2312" w:hAnsi="仿宋_GB2312" w:eastAsia="仿宋_GB2312" w:cs="仿宋_GB2312"/>
          <w:sz w:val="32"/>
          <w:szCs w:val="32"/>
          <w:lang w:eastAsia="zh-CN"/>
        </w:rPr>
        <w:t>%。根据评分规则，指标得分</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eastAsia="zh-CN"/>
        </w:rPr>
        <w:t>分。</w:t>
      </w:r>
      <w:bookmarkEnd w:id="51"/>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B04.结转结余率</w:t>
      </w:r>
      <w:r>
        <w:rPr>
          <w:rFonts w:hint="eastAsia" w:ascii="仿宋_GB2312" w:hAnsi="仿宋_GB2312" w:eastAsia="仿宋_GB2312" w:cs="仿宋_GB2312"/>
          <w:sz w:val="32"/>
          <w:szCs w:val="32"/>
        </w:rPr>
        <w:t>：该指标分值</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分，实际得分为</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分。</w:t>
      </w:r>
      <w:bookmarkStart w:id="52" w:name="OLE_LINK52"/>
      <w:r>
        <w:rPr>
          <w:rFonts w:hint="eastAsia" w:ascii="仿宋_GB2312" w:hAnsi="仿宋_GB2312" w:eastAsia="仿宋_GB2312" w:cs="仿宋_GB2312"/>
          <w:sz w:val="32"/>
          <w:szCs w:val="32"/>
        </w:rPr>
        <w:t>根据</w:t>
      </w:r>
      <w:r>
        <w:rPr>
          <w:rFonts w:hint="eastAsia" w:ascii="仿宋_GB2312" w:hAnsi="仿宋_GB2312" w:cs="仿宋_GB2312"/>
          <w:sz w:val="32"/>
          <w:szCs w:val="32"/>
          <w:lang w:eastAsia="zh-CN"/>
        </w:rPr>
        <w:t>安阳县水利局2022年</w:t>
      </w:r>
      <w:r>
        <w:rPr>
          <w:rFonts w:hint="eastAsia" w:ascii="仿宋_GB2312" w:hAnsi="仿宋_GB2312" w:eastAsia="仿宋_GB2312" w:cs="仿宋_GB2312"/>
          <w:sz w:val="32"/>
          <w:szCs w:val="32"/>
        </w:rPr>
        <w:t>度</w:t>
      </w:r>
      <w:r>
        <w:rPr>
          <w:rFonts w:hint="eastAsia" w:ascii="仿宋_GB2312" w:hAnsi="仿宋_GB2312" w:eastAsia="仿宋_GB2312" w:cs="仿宋_GB2312"/>
          <w:sz w:val="32"/>
          <w:szCs w:val="32"/>
          <w:lang w:val="en-US" w:eastAsia="zh-CN"/>
        </w:rPr>
        <w:t>实际支出数</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安阳县水利局2022年</w:t>
      </w:r>
      <w:r>
        <w:rPr>
          <w:rFonts w:hint="eastAsia" w:ascii="仿宋_GB2312" w:hAnsi="仿宋_GB2312" w:eastAsia="仿宋_GB2312" w:cs="仿宋_GB2312"/>
          <w:sz w:val="32"/>
          <w:szCs w:val="32"/>
        </w:rPr>
        <w:t>度结转结余资金总额</w:t>
      </w:r>
      <w:r>
        <w:rPr>
          <w:rFonts w:hint="eastAsia" w:ascii="仿宋_GB2312" w:hAnsi="仿宋_GB2312" w:cs="仿宋_GB2312"/>
          <w:sz w:val="32"/>
          <w:szCs w:val="32"/>
          <w:lang w:val="en-US" w:eastAsia="zh-CN"/>
        </w:rPr>
        <w:t>0.00万</w:t>
      </w:r>
      <w:r>
        <w:rPr>
          <w:rFonts w:hint="eastAsia" w:ascii="仿宋_GB2312" w:hAnsi="仿宋_GB2312" w:eastAsia="仿宋_GB2312" w:cs="仿宋_GB2312"/>
          <w:sz w:val="32"/>
          <w:szCs w:val="32"/>
        </w:rPr>
        <w:t>元，</w:t>
      </w:r>
      <w:r>
        <w:rPr>
          <w:rFonts w:hint="eastAsia" w:ascii="仿宋_GB2312" w:hAnsi="仿宋_GB2312" w:cs="仿宋_GB2312"/>
          <w:sz w:val="32"/>
          <w:szCs w:val="32"/>
          <w:lang w:eastAsia="zh-CN"/>
        </w:rPr>
        <w:t>安阳县水利局2022年</w:t>
      </w:r>
      <w:r>
        <w:rPr>
          <w:rFonts w:hint="eastAsia" w:ascii="仿宋_GB2312" w:hAnsi="仿宋_GB2312" w:eastAsia="仿宋_GB2312" w:cs="仿宋_GB2312"/>
          <w:sz w:val="32"/>
          <w:szCs w:val="32"/>
        </w:rPr>
        <w:t>度支出预算数</w:t>
      </w:r>
      <w:r>
        <w:rPr>
          <w:rFonts w:hint="eastAsia" w:ascii="仿宋_GB2312" w:hAnsi="仿宋_GB2312" w:cs="仿宋_GB2312"/>
          <w:sz w:val="32"/>
          <w:szCs w:val="32"/>
          <w:lang w:val="en-US" w:eastAsia="zh-CN"/>
        </w:rPr>
        <w:t>13,589.10</w:t>
      </w:r>
      <w:r>
        <w:rPr>
          <w:rFonts w:hint="eastAsia" w:ascii="仿宋_GB2312" w:hAnsi="仿宋_GB2312" w:cs="仿宋_GB2312"/>
          <w:sz w:val="32"/>
          <w:szCs w:val="32"/>
          <w:lang w:eastAsia="zh-CN"/>
        </w:rPr>
        <w:t>万</w:t>
      </w:r>
      <w:r>
        <w:rPr>
          <w:rFonts w:hint="eastAsia" w:ascii="仿宋_GB2312" w:hAnsi="仿宋_GB2312" w:eastAsia="仿宋_GB2312" w:cs="仿宋_GB2312"/>
          <w:sz w:val="32"/>
          <w:szCs w:val="32"/>
        </w:rPr>
        <w:t>元，结转结余率=（</w:t>
      </w:r>
      <w:r>
        <w:rPr>
          <w:rFonts w:hint="eastAsia" w:ascii="仿宋_GB2312" w:hAnsi="仿宋_GB2312" w:cs="仿宋_GB2312"/>
          <w:sz w:val="32"/>
          <w:szCs w:val="32"/>
          <w:lang w:val="en-US" w:eastAsia="zh-CN"/>
        </w:rPr>
        <w:t>0.00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w:t>
      </w:r>
      <w:r>
        <w:rPr>
          <w:rFonts w:hint="eastAsia" w:ascii="仿宋_GB2312" w:hAnsi="仿宋_GB2312" w:cs="仿宋_GB2312"/>
          <w:sz w:val="32"/>
          <w:szCs w:val="32"/>
          <w:lang w:val="en-US" w:eastAsia="zh-CN"/>
        </w:rPr>
        <w:t>13,589.10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）×100%=</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%。根据评分规则，该指标得</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分。</w:t>
      </w:r>
    </w:p>
    <w:bookmarkEnd w:id="52"/>
    <w:p>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rPr>
        <w:t>B05.结转结余变动率</w:t>
      </w:r>
      <w:r>
        <w:rPr>
          <w:rFonts w:hint="eastAsia" w:ascii="仿宋_GB2312" w:hAnsi="仿宋_GB2312" w:eastAsia="仿宋_GB2312" w:cs="仿宋_GB2312"/>
          <w:sz w:val="32"/>
          <w:szCs w:val="32"/>
        </w:rPr>
        <w:t>：该指标分值</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分，实际得分为</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highlight w:val="none"/>
        </w:rPr>
        <w:t>。</w:t>
      </w:r>
      <w:bookmarkStart w:id="53" w:name="OLE_LINK53"/>
      <w:r>
        <w:rPr>
          <w:rFonts w:hint="eastAsia" w:ascii="仿宋_GB2312" w:hAnsi="仿宋_GB2312" w:eastAsia="仿宋_GB2312" w:cs="仿宋_GB2312"/>
          <w:sz w:val="32"/>
          <w:szCs w:val="32"/>
          <w:highlight w:val="none"/>
        </w:rPr>
        <w:t>根据</w:t>
      </w:r>
      <w:r>
        <w:rPr>
          <w:rFonts w:hint="eastAsia" w:ascii="仿宋_GB2312" w:hAnsi="仿宋_GB2312" w:cs="仿宋_GB2312"/>
          <w:sz w:val="32"/>
          <w:szCs w:val="32"/>
          <w:highlight w:val="none"/>
          <w:lang w:eastAsia="zh-CN"/>
        </w:rPr>
        <w:t>安阳县水利局2021年</w:t>
      </w:r>
      <w:r>
        <w:rPr>
          <w:rFonts w:hint="eastAsia" w:ascii="仿宋_GB2312" w:hAnsi="仿宋_GB2312" w:eastAsia="仿宋_GB2312" w:cs="仿宋_GB2312"/>
          <w:sz w:val="32"/>
          <w:szCs w:val="32"/>
          <w:highlight w:val="none"/>
        </w:rPr>
        <w:t>度决算报表、</w:t>
      </w:r>
      <w:r>
        <w:rPr>
          <w:rFonts w:hint="eastAsia" w:ascii="仿宋_GB2312" w:hAnsi="仿宋_GB2312" w:cs="仿宋_GB2312"/>
          <w:sz w:val="32"/>
          <w:szCs w:val="32"/>
          <w:highlight w:val="none"/>
          <w:lang w:eastAsia="zh-CN"/>
        </w:rPr>
        <w:t>安阳县水利局2022年</w:t>
      </w:r>
      <w:r>
        <w:rPr>
          <w:rFonts w:hint="eastAsia" w:ascii="仿宋_GB2312" w:hAnsi="仿宋_GB2312" w:eastAsia="仿宋_GB2312" w:cs="仿宋_GB2312"/>
          <w:sz w:val="32"/>
          <w:szCs w:val="32"/>
          <w:highlight w:val="none"/>
        </w:rPr>
        <w:t>度</w:t>
      </w:r>
      <w:r>
        <w:rPr>
          <w:rFonts w:hint="eastAsia" w:ascii="仿宋_GB2312" w:hAnsi="仿宋_GB2312" w:eastAsia="仿宋_GB2312" w:cs="仿宋_GB2312"/>
          <w:sz w:val="32"/>
          <w:szCs w:val="32"/>
          <w:highlight w:val="none"/>
          <w:lang w:val="en-US" w:eastAsia="zh-CN"/>
        </w:rPr>
        <w:t>实际支出数</w:t>
      </w:r>
      <w:r>
        <w:rPr>
          <w:rFonts w:hint="eastAsia" w:ascii="仿宋_GB2312" w:hAnsi="仿宋_GB2312" w:eastAsia="仿宋_GB2312" w:cs="仿宋_GB2312"/>
          <w:sz w:val="32"/>
          <w:szCs w:val="32"/>
          <w:highlight w:val="none"/>
        </w:rPr>
        <w:t>，本年度累计结转结余总额为</w:t>
      </w:r>
      <w:r>
        <w:rPr>
          <w:rFonts w:hint="eastAsia" w:ascii="仿宋_GB2312" w:hAnsi="仿宋_GB2312" w:cs="仿宋_GB2312"/>
          <w:sz w:val="32"/>
          <w:szCs w:val="32"/>
          <w:highlight w:val="none"/>
          <w:lang w:val="en-US" w:eastAsia="zh-CN"/>
        </w:rPr>
        <w:t>0</w:t>
      </w:r>
      <w:r>
        <w:rPr>
          <w:rFonts w:hint="eastAsia" w:ascii="仿宋_GB2312" w:hAnsi="仿宋_GB2312" w:eastAsia="仿宋_GB2312" w:cs="仿宋_GB2312"/>
          <w:sz w:val="32"/>
          <w:szCs w:val="32"/>
          <w:highlight w:val="none"/>
          <w:lang w:val="en-US" w:eastAsia="zh-CN"/>
        </w:rPr>
        <w:t>万</w:t>
      </w:r>
      <w:r>
        <w:rPr>
          <w:rFonts w:hint="eastAsia" w:ascii="仿宋_GB2312" w:hAnsi="仿宋_GB2312" w:eastAsia="仿宋_GB2312" w:cs="仿宋_GB2312"/>
          <w:sz w:val="32"/>
          <w:szCs w:val="32"/>
          <w:highlight w:val="none"/>
        </w:rPr>
        <w:t>元，上年度累计结转结余总额为</w:t>
      </w:r>
      <w:r>
        <w:rPr>
          <w:rFonts w:hint="eastAsia" w:ascii="仿宋_GB2312" w:hAnsi="仿宋_GB2312" w:cs="仿宋_GB2312"/>
          <w:sz w:val="32"/>
          <w:szCs w:val="32"/>
          <w:highlight w:val="none"/>
          <w:lang w:val="en-US" w:eastAsia="zh-CN"/>
        </w:rPr>
        <w:t>0.00</w:t>
      </w:r>
      <w:r>
        <w:rPr>
          <w:rFonts w:hint="eastAsia" w:ascii="仿宋_GB2312" w:hAnsi="仿宋_GB2312" w:eastAsia="仿宋_GB2312" w:cs="仿宋_GB2312"/>
          <w:sz w:val="32"/>
          <w:szCs w:val="32"/>
          <w:highlight w:val="none"/>
          <w:lang w:val="en-US" w:eastAsia="zh-CN"/>
        </w:rPr>
        <w:t>万</w:t>
      </w:r>
      <w:r>
        <w:rPr>
          <w:rFonts w:hint="eastAsia" w:ascii="仿宋_GB2312" w:hAnsi="仿宋_GB2312" w:eastAsia="仿宋_GB2312" w:cs="仿宋_GB2312"/>
          <w:sz w:val="32"/>
          <w:szCs w:val="32"/>
          <w:highlight w:val="none"/>
        </w:rPr>
        <w:t>元，结转结余变动率=</w:t>
      </w:r>
      <w:r>
        <w:rPr>
          <w:rFonts w:hint="eastAsia" w:ascii="仿宋_GB2312" w:hAnsi="仿宋_GB2312" w:cs="仿宋_GB2312"/>
          <w:sz w:val="32"/>
          <w:szCs w:val="32"/>
          <w:highlight w:val="none"/>
          <w:lang w:val="en-US" w:eastAsia="zh-CN"/>
        </w:rPr>
        <w:t>0</w:t>
      </w:r>
      <w:r>
        <w:rPr>
          <w:rFonts w:hint="eastAsia" w:ascii="仿宋_GB2312" w:hAnsi="仿宋_GB2312" w:eastAsia="仿宋_GB2312" w:cs="仿宋_GB2312"/>
          <w:sz w:val="32"/>
          <w:szCs w:val="32"/>
          <w:highlight w:val="none"/>
        </w:rPr>
        <w:t>%。根据评分规则，该指标得</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分。</w:t>
      </w:r>
      <w:bookmarkEnd w:id="53"/>
    </w:p>
    <w:p>
      <w:pPr>
        <w:pStyle w:val="10"/>
        <w:keepNext w:val="0"/>
        <w:keepLines w:val="0"/>
        <w:pageBreakBefore w:val="0"/>
        <w:widowControl w:val="0"/>
        <w:numPr>
          <w:ilvl w:val="0"/>
          <w:numId w:val="4"/>
        </w:numPr>
        <w:kinsoku/>
        <w:wordWrap/>
        <w:overflowPunct/>
        <w:topLinePunct w:val="0"/>
        <w:autoSpaceDE/>
        <w:autoSpaceDN/>
        <w:bidi w:val="0"/>
        <w:adjustRightInd/>
        <w:snapToGrid/>
        <w:spacing w:line="360" w:lineRule="auto"/>
        <w:ind w:left="-13" w:leftChars="0" w:firstLine="643" w:firstLineChars="0"/>
        <w:jc w:val="both"/>
        <w:textAlignment w:val="auto"/>
        <w:outlineLvl w:val="1"/>
        <w:rPr>
          <w:rFonts w:hint="eastAsia" w:ascii="仿宋_GB2312" w:hAnsi="仿宋_GB2312" w:eastAsia="仿宋_GB2312" w:cs="仿宋_GB2312"/>
          <w:b/>
          <w:bCs/>
          <w:color w:val="000000"/>
          <w:kern w:val="0"/>
          <w:sz w:val="32"/>
          <w:szCs w:val="32"/>
          <w:lang w:val="en-US" w:eastAsia="zh-CN" w:bidi="ar"/>
        </w:rPr>
      </w:pPr>
      <w:bookmarkStart w:id="54" w:name="_Toc27824"/>
      <w:bookmarkStart w:id="55" w:name="_Toc1555"/>
      <w:bookmarkStart w:id="56" w:name="_Toc10668"/>
      <w:bookmarkStart w:id="57" w:name="_Toc17694"/>
      <w:r>
        <w:rPr>
          <w:rFonts w:hint="eastAsia" w:ascii="仿宋_GB2312" w:hAnsi="仿宋_GB2312" w:eastAsia="仿宋_GB2312" w:cs="仿宋_GB2312"/>
          <w:b/>
          <w:bCs/>
          <w:color w:val="000000"/>
          <w:kern w:val="0"/>
          <w:sz w:val="32"/>
          <w:szCs w:val="32"/>
          <w:lang w:val="en-US" w:eastAsia="zh-CN" w:bidi="ar"/>
        </w:rPr>
        <w:t>投入管理指标分析</w:t>
      </w:r>
      <w:bookmarkEnd w:id="54"/>
      <w:bookmarkEnd w:id="55"/>
      <w:bookmarkEnd w:id="56"/>
      <w:bookmarkEnd w:id="57"/>
    </w:p>
    <w:p>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投入管理类指标共分1个二级指标，3个三级指标，权重分值共30分，实际得分30分，得分率100%。各指标具体得分情况如下：</w:t>
      </w:r>
    </w:p>
    <w:p>
      <w:pPr>
        <w:pStyle w:val="10"/>
        <w:keepNext w:val="0"/>
        <w:keepLines w:val="0"/>
        <w:pageBreakBefore w:val="0"/>
        <w:kinsoku/>
        <w:wordWrap/>
        <w:overflowPunct/>
        <w:topLinePunct w:val="0"/>
        <w:autoSpaceDE/>
        <w:autoSpaceDN/>
        <w:bidi w:val="0"/>
        <w:spacing w:line="540" w:lineRule="exact"/>
        <w:ind w:firstLine="1928" w:firstLineChars="600"/>
        <w:jc w:val="both"/>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bCs/>
          <w:sz w:val="32"/>
          <w:szCs w:val="32"/>
        </w:rPr>
        <w:t>表3-3投入管理指标评分结果汇总表</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4"/>
        <w:gridCol w:w="3041"/>
        <w:gridCol w:w="981"/>
        <w:gridCol w:w="981"/>
        <w:gridCol w:w="1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79"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二级指标</w:t>
            </w:r>
          </w:p>
        </w:tc>
        <w:tc>
          <w:tcPr>
            <w:tcW w:w="2931"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三级指标</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权重</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得分</w:t>
            </w:r>
          </w:p>
        </w:tc>
        <w:tc>
          <w:tcPr>
            <w:tcW w:w="1416"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79" w:type="dxa"/>
            <w:vMerge w:val="restart"/>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C1.预算与财务管理指标</w:t>
            </w:r>
          </w:p>
        </w:tc>
        <w:tc>
          <w:tcPr>
            <w:tcW w:w="2931"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bidi="ar"/>
              </w:rPr>
              <w:t>C01</w:t>
            </w:r>
            <w:r>
              <w:rPr>
                <w:rStyle w:val="14"/>
                <w:rFonts w:hint="eastAsia" w:ascii="宋体" w:hAnsi="宋体" w:eastAsia="宋体" w:cs="宋体"/>
                <w:sz w:val="24"/>
                <w:szCs w:val="24"/>
                <w:lang w:bidi="ar"/>
              </w:rPr>
              <w:t>.</w:t>
            </w:r>
            <w:r>
              <w:rPr>
                <w:rFonts w:hint="eastAsia" w:ascii="宋体" w:hAnsi="宋体" w:eastAsia="宋体" w:cs="宋体"/>
                <w:color w:val="000000"/>
                <w:kern w:val="0"/>
                <w:sz w:val="24"/>
                <w:szCs w:val="24"/>
                <w:lang w:bidi="ar"/>
              </w:rPr>
              <w:t>公用经费控制率</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416"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10</w:t>
            </w:r>
            <w:r>
              <w:rPr>
                <w:rFonts w:hint="eastAsia" w:ascii="宋体" w:hAnsi="宋体" w:eastAsia="宋体" w:cs="宋体"/>
                <w:color w:val="000000"/>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2279" w:type="dxa"/>
            <w:vMerge w:val="continue"/>
            <w:noWrap w:val="0"/>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kern w:val="0"/>
                <w:sz w:val="24"/>
                <w:szCs w:val="24"/>
              </w:rPr>
            </w:pPr>
          </w:p>
        </w:tc>
        <w:tc>
          <w:tcPr>
            <w:tcW w:w="2931"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bidi="ar"/>
              </w:rPr>
              <w:t>C02</w:t>
            </w:r>
            <w:r>
              <w:rPr>
                <w:rStyle w:val="14"/>
                <w:rFonts w:hint="eastAsia" w:ascii="宋体" w:hAnsi="宋体" w:eastAsia="宋体" w:cs="宋体"/>
                <w:sz w:val="24"/>
                <w:szCs w:val="24"/>
                <w:lang w:bidi="ar"/>
              </w:rPr>
              <w:t>.</w:t>
            </w:r>
            <w:r>
              <w:rPr>
                <w:rFonts w:hint="eastAsia" w:ascii="宋体" w:hAnsi="宋体" w:eastAsia="宋体" w:cs="宋体"/>
                <w:color w:val="000000"/>
                <w:kern w:val="0"/>
                <w:sz w:val="24"/>
                <w:szCs w:val="24"/>
                <w:lang w:bidi="ar"/>
              </w:rPr>
              <w:t>“三公经费”控制率</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416"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79" w:type="dxa"/>
            <w:vMerge w:val="continue"/>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p>
        </w:tc>
        <w:tc>
          <w:tcPr>
            <w:tcW w:w="2931"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bidi="ar"/>
              </w:rPr>
              <w:t>C03</w:t>
            </w:r>
            <w:r>
              <w:rPr>
                <w:rStyle w:val="14"/>
                <w:rFonts w:hint="eastAsia" w:ascii="宋体" w:hAnsi="宋体" w:eastAsia="宋体" w:cs="宋体"/>
                <w:sz w:val="24"/>
                <w:szCs w:val="24"/>
                <w:lang w:bidi="ar"/>
              </w:rPr>
              <w:t>.</w:t>
            </w:r>
            <w:r>
              <w:rPr>
                <w:rFonts w:hint="eastAsia" w:ascii="宋体" w:hAnsi="宋体" w:eastAsia="宋体" w:cs="宋体"/>
                <w:color w:val="000000"/>
                <w:kern w:val="0"/>
                <w:sz w:val="24"/>
                <w:szCs w:val="24"/>
                <w:lang w:bidi="ar"/>
              </w:rPr>
              <w:t>固定资产利用率</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416"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10</w:t>
            </w:r>
            <w:r>
              <w:rPr>
                <w:rFonts w:hint="eastAsia" w:ascii="宋体" w:hAnsi="宋体" w:eastAsia="宋体" w:cs="宋体"/>
                <w:color w:val="000000"/>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10" w:type="dxa"/>
            <w:gridSpan w:val="2"/>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color w:val="000000"/>
                <w:kern w:val="0"/>
                <w:sz w:val="24"/>
                <w:szCs w:val="24"/>
                <w:lang w:bidi="ar"/>
              </w:rPr>
              <w:t>小计</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30</w:t>
            </w:r>
          </w:p>
        </w:tc>
        <w:tc>
          <w:tcPr>
            <w:tcW w:w="945"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30</w:t>
            </w:r>
          </w:p>
        </w:tc>
        <w:tc>
          <w:tcPr>
            <w:tcW w:w="1416" w:type="dxa"/>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100</w:t>
            </w:r>
            <w:r>
              <w:rPr>
                <w:rFonts w:hint="eastAsia" w:ascii="宋体" w:hAnsi="宋体" w:eastAsia="宋体" w:cs="宋体"/>
                <w:b/>
                <w:bCs/>
                <w:color w:val="000000"/>
                <w:kern w:val="0"/>
                <w:sz w:val="24"/>
                <w:szCs w:val="24"/>
              </w:rPr>
              <w:t>%</w:t>
            </w:r>
          </w:p>
        </w:tc>
      </w:tr>
    </w:tbl>
    <w:p>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C01.公用经费控制率</w:t>
      </w:r>
      <w:r>
        <w:rPr>
          <w:rFonts w:hint="eastAsia" w:ascii="仿宋_GB2312" w:hAnsi="仿宋_GB2312" w:eastAsia="仿宋_GB2312" w:cs="仿宋_GB2312"/>
          <w:sz w:val="32"/>
          <w:szCs w:val="32"/>
          <w:highlight w:val="none"/>
        </w:rPr>
        <w:t>：该指标分值10分，实际得分为</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0分。</w:t>
      </w:r>
      <w:bookmarkStart w:id="58" w:name="OLE_LINK54"/>
      <w:r>
        <w:rPr>
          <w:rFonts w:hint="eastAsia" w:ascii="仿宋_GB2312" w:hAnsi="仿宋_GB2312" w:eastAsia="仿宋_GB2312" w:cs="仿宋_GB2312"/>
          <w:sz w:val="32"/>
          <w:szCs w:val="32"/>
          <w:highlight w:val="none"/>
        </w:rPr>
        <w:t>根据</w:t>
      </w:r>
      <w:r>
        <w:rPr>
          <w:rFonts w:hint="eastAsia" w:ascii="仿宋_GB2312" w:hAnsi="仿宋_GB2312" w:cs="仿宋_GB2312"/>
          <w:sz w:val="32"/>
          <w:szCs w:val="32"/>
          <w:highlight w:val="none"/>
          <w:lang w:eastAsia="zh-CN"/>
        </w:rPr>
        <w:t>安阳县水利局2022年</w:t>
      </w:r>
      <w:r>
        <w:rPr>
          <w:rFonts w:hint="eastAsia" w:ascii="仿宋_GB2312" w:hAnsi="仿宋_GB2312" w:eastAsia="仿宋_GB2312" w:cs="仿宋_GB2312"/>
          <w:sz w:val="32"/>
          <w:szCs w:val="32"/>
          <w:highlight w:val="none"/>
        </w:rPr>
        <w:t>度</w:t>
      </w:r>
      <w:r>
        <w:rPr>
          <w:rFonts w:hint="eastAsia" w:ascii="仿宋_GB2312" w:hAnsi="仿宋_GB2312" w:eastAsia="仿宋_GB2312" w:cs="仿宋_GB2312"/>
          <w:sz w:val="32"/>
          <w:szCs w:val="32"/>
          <w:highlight w:val="none"/>
          <w:lang w:val="en-US" w:eastAsia="zh-CN"/>
        </w:rPr>
        <w:t>实际支出数</w:t>
      </w:r>
      <w:r>
        <w:rPr>
          <w:rFonts w:hint="eastAsia" w:ascii="仿宋_GB2312" w:hAnsi="仿宋_GB2312" w:eastAsia="仿宋_GB2312" w:cs="仿宋_GB2312"/>
          <w:sz w:val="32"/>
          <w:szCs w:val="32"/>
          <w:highlight w:val="none"/>
        </w:rPr>
        <w:t>，</w:t>
      </w:r>
      <w:r>
        <w:rPr>
          <w:rFonts w:hint="eastAsia" w:ascii="仿宋_GB2312" w:hAnsi="仿宋_GB2312" w:cs="仿宋_GB2312"/>
          <w:sz w:val="32"/>
          <w:szCs w:val="32"/>
          <w:highlight w:val="none"/>
          <w:lang w:eastAsia="zh-CN"/>
        </w:rPr>
        <w:t>安阳县水利局2022年</w:t>
      </w:r>
      <w:r>
        <w:rPr>
          <w:rFonts w:hint="eastAsia" w:ascii="仿宋_GB2312" w:hAnsi="仿宋_GB2312" w:eastAsia="仿宋_GB2312" w:cs="仿宋_GB2312"/>
          <w:sz w:val="32"/>
          <w:szCs w:val="32"/>
          <w:highlight w:val="none"/>
        </w:rPr>
        <w:t>度公用经费预算金额603,000.00元，实际支出金额</w:t>
      </w:r>
      <w:r>
        <w:rPr>
          <w:rFonts w:hint="eastAsia" w:ascii="仿宋_GB2312" w:hAnsi="仿宋_GB2312" w:cs="仿宋_GB2312"/>
          <w:sz w:val="32"/>
          <w:szCs w:val="32"/>
          <w:highlight w:val="none"/>
          <w:lang w:eastAsia="zh-CN"/>
        </w:rPr>
        <w:t>438,010.49</w:t>
      </w:r>
      <w:r>
        <w:rPr>
          <w:rFonts w:hint="eastAsia" w:ascii="仿宋_GB2312" w:hAnsi="仿宋_GB2312" w:eastAsia="仿宋_GB2312" w:cs="仿宋_GB2312"/>
          <w:sz w:val="32"/>
          <w:szCs w:val="32"/>
          <w:highlight w:val="none"/>
        </w:rPr>
        <w:t>元，公用经费控制率为（</w:t>
      </w:r>
      <w:r>
        <w:rPr>
          <w:rFonts w:hint="eastAsia" w:ascii="仿宋_GB2312" w:hAnsi="仿宋_GB2312" w:cs="仿宋_GB2312"/>
          <w:sz w:val="32"/>
          <w:szCs w:val="32"/>
          <w:highlight w:val="none"/>
          <w:lang w:eastAsia="zh-CN"/>
        </w:rPr>
        <w:t>438,010.49</w:t>
      </w:r>
      <w:r>
        <w:rPr>
          <w:rFonts w:hint="eastAsia" w:ascii="仿宋_GB2312" w:hAnsi="仿宋_GB2312" w:eastAsia="仿宋_GB2312" w:cs="仿宋_GB2312"/>
          <w:sz w:val="32"/>
          <w:szCs w:val="32"/>
          <w:highlight w:val="none"/>
        </w:rPr>
        <w:t>/603,000.00）×100%</w:t>
      </w:r>
      <w:r>
        <w:rPr>
          <w:rFonts w:hint="eastAsia" w:ascii="仿宋_GB2312" w:hAnsi="仿宋_GB2312" w:cs="仿宋_GB2312"/>
          <w:sz w:val="32"/>
          <w:szCs w:val="32"/>
          <w:highlight w:val="none"/>
          <w:lang w:val="en-US" w:eastAsia="zh-CN"/>
        </w:rPr>
        <w:t>=72.64%</w:t>
      </w:r>
      <w:r>
        <w:rPr>
          <w:rFonts w:hint="eastAsia" w:ascii="仿宋_GB2312" w:hAnsi="仿宋_GB2312" w:eastAsia="仿宋_GB2312" w:cs="仿宋_GB2312"/>
          <w:sz w:val="32"/>
          <w:szCs w:val="32"/>
          <w:highlight w:val="none"/>
        </w:rPr>
        <w:t>。根据评分规则，该指标得</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分。</w:t>
      </w:r>
      <w:bookmarkEnd w:id="58"/>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C02.“三公经费”控制率</w:t>
      </w:r>
      <w:r>
        <w:rPr>
          <w:rFonts w:hint="eastAsia" w:ascii="仿宋_GB2312" w:hAnsi="仿宋_GB2312" w:eastAsia="仿宋_GB2312" w:cs="仿宋_GB2312"/>
          <w:sz w:val="32"/>
          <w:szCs w:val="32"/>
        </w:rPr>
        <w:t>：该指标分值10分，实际得分为10分。</w:t>
      </w:r>
      <w:bookmarkStart w:id="59" w:name="OLE_LINK55"/>
      <w:r>
        <w:rPr>
          <w:rFonts w:hint="eastAsia" w:ascii="仿宋_GB2312" w:hAnsi="仿宋_GB2312" w:eastAsia="仿宋_GB2312" w:cs="仿宋_GB2312"/>
          <w:sz w:val="32"/>
          <w:szCs w:val="32"/>
        </w:rPr>
        <w:t>根据</w:t>
      </w:r>
      <w:r>
        <w:rPr>
          <w:rFonts w:hint="eastAsia" w:ascii="仿宋_GB2312" w:hAnsi="仿宋_GB2312" w:cs="仿宋_GB2312"/>
          <w:sz w:val="32"/>
          <w:szCs w:val="32"/>
          <w:lang w:eastAsia="zh-CN"/>
        </w:rPr>
        <w:t>安阳县水利局2022年</w:t>
      </w:r>
      <w:r>
        <w:rPr>
          <w:rFonts w:hint="eastAsia" w:ascii="仿宋_GB2312" w:hAnsi="仿宋_GB2312" w:eastAsia="仿宋_GB2312" w:cs="仿宋_GB2312"/>
          <w:sz w:val="32"/>
          <w:szCs w:val="32"/>
        </w:rPr>
        <w:t>度</w:t>
      </w:r>
      <w:r>
        <w:rPr>
          <w:rFonts w:hint="eastAsia" w:ascii="仿宋_GB2312" w:hAnsi="仿宋_GB2312" w:eastAsia="仿宋_GB2312" w:cs="仿宋_GB2312"/>
          <w:sz w:val="32"/>
          <w:szCs w:val="32"/>
          <w:lang w:val="en-US" w:eastAsia="zh-CN"/>
        </w:rPr>
        <w:t>实际支出数</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安阳县水利局2022年</w:t>
      </w:r>
      <w:r>
        <w:rPr>
          <w:rFonts w:hint="eastAsia" w:ascii="仿宋_GB2312" w:hAnsi="仿宋_GB2312" w:eastAsia="仿宋_GB2312" w:cs="仿宋_GB2312"/>
          <w:sz w:val="32"/>
          <w:szCs w:val="32"/>
        </w:rPr>
        <w:t>度“三公经费”预算金额569,400.00元，实际支出</w:t>
      </w:r>
      <w:r>
        <w:rPr>
          <w:rFonts w:hint="eastAsia" w:ascii="仿宋_GB2312" w:hAnsi="仿宋_GB2312" w:cs="仿宋_GB2312"/>
          <w:sz w:val="32"/>
          <w:szCs w:val="32"/>
          <w:lang w:eastAsia="zh-CN"/>
        </w:rPr>
        <w:t>566,818.17</w:t>
      </w:r>
      <w:r>
        <w:rPr>
          <w:rFonts w:hint="eastAsia" w:ascii="仿宋_GB2312" w:hAnsi="仿宋_GB2312" w:eastAsia="仿宋_GB2312" w:cs="仿宋_GB2312"/>
          <w:sz w:val="32"/>
          <w:szCs w:val="32"/>
        </w:rPr>
        <w:t>元，“三公经费”控制率=（</w:t>
      </w:r>
      <w:r>
        <w:rPr>
          <w:rFonts w:hint="eastAsia" w:ascii="仿宋_GB2312" w:hAnsi="仿宋_GB2312" w:cs="仿宋_GB2312"/>
          <w:sz w:val="32"/>
          <w:szCs w:val="32"/>
          <w:lang w:eastAsia="zh-CN"/>
        </w:rPr>
        <w:t>566,818.17</w:t>
      </w:r>
      <w:r>
        <w:rPr>
          <w:rFonts w:hint="eastAsia" w:ascii="仿宋_GB2312" w:hAnsi="仿宋_GB2312" w:eastAsia="仿宋_GB2312" w:cs="仿宋_GB2312"/>
          <w:sz w:val="32"/>
          <w:szCs w:val="32"/>
        </w:rPr>
        <w:t>/569,400.00）×100%</w:t>
      </w:r>
      <w:r>
        <w:rPr>
          <w:rFonts w:hint="eastAsia" w:ascii="仿宋_GB2312" w:hAnsi="仿宋_GB2312" w:cs="仿宋_GB2312"/>
          <w:sz w:val="32"/>
          <w:szCs w:val="32"/>
          <w:lang w:val="en-US" w:eastAsia="zh-CN"/>
        </w:rPr>
        <w:t>=99%</w:t>
      </w:r>
      <w:r>
        <w:rPr>
          <w:rFonts w:hint="eastAsia" w:ascii="仿宋_GB2312" w:hAnsi="仿宋_GB2312" w:eastAsia="仿宋_GB2312" w:cs="仿宋_GB2312"/>
          <w:sz w:val="32"/>
          <w:szCs w:val="32"/>
        </w:rPr>
        <w:t>。根据评分规则，该指标得10分。</w:t>
      </w:r>
      <w:bookmarkEnd w:id="59"/>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C03.固定资产利用率</w:t>
      </w:r>
      <w:r>
        <w:rPr>
          <w:rFonts w:hint="eastAsia" w:ascii="仿宋_GB2312" w:hAnsi="仿宋_GB2312" w:eastAsia="仿宋_GB2312" w:cs="仿宋_GB2312"/>
          <w:sz w:val="32"/>
          <w:szCs w:val="32"/>
        </w:rPr>
        <w:t>：该指标分值10分，实际得分为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w:t>
      </w:r>
      <w:bookmarkStart w:id="60" w:name="OLE_LINK56"/>
      <w:r>
        <w:rPr>
          <w:rFonts w:hint="eastAsia" w:ascii="仿宋_GB2312" w:hAnsi="仿宋_GB2312" w:eastAsia="仿宋_GB2312" w:cs="仿宋_GB2312"/>
          <w:sz w:val="32"/>
          <w:szCs w:val="32"/>
        </w:rPr>
        <w:t>根据</w:t>
      </w:r>
      <w:r>
        <w:rPr>
          <w:rFonts w:hint="eastAsia" w:ascii="仿宋_GB2312" w:hAnsi="仿宋_GB2312" w:cs="仿宋_GB2312"/>
          <w:sz w:val="32"/>
          <w:szCs w:val="32"/>
          <w:lang w:eastAsia="zh-CN"/>
        </w:rPr>
        <w:t>安阳县水利局</w:t>
      </w:r>
      <w:r>
        <w:rPr>
          <w:rFonts w:hint="eastAsia" w:ascii="仿宋_GB2312" w:hAnsi="仿宋_GB2312" w:eastAsia="仿宋_GB2312" w:cs="仿宋_GB2312"/>
          <w:sz w:val="32"/>
          <w:szCs w:val="32"/>
        </w:rPr>
        <w:t>固定资产盘点表，截至</w:t>
      </w:r>
      <w:r>
        <w:rPr>
          <w:rFonts w:hint="eastAsia" w:ascii="仿宋_GB2312" w:hAnsi="仿宋_GB2312" w:cs="仿宋_GB2312"/>
          <w:sz w:val="32"/>
          <w:szCs w:val="32"/>
          <w:lang w:eastAsia="zh-CN"/>
        </w:rPr>
        <w:t>2022年</w:t>
      </w:r>
      <w:r>
        <w:rPr>
          <w:rFonts w:hint="eastAsia" w:ascii="仿宋_GB2312" w:hAnsi="仿宋_GB2312" w:eastAsia="仿宋_GB2312" w:cs="仿宋_GB2312"/>
          <w:sz w:val="32"/>
          <w:szCs w:val="32"/>
        </w:rPr>
        <w:t>末</w:t>
      </w:r>
      <w:r>
        <w:rPr>
          <w:rFonts w:hint="eastAsia" w:ascii="仿宋_GB2312" w:hAnsi="仿宋_GB2312" w:cs="仿宋_GB2312"/>
          <w:sz w:val="32"/>
          <w:szCs w:val="32"/>
          <w:lang w:eastAsia="zh-CN"/>
        </w:rPr>
        <w:t>安阳县水利局</w:t>
      </w:r>
      <w:r>
        <w:rPr>
          <w:rFonts w:hint="eastAsia" w:ascii="仿宋_GB2312" w:hAnsi="仿宋_GB2312" w:eastAsia="仿宋_GB2312" w:cs="仿宋_GB2312"/>
          <w:sz w:val="32"/>
          <w:szCs w:val="32"/>
        </w:rPr>
        <w:t>固定资产总额4,171,328.47元，其中在用固定资产总额4,171,328.47元，待处置和闲置固定资产总额</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元，固定资产利用率为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%。根据评分规则，该指标得</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0分。</w:t>
      </w:r>
      <w:bookmarkEnd w:id="60"/>
    </w:p>
    <w:p>
      <w:pPr>
        <w:pStyle w:val="10"/>
        <w:keepNext w:val="0"/>
        <w:keepLines w:val="0"/>
        <w:pageBreakBefore w:val="0"/>
        <w:widowControl w:val="0"/>
        <w:numPr>
          <w:ilvl w:val="0"/>
          <w:numId w:val="4"/>
        </w:numPr>
        <w:kinsoku/>
        <w:wordWrap/>
        <w:overflowPunct/>
        <w:topLinePunct w:val="0"/>
        <w:autoSpaceDE/>
        <w:autoSpaceDN/>
        <w:bidi w:val="0"/>
        <w:adjustRightInd/>
        <w:snapToGrid/>
        <w:spacing w:line="360" w:lineRule="auto"/>
        <w:ind w:left="-13" w:leftChars="0" w:firstLine="643" w:firstLineChars="0"/>
        <w:jc w:val="both"/>
        <w:textAlignment w:val="auto"/>
        <w:outlineLvl w:val="1"/>
        <w:rPr>
          <w:rFonts w:hint="eastAsia" w:ascii="仿宋_GB2312" w:hAnsi="仿宋_GB2312" w:eastAsia="仿宋_GB2312" w:cs="仿宋_GB2312"/>
          <w:b/>
          <w:bCs/>
          <w:color w:val="000000"/>
          <w:kern w:val="0"/>
          <w:sz w:val="32"/>
          <w:szCs w:val="32"/>
          <w:lang w:val="en-US" w:eastAsia="zh-CN" w:bidi="ar"/>
        </w:rPr>
      </w:pPr>
      <w:bookmarkStart w:id="61" w:name="_Toc30601"/>
      <w:bookmarkStart w:id="62" w:name="_Toc27079"/>
      <w:bookmarkStart w:id="63" w:name="_Toc10723"/>
      <w:bookmarkStart w:id="64" w:name="_Toc53344491"/>
      <w:bookmarkStart w:id="65" w:name="_Toc14519"/>
      <w:r>
        <w:rPr>
          <w:rFonts w:hint="eastAsia" w:ascii="仿宋_GB2312" w:hAnsi="仿宋_GB2312" w:eastAsia="仿宋_GB2312" w:cs="仿宋_GB2312"/>
          <w:b/>
          <w:bCs/>
          <w:color w:val="000000"/>
          <w:kern w:val="0"/>
          <w:sz w:val="32"/>
          <w:szCs w:val="32"/>
          <w:lang w:val="en-US" w:eastAsia="zh-CN" w:bidi="ar"/>
        </w:rPr>
        <w:t>综合管理指标分析</w:t>
      </w:r>
      <w:bookmarkEnd w:id="61"/>
      <w:bookmarkEnd w:id="62"/>
      <w:bookmarkEnd w:id="63"/>
      <w:bookmarkEnd w:id="64"/>
      <w:bookmarkEnd w:id="65"/>
    </w:p>
    <w:p>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综合管理指标共分1个二级指标，7个三级指标，权重分值共10分，实际得分</w:t>
      </w:r>
      <w:r>
        <w:rPr>
          <w:rFonts w:hint="eastAsia" w:ascii="仿宋_GB2312" w:hAnsi="仿宋_GB2312" w:cs="仿宋_GB2312"/>
          <w:sz w:val="32"/>
          <w:szCs w:val="32"/>
          <w:lang w:val="en-US" w:eastAsia="zh-CN"/>
        </w:rPr>
        <w:t>9.8</w:t>
      </w:r>
      <w:r>
        <w:rPr>
          <w:rFonts w:hint="eastAsia" w:ascii="仿宋_GB2312" w:hAnsi="仿宋_GB2312" w:eastAsia="仿宋_GB2312" w:cs="仿宋_GB2312"/>
          <w:sz w:val="32"/>
          <w:szCs w:val="32"/>
        </w:rPr>
        <w:t>分，得分率</w:t>
      </w:r>
      <w:r>
        <w:rPr>
          <w:rFonts w:hint="eastAsia" w:ascii="仿宋_GB2312" w:hAnsi="仿宋_GB2312" w:cs="仿宋_GB2312"/>
          <w:sz w:val="32"/>
          <w:szCs w:val="32"/>
          <w:lang w:val="en-US" w:eastAsia="zh-CN"/>
        </w:rPr>
        <w:t>98</w:t>
      </w:r>
      <w:r>
        <w:rPr>
          <w:rFonts w:hint="eastAsia" w:ascii="仿宋_GB2312" w:hAnsi="仿宋_GB2312" w:eastAsia="仿宋_GB2312" w:cs="仿宋_GB2312"/>
          <w:sz w:val="32"/>
          <w:szCs w:val="32"/>
        </w:rPr>
        <w:t>%。各指标具体得分情况如下：</w:t>
      </w:r>
    </w:p>
    <w:p>
      <w:pPr>
        <w:keepNext w:val="0"/>
        <w:keepLines w:val="0"/>
        <w:pageBreakBefore w:val="0"/>
        <w:kinsoku/>
        <w:wordWrap/>
        <w:overflowPunct/>
        <w:topLinePunct w:val="0"/>
        <w:autoSpaceDE/>
        <w:autoSpaceDN/>
        <w:bidi w:val="0"/>
        <w:spacing w:line="540" w:lineRule="exact"/>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表3-4综合管理指标评分结果汇总表</w:t>
      </w:r>
    </w:p>
    <w:tbl>
      <w:tblPr>
        <w:tblStyle w:val="6"/>
        <w:tblW w:w="5000" w:type="pct"/>
        <w:tblInd w:w="0" w:type="dxa"/>
        <w:tblLayout w:type="autofit"/>
        <w:tblCellMar>
          <w:top w:w="0" w:type="dxa"/>
          <w:left w:w="0" w:type="dxa"/>
          <w:bottom w:w="0" w:type="dxa"/>
          <w:right w:w="0" w:type="dxa"/>
        </w:tblCellMar>
      </w:tblPr>
      <w:tblGrid>
        <w:gridCol w:w="1732"/>
        <w:gridCol w:w="2999"/>
        <w:gridCol w:w="1332"/>
        <w:gridCol w:w="1332"/>
        <w:gridCol w:w="1255"/>
      </w:tblGrid>
      <w:tr>
        <w:tblPrEx>
          <w:tblCellMar>
            <w:top w:w="0" w:type="dxa"/>
            <w:left w:w="0" w:type="dxa"/>
            <w:bottom w:w="0" w:type="dxa"/>
            <w:right w:w="0" w:type="dxa"/>
          </w:tblCellMar>
        </w:tblPrEx>
        <w:trPr>
          <w:trHeight w:val="397" w:hRule="atLeast"/>
        </w:trPr>
        <w:tc>
          <w:tcPr>
            <w:tcW w:w="1001" w:type="pc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二级指标</w:t>
            </w:r>
          </w:p>
        </w:tc>
        <w:tc>
          <w:tcPr>
            <w:tcW w:w="1732" w:type="pc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三级指标</w:t>
            </w:r>
          </w:p>
        </w:tc>
        <w:tc>
          <w:tcPr>
            <w:tcW w:w="770" w:type="pc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权重</w:t>
            </w:r>
          </w:p>
        </w:tc>
        <w:tc>
          <w:tcPr>
            <w:tcW w:w="770" w:type="pc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得分</w:t>
            </w:r>
          </w:p>
        </w:tc>
        <w:tc>
          <w:tcPr>
            <w:tcW w:w="725" w:type="pc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得分率</w:t>
            </w:r>
          </w:p>
        </w:tc>
      </w:tr>
      <w:tr>
        <w:tblPrEx>
          <w:tblCellMar>
            <w:top w:w="0" w:type="dxa"/>
            <w:left w:w="0" w:type="dxa"/>
            <w:bottom w:w="0" w:type="dxa"/>
            <w:right w:w="0" w:type="dxa"/>
          </w:tblCellMar>
        </w:tblPrEx>
        <w:trPr>
          <w:trHeight w:val="397" w:hRule="atLeast"/>
        </w:trPr>
        <w:tc>
          <w:tcPr>
            <w:tcW w:w="1001" w:type="pct"/>
            <w:vMerge w:val="restart"/>
            <w:tcBorders>
              <w:top w:val="nil"/>
              <w:left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p>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p>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D1.内控制度管理和绩效信息公开及群众满意度指标</w:t>
            </w:r>
          </w:p>
        </w:tc>
        <w:tc>
          <w:tcPr>
            <w:tcW w:w="1732"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D01.管理制度健全性</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2</w:t>
            </w:r>
          </w:p>
        </w:tc>
        <w:tc>
          <w:tcPr>
            <w:tcW w:w="725"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sz w:val="24"/>
                <w:szCs w:val="24"/>
              </w:rPr>
            </w:pPr>
            <w:r>
              <w:rPr>
                <w:rFonts w:hint="eastAsia" w:ascii="宋体" w:hAnsi="宋体" w:cs="宋体"/>
                <w:color w:val="000000"/>
                <w:sz w:val="24"/>
                <w:szCs w:val="24"/>
                <w:lang w:val="en-US" w:eastAsia="zh-CN"/>
              </w:rPr>
              <w:t>100</w:t>
            </w:r>
            <w:r>
              <w:rPr>
                <w:rFonts w:hint="eastAsia" w:ascii="宋体" w:hAnsi="宋体" w:eastAsia="宋体" w:cs="宋体"/>
                <w:color w:val="000000"/>
                <w:sz w:val="24"/>
                <w:szCs w:val="24"/>
              </w:rPr>
              <w:t>%</w:t>
            </w:r>
          </w:p>
        </w:tc>
      </w:tr>
      <w:tr>
        <w:tblPrEx>
          <w:tblCellMar>
            <w:top w:w="0" w:type="dxa"/>
            <w:left w:w="0" w:type="dxa"/>
            <w:bottom w:w="0" w:type="dxa"/>
            <w:right w:w="0" w:type="dxa"/>
          </w:tblCellMar>
        </w:tblPrEx>
        <w:trPr>
          <w:trHeight w:val="397" w:hRule="atLeast"/>
        </w:trPr>
        <w:tc>
          <w:tcPr>
            <w:tcW w:w="1001" w:type="pct"/>
            <w:vMerge w:val="continue"/>
            <w:tcBorders>
              <w:left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sz w:val="24"/>
                <w:szCs w:val="24"/>
              </w:rPr>
            </w:pPr>
          </w:p>
        </w:tc>
        <w:tc>
          <w:tcPr>
            <w:tcW w:w="1732"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D02.资金使用合规性</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2</w:t>
            </w:r>
          </w:p>
        </w:tc>
        <w:tc>
          <w:tcPr>
            <w:tcW w:w="725"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100</w:t>
            </w:r>
            <w:r>
              <w:rPr>
                <w:rFonts w:hint="eastAsia" w:ascii="宋体" w:hAnsi="宋体" w:eastAsia="宋体" w:cs="宋体"/>
                <w:color w:val="000000"/>
                <w:sz w:val="24"/>
                <w:szCs w:val="24"/>
              </w:rPr>
              <w:t>%</w:t>
            </w:r>
          </w:p>
        </w:tc>
      </w:tr>
      <w:tr>
        <w:tblPrEx>
          <w:tblCellMar>
            <w:top w:w="0" w:type="dxa"/>
            <w:left w:w="0" w:type="dxa"/>
            <w:bottom w:w="0" w:type="dxa"/>
            <w:right w:w="0" w:type="dxa"/>
          </w:tblCellMar>
        </w:tblPrEx>
        <w:trPr>
          <w:trHeight w:val="397" w:hRule="atLeast"/>
        </w:trPr>
        <w:tc>
          <w:tcPr>
            <w:tcW w:w="1001" w:type="pct"/>
            <w:vMerge w:val="continue"/>
            <w:tcBorders>
              <w:left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sz w:val="24"/>
                <w:szCs w:val="24"/>
              </w:rPr>
            </w:pPr>
          </w:p>
        </w:tc>
        <w:tc>
          <w:tcPr>
            <w:tcW w:w="1732"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D03.预决算信息公开性</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725"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100%</w:t>
            </w:r>
          </w:p>
        </w:tc>
      </w:tr>
      <w:tr>
        <w:tblPrEx>
          <w:tblCellMar>
            <w:top w:w="0" w:type="dxa"/>
            <w:left w:w="0" w:type="dxa"/>
            <w:bottom w:w="0" w:type="dxa"/>
            <w:right w:w="0" w:type="dxa"/>
          </w:tblCellMar>
        </w:tblPrEx>
        <w:trPr>
          <w:trHeight w:val="397" w:hRule="atLeast"/>
        </w:trPr>
        <w:tc>
          <w:tcPr>
            <w:tcW w:w="1001" w:type="pct"/>
            <w:vMerge w:val="continue"/>
            <w:tcBorders>
              <w:left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sz w:val="24"/>
                <w:szCs w:val="24"/>
              </w:rPr>
            </w:pPr>
          </w:p>
        </w:tc>
        <w:tc>
          <w:tcPr>
            <w:tcW w:w="1732"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D04.基础信息完整性</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725"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100%</w:t>
            </w:r>
          </w:p>
        </w:tc>
      </w:tr>
      <w:tr>
        <w:tblPrEx>
          <w:tblCellMar>
            <w:top w:w="0" w:type="dxa"/>
            <w:left w:w="0" w:type="dxa"/>
            <w:bottom w:w="0" w:type="dxa"/>
            <w:right w:w="0" w:type="dxa"/>
          </w:tblCellMar>
        </w:tblPrEx>
        <w:trPr>
          <w:trHeight w:val="397" w:hRule="atLeast"/>
        </w:trPr>
        <w:tc>
          <w:tcPr>
            <w:tcW w:w="1001" w:type="pct"/>
            <w:vMerge w:val="continue"/>
            <w:tcBorders>
              <w:left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8</w:t>
            </w:r>
          </w:p>
        </w:tc>
        <w:tc>
          <w:tcPr>
            <w:tcW w:w="1732"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D05.资产管理制度健全性</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2</w:t>
            </w:r>
          </w:p>
        </w:tc>
        <w:tc>
          <w:tcPr>
            <w:tcW w:w="725"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r>
              <w:rPr>
                <w:rFonts w:hint="eastAsia" w:ascii="宋体" w:hAnsi="宋体" w:cs="宋体"/>
                <w:color w:val="000000"/>
                <w:kern w:val="0"/>
                <w:sz w:val="24"/>
                <w:szCs w:val="24"/>
                <w:lang w:val="en-US" w:eastAsia="zh-CN" w:bidi="ar"/>
              </w:rPr>
              <w:t>100</w:t>
            </w:r>
            <w:r>
              <w:rPr>
                <w:rFonts w:hint="eastAsia" w:ascii="宋体" w:hAnsi="宋体" w:eastAsia="宋体" w:cs="宋体"/>
                <w:color w:val="000000"/>
                <w:kern w:val="0"/>
                <w:sz w:val="24"/>
                <w:szCs w:val="24"/>
                <w:lang w:bidi="ar"/>
              </w:rPr>
              <w:t>%</w:t>
            </w:r>
          </w:p>
        </w:tc>
      </w:tr>
      <w:tr>
        <w:tblPrEx>
          <w:tblCellMar>
            <w:top w:w="0" w:type="dxa"/>
            <w:left w:w="0" w:type="dxa"/>
            <w:bottom w:w="0" w:type="dxa"/>
            <w:right w:w="0" w:type="dxa"/>
          </w:tblCellMar>
        </w:tblPrEx>
        <w:trPr>
          <w:trHeight w:val="397" w:hRule="atLeast"/>
        </w:trPr>
        <w:tc>
          <w:tcPr>
            <w:tcW w:w="1001" w:type="pct"/>
            <w:vMerge w:val="continue"/>
            <w:tcBorders>
              <w:left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sz w:val="24"/>
                <w:szCs w:val="24"/>
              </w:rPr>
            </w:pPr>
          </w:p>
        </w:tc>
        <w:tc>
          <w:tcPr>
            <w:tcW w:w="1732"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D06.资产管理规范性</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p>
        </w:tc>
        <w:tc>
          <w:tcPr>
            <w:tcW w:w="725"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val="en-US" w:eastAsia="zh-CN" w:bidi="ar"/>
              </w:rPr>
              <w:t>10</w:t>
            </w:r>
            <w:r>
              <w:rPr>
                <w:rFonts w:hint="eastAsia" w:ascii="宋体" w:hAnsi="宋体" w:eastAsia="宋体" w:cs="宋体"/>
                <w:color w:val="000000"/>
                <w:kern w:val="0"/>
                <w:sz w:val="24"/>
                <w:szCs w:val="24"/>
                <w:lang w:bidi="ar"/>
              </w:rPr>
              <w:t>0%</w:t>
            </w:r>
          </w:p>
        </w:tc>
      </w:tr>
      <w:tr>
        <w:tblPrEx>
          <w:tblCellMar>
            <w:top w:w="0" w:type="dxa"/>
            <w:left w:w="0" w:type="dxa"/>
            <w:bottom w:w="0" w:type="dxa"/>
            <w:right w:w="0" w:type="dxa"/>
          </w:tblCellMar>
        </w:tblPrEx>
        <w:trPr>
          <w:trHeight w:val="397" w:hRule="atLeast"/>
        </w:trPr>
        <w:tc>
          <w:tcPr>
            <w:tcW w:w="1001" w:type="pct"/>
            <w:vMerge w:val="continue"/>
            <w:tcBorders>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rPr>
                <w:rFonts w:hint="eastAsia" w:ascii="宋体" w:hAnsi="宋体" w:eastAsia="宋体" w:cs="宋体"/>
                <w:color w:val="000000"/>
                <w:sz w:val="24"/>
                <w:szCs w:val="24"/>
              </w:rPr>
            </w:pPr>
          </w:p>
        </w:tc>
        <w:tc>
          <w:tcPr>
            <w:tcW w:w="1732"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D07.群众满意度</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0.8</w:t>
            </w:r>
          </w:p>
        </w:tc>
        <w:tc>
          <w:tcPr>
            <w:tcW w:w="725"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color w:val="000000"/>
                <w:kern w:val="0"/>
                <w:sz w:val="24"/>
                <w:szCs w:val="24"/>
                <w:lang w:bidi="ar"/>
              </w:rPr>
            </w:pPr>
            <w:r>
              <w:rPr>
                <w:rFonts w:hint="eastAsia" w:ascii="宋体" w:hAnsi="宋体" w:cs="宋体"/>
                <w:color w:val="000000"/>
                <w:kern w:val="0"/>
                <w:sz w:val="24"/>
                <w:szCs w:val="24"/>
                <w:lang w:val="en-US" w:eastAsia="zh-CN" w:bidi="ar"/>
              </w:rPr>
              <w:t>80</w:t>
            </w:r>
            <w:r>
              <w:rPr>
                <w:rFonts w:hint="eastAsia" w:ascii="宋体" w:hAnsi="宋体" w:eastAsia="宋体" w:cs="宋体"/>
                <w:color w:val="000000"/>
                <w:kern w:val="0"/>
                <w:sz w:val="24"/>
                <w:szCs w:val="24"/>
                <w:lang w:bidi="ar"/>
              </w:rPr>
              <w:t>%</w:t>
            </w:r>
          </w:p>
        </w:tc>
      </w:tr>
      <w:tr>
        <w:tblPrEx>
          <w:tblCellMar>
            <w:top w:w="0" w:type="dxa"/>
            <w:left w:w="0" w:type="dxa"/>
            <w:bottom w:w="0" w:type="dxa"/>
            <w:right w:w="0" w:type="dxa"/>
          </w:tblCellMar>
        </w:tblPrEx>
        <w:trPr>
          <w:trHeight w:val="397" w:hRule="atLeast"/>
        </w:trPr>
        <w:tc>
          <w:tcPr>
            <w:tcW w:w="2734" w:type="pct"/>
            <w:gridSpan w:val="2"/>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小计</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10</w:t>
            </w:r>
          </w:p>
        </w:tc>
        <w:tc>
          <w:tcPr>
            <w:tcW w:w="770"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b/>
                <w:color w:val="000000"/>
                <w:sz w:val="24"/>
                <w:szCs w:val="24"/>
                <w:lang w:val="en-US" w:eastAsia="zh-CN"/>
              </w:rPr>
            </w:pPr>
            <w:r>
              <w:rPr>
                <w:rFonts w:hint="eastAsia" w:ascii="宋体" w:hAnsi="宋体" w:cs="宋体"/>
                <w:b/>
                <w:color w:val="000000"/>
                <w:sz w:val="24"/>
                <w:szCs w:val="24"/>
                <w:lang w:val="en-US" w:eastAsia="zh-CN"/>
              </w:rPr>
              <w:t>9.8</w:t>
            </w:r>
          </w:p>
        </w:tc>
        <w:tc>
          <w:tcPr>
            <w:tcW w:w="725" w:type="pc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color w:val="000000"/>
                <w:sz w:val="24"/>
                <w:szCs w:val="24"/>
              </w:rPr>
            </w:pPr>
            <w:r>
              <w:rPr>
                <w:rFonts w:hint="eastAsia" w:ascii="宋体" w:hAnsi="宋体" w:cs="宋体"/>
                <w:b/>
                <w:color w:val="000000"/>
                <w:sz w:val="24"/>
                <w:szCs w:val="24"/>
                <w:lang w:val="en-US" w:eastAsia="zh-CN"/>
              </w:rPr>
              <w:t>98</w:t>
            </w:r>
            <w:r>
              <w:rPr>
                <w:rFonts w:hint="eastAsia" w:ascii="宋体" w:hAnsi="宋体" w:eastAsia="宋体" w:cs="宋体"/>
                <w:b/>
                <w:color w:val="000000"/>
                <w:sz w:val="24"/>
                <w:szCs w:val="24"/>
              </w:rPr>
              <w:t>%</w:t>
            </w:r>
          </w:p>
        </w:tc>
      </w:tr>
    </w:tbl>
    <w:p>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D01.管理制度健全性</w:t>
      </w:r>
      <w:r>
        <w:rPr>
          <w:rFonts w:hint="eastAsia" w:ascii="仿宋_GB2312" w:hAnsi="仿宋_GB2312" w:eastAsia="仿宋_GB2312" w:cs="仿宋_GB2312"/>
          <w:sz w:val="32"/>
          <w:szCs w:val="32"/>
        </w:rPr>
        <w:t>：该指标分值2分，实际得</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分。</w:t>
      </w:r>
      <w:bookmarkStart w:id="66" w:name="OLE_LINK57"/>
      <w:r>
        <w:rPr>
          <w:rFonts w:hint="eastAsia" w:ascii="仿宋_GB2312" w:hAnsi="仿宋_GB2312" w:eastAsia="仿宋_GB2312" w:cs="仿宋_GB2312"/>
          <w:sz w:val="32"/>
          <w:szCs w:val="32"/>
        </w:rPr>
        <w:t>①</w:t>
      </w:r>
      <w:r>
        <w:rPr>
          <w:rFonts w:hint="eastAsia" w:ascii="仿宋_GB2312" w:hAnsi="仿宋_GB2312" w:cs="仿宋_GB2312"/>
          <w:sz w:val="32"/>
          <w:szCs w:val="32"/>
          <w:lang w:eastAsia="zh-CN"/>
        </w:rPr>
        <w:t>安阳县水利局</w:t>
      </w:r>
      <w:r>
        <w:rPr>
          <w:rFonts w:hint="eastAsia" w:ascii="仿宋_GB2312" w:hAnsi="仿宋_GB2312" w:eastAsia="仿宋_GB2312" w:cs="仿宋_GB2312"/>
          <w:sz w:val="32"/>
          <w:szCs w:val="32"/>
        </w:rPr>
        <w:t>制定有《</w:t>
      </w:r>
      <w:r>
        <w:rPr>
          <w:rFonts w:hint="eastAsia" w:ascii="仿宋_GB2312" w:hAnsi="仿宋_GB2312" w:cs="仿宋_GB2312"/>
          <w:sz w:val="32"/>
          <w:szCs w:val="32"/>
          <w:lang w:eastAsia="zh-CN"/>
        </w:rPr>
        <w:t>安阳县水利局财务管理办法</w:t>
      </w:r>
      <w:r>
        <w:rPr>
          <w:rFonts w:hint="eastAsia" w:ascii="仿宋_GB2312" w:hAnsi="仿宋_GB2312" w:eastAsia="仿宋_GB2312" w:cs="仿宋_GB2312"/>
          <w:sz w:val="32"/>
          <w:szCs w:val="32"/>
        </w:rPr>
        <w:t>》，会计核算按照政府会计制度的规定执行；②相关财务管理制度符合《中华人民共和国会计法》、《政府会计制度》等法律法规的规定，相关财务管理制度内容合法、合规；</w:t>
      </w:r>
      <w:r>
        <w:rPr>
          <w:rFonts w:hint="eastAsia" w:ascii="仿宋_GB2312" w:hAnsi="仿宋_GB2312" w:cs="仿宋_GB2312"/>
          <w:sz w:val="32"/>
          <w:szCs w:val="32"/>
          <w:lang w:eastAsia="zh-CN"/>
        </w:rPr>
        <w:t>③具有的</w:t>
      </w:r>
      <w:r>
        <w:rPr>
          <w:rFonts w:hint="eastAsia" w:ascii="仿宋_GB2312" w:hAnsi="仿宋_GB2312" w:eastAsia="仿宋_GB2312" w:cs="仿宋_GB2312"/>
          <w:sz w:val="32"/>
          <w:szCs w:val="32"/>
        </w:rPr>
        <w:t>相关管理制度得到有效执行</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根据评分规则，该指标得</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分。</w:t>
      </w:r>
      <w:bookmarkEnd w:id="66"/>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D02.资金使用合规性</w:t>
      </w:r>
      <w:r>
        <w:rPr>
          <w:rFonts w:hint="eastAsia" w:ascii="仿宋_GB2312" w:hAnsi="仿宋_GB2312" w:eastAsia="仿宋_GB2312" w:cs="仿宋_GB2312"/>
          <w:sz w:val="32"/>
          <w:szCs w:val="32"/>
        </w:rPr>
        <w:t>：该指标分值2分，实际得</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w:t>
      </w:r>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_GB2312" w:hAnsi="仿宋_GB2312" w:eastAsia="仿宋_GB2312" w:cs="仿宋_GB2312"/>
          <w:sz w:val="32"/>
          <w:szCs w:val="32"/>
        </w:rPr>
      </w:pPr>
      <w:bookmarkStart w:id="67" w:name="OLE_LINK58"/>
      <w:r>
        <w:rPr>
          <w:rFonts w:hint="eastAsia" w:ascii="仿宋_GB2312" w:hAnsi="仿宋_GB2312" w:eastAsia="仿宋_GB2312" w:cs="仿宋_GB2312"/>
          <w:sz w:val="32"/>
          <w:szCs w:val="32"/>
        </w:rPr>
        <w:t>①经检查</w:t>
      </w:r>
      <w:r>
        <w:rPr>
          <w:rFonts w:hint="eastAsia" w:ascii="仿宋_GB2312" w:hAnsi="仿宋_GB2312" w:cs="仿宋_GB2312"/>
          <w:sz w:val="32"/>
          <w:szCs w:val="32"/>
          <w:lang w:eastAsia="zh-CN"/>
        </w:rPr>
        <w:t>安阳县水利局</w:t>
      </w:r>
      <w:r>
        <w:rPr>
          <w:rFonts w:hint="eastAsia" w:ascii="仿宋_GB2312" w:hAnsi="仿宋_GB2312" w:eastAsia="仿宋_GB2312" w:cs="仿宋_GB2312"/>
          <w:sz w:val="32"/>
          <w:szCs w:val="32"/>
        </w:rPr>
        <w:t>预算支出会计凭证及原始凭证，资金支出符合《中华人民共和国会计法》</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安阳县水利局</w:t>
      </w:r>
      <w:r>
        <w:rPr>
          <w:rFonts w:hint="eastAsia" w:ascii="仿宋_GB2312" w:hAnsi="仿宋_GB2312" w:eastAsia="仿宋_GB2312" w:cs="仿宋_GB2312"/>
          <w:sz w:val="32"/>
          <w:szCs w:val="32"/>
        </w:rPr>
        <w:t>财务管理办法》</w:t>
      </w:r>
      <w:r>
        <w:rPr>
          <w:rFonts w:hint="eastAsia" w:ascii="仿宋_GB2312" w:hAnsi="仿宋_GB2312" w:cs="仿宋_GB2312"/>
          <w:sz w:val="32"/>
          <w:szCs w:val="32"/>
          <w:lang w:eastAsia="zh-CN"/>
        </w:rPr>
        <w:t>和《项目建设财务管理》</w:t>
      </w:r>
      <w:r>
        <w:rPr>
          <w:rFonts w:hint="eastAsia" w:ascii="仿宋_GB2312" w:hAnsi="仿宋_GB2312" w:eastAsia="仿宋_GB2312" w:cs="仿宋_GB2312"/>
          <w:sz w:val="32"/>
          <w:szCs w:val="32"/>
        </w:rPr>
        <w:t>等国家法律法规和财务管理制度的规定；②资金支出审批程序和手续基本完整；③</w:t>
      </w:r>
      <w:r>
        <w:rPr>
          <w:rFonts w:hint="eastAsia" w:ascii="仿宋_GB2312" w:hAnsi="仿宋_GB2312" w:cs="仿宋_GB2312"/>
          <w:sz w:val="32"/>
          <w:szCs w:val="32"/>
          <w:lang w:eastAsia="zh-CN"/>
        </w:rPr>
        <w:t>安阳县水利局</w:t>
      </w:r>
      <w:r>
        <w:rPr>
          <w:rFonts w:hint="eastAsia" w:ascii="仿宋_GB2312" w:hAnsi="仿宋_GB2312" w:cs="仿宋_GB2312"/>
          <w:sz w:val="32"/>
          <w:szCs w:val="32"/>
          <w:lang w:val="en-US" w:eastAsia="zh-CN"/>
        </w:rPr>
        <w:t>2022年</w:t>
      </w:r>
      <w:r>
        <w:rPr>
          <w:rFonts w:hint="eastAsia" w:ascii="仿宋_GB2312" w:hAnsi="仿宋_GB2312" w:eastAsia="仿宋_GB2312" w:cs="仿宋_GB2312"/>
          <w:sz w:val="32"/>
          <w:szCs w:val="32"/>
        </w:rPr>
        <w:t>项目开支均为</w:t>
      </w:r>
      <w:r>
        <w:rPr>
          <w:rFonts w:hint="eastAsia" w:ascii="仿宋_GB2312" w:hAnsi="仿宋_GB2312" w:cs="仿宋_GB2312"/>
          <w:sz w:val="32"/>
          <w:szCs w:val="32"/>
          <w:lang w:eastAsia="zh-CN"/>
        </w:rPr>
        <w:t>县</w:t>
      </w:r>
      <w:r>
        <w:rPr>
          <w:rFonts w:hint="eastAsia" w:ascii="仿宋_GB2312" w:hAnsi="仿宋_GB2312" w:eastAsia="仿宋_GB2312" w:cs="仿宋_GB2312"/>
          <w:sz w:val="32"/>
          <w:szCs w:val="32"/>
          <w:lang w:eastAsia="zh-CN"/>
        </w:rPr>
        <w:t>级财政资金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无需专家论证评估</w:t>
      </w:r>
      <w:r>
        <w:rPr>
          <w:rFonts w:hint="eastAsia" w:ascii="仿宋_GB2312" w:hAnsi="仿宋_GB2312" w:eastAsia="仿宋_GB2312" w:cs="仿宋_GB2312"/>
          <w:sz w:val="32"/>
          <w:szCs w:val="32"/>
        </w:rPr>
        <w:t>；④经现场核查，</w:t>
      </w:r>
      <w:r>
        <w:rPr>
          <w:rFonts w:hint="eastAsia" w:ascii="仿宋_GB2312" w:hAnsi="仿宋_GB2312" w:cs="仿宋_GB2312"/>
          <w:sz w:val="32"/>
          <w:szCs w:val="32"/>
          <w:lang w:eastAsia="zh-CN"/>
        </w:rPr>
        <w:t>安阳县水利局</w:t>
      </w:r>
      <w:r>
        <w:rPr>
          <w:rFonts w:hint="eastAsia" w:ascii="仿宋_GB2312" w:hAnsi="仿宋_GB2312" w:eastAsia="仿宋_GB2312" w:cs="仿宋_GB2312"/>
          <w:sz w:val="32"/>
          <w:szCs w:val="32"/>
        </w:rPr>
        <w:t>经费支出符合部门预算批复用途；⑤现场核查未发现预算资金存在截留、挤占、挪用或虚列支出等情况。根据评分规则，该指标得</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w:t>
      </w:r>
    </w:p>
    <w:bookmarkEnd w:id="67"/>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D03.预决算信息公开性</w:t>
      </w:r>
      <w:r>
        <w:rPr>
          <w:rFonts w:hint="eastAsia" w:ascii="仿宋_GB2312" w:hAnsi="仿宋_GB2312" w:eastAsia="仿宋_GB2312" w:cs="仿宋_GB2312"/>
          <w:sz w:val="32"/>
          <w:szCs w:val="32"/>
        </w:rPr>
        <w:t>：该指标分值1分，实际得1分。</w:t>
      </w:r>
      <w:bookmarkStart w:id="68" w:name="OLE_LINK59"/>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①经检查</w:t>
      </w:r>
      <w:r>
        <w:rPr>
          <w:rFonts w:hint="eastAsia" w:ascii="仿宋_GB2312" w:hAnsi="仿宋_GB2312" w:cs="仿宋_GB2312"/>
          <w:sz w:val="32"/>
          <w:szCs w:val="32"/>
          <w:lang w:eastAsia="zh-CN"/>
        </w:rPr>
        <w:t>安阳县水利局2022年</w:t>
      </w:r>
      <w:r>
        <w:rPr>
          <w:rFonts w:hint="eastAsia" w:ascii="仿宋_GB2312" w:hAnsi="仿宋_GB2312" w:eastAsia="仿宋_GB2312" w:cs="仿宋_GB2312"/>
          <w:sz w:val="32"/>
          <w:szCs w:val="32"/>
        </w:rPr>
        <w:t>预决算公开信息，公开内容合法、合规、完整；②经检查</w:t>
      </w:r>
      <w:r>
        <w:rPr>
          <w:rFonts w:hint="eastAsia" w:ascii="仿宋_GB2312" w:hAnsi="仿宋_GB2312" w:cs="仿宋_GB2312"/>
          <w:sz w:val="32"/>
          <w:szCs w:val="32"/>
          <w:lang w:eastAsia="zh-CN"/>
        </w:rPr>
        <w:t>安阳县水利局2022年</w:t>
      </w:r>
      <w:r>
        <w:rPr>
          <w:rFonts w:hint="eastAsia" w:ascii="仿宋_GB2312" w:hAnsi="仿宋_GB2312" w:eastAsia="仿宋_GB2312" w:cs="仿宋_GB2312"/>
          <w:sz w:val="32"/>
          <w:szCs w:val="32"/>
        </w:rPr>
        <w:t>预决算公开时间符合规定时限。根据评分规则，该指标得1分。</w:t>
      </w:r>
      <w:bookmarkEnd w:id="68"/>
    </w:p>
    <w:p>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D04.基础信息完整性</w:t>
      </w:r>
      <w:r>
        <w:rPr>
          <w:rFonts w:hint="eastAsia" w:ascii="仿宋_GB2312" w:hAnsi="仿宋_GB2312" w:eastAsia="仿宋_GB2312" w:cs="仿宋_GB2312"/>
          <w:sz w:val="32"/>
          <w:szCs w:val="32"/>
        </w:rPr>
        <w:t>：该指标分值1分，实际得1分。</w:t>
      </w:r>
      <w:bookmarkStart w:id="69" w:name="OLE_LINK60"/>
      <w:r>
        <w:rPr>
          <w:rFonts w:hint="eastAsia" w:ascii="仿宋_GB2312" w:hAnsi="仿宋_GB2312" w:eastAsia="仿宋_GB2312" w:cs="仿宋_GB2312"/>
          <w:sz w:val="32"/>
          <w:szCs w:val="32"/>
        </w:rPr>
        <w:t>经核查，</w:t>
      </w:r>
      <w:r>
        <w:rPr>
          <w:rFonts w:hint="eastAsia" w:ascii="仿宋_GB2312" w:hAnsi="仿宋_GB2312" w:cs="仿宋_GB2312"/>
          <w:sz w:val="32"/>
          <w:szCs w:val="32"/>
          <w:lang w:eastAsia="zh-CN"/>
        </w:rPr>
        <w:t>2022年</w:t>
      </w:r>
      <w:r>
        <w:rPr>
          <w:rFonts w:hint="eastAsia" w:ascii="仿宋_GB2312" w:hAnsi="仿宋_GB2312" w:eastAsia="仿宋_GB2312" w:cs="仿宋_GB2312"/>
          <w:sz w:val="32"/>
          <w:szCs w:val="32"/>
        </w:rPr>
        <w:t>预算相关基础数据信息及部分会计凭证及附件真实、准确、完整。根据评分规则，该指标得1分。</w:t>
      </w:r>
      <w:bookmarkEnd w:id="69"/>
    </w:p>
    <w:p>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D05.资产管理制度健全性</w:t>
      </w:r>
      <w:r>
        <w:rPr>
          <w:rFonts w:hint="eastAsia" w:ascii="仿宋_GB2312" w:hAnsi="仿宋_GB2312" w:eastAsia="仿宋_GB2312" w:cs="仿宋_GB2312"/>
          <w:sz w:val="32"/>
          <w:szCs w:val="32"/>
        </w:rPr>
        <w:t>：该指标分值2分，实际得</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分。</w:t>
      </w:r>
      <w:bookmarkStart w:id="70" w:name="OLE_LINK61"/>
      <w:r>
        <w:rPr>
          <w:rFonts w:hint="eastAsia" w:ascii="仿宋_GB2312" w:hAnsi="仿宋_GB2312" w:eastAsia="仿宋_GB2312" w:cs="仿宋_GB2312"/>
          <w:sz w:val="32"/>
          <w:szCs w:val="32"/>
          <w:highlight w:val="none"/>
        </w:rPr>
        <w:t>①</w:t>
      </w:r>
      <w:r>
        <w:rPr>
          <w:rFonts w:hint="eastAsia" w:ascii="仿宋_GB2312" w:hAnsi="仿宋_GB2312" w:cs="仿宋_GB2312"/>
          <w:sz w:val="32"/>
          <w:szCs w:val="32"/>
          <w:highlight w:val="none"/>
          <w:lang w:eastAsia="zh-CN"/>
        </w:rPr>
        <w:t>安阳县水利局</w:t>
      </w:r>
      <w:r>
        <w:rPr>
          <w:rFonts w:hint="eastAsia" w:ascii="仿宋_GB2312" w:hAnsi="仿宋_GB2312" w:eastAsia="仿宋_GB2312" w:cs="仿宋_GB2312"/>
          <w:sz w:val="32"/>
          <w:szCs w:val="32"/>
          <w:highlight w:val="none"/>
        </w:rPr>
        <w:t>具有相关资产管理制度；②相关资产管理制度合法、合规③单位单位管理制度基本得到有效执行。根据评分规则，该指标得</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分。</w:t>
      </w:r>
    </w:p>
    <w:bookmarkEnd w:id="70"/>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D06.资产管理规范性</w:t>
      </w:r>
      <w:r>
        <w:rPr>
          <w:rFonts w:hint="eastAsia" w:ascii="仿宋_GB2312" w:hAnsi="仿宋_GB2312" w:eastAsia="仿宋_GB2312" w:cs="仿宋_GB2312"/>
          <w:sz w:val="32"/>
          <w:szCs w:val="32"/>
        </w:rPr>
        <w:t>：该指标分值1分，实际得</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分。</w:t>
      </w:r>
      <w:bookmarkStart w:id="71" w:name="OLE_LINK62"/>
      <w:r>
        <w:rPr>
          <w:rFonts w:hint="eastAsia" w:ascii="仿宋_GB2312" w:hAnsi="仿宋_GB2312" w:eastAsia="仿宋_GB2312" w:cs="仿宋_GB2312"/>
          <w:sz w:val="32"/>
          <w:szCs w:val="32"/>
        </w:rPr>
        <w:t>①经现场核查，</w:t>
      </w:r>
      <w:r>
        <w:rPr>
          <w:rFonts w:hint="eastAsia" w:ascii="仿宋_GB2312" w:hAnsi="仿宋_GB2312" w:cs="仿宋_GB2312"/>
          <w:sz w:val="32"/>
          <w:szCs w:val="32"/>
          <w:lang w:eastAsia="zh-CN"/>
        </w:rPr>
        <w:t>安阳县水利局</w:t>
      </w:r>
      <w:r>
        <w:rPr>
          <w:rFonts w:hint="eastAsia" w:ascii="仿宋_GB2312" w:hAnsi="仿宋_GB2312" w:eastAsia="仿宋_GB2312" w:cs="仿宋_GB2312"/>
          <w:sz w:val="32"/>
          <w:szCs w:val="32"/>
        </w:rPr>
        <w:t>资产基本保存完整，账实相符；②经核查固定资产盘点表，未发现超标准配置资产情况；③</w:t>
      </w:r>
      <w:r>
        <w:rPr>
          <w:rFonts w:hint="eastAsia" w:ascii="仿宋_GB2312" w:hAnsi="仿宋_GB2312" w:cs="仿宋_GB2312"/>
          <w:sz w:val="32"/>
          <w:szCs w:val="32"/>
          <w:lang w:eastAsia="zh-CN"/>
        </w:rPr>
        <w:t>安阳县水利局资产处置规范</w:t>
      </w:r>
      <w:r>
        <w:rPr>
          <w:rFonts w:hint="eastAsia" w:ascii="仿宋_GB2312" w:hAnsi="仿宋_GB2312" w:eastAsia="仿宋_GB2312" w:cs="仿宋_GB2312"/>
          <w:sz w:val="32"/>
          <w:szCs w:val="32"/>
        </w:rPr>
        <w:t>。根据评分规则，该指标得</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分。</w:t>
      </w:r>
      <w:bookmarkEnd w:id="71"/>
    </w:p>
    <w:p>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D07.群众满意度</w:t>
      </w:r>
      <w:r>
        <w:rPr>
          <w:rFonts w:hint="eastAsia" w:ascii="仿宋_GB2312" w:hAnsi="仿宋_GB2312" w:eastAsia="仿宋_GB2312" w:cs="仿宋_GB2312"/>
          <w:sz w:val="32"/>
          <w:szCs w:val="32"/>
        </w:rPr>
        <w:t>：</w:t>
      </w:r>
      <w:bookmarkStart w:id="72" w:name="OLE_LINK41"/>
      <w:r>
        <w:rPr>
          <w:rFonts w:hint="eastAsia" w:ascii="仿宋_GB2312" w:hAnsi="仿宋_GB2312" w:eastAsia="仿宋_GB2312" w:cs="仿宋_GB2312"/>
          <w:sz w:val="32"/>
          <w:szCs w:val="32"/>
        </w:rPr>
        <w:t>该指标分值1分，实际得</w:t>
      </w:r>
      <w:r>
        <w:rPr>
          <w:rFonts w:hint="eastAsia" w:ascii="仿宋_GB2312" w:hAnsi="仿宋_GB2312" w:cs="仿宋_GB2312"/>
          <w:sz w:val="32"/>
          <w:szCs w:val="32"/>
          <w:lang w:val="en-US" w:eastAsia="zh-CN"/>
        </w:rPr>
        <w:t>0.8</w:t>
      </w:r>
      <w:r>
        <w:rPr>
          <w:rFonts w:hint="eastAsia" w:ascii="仿宋_GB2312" w:hAnsi="仿宋_GB2312" w:eastAsia="仿宋_GB2312" w:cs="仿宋_GB2312"/>
          <w:sz w:val="32"/>
          <w:szCs w:val="32"/>
        </w:rPr>
        <w:t>分</w:t>
      </w:r>
      <w:r>
        <w:rPr>
          <w:rFonts w:hint="eastAsia" w:ascii="仿宋_GB2312" w:hAnsi="仿宋_GB2312" w:cs="仿宋_GB2312"/>
          <w:sz w:val="32"/>
          <w:szCs w:val="32"/>
          <w:lang w:eastAsia="zh-CN"/>
        </w:rPr>
        <w:t>。</w:t>
      </w:r>
      <w:bookmarkStart w:id="73" w:name="OLE_LINK63"/>
      <w:r>
        <w:rPr>
          <w:rFonts w:hint="eastAsia" w:ascii="仿宋_GB2312" w:hAnsi="仿宋_GB2312" w:eastAsia="仿宋_GB2312" w:cs="仿宋_GB2312"/>
          <w:sz w:val="32"/>
          <w:szCs w:val="32"/>
        </w:rPr>
        <w:t>工作组面向社会公众设计了调查问卷，采用实地走访方式进行满意度调查。</w:t>
      </w:r>
      <w:r>
        <w:rPr>
          <w:rFonts w:hint="eastAsia" w:ascii="仿宋_GB2312" w:hAnsi="仿宋_GB2312" w:cs="仿宋_GB2312"/>
          <w:sz w:val="32"/>
          <w:szCs w:val="32"/>
          <w:lang w:eastAsia="zh-CN"/>
        </w:rPr>
        <w:t>评价标准为满意人数</w:t>
      </w:r>
      <w:r>
        <w:rPr>
          <w:rFonts w:hint="eastAsia" w:ascii="仿宋_GB2312" w:hAnsi="仿宋_GB2312" w:cs="仿宋_GB2312"/>
          <w:sz w:val="32"/>
          <w:szCs w:val="32"/>
          <w:lang w:val="en-US" w:eastAsia="zh-CN"/>
        </w:rPr>
        <w:t>/被调查人数*指标分值，</w:t>
      </w:r>
      <w:r>
        <w:rPr>
          <w:rFonts w:hint="eastAsia" w:ascii="仿宋_GB2312" w:hAnsi="仿宋_GB2312" w:eastAsia="仿宋_GB2312" w:cs="仿宋_GB2312"/>
          <w:sz w:val="32"/>
          <w:szCs w:val="32"/>
        </w:rPr>
        <w:t>本次调查共形成</w:t>
      </w:r>
      <w:r>
        <w:rPr>
          <w:rFonts w:hint="eastAsia" w:ascii="仿宋_GB2312" w:hAnsi="仿宋_GB2312" w:cs="仿宋_GB2312"/>
          <w:sz w:val="32"/>
          <w:szCs w:val="32"/>
          <w:lang w:val="en-US" w:eastAsia="zh-CN"/>
        </w:rPr>
        <w:t>30</w:t>
      </w:r>
      <w:r>
        <w:rPr>
          <w:rFonts w:hint="eastAsia" w:ascii="仿宋_GB2312" w:hAnsi="仿宋_GB2312" w:eastAsia="仿宋_GB2312" w:cs="仿宋_GB2312"/>
          <w:sz w:val="32"/>
          <w:szCs w:val="32"/>
        </w:rPr>
        <w:t>份有效问卷</w:t>
      </w:r>
      <w:r>
        <w:rPr>
          <w:rFonts w:hint="eastAsia" w:ascii="仿宋_GB2312" w:hAnsi="仿宋_GB2312" w:cs="仿宋_GB2312"/>
          <w:sz w:val="32"/>
          <w:szCs w:val="32"/>
          <w:lang w:eastAsia="zh-CN"/>
        </w:rPr>
        <w:t>，其中</w:t>
      </w:r>
      <w:r>
        <w:rPr>
          <w:rFonts w:hint="eastAsia" w:ascii="仿宋_GB2312" w:hAnsi="仿宋_GB2312" w:cs="仿宋_GB2312"/>
          <w:sz w:val="32"/>
          <w:szCs w:val="32"/>
          <w:lang w:val="en-US" w:eastAsia="zh-CN"/>
        </w:rPr>
        <w:t>25份满意度较高</w:t>
      </w:r>
      <w:r>
        <w:rPr>
          <w:rFonts w:hint="eastAsia" w:ascii="仿宋_GB2312" w:hAnsi="仿宋_GB2312" w:eastAsia="仿宋_GB2312" w:cs="仿宋_GB2312"/>
          <w:sz w:val="32"/>
          <w:szCs w:val="32"/>
        </w:rPr>
        <w:t>。社会公众对</w:t>
      </w:r>
      <w:r>
        <w:rPr>
          <w:rFonts w:hint="eastAsia" w:ascii="仿宋_GB2312" w:hAnsi="仿宋_GB2312" w:cs="仿宋_GB2312"/>
          <w:sz w:val="32"/>
          <w:szCs w:val="32"/>
          <w:lang w:eastAsia="zh-CN"/>
        </w:rPr>
        <w:t>安阳县水利局</w:t>
      </w:r>
      <w:r>
        <w:rPr>
          <w:rFonts w:hint="eastAsia" w:ascii="仿宋_GB2312" w:hAnsi="仿宋_GB2312" w:eastAsia="仿宋_GB2312" w:cs="仿宋_GB2312"/>
          <w:sz w:val="32"/>
          <w:szCs w:val="32"/>
        </w:rPr>
        <w:t>工作情况的满意度为</w:t>
      </w:r>
      <w:r>
        <w:rPr>
          <w:rFonts w:hint="eastAsia" w:ascii="仿宋_GB2312" w:hAnsi="仿宋_GB2312" w:cs="仿宋_GB2312"/>
          <w:sz w:val="32"/>
          <w:szCs w:val="32"/>
          <w:lang w:val="en-US" w:eastAsia="zh-CN"/>
        </w:rPr>
        <w:t>83</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。根据评分规则，该指标得</w:t>
      </w:r>
      <w:r>
        <w:rPr>
          <w:rFonts w:hint="eastAsia" w:ascii="仿宋_GB2312" w:hAnsi="仿宋_GB2312" w:cs="仿宋_GB2312"/>
          <w:sz w:val="32"/>
          <w:szCs w:val="32"/>
          <w:lang w:val="en-US" w:eastAsia="zh-CN"/>
        </w:rPr>
        <w:t>0.8</w:t>
      </w:r>
      <w:r>
        <w:rPr>
          <w:rFonts w:hint="eastAsia" w:ascii="仿宋_GB2312" w:hAnsi="仿宋_GB2312" w:cs="仿宋_GB2312"/>
          <w:sz w:val="32"/>
          <w:szCs w:val="32"/>
          <w:lang w:eastAsia="zh-CN"/>
        </w:rPr>
        <w:t>分。</w:t>
      </w:r>
    </w:p>
    <w:bookmarkEnd w:id="72"/>
    <w:bookmarkEnd w:id="73"/>
    <w:p>
      <w:pPr>
        <w:pStyle w:val="10"/>
        <w:keepNext w:val="0"/>
        <w:keepLines w:val="0"/>
        <w:pageBreakBefore w:val="0"/>
        <w:widowControl w:val="0"/>
        <w:numPr>
          <w:ilvl w:val="0"/>
          <w:numId w:val="2"/>
        </w:numPr>
        <w:kinsoku/>
        <w:wordWrap/>
        <w:overflowPunct/>
        <w:topLinePunct w:val="0"/>
        <w:autoSpaceDE/>
        <w:autoSpaceDN/>
        <w:bidi w:val="0"/>
        <w:adjustRightInd/>
        <w:snapToGrid/>
        <w:spacing w:line="360" w:lineRule="auto"/>
        <w:ind w:left="-342" w:leftChars="0" w:firstLineChars="0"/>
        <w:jc w:val="both"/>
        <w:textAlignment w:val="auto"/>
        <w:outlineLvl w:val="0"/>
        <w:rPr>
          <w:rFonts w:hint="eastAsia" w:asciiTheme="majorEastAsia" w:hAnsiTheme="majorEastAsia" w:eastAsiaTheme="majorEastAsia" w:cstheme="majorEastAsia"/>
          <w:b/>
          <w:bCs/>
          <w:color w:val="000000"/>
          <w:kern w:val="0"/>
          <w:sz w:val="32"/>
          <w:szCs w:val="32"/>
          <w:lang w:val="en-US" w:eastAsia="zh-CN" w:bidi="ar"/>
        </w:rPr>
      </w:pPr>
      <w:bookmarkStart w:id="74" w:name="_Toc17043"/>
      <w:bookmarkStart w:id="75" w:name="_Toc1448"/>
      <w:bookmarkStart w:id="76" w:name="_Toc2565"/>
      <w:bookmarkStart w:id="77" w:name="_Toc2590"/>
      <w:r>
        <w:rPr>
          <w:rFonts w:hint="eastAsia" w:asciiTheme="majorEastAsia" w:hAnsiTheme="majorEastAsia" w:eastAsiaTheme="majorEastAsia" w:cstheme="majorEastAsia"/>
          <w:b/>
          <w:bCs/>
          <w:color w:val="000000"/>
          <w:kern w:val="0"/>
          <w:sz w:val="32"/>
          <w:szCs w:val="32"/>
          <w:lang w:val="en-US" w:eastAsia="zh-CN" w:bidi="ar"/>
        </w:rPr>
        <w:t>绩效评价结论</w:t>
      </w:r>
      <w:bookmarkEnd w:id="74"/>
      <w:bookmarkEnd w:id="75"/>
      <w:bookmarkEnd w:id="76"/>
      <w:bookmarkEnd w:id="77"/>
    </w:p>
    <w:p>
      <w:pPr>
        <w:pStyle w:val="1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根据评价指标体系和评分标准对每个指标分别评分，汇总后得出最终分数为</w:t>
      </w:r>
      <w:r>
        <w:rPr>
          <w:rFonts w:hint="eastAsia" w:ascii="仿宋_GB2312" w:hAnsi="仿宋_GB2312" w:cs="仿宋_GB2312"/>
          <w:sz w:val="32"/>
          <w:szCs w:val="32"/>
          <w:highlight w:val="none"/>
          <w:lang w:val="en-US" w:eastAsia="zh-CN"/>
        </w:rPr>
        <w:t>91.8</w:t>
      </w:r>
      <w:r>
        <w:rPr>
          <w:rFonts w:hint="eastAsia" w:ascii="仿宋_GB2312" w:hAnsi="仿宋_GB2312" w:eastAsia="仿宋_GB2312" w:cs="仿宋_GB2312"/>
          <w:sz w:val="32"/>
          <w:szCs w:val="32"/>
        </w:rPr>
        <w:t>分（见表4-1）。按照</w:t>
      </w:r>
      <w:r>
        <w:rPr>
          <w:rFonts w:hint="eastAsia" w:ascii="仿宋_GB2312" w:hAnsi="仿宋_GB2312" w:eastAsia="仿宋_GB2312" w:cs="仿宋_GB2312"/>
          <w:sz w:val="32"/>
          <w:szCs w:val="32"/>
          <w:lang w:val="en-US" w:eastAsia="zh-CN"/>
        </w:rPr>
        <w:t>《</w:t>
      </w:r>
      <w:r>
        <w:rPr>
          <w:rFonts w:hint="eastAsia" w:ascii="仿宋_GB2312" w:hAnsi="仿宋_GB2312" w:cs="仿宋_GB2312"/>
          <w:sz w:val="32"/>
          <w:szCs w:val="32"/>
          <w:lang w:val="en-US" w:eastAsia="zh-CN"/>
        </w:rPr>
        <w:t>安阳县县级</w:t>
      </w:r>
      <w:r>
        <w:rPr>
          <w:rFonts w:hint="eastAsia" w:ascii="仿宋_GB2312" w:hAnsi="仿宋_GB2312" w:eastAsia="仿宋_GB2312" w:cs="仿宋_GB2312"/>
          <w:sz w:val="32"/>
          <w:szCs w:val="32"/>
          <w:lang w:val="en-US" w:eastAsia="zh-CN"/>
        </w:rPr>
        <w:t>预算项目支出绩效评价管理办法》</w:t>
      </w:r>
      <w:r>
        <w:rPr>
          <w:rFonts w:hint="eastAsia" w:ascii="仿宋_GB2312" w:hAnsi="仿宋_GB2312" w:eastAsia="仿宋_GB2312" w:cs="仿宋_GB2312"/>
          <w:sz w:val="32"/>
          <w:szCs w:val="32"/>
        </w:rPr>
        <w:t>明确的90-100分为优、80-89分为良、60-79分为中、0-59分为差的评价等级设置，评价等级为“</w:t>
      </w:r>
      <w:r>
        <w:rPr>
          <w:rFonts w:hint="eastAsia" w:ascii="仿宋_GB2312" w:hAnsi="仿宋_GB2312" w:cs="仿宋_GB2312"/>
          <w:sz w:val="32"/>
          <w:szCs w:val="32"/>
          <w:lang w:eastAsia="zh-CN"/>
        </w:rPr>
        <w:t>优</w:t>
      </w:r>
      <w:r>
        <w:rPr>
          <w:rFonts w:hint="eastAsia" w:ascii="仿宋_GB2312" w:hAnsi="仿宋_GB2312" w:eastAsia="仿宋_GB2312" w:cs="仿宋_GB2312"/>
          <w:sz w:val="32"/>
          <w:szCs w:val="32"/>
        </w:rPr>
        <w:t>”。具体指标体系及评价得分情况详见附件一。</w:t>
      </w:r>
    </w:p>
    <w:p>
      <w:pPr>
        <w:keepNext w:val="0"/>
        <w:keepLines w:val="0"/>
        <w:pageBreakBefore w:val="0"/>
        <w:kinsoku/>
        <w:wordWrap/>
        <w:overflowPunct/>
        <w:topLinePunct w:val="0"/>
        <w:autoSpaceDE/>
        <w:autoSpaceDN/>
        <w:bidi w:val="0"/>
        <w:spacing w:line="540" w:lineRule="exact"/>
        <w:ind w:firstLine="2249" w:firstLineChars="7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表4-1总体得分情况表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1"/>
        <w:gridCol w:w="1545"/>
        <w:gridCol w:w="1545"/>
        <w:gridCol w:w="1545"/>
        <w:gridCol w:w="1545"/>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blHeader/>
          <w:jc w:val="center"/>
        </w:trPr>
        <w:tc>
          <w:tcPr>
            <w:tcW w:w="629"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bookmarkStart w:id="78" w:name="OLE_LINK44" w:colFirst="0" w:colLast="5"/>
            <w:r>
              <w:rPr>
                <w:rFonts w:hint="eastAsia" w:ascii="宋体" w:hAnsi="宋体" w:eastAsia="宋体" w:cs="宋体"/>
                <w:b w:val="0"/>
                <w:bCs/>
                <w:color w:val="000000"/>
                <w:kern w:val="0"/>
                <w:sz w:val="24"/>
                <w:szCs w:val="24"/>
                <w:lang w:bidi="ar"/>
              </w:rPr>
              <w:t>指标</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A年度主</w:t>
            </w:r>
            <w:r>
              <w:rPr>
                <w:rFonts w:hint="eastAsia" w:ascii="宋体" w:hAnsi="宋体" w:cs="宋体"/>
                <w:b w:val="0"/>
                <w:bCs/>
                <w:color w:val="000000"/>
                <w:kern w:val="0"/>
                <w:sz w:val="24"/>
                <w:szCs w:val="24"/>
                <w:lang w:eastAsia="zh-CN" w:bidi="ar"/>
              </w:rPr>
              <w:t>要</w:t>
            </w:r>
            <w:r>
              <w:rPr>
                <w:rFonts w:hint="eastAsia" w:ascii="宋体" w:hAnsi="宋体" w:eastAsia="宋体" w:cs="宋体"/>
                <w:b w:val="0"/>
                <w:bCs/>
                <w:color w:val="000000"/>
                <w:kern w:val="0"/>
                <w:sz w:val="24"/>
                <w:szCs w:val="24"/>
                <w:lang w:bidi="ar"/>
              </w:rPr>
              <w:t>任务</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B预算情况</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C投入管理指标</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D综合管理指标</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29"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分值</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4</w:t>
            </w:r>
            <w:r>
              <w:rPr>
                <w:rFonts w:hint="eastAsia" w:ascii="宋体" w:hAnsi="宋体" w:eastAsia="宋体" w:cs="宋体"/>
                <w:b w:val="0"/>
                <w:bCs/>
                <w:kern w:val="0"/>
                <w:sz w:val="24"/>
                <w:szCs w:val="24"/>
              </w:rPr>
              <w:t>0</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2</w:t>
            </w:r>
            <w:r>
              <w:rPr>
                <w:rFonts w:hint="eastAsia" w:ascii="宋体" w:hAnsi="宋体" w:eastAsia="宋体" w:cs="宋体"/>
                <w:b w:val="0"/>
                <w:bCs/>
                <w:kern w:val="0"/>
                <w:sz w:val="24"/>
                <w:szCs w:val="24"/>
              </w:rPr>
              <w:t>0</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30</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10</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629"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得分</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b w:val="0"/>
                <w:bCs/>
                <w:kern w:val="0"/>
                <w:sz w:val="24"/>
                <w:szCs w:val="24"/>
                <w:lang w:val="en-US" w:eastAsia="zh-CN"/>
              </w:rPr>
            </w:pPr>
            <w:r>
              <w:rPr>
                <w:rFonts w:hint="eastAsia" w:ascii="宋体" w:hAnsi="宋体" w:cs="宋体"/>
                <w:b w:val="0"/>
                <w:bCs/>
                <w:kern w:val="0"/>
                <w:sz w:val="24"/>
                <w:szCs w:val="24"/>
                <w:lang w:val="en-US" w:eastAsia="zh-CN"/>
              </w:rPr>
              <w:t>35</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b w:val="0"/>
                <w:bCs/>
                <w:kern w:val="0"/>
                <w:sz w:val="24"/>
                <w:szCs w:val="24"/>
                <w:lang w:val="en-US" w:eastAsia="zh-CN"/>
              </w:rPr>
            </w:pPr>
            <w:r>
              <w:rPr>
                <w:rFonts w:hint="eastAsia" w:ascii="宋体" w:hAnsi="宋体" w:cs="宋体"/>
                <w:b w:val="0"/>
                <w:bCs/>
                <w:kern w:val="0"/>
                <w:sz w:val="24"/>
                <w:szCs w:val="24"/>
                <w:lang w:val="en-US" w:eastAsia="zh-CN"/>
              </w:rPr>
              <w:t>17</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3</w:t>
            </w:r>
            <w:r>
              <w:rPr>
                <w:rFonts w:hint="eastAsia" w:ascii="宋体" w:hAnsi="宋体" w:eastAsia="宋体" w:cs="宋体"/>
                <w:b w:val="0"/>
                <w:bCs/>
                <w:kern w:val="0"/>
                <w:sz w:val="24"/>
                <w:szCs w:val="24"/>
              </w:rPr>
              <w:t>0</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b w:val="0"/>
                <w:bCs/>
                <w:kern w:val="0"/>
                <w:sz w:val="24"/>
                <w:szCs w:val="24"/>
                <w:lang w:val="en-US" w:eastAsia="zh-CN"/>
              </w:rPr>
            </w:pPr>
            <w:r>
              <w:rPr>
                <w:rFonts w:hint="eastAsia" w:ascii="宋体" w:hAnsi="宋体" w:cs="宋体"/>
                <w:b w:val="0"/>
                <w:bCs/>
                <w:kern w:val="0"/>
                <w:sz w:val="24"/>
                <w:szCs w:val="24"/>
                <w:lang w:val="en-US" w:eastAsia="zh-CN"/>
              </w:rPr>
              <w:t>9.8</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default" w:ascii="宋体" w:hAnsi="宋体" w:eastAsia="宋体" w:cs="宋体"/>
                <w:b w:val="0"/>
                <w:bCs/>
                <w:kern w:val="0"/>
                <w:sz w:val="24"/>
                <w:szCs w:val="24"/>
                <w:lang w:val="en-US" w:eastAsia="zh-CN"/>
              </w:rPr>
            </w:pPr>
            <w:r>
              <w:rPr>
                <w:rFonts w:hint="eastAsia" w:ascii="宋体" w:hAnsi="宋体" w:cs="宋体"/>
                <w:b w:val="0"/>
                <w:bCs/>
                <w:kern w:val="0"/>
                <w:sz w:val="24"/>
                <w:szCs w:val="24"/>
                <w:lang w:val="en-US" w:eastAsia="zh-CN"/>
              </w:rPr>
              <w:t>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color w:val="000000"/>
                <w:kern w:val="0"/>
                <w:sz w:val="24"/>
                <w:szCs w:val="24"/>
                <w:lang w:bidi="ar"/>
              </w:rPr>
              <w:t>得分率</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cs="宋体"/>
                <w:b w:val="0"/>
                <w:bCs/>
                <w:kern w:val="0"/>
                <w:sz w:val="24"/>
                <w:szCs w:val="24"/>
                <w:lang w:val="en-US" w:eastAsia="zh-CN"/>
              </w:rPr>
              <w:t>87.5</w:t>
            </w:r>
            <w:r>
              <w:rPr>
                <w:rFonts w:hint="eastAsia" w:ascii="宋体" w:hAnsi="宋体" w:eastAsia="宋体" w:cs="宋体"/>
                <w:b w:val="0"/>
                <w:bCs/>
                <w:kern w:val="0"/>
                <w:sz w:val="24"/>
                <w:szCs w:val="24"/>
              </w:rPr>
              <w:t>%</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cs="宋体"/>
                <w:b w:val="0"/>
                <w:bCs/>
                <w:kern w:val="0"/>
                <w:sz w:val="24"/>
                <w:szCs w:val="24"/>
                <w:lang w:val="en-US" w:eastAsia="zh-CN"/>
              </w:rPr>
              <w:t>85</w:t>
            </w:r>
            <w:r>
              <w:rPr>
                <w:rFonts w:hint="eastAsia" w:ascii="宋体" w:hAnsi="宋体" w:eastAsia="宋体" w:cs="宋体"/>
                <w:b w:val="0"/>
                <w:bCs/>
                <w:kern w:val="0"/>
                <w:sz w:val="24"/>
                <w:szCs w:val="24"/>
              </w:rPr>
              <w:t>%</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100</w:t>
            </w:r>
            <w:r>
              <w:rPr>
                <w:rFonts w:hint="eastAsia" w:ascii="宋体" w:hAnsi="宋体" w:eastAsia="宋体" w:cs="宋体"/>
                <w:b w:val="0"/>
                <w:bCs/>
                <w:kern w:val="0"/>
                <w:sz w:val="24"/>
                <w:szCs w:val="24"/>
              </w:rPr>
              <w:t>%</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rPr>
            </w:pPr>
            <w:r>
              <w:rPr>
                <w:rFonts w:hint="eastAsia" w:ascii="宋体" w:hAnsi="宋体" w:cs="宋体"/>
                <w:b w:val="0"/>
                <w:bCs/>
                <w:kern w:val="0"/>
                <w:sz w:val="24"/>
                <w:szCs w:val="24"/>
                <w:lang w:val="en-US" w:eastAsia="zh-CN"/>
              </w:rPr>
              <w:t>98</w:t>
            </w:r>
            <w:r>
              <w:rPr>
                <w:rFonts w:hint="eastAsia" w:ascii="宋体" w:hAnsi="宋体" w:eastAsia="宋体" w:cs="宋体"/>
                <w:b w:val="0"/>
                <w:bCs/>
                <w:kern w:val="0"/>
                <w:sz w:val="24"/>
                <w:szCs w:val="24"/>
              </w:rPr>
              <w:t>%</w:t>
            </w:r>
          </w:p>
        </w:tc>
        <w:tc>
          <w:tcPr>
            <w:tcW w:w="874" w:type="pct"/>
            <w:noWrap w:val="0"/>
            <w:vAlign w:val="center"/>
          </w:tcPr>
          <w:p>
            <w:pPr>
              <w:keepNext w:val="0"/>
              <w:keepLines w:val="0"/>
              <w:pageBreakBefore w:val="0"/>
              <w:kinsoku/>
              <w:wordWrap/>
              <w:overflowPunct/>
              <w:topLinePunct w:val="0"/>
              <w:autoSpaceDE/>
              <w:autoSpaceDN/>
              <w:bidi w:val="0"/>
              <w:spacing w:line="540" w:lineRule="exact"/>
              <w:jc w:val="both"/>
              <w:textAlignment w:val="center"/>
              <w:rPr>
                <w:rFonts w:hint="eastAsia" w:ascii="宋体" w:hAnsi="宋体" w:eastAsia="宋体" w:cs="宋体"/>
                <w:b w:val="0"/>
                <w:bCs/>
                <w:kern w:val="0"/>
                <w:sz w:val="24"/>
                <w:szCs w:val="24"/>
                <w:lang w:val="en-US" w:eastAsia="zh-CN"/>
              </w:rPr>
            </w:pPr>
            <w:r>
              <w:rPr>
                <w:rFonts w:hint="eastAsia" w:ascii="宋体" w:hAnsi="宋体" w:cs="宋体"/>
                <w:b w:val="0"/>
                <w:bCs/>
                <w:kern w:val="0"/>
                <w:sz w:val="24"/>
                <w:szCs w:val="24"/>
                <w:lang w:val="en-US" w:eastAsia="zh-CN"/>
              </w:rPr>
              <w:t>91.8</w:t>
            </w:r>
            <w:r>
              <w:rPr>
                <w:rFonts w:hint="eastAsia" w:ascii="宋体" w:hAnsi="宋体" w:eastAsia="宋体" w:cs="宋体"/>
                <w:b w:val="0"/>
                <w:bCs/>
                <w:kern w:val="0"/>
                <w:sz w:val="24"/>
                <w:szCs w:val="24"/>
                <w:lang w:val="en-US" w:eastAsia="zh-CN"/>
              </w:rPr>
              <w:t>%</w:t>
            </w:r>
          </w:p>
        </w:tc>
      </w:tr>
      <w:bookmarkEnd w:id="78"/>
    </w:tbl>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val="0"/>
          <w:color w:val="000000"/>
          <w:kern w:val="0"/>
          <w:sz w:val="32"/>
          <w:szCs w:val="32"/>
          <w:lang w:val="en-US" w:eastAsia="zh-CN" w:bidi="ar"/>
        </w:rPr>
      </w:pPr>
    </w:p>
    <w:p>
      <w:pPr>
        <w:pStyle w:val="10"/>
        <w:keepNext w:val="0"/>
        <w:keepLines w:val="0"/>
        <w:pageBreakBefore w:val="0"/>
        <w:widowControl w:val="0"/>
        <w:numPr>
          <w:ilvl w:val="0"/>
          <w:numId w:val="2"/>
        </w:numPr>
        <w:kinsoku/>
        <w:wordWrap/>
        <w:overflowPunct/>
        <w:topLinePunct w:val="0"/>
        <w:autoSpaceDE/>
        <w:autoSpaceDN/>
        <w:bidi w:val="0"/>
        <w:adjustRightInd/>
        <w:snapToGrid/>
        <w:spacing w:line="360" w:lineRule="auto"/>
        <w:ind w:left="-342" w:leftChars="0" w:firstLineChars="0"/>
        <w:jc w:val="both"/>
        <w:textAlignment w:val="auto"/>
        <w:outlineLvl w:val="0"/>
        <w:rPr>
          <w:rFonts w:hint="eastAsia" w:asciiTheme="majorEastAsia" w:hAnsiTheme="majorEastAsia" w:eastAsiaTheme="majorEastAsia" w:cstheme="majorEastAsia"/>
          <w:b/>
          <w:bCs/>
          <w:color w:val="000000"/>
          <w:kern w:val="0"/>
          <w:sz w:val="32"/>
          <w:szCs w:val="32"/>
          <w:lang w:val="en-US" w:eastAsia="zh-CN" w:bidi="ar"/>
        </w:rPr>
      </w:pPr>
      <w:bookmarkStart w:id="79" w:name="_Toc1475"/>
      <w:r>
        <w:rPr>
          <w:rFonts w:hint="eastAsia" w:asciiTheme="majorEastAsia" w:hAnsiTheme="majorEastAsia" w:eastAsiaTheme="majorEastAsia" w:cstheme="majorEastAsia"/>
          <w:b/>
          <w:bCs/>
          <w:color w:val="000000"/>
          <w:kern w:val="0"/>
          <w:sz w:val="32"/>
          <w:szCs w:val="32"/>
          <w:lang w:val="en-US" w:eastAsia="zh-CN" w:bidi="ar"/>
        </w:rPr>
        <w:t>主要经验及做法</w:t>
      </w:r>
      <w:bookmarkEnd w:id="79"/>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outlineLvl w:val="0"/>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（一）高度关注民生水利建设</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outlineLvl w:val="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我局在工作中坚持以人为本，以保障人民群众切身利益为出发点和落脚点，积极服务民生、改善民生，初步构筑了服务民生、保障民生的民生水利发展格局；坚持把保障饮水安全、重点水利工程作为水利工作的首要任务</w:t>
      </w:r>
      <w:r>
        <w:rPr>
          <w:rFonts w:hint="eastAsia" w:cs="仿宋_GB2312"/>
          <w:b w:val="0"/>
          <w:kern w:val="2"/>
          <w:sz w:val="32"/>
          <w:szCs w:val="32"/>
          <w:lang w:val="en-US" w:eastAsia="zh-CN" w:bidi="ar-SA"/>
        </w:rPr>
        <w:t>，</w:t>
      </w:r>
      <w:r>
        <w:rPr>
          <w:rFonts w:hint="eastAsia" w:ascii="仿宋_GB2312" w:hAnsi="仿宋_GB2312" w:eastAsia="仿宋_GB2312" w:cs="仿宋_GB2312"/>
          <w:b w:val="0"/>
          <w:kern w:val="2"/>
          <w:sz w:val="32"/>
          <w:szCs w:val="32"/>
          <w:lang w:val="en-US" w:eastAsia="zh-CN" w:bidi="ar-SA"/>
        </w:rPr>
        <w:t>坚持把保障人民群众生命财产安全作为防汛抗旱的首要目标；有力地改善了广大人民群众的生产生活条件。 </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outlineLvl w:val="0"/>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（二）水利建设服务发展大局</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outlineLvl w:val="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我局根据我市水利基础设施的实际情况及群众的要求，大力加强农村水利基础设施建设和生态水环境整治等工作，为加快社会主义新农村建设和经济社会又好又快发展提供了有力的支撑和保障。</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outlineLvl w:val="0"/>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（三）注重多部门合作</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outlineLvl w:val="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随着水利服务于经济社会发展的基础和保障作用不断增强，各级党委政府对水利工作高度重视，把水利建设置于更加突出的重要位置，紧抓不放，强力推动；积极与各部门沟通协调，为水利发展创造条件</w:t>
      </w:r>
      <w:r>
        <w:rPr>
          <w:rFonts w:hint="eastAsia" w:cs="仿宋_GB2312"/>
          <w:b w:val="0"/>
          <w:kern w:val="2"/>
          <w:sz w:val="32"/>
          <w:szCs w:val="32"/>
          <w:lang w:val="en-US" w:eastAsia="zh-CN" w:bidi="ar-SA"/>
        </w:rPr>
        <w:t>。</w:t>
      </w:r>
    </w:p>
    <w:p>
      <w:pPr>
        <w:pStyle w:val="10"/>
        <w:keepNext w:val="0"/>
        <w:keepLines w:val="0"/>
        <w:pageBreakBefore w:val="0"/>
        <w:widowControl w:val="0"/>
        <w:numPr>
          <w:ilvl w:val="0"/>
          <w:numId w:val="2"/>
        </w:numPr>
        <w:kinsoku/>
        <w:wordWrap/>
        <w:overflowPunct/>
        <w:topLinePunct w:val="0"/>
        <w:autoSpaceDE/>
        <w:autoSpaceDN/>
        <w:bidi w:val="0"/>
        <w:adjustRightInd/>
        <w:snapToGrid/>
        <w:spacing w:line="360" w:lineRule="auto"/>
        <w:ind w:left="-342" w:leftChars="0" w:firstLineChars="0"/>
        <w:jc w:val="both"/>
        <w:textAlignment w:val="auto"/>
        <w:outlineLvl w:val="0"/>
        <w:rPr>
          <w:rFonts w:hint="eastAsia" w:asciiTheme="majorEastAsia" w:hAnsiTheme="majorEastAsia" w:eastAsiaTheme="majorEastAsia" w:cstheme="majorEastAsia"/>
          <w:b/>
          <w:bCs/>
          <w:color w:val="000000"/>
          <w:kern w:val="0"/>
          <w:sz w:val="32"/>
          <w:szCs w:val="32"/>
          <w:lang w:val="en-US" w:eastAsia="zh-CN" w:bidi="ar"/>
        </w:rPr>
      </w:pPr>
      <w:bookmarkStart w:id="80" w:name="_Toc9720"/>
      <w:r>
        <w:rPr>
          <w:rFonts w:hint="eastAsia" w:asciiTheme="majorEastAsia" w:hAnsiTheme="majorEastAsia" w:eastAsiaTheme="majorEastAsia" w:cstheme="majorEastAsia"/>
          <w:b/>
          <w:bCs/>
          <w:color w:val="000000"/>
          <w:kern w:val="0"/>
          <w:sz w:val="32"/>
          <w:szCs w:val="32"/>
          <w:lang w:val="en-US" w:eastAsia="zh-CN" w:bidi="ar"/>
        </w:rPr>
        <w:t>存在问题及原因分析</w:t>
      </w:r>
      <w:bookmarkEnd w:id="80"/>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（一）不合规支出</w:t>
      </w:r>
    </w:p>
    <w:p>
      <w:pPr>
        <w:pStyle w:val="10"/>
        <w:numPr>
          <w:ilvl w:val="0"/>
          <w:numId w:val="0"/>
        </w:numPr>
        <w:ind w:firstLine="640" w:firstLineChars="200"/>
        <w:rPr>
          <w:rFonts w:hint="eastAsia" w:cs="仿宋_GB2312"/>
          <w:b w:val="0"/>
          <w:color w:val="000000"/>
          <w:kern w:val="0"/>
          <w:sz w:val="32"/>
          <w:szCs w:val="32"/>
          <w:highlight w:val="none"/>
          <w:lang w:val="en-US" w:eastAsia="zh-CN" w:bidi="ar"/>
        </w:rPr>
      </w:pPr>
      <w:r>
        <w:rPr>
          <w:rFonts w:hint="eastAsia" w:ascii="仿宋_GB2312" w:hAnsi="仿宋_GB2312" w:eastAsia="仿宋_GB2312" w:cs="仿宋_GB2312"/>
          <w:b w:val="0"/>
          <w:color w:val="000000"/>
          <w:kern w:val="0"/>
          <w:sz w:val="32"/>
          <w:szCs w:val="32"/>
          <w:highlight w:val="none"/>
          <w:lang w:val="en-US" w:eastAsia="zh-CN" w:bidi="ar"/>
        </w:rPr>
        <w:t>1.20</w:t>
      </w:r>
      <w:r>
        <w:rPr>
          <w:rFonts w:hint="eastAsia" w:cs="仿宋_GB2312"/>
          <w:b w:val="0"/>
          <w:color w:val="000000"/>
          <w:kern w:val="0"/>
          <w:sz w:val="32"/>
          <w:szCs w:val="32"/>
          <w:highlight w:val="none"/>
          <w:lang w:val="en-US" w:eastAsia="zh-CN" w:bidi="ar"/>
        </w:rPr>
        <w:t>22年3月22日101号凭证，购买食品660.00元，慰问病人无姓名；</w:t>
      </w:r>
    </w:p>
    <w:p>
      <w:pPr>
        <w:pStyle w:val="10"/>
        <w:numPr>
          <w:ilvl w:val="0"/>
          <w:numId w:val="0"/>
        </w:numPr>
        <w:ind w:firstLine="640" w:firstLineChars="200"/>
        <w:rPr>
          <w:rFonts w:hint="eastAsia" w:cs="仿宋_GB2312"/>
          <w:b w:val="0"/>
          <w:color w:val="000000"/>
          <w:kern w:val="0"/>
          <w:sz w:val="32"/>
          <w:szCs w:val="32"/>
          <w:highlight w:val="none"/>
          <w:lang w:val="en-US" w:eastAsia="zh-CN" w:bidi="ar"/>
        </w:rPr>
      </w:pPr>
      <w:r>
        <w:rPr>
          <w:rFonts w:hint="eastAsia" w:cs="仿宋_GB2312"/>
          <w:b w:val="0"/>
          <w:color w:val="000000"/>
          <w:kern w:val="0"/>
          <w:sz w:val="32"/>
          <w:szCs w:val="32"/>
          <w:highlight w:val="none"/>
          <w:lang w:val="en-US" w:eastAsia="zh-CN" w:bidi="ar"/>
        </w:rPr>
        <w:t>2.2022年7月20日78号凭证，支付安阳县天主教爱国会电费27.35元；</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000000"/>
          <w:kern w:val="0"/>
          <w:sz w:val="32"/>
          <w:szCs w:val="32"/>
          <w:highlight w:val="none"/>
          <w:lang w:val="en-US" w:eastAsia="zh-CN" w:bidi="ar"/>
        </w:rPr>
      </w:pPr>
      <w:r>
        <w:rPr>
          <w:rFonts w:hint="eastAsia" w:ascii="仿宋_GB2312" w:hAnsi="仿宋_GB2312" w:eastAsia="仿宋_GB2312" w:cs="仿宋_GB2312"/>
          <w:b/>
          <w:bCs/>
          <w:color w:val="000000"/>
          <w:kern w:val="0"/>
          <w:sz w:val="32"/>
          <w:szCs w:val="32"/>
          <w:lang w:val="en-US" w:eastAsia="zh-CN" w:bidi="ar"/>
        </w:rPr>
        <w:t>（二）</w:t>
      </w:r>
      <w:r>
        <w:rPr>
          <w:rFonts w:hint="eastAsia" w:ascii="仿宋_GB2312" w:hAnsi="仿宋_GB2312" w:eastAsia="仿宋_GB2312" w:cs="仿宋_GB2312"/>
          <w:b/>
          <w:bCs/>
          <w:color w:val="000000"/>
          <w:kern w:val="0"/>
          <w:sz w:val="32"/>
          <w:szCs w:val="32"/>
          <w:highlight w:val="none"/>
          <w:lang w:val="en-US" w:eastAsia="zh-CN" w:bidi="ar"/>
        </w:rPr>
        <w:t>取得的原始凭证不合规、不完整</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default" w:ascii="仿宋_GB2312" w:hAnsi="仿宋_GB2312" w:eastAsia="仿宋_GB2312" w:cs="仿宋_GB2312"/>
          <w:color w:val="000000"/>
          <w:kern w:val="0"/>
          <w:sz w:val="32"/>
          <w:szCs w:val="32"/>
          <w:highlight w:val="none"/>
          <w:lang w:val="en-US" w:eastAsia="zh-CN" w:bidi="ar"/>
        </w:rPr>
      </w:pPr>
      <w:r>
        <w:rPr>
          <w:rFonts w:hint="eastAsia" w:ascii="仿宋_GB2312" w:hAnsi="仿宋_GB2312" w:eastAsia="仿宋_GB2312" w:cs="仿宋_GB2312"/>
          <w:color w:val="000000"/>
          <w:kern w:val="0"/>
          <w:sz w:val="32"/>
          <w:szCs w:val="32"/>
          <w:highlight w:val="none"/>
          <w:lang w:val="en-US" w:eastAsia="zh-CN" w:bidi="ar"/>
        </w:rPr>
        <w:t>1.2022年2月21日19号凭证，支付订报刊1,008.00元，取得的河南通用定额发票无付款单位名称和开票日期；</w:t>
      </w:r>
    </w:p>
    <w:p>
      <w:pPr>
        <w:pStyle w:val="10"/>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rPr>
          <w:rFonts w:hint="eastAsia" w:cs="仿宋_GB2312"/>
          <w:b w:val="0"/>
          <w:bCs/>
          <w:color w:val="000000"/>
          <w:kern w:val="0"/>
          <w:sz w:val="32"/>
          <w:szCs w:val="32"/>
          <w:highlight w:val="none"/>
          <w:lang w:val="en-US" w:eastAsia="zh-CN" w:bidi="ar"/>
        </w:rPr>
      </w:pPr>
      <w:r>
        <w:rPr>
          <w:rFonts w:hint="eastAsia" w:cs="仿宋_GB2312"/>
          <w:b w:val="0"/>
          <w:bCs/>
          <w:color w:val="000000"/>
          <w:kern w:val="0"/>
          <w:sz w:val="32"/>
          <w:szCs w:val="32"/>
          <w:highlight w:val="none"/>
          <w:lang w:val="en-US" w:eastAsia="zh-CN" w:bidi="ar"/>
        </w:rPr>
        <w:t>2.2022年5月19日47号凭证，支付洹南19·1标进度款1,144,780.28元，未附监理阶段性报告；</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3" w:firstLineChars="200"/>
        <w:jc w:val="both"/>
        <w:textAlignment w:val="auto"/>
        <w:outlineLvl w:val="1"/>
        <w:rPr>
          <w:rFonts w:hint="default" w:ascii="仿宋_GB2312" w:hAnsi="仿宋_GB2312" w:eastAsia="仿宋_GB2312" w:cs="仿宋_GB2312"/>
          <w:b/>
          <w:bCs/>
          <w:sz w:val="32"/>
          <w:szCs w:val="32"/>
          <w:highlight w:val="none"/>
          <w:lang w:val="en-US"/>
        </w:rPr>
      </w:pPr>
      <w:r>
        <w:rPr>
          <w:rFonts w:hint="eastAsia" w:ascii="仿宋_GB2312" w:hAnsi="仿宋_GB2312" w:eastAsia="仿宋_GB2312" w:cs="仿宋_GB2312"/>
          <w:b/>
          <w:bCs/>
          <w:color w:val="000000"/>
          <w:kern w:val="0"/>
          <w:sz w:val="32"/>
          <w:szCs w:val="32"/>
          <w:highlight w:val="none"/>
          <w:lang w:val="en-US" w:eastAsia="zh-CN" w:bidi="ar"/>
        </w:rPr>
        <w:t>（三）三重一大存在的问题</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outlineLvl w:val="1"/>
        <w:rPr>
          <w:rFonts w:hint="eastAsia" w:ascii="仿宋_GB2312" w:hAnsi="仿宋_GB2312" w:eastAsia="仿宋_GB2312" w:cs="仿宋_GB2312"/>
          <w:color w:val="282A2D"/>
          <w:kern w:val="0"/>
          <w:sz w:val="32"/>
          <w:szCs w:val="32"/>
          <w:highlight w:val="none"/>
          <w:lang w:val="en-US" w:eastAsia="zh-CN" w:bidi="ar"/>
        </w:rPr>
      </w:pPr>
      <w:r>
        <w:rPr>
          <w:rFonts w:hint="eastAsia" w:ascii="仿宋_GB2312" w:hAnsi="仿宋_GB2312" w:eastAsia="仿宋_GB2312" w:cs="仿宋_GB2312"/>
          <w:color w:val="282A2D"/>
          <w:kern w:val="0"/>
          <w:sz w:val="32"/>
          <w:szCs w:val="32"/>
          <w:highlight w:val="none"/>
          <w:lang w:val="en-US" w:eastAsia="zh-CN" w:bidi="ar"/>
        </w:rPr>
        <w:t>1.2022年3月18日83号凭证，支付河南隆云建设工程公司工程款331,158.00元；</w:t>
      </w:r>
    </w:p>
    <w:p>
      <w:pPr>
        <w:pStyle w:val="10"/>
        <w:rPr>
          <w:rFonts w:hint="eastAsia" w:cs="仿宋_GB2312"/>
          <w:b w:val="0"/>
          <w:color w:val="000000"/>
          <w:kern w:val="0"/>
          <w:sz w:val="32"/>
          <w:szCs w:val="32"/>
          <w:lang w:val="en-US" w:eastAsia="zh-CN" w:bidi="ar"/>
        </w:rPr>
      </w:pPr>
      <w:r>
        <w:rPr>
          <w:rFonts w:hint="eastAsia" w:cs="仿宋_GB2312"/>
          <w:b w:val="0"/>
          <w:color w:val="000000"/>
          <w:kern w:val="0"/>
          <w:sz w:val="32"/>
          <w:szCs w:val="32"/>
          <w:lang w:val="en-US" w:eastAsia="zh-CN" w:bidi="ar"/>
        </w:rPr>
        <w:t>2.2022年6月14日31号凭证，支付安阳市蓝鲸文化传媒有限公司重点项目开工会场费97,511.60元；</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color w:val="000000"/>
          <w:kern w:val="0"/>
          <w:sz w:val="32"/>
          <w:szCs w:val="32"/>
          <w:highlight w:val="none"/>
          <w:lang w:val="en-US" w:eastAsia="zh-CN" w:bidi="ar"/>
        </w:rPr>
        <w:t>（四）服务项目未询价和招标</w:t>
      </w:r>
    </w:p>
    <w:p>
      <w:pPr>
        <w:pStyle w:val="10"/>
        <w:rPr>
          <w:rFonts w:hint="eastAsia" w:cs="仿宋_GB2312"/>
          <w:b w:val="0"/>
          <w:color w:val="000000"/>
          <w:kern w:val="0"/>
          <w:sz w:val="32"/>
          <w:szCs w:val="32"/>
          <w:lang w:val="en-US" w:eastAsia="zh-CN" w:bidi="ar"/>
        </w:rPr>
      </w:pPr>
      <w:r>
        <w:rPr>
          <w:rFonts w:hint="eastAsia" w:cs="仿宋_GB2312"/>
          <w:b w:val="0"/>
          <w:color w:val="000000"/>
          <w:kern w:val="0"/>
          <w:sz w:val="32"/>
          <w:szCs w:val="32"/>
          <w:lang w:val="en-US" w:eastAsia="zh-CN" w:bidi="ar"/>
        </w:rPr>
        <w:t>1.2022年7月28日135号凭证，支付河南共信会计师事务所服务费22,000.00元；</w:t>
      </w:r>
    </w:p>
    <w:p>
      <w:pPr>
        <w:pStyle w:val="10"/>
        <w:rPr>
          <w:rFonts w:hint="default" w:cs="仿宋_GB2312"/>
          <w:b w:val="0"/>
          <w:color w:val="000000"/>
          <w:kern w:val="0"/>
          <w:sz w:val="32"/>
          <w:szCs w:val="32"/>
          <w:lang w:val="en-US" w:eastAsia="zh-CN" w:bidi="ar"/>
        </w:rPr>
      </w:pPr>
      <w:r>
        <w:rPr>
          <w:rFonts w:hint="eastAsia" w:cs="仿宋_GB2312"/>
          <w:b w:val="0"/>
          <w:color w:val="000000"/>
          <w:kern w:val="0"/>
          <w:sz w:val="32"/>
          <w:szCs w:val="32"/>
          <w:lang w:val="en-US" w:eastAsia="zh-CN" w:bidi="ar"/>
        </w:rPr>
        <w:t>2.2022年7月13日59号凭证，支付河南祥通建设工程检测有限公司工程质量检测费99,000.00元；</w:t>
      </w:r>
    </w:p>
    <w:p>
      <w:pPr>
        <w:pStyle w:val="10"/>
        <w:rPr>
          <w:rFonts w:hint="eastAsia" w:cs="仿宋_GB2312"/>
          <w:b/>
          <w:bCs/>
          <w:color w:val="000000"/>
          <w:kern w:val="0"/>
          <w:sz w:val="32"/>
          <w:szCs w:val="32"/>
          <w:lang w:val="en-US" w:eastAsia="zh-CN" w:bidi="ar"/>
        </w:rPr>
      </w:pPr>
      <w:r>
        <w:rPr>
          <w:rFonts w:hint="eastAsia" w:cs="仿宋_GB2312"/>
          <w:b/>
          <w:bCs/>
          <w:color w:val="000000"/>
          <w:kern w:val="0"/>
          <w:sz w:val="32"/>
          <w:szCs w:val="32"/>
          <w:lang w:val="en-US" w:eastAsia="zh-CN" w:bidi="ar"/>
        </w:rPr>
        <w:t>（五）工程项目未询价和招标</w:t>
      </w:r>
    </w:p>
    <w:p>
      <w:pPr>
        <w:pStyle w:val="10"/>
        <w:rPr>
          <w:rFonts w:hint="eastAsia" w:cs="仿宋_GB2312"/>
          <w:b w:val="0"/>
          <w:color w:val="000000"/>
          <w:kern w:val="0"/>
          <w:sz w:val="32"/>
          <w:szCs w:val="32"/>
          <w:lang w:val="en-US" w:eastAsia="zh-CN" w:bidi="ar"/>
        </w:rPr>
      </w:pPr>
      <w:r>
        <w:rPr>
          <w:rFonts w:hint="eastAsia" w:cs="仿宋_GB2312"/>
          <w:b w:val="0"/>
          <w:color w:val="000000"/>
          <w:kern w:val="0"/>
          <w:sz w:val="32"/>
          <w:szCs w:val="32"/>
          <w:lang w:val="en-US" w:eastAsia="zh-CN" w:bidi="ar"/>
        </w:rPr>
        <w:t>1.2022年6月14日31号凭证，支付安阳市蓝鲸文化传媒有限公司重点项目开工会场费97,511.60元；</w:t>
      </w:r>
    </w:p>
    <w:p>
      <w:pPr>
        <w:pStyle w:val="10"/>
        <w:rPr>
          <w:rFonts w:hint="eastAsia" w:cs="仿宋_GB2312"/>
          <w:b/>
          <w:bCs/>
          <w:color w:val="000000"/>
          <w:kern w:val="0"/>
          <w:sz w:val="32"/>
          <w:szCs w:val="32"/>
          <w:lang w:val="en-US" w:eastAsia="zh-CN" w:bidi="ar"/>
        </w:rPr>
      </w:pPr>
      <w:r>
        <w:rPr>
          <w:rFonts w:hint="eastAsia" w:cs="仿宋_GB2312"/>
          <w:b/>
          <w:bCs/>
          <w:color w:val="000000"/>
          <w:kern w:val="0"/>
          <w:sz w:val="32"/>
          <w:szCs w:val="32"/>
          <w:lang w:val="en-US" w:eastAsia="zh-CN" w:bidi="ar"/>
        </w:rPr>
        <w:t>（六）固定资产未验收</w:t>
      </w:r>
    </w:p>
    <w:p>
      <w:pPr>
        <w:pStyle w:val="10"/>
        <w:rPr>
          <w:rFonts w:hint="default" w:cs="仿宋_GB2312"/>
          <w:b w:val="0"/>
          <w:color w:val="000000"/>
          <w:kern w:val="0"/>
          <w:sz w:val="32"/>
          <w:szCs w:val="32"/>
          <w:lang w:val="en-US" w:eastAsia="zh-CN" w:bidi="ar"/>
        </w:rPr>
      </w:pPr>
      <w:r>
        <w:rPr>
          <w:rFonts w:hint="eastAsia" w:cs="仿宋_GB2312"/>
          <w:b w:val="0"/>
          <w:color w:val="000000"/>
          <w:kern w:val="0"/>
          <w:sz w:val="32"/>
          <w:szCs w:val="32"/>
          <w:lang w:val="en-US" w:eastAsia="zh-CN" w:bidi="ar"/>
        </w:rPr>
        <w:t>1.2022年8月2日17号凭证，购买床12张，共计11,496.00元；</w:t>
      </w:r>
    </w:p>
    <w:p>
      <w:pPr>
        <w:pStyle w:val="10"/>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both"/>
        <w:textAlignment w:val="auto"/>
        <w:rPr>
          <w:rFonts w:hint="eastAsia" w:cs="仿宋_GB2312"/>
          <w:color w:val="000000"/>
          <w:kern w:val="0"/>
          <w:sz w:val="32"/>
          <w:szCs w:val="32"/>
          <w:lang w:val="en-US" w:eastAsia="zh-CN" w:bidi="ar"/>
        </w:rPr>
      </w:pPr>
      <w:r>
        <w:rPr>
          <w:rFonts w:hint="eastAsia" w:cs="仿宋_GB2312"/>
          <w:b/>
          <w:bCs/>
          <w:color w:val="000000"/>
          <w:kern w:val="0"/>
          <w:sz w:val="32"/>
          <w:szCs w:val="32"/>
          <w:highlight w:val="none"/>
          <w:lang w:val="en-US" w:eastAsia="zh-CN" w:bidi="ar"/>
        </w:rPr>
        <w:t>（七）</w:t>
      </w:r>
      <w:r>
        <w:rPr>
          <w:rFonts w:hint="eastAsia" w:ascii="仿宋_GB2312" w:hAnsi="仿宋_GB2312" w:eastAsia="仿宋_GB2312" w:cs="仿宋_GB2312"/>
          <w:b/>
          <w:bCs/>
          <w:color w:val="000000"/>
          <w:kern w:val="0"/>
          <w:sz w:val="32"/>
          <w:szCs w:val="32"/>
          <w:highlight w:val="none"/>
          <w:lang w:val="en-US" w:eastAsia="zh-CN" w:bidi="ar"/>
        </w:rPr>
        <w:t>绩效管理有待进一步提升</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cs="仿宋_GB2312"/>
          <w:b w:val="0"/>
          <w:bCs/>
          <w:color w:val="000000"/>
          <w:kern w:val="0"/>
          <w:sz w:val="32"/>
          <w:szCs w:val="32"/>
          <w:lang w:val="en-US" w:eastAsia="zh-CN" w:bidi="ar"/>
        </w:rPr>
      </w:pPr>
      <w:r>
        <w:rPr>
          <w:rFonts w:hint="eastAsia" w:cs="仿宋_GB2312"/>
          <w:b w:val="0"/>
          <w:bCs/>
          <w:color w:val="000000"/>
          <w:kern w:val="0"/>
          <w:sz w:val="32"/>
          <w:szCs w:val="32"/>
          <w:lang w:val="en-US" w:eastAsia="zh-CN" w:bidi="ar"/>
        </w:rPr>
        <w:t>一是绩效管理工作有待提升。相关人员虽已逐步树立了绩效理念，但了解还不够深入，理论知识还不够扎实。二是项目绩效目标表中部分指标设置不够清晰合理，不能直观体现项目的实施效益。</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Theme="majorEastAsia" w:hAnsiTheme="majorEastAsia" w:eastAsiaTheme="majorEastAsia" w:cstheme="majorEastAsia"/>
          <w:b/>
          <w:bCs/>
          <w:color w:val="000000"/>
          <w:kern w:val="0"/>
          <w:sz w:val="32"/>
          <w:szCs w:val="32"/>
          <w:lang w:val="en-US" w:eastAsia="zh-CN" w:bidi="ar"/>
        </w:rPr>
      </w:pPr>
      <w:r>
        <w:rPr>
          <w:rFonts w:hint="eastAsia" w:asciiTheme="majorEastAsia" w:hAnsiTheme="majorEastAsia" w:eastAsiaTheme="majorEastAsia" w:cstheme="majorEastAsia"/>
          <w:b/>
          <w:bCs/>
          <w:color w:val="000000"/>
          <w:kern w:val="0"/>
          <w:sz w:val="32"/>
          <w:szCs w:val="32"/>
          <w:lang w:val="en-US" w:eastAsia="zh-CN" w:bidi="ar"/>
        </w:rPr>
        <w:t>四、相关建议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000000"/>
          <w:kern w:val="0"/>
          <w:sz w:val="32"/>
          <w:szCs w:val="32"/>
          <w:highlight w:val="none"/>
          <w:lang w:val="en-US" w:eastAsia="zh-CN" w:bidi="ar"/>
        </w:rPr>
      </w:pPr>
      <w:r>
        <w:rPr>
          <w:rFonts w:hint="eastAsia" w:ascii="仿宋_GB2312" w:hAnsi="仿宋_GB2312" w:eastAsia="仿宋_GB2312" w:cs="仿宋_GB2312"/>
          <w:b/>
          <w:bCs/>
          <w:color w:val="000000"/>
          <w:kern w:val="0"/>
          <w:sz w:val="32"/>
          <w:szCs w:val="32"/>
          <w:highlight w:val="none"/>
          <w:lang w:val="en-US" w:eastAsia="zh-CN" w:bidi="ar"/>
        </w:rPr>
        <w:t xml:space="preserve">（一）规范部门资金使用管理 </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b/>
          <w:bCs/>
          <w:color w:val="000000"/>
          <w:kern w:val="0"/>
          <w:sz w:val="32"/>
          <w:szCs w:val="32"/>
          <w:highlight w:val="none"/>
          <w:lang w:val="en-US" w:eastAsia="zh-CN" w:bidi="ar"/>
        </w:rPr>
      </w:pPr>
      <w:r>
        <w:rPr>
          <w:rFonts w:hint="eastAsia" w:cs="仿宋_GB2312"/>
          <w:b w:val="0"/>
          <w:bCs/>
          <w:color w:val="000000"/>
          <w:kern w:val="0"/>
          <w:sz w:val="32"/>
          <w:szCs w:val="32"/>
          <w:lang w:val="en-US" w:eastAsia="zh-CN" w:bidi="ar"/>
        </w:rPr>
        <w:t>一是建议安阳县水利局在资金执行过程中，按照预算批复的内容和使用方向支出，严格执行部门财务管理制度，如规范会计核算及记账，同时加强固定资产管理，定期对固定</w:t>
      </w:r>
      <w:r>
        <w:rPr>
          <w:rFonts w:hint="eastAsia" w:ascii="仿宋_GB2312" w:hAnsi="仿宋_GB2312" w:eastAsia="仿宋_GB2312" w:cs="仿宋_GB2312"/>
          <w:b w:val="0"/>
          <w:bCs w:val="0"/>
          <w:color w:val="000000"/>
          <w:kern w:val="0"/>
          <w:sz w:val="32"/>
          <w:szCs w:val="32"/>
          <w:highlight w:val="none"/>
          <w:lang w:val="en-US" w:eastAsia="zh-CN" w:bidi="ar"/>
        </w:rPr>
        <w:t>资产进行入账、盘点，保证国有资产的安全性。</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color w:val="000000"/>
          <w:kern w:val="0"/>
          <w:sz w:val="32"/>
          <w:szCs w:val="32"/>
          <w:highlight w:val="none"/>
          <w:lang w:val="en-US" w:eastAsia="zh-CN" w:bidi="ar"/>
        </w:rPr>
      </w:pPr>
      <w:r>
        <w:rPr>
          <w:rFonts w:hint="eastAsia" w:ascii="仿宋_GB2312" w:hAnsi="仿宋_GB2312" w:eastAsia="仿宋_GB2312" w:cs="仿宋_GB2312"/>
          <w:b/>
          <w:bCs/>
          <w:color w:val="000000"/>
          <w:kern w:val="0"/>
          <w:sz w:val="32"/>
          <w:szCs w:val="32"/>
          <w:highlight w:val="none"/>
          <w:lang w:val="en-US" w:eastAsia="zh-CN" w:bidi="ar"/>
        </w:rPr>
        <w:t xml:space="preserve">（二）加强部门绩效管理意识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一是加强财政预算绩效管理意识，重视绩效目标申报表 </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的填写和管理工作，建议根据部门实际情况，科学填报项目 </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各项绩效指标，尽可能细化量化绩效指标，保证绩效目标和 </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指标内容完整、指向明确、合理可行，与部门年度工作计划 </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和预算资金相匹配，提高项目实施效果的可衡量性，清晰反 </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映预算资金的预期产出和效果。 </w:t>
      </w:r>
    </w:p>
    <w:p>
      <w:pPr>
        <w:pStyle w:val="10"/>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both"/>
        <w:textAlignment w:val="auto"/>
        <w:outlineLvl w:val="1"/>
        <w:rPr>
          <w:rFonts w:hint="eastAsia" w:cs="仿宋_GB2312"/>
          <w:b/>
          <w:bCs/>
          <w:color w:val="000000"/>
          <w:kern w:val="0"/>
          <w:sz w:val="32"/>
          <w:szCs w:val="32"/>
          <w:highlight w:val="none"/>
          <w:lang w:val="en-US" w:eastAsia="zh-CN" w:bidi="ar"/>
        </w:rPr>
      </w:pPr>
      <w:r>
        <w:rPr>
          <w:rFonts w:hint="eastAsia" w:cs="仿宋_GB2312"/>
          <w:b/>
          <w:bCs/>
          <w:color w:val="000000"/>
          <w:kern w:val="0"/>
          <w:sz w:val="32"/>
          <w:szCs w:val="32"/>
          <w:highlight w:val="none"/>
          <w:lang w:val="en-US" w:eastAsia="zh-CN" w:bidi="ar"/>
        </w:rPr>
        <w:t>（三）</w:t>
      </w:r>
      <w:r>
        <w:rPr>
          <w:rFonts w:hint="eastAsia" w:ascii="仿宋_GB2312" w:hAnsi="仿宋_GB2312" w:eastAsia="仿宋_GB2312" w:cs="仿宋_GB2312"/>
          <w:b/>
          <w:bCs/>
          <w:color w:val="000000"/>
          <w:kern w:val="0"/>
          <w:sz w:val="32"/>
          <w:szCs w:val="32"/>
          <w:highlight w:val="none"/>
          <w:lang w:val="en-US" w:eastAsia="zh-CN" w:bidi="ar"/>
        </w:rPr>
        <w:t>牢固依法管理国有资产的意识</w:t>
      </w:r>
      <w:r>
        <w:rPr>
          <w:rFonts w:hint="eastAsia" w:cs="仿宋_GB2312"/>
          <w:b/>
          <w:bCs/>
          <w:color w:val="000000"/>
          <w:kern w:val="0"/>
          <w:sz w:val="32"/>
          <w:szCs w:val="32"/>
          <w:highlight w:val="none"/>
          <w:lang w:val="en-US" w:eastAsia="zh-CN" w:bidi="ar"/>
        </w:rPr>
        <w:t>，完善资产管理制度</w:t>
      </w:r>
    </w:p>
    <w:p>
      <w:pPr>
        <w:pStyle w:val="10"/>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Theme="majorEastAsia" w:hAnsiTheme="majorEastAsia" w:eastAsiaTheme="majorEastAsia" w:cstheme="majorEastAsia"/>
          <w:b/>
          <w:bCs/>
          <w:color w:val="000000"/>
          <w:kern w:val="0"/>
          <w:sz w:val="32"/>
          <w:szCs w:val="32"/>
          <w:lang w:val="en-US" w:eastAsia="zh-CN" w:bidi="ar"/>
        </w:rPr>
      </w:pPr>
      <w:r>
        <w:rPr>
          <w:rFonts w:hint="eastAsia" w:cs="仿宋_GB2312"/>
          <w:b w:val="0"/>
          <w:color w:val="000000"/>
          <w:kern w:val="0"/>
          <w:sz w:val="32"/>
          <w:szCs w:val="32"/>
          <w:highlight w:val="none"/>
          <w:lang w:val="en-US" w:eastAsia="zh-CN" w:bidi="ar"/>
        </w:rPr>
        <w:t>一是加强固定资产管理</w:t>
      </w:r>
      <w:r>
        <w:rPr>
          <w:rFonts w:hint="eastAsia" w:ascii="仿宋_GB2312" w:hAnsi="仿宋_GB2312" w:eastAsia="仿宋_GB2312" w:cs="仿宋_GB2312"/>
          <w:b w:val="0"/>
          <w:color w:val="000000"/>
          <w:kern w:val="0"/>
          <w:sz w:val="32"/>
          <w:szCs w:val="32"/>
          <w:highlight w:val="none"/>
          <w:lang w:val="en-US" w:eastAsia="zh-CN" w:bidi="ar"/>
        </w:rPr>
        <w:t>，积极处理好闲置固定资产</w:t>
      </w:r>
      <w:r>
        <w:rPr>
          <w:rFonts w:hint="eastAsia" w:cs="仿宋_GB2312"/>
          <w:b w:val="0"/>
          <w:color w:val="000000"/>
          <w:kern w:val="0"/>
          <w:sz w:val="32"/>
          <w:szCs w:val="32"/>
          <w:highlight w:val="none"/>
          <w:lang w:val="en-US" w:eastAsia="zh-CN" w:bidi="ar"/>
        </w:rPr>
        <w:t>；二是</w:t>
      </w:r>
      <w:r>
        <w:rPr>
          <w:rFonts w:hint="eastAsia" w:ascii="仿宋_GB2312" w:hAnsi="仿宋_GB2312" w:eastAsia="仿宋_GB2312" w:cs="仿宋_GB2312"/>
          <w:b w:val="0"/>
          <w:color w:val="000000"/>
          <w:kern w:val="0"/>
          <w:sz w:val="32"/>
          <w:szCs w:val="32"/>
          <w:highlight w:val="none"/>
          <w:lang w:val="en-US" w:eastAsia="zh-CN" w:bidi="ar"/>
        </w:rPr>
        <w:t>建立固定资产</w:t>
      </w:r>
      <w:r>
        <w:rPr>
          <w:rFonts w:hint="eastAsia" w:cs="仿宋_GB2312"/>
          <w:b w:val="0"/>
          <w:color w:val="000000"/>
          <w:kern w:val="0"/>
          <w:sz w:val="32"/>
          <w:szCs w:val="32"/>
          <w:highlight w:val="none"/>
          <w:lang w:val="en-US" w:eastAsia="zh-CN" w:bidi="ar"/>
        </w:rPr>
        <w:t>外部监督</w:t>
      </w:r>
      <w:r>
        <w:rPr>
          <w:rFonts w:hint="eastAsia" w:ascii="仿宋_GB2312" w:hAnsi="仿宋_GB2312" w:eastAsia="仿宋_GB2312" w:cs="仿宋_GB2312"/>
          <w:b w:val="0"/>
          <w:color w:val="000000"/>
          <w:kern w:val="0"/>
          <w:sz w:val="32"/>
          <w:szCs w:val="32"/>
          <w:highlight w:val="none"/>
          <w:lang w:val="en-US" w:eastAsia="zh-CN" w:bidi="ar"/>
        </w:rPr>
        <w:t>管理制度，切实加强对行政事业单位固定资产购置、增减、租赁的监督，定期对使用中的资产进行盘点和监督检查，对需要处置的资产进行报备，避免处置的随意性</w:t>
      </w:r>
      <w:r>
        <w:rPr>
          <w:rFonts w:hint="eastAsia" w:cs="仿宋_GB2312"/>
          <w:b w:val="0"/>
          <w:color w:val="000000"/>
          <w:kern w:val="0"/>
          <w:sz w:val="32"/>
          <w:szCs w:val="32"/>
          <w:highlight w:val="none"/>
          <w:lang w:val="en-US" w:eastAsia="zh-CN" w:bidi="ar"/>
        </w:rPr>
        <w:t>。</w:t>
      </w:r>
    </w:p>
    <w:p>
      <w:pPr>
        <w:pStyle w:val="10"/>
        <w:keepNext w:val="0"/>
        <w:keepLines w:val="0"/>
        <w:pageBreakBefore w:val="0"/>
        <w:widowControl w:val="0"/>
        <w:numPr>
          <w:ilvl w:val="0"/>
          <w:numId w:val="0"/>
        </w:numPr>
        <w:kinsoku/>
        <w:wordWrap/>
        <w:overflowPunct/>
        <w:topLinePunct w:val="0"/>
        <w:autoSpaceDE/>
        <w:autoSpaceDN/>
        <w:bidi w:val="0"/>
        <w:adjustRightInd/>
        <w:snapToGrid/>
        <w:ind w:left="0" w:leftChars="0" w:firstLine="643" w:firstLineChars="200"/>
        <w:jc w:val="both"/>
        <w:textAlignment w:val="auto"/>
        <w:outlineLvl w:val="1"/>
        <w:rPr>
          <w:rFonts w:hint="eastAsia" w:cs="仿宋_GB2312"/>
          <w:b/>
          <w:bCs/>
          <w:color w:val="000000"/>
          <w:kern w:val="0"/>
          <w:sz w:val="32"/>
          <w:szCs w:val="32"/>
          <w:highlight w:val="none"/>
          <w:lang w:val="en-US" w:eastAsia="zh-CN" w:bidi="ar"/>
        </w:rPr>
      </w:pPr>
      <w:r>
        <w:rPr>
          <w:rFonts w:hint="eastAsia" w:ascii="仿宋_GB2312" w:hAnsi="仿宋_GB2312" w:eastAsia="仿宋_GB2312" w:cs="仿宋_GB2312"/>
          <w:b/>
          <w:bCs/>
          <w:color w:val="000000"/>
          <w:kern w:val="0"/>
          <w:sz w:val="32"/>
          <w:szCs w:val="32"/>
          <w:lang w:val="en-US" w:eastAsia="zh-CN" w:bidi="ar"/>
        </w:rPr>
        <w:t>（</w:t>
      </w:r>
      <w:r>
        <w:rPr>
          <w:rFonts w:hint="eastAsia" w:cs="仿宋_GB2312"/>
          <w:b/>
          <w:bCs/>
          <w:color w:val="000000"/>
          <w:kern w:val="0"/>
          <w:sz w:val="32"/>
          <w:szCs w:val="32"/>
          <w:lang w:val="en-US" w:eastAsia="zh-CN" w:bidi="ar"/>
        </w:rPr>
        <w:t>四</w:t>
      </w:r>
      <w:r>
        <w:rPr>
          <w:rFonts w:hint="eastAsia" w:ascii="仿宋_GB2312" w:hAnsi="仿宋_GB2312" w:eastAsia="仿宋_GB2312" w:cs="仿宋_GB2312"/>
          <w:b/>
          <w:bCs/>
          <w:color w:val="000000"/>
          <w:kern w:val="0"/>
          <w:sz w:val="32"/>
          <w:szCs w:val="32"/>
          <w:lang w:val="en-US" w:eastAsia="zh-CN" w:bidi="ar"/>
        </w:rPr>
        <w:t>）</w:t>
      </w:r>
      <w:r>
        <w:rPr>
          <w:rFonts w:hint="eastAsia" w:cs="仿宋_GB2312"/>
          <w:b/>
          <w:bCs/>
          <w:color w:val="000000"/>
          <w:kern w:val="0"/>
          <w:sz w:val="32"/>
          <w:szCs w:val="32"/>
          <w:highlight w:val="none"/>
          <w:lang w:val="en-US" w:eastAsia="zh-CN" w:bidi="ar"/>
        </w:rPr>
        <w:t>加强项目实施的监督管理</w:t>
      </w:r>
    </w:p>
    <w:p>
      <w:pPr>
        <w:pStyle w:val="10"/>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b w:val="0"/>
          <w:color w:val="000000"/>
          <w:kern w:val="0"/>
          <w:sz w:val="32"/>
          <w:szCs w:val="32"/>
          <w:highlight w:val="none"/>
          <w:lang w:val="en-US" w:eastAsia="zh-CN" w:bidi="ar"/>
        </w:rPr>
      </w:pPr>
      <w:r>
        <w:rPr>
          <w:rFonts w:hint="eastAsia" w:ascii="仿宋_GB2312" w:hAnsi="仿宋_GB2312" w:eastAsia="仿宋_GB2312" w:cs="仿宋_GB2312"/>
          <w:b w:val="0"/>
          <w:color w:val="000000"/>
          <w:kern w:val="0"/>
          <w:sz w:val="32"/>
          <w:szCs w:val="32"/>
          <w:highlight w:val="none"/>
          <w:lang w:val="en-US" w:eastAsia="zh-CN" w:bidi="ar"/>
        </w:rPr>
        <w:t>完善建筑工程质量监督管理制度，深入掌握监督工作的方式、手段，全面监督工程建设、工程监理单位的工作，增强质量行为的规范性，保障项目实施成果的可持续性</w:t>
      </w:r>
      <w:r>
        <w:rPr>
          <w:rFonts w:hint="eastAsia" w:cs="仿宋_GB2312"/>
          <w:b w:val="0"/>
          <w:color w:val="000000"/>
          <w:kern w:val="0"/>
          <w:sz w:val="32"/>
          <w:szCs w:val="32"/>
          <w:highlight w:val="none"/>
          <w:lang w:val="en-US" w:eastAsia="zh-CN" w:bidi="ar"/>
        </w:rPr>
        <w:t>。</w:t>
      </w:r>
    </w:p>
    <w:p>
      <w:pPr>
        <w:pStyle w:val="10"/>
        <w:ind w:left="0" w:leftChars="0" w:firstLine="0" w:firstLineChars="0"/>
        <w:jc w:val="both"/>
        <w:rPr>
          <w:rFonts w:hint="eastAsia"/>
        </w:rPr>
      </w:pPr>
    </w:p>
    <w:sectPr>
      <w:footerReference r:id="rId3" w:type="default"/>
      <w:pgSz w:w="11906" w:h="16838"/>
      <w:pgMar w:top="1440" w:right="1486"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FDD532"/>
    <w:multiLevelType w:val="singleLevel"/>
    <w:tmpl w:val="CEFDD532"/>
    <w:lvl w:ilvl="0" w:tentative="0">
      <w:start w:val="1"/>
      <w:numFmt w:val="chineseCounting"/>
      <w:suff w:val="nothing"/>
      <w:lvlText w:val="（%1）"/>
      <w:lvlJc w:val="left"/>
      <w:rPr>
        <w:rFonts w:hint="eastAsia"/>
      </w:rPr>
    </w:lvl>
  </w:abstractNum>
  <w:abstractNum w:abstractNumId="1">
    <w:nsid w:val="282C76E7"/>
    <w:multiLevelType w:val="singleLevel"/>
    <w:tmpl w:val="282C76E7"/>
    <w:lvl w:ilvl="0" w:tentative="0">
      <w:start w:val="1"/>
      <w:numFmt w:val="chineseCounting"/>
      <w:suff w:val="nothing"/>
      <w:lvlText w:val="（%1）"/>
      <w:lvlJc w:val="left"/>
      <w:pPr>
        <w:ind w:left="-13"/>
      </w:pPr>
      <w:rPr>
        <w:rFonts w:hint="eastAsia"/>
      </w:rPr>
    </w:lvl>
  </w:abstractNum>
  <w:abstractNum w:abstractNumId="2">
    <w:nsid w:val="38E44590"/>
    <w:multiLevelType w:val="singleLevel"/>
    <w:tmpl w:val="38E44590"/>
    <w:lvl w:ilvl="0" w:tentative="0">
      <w:start w:val="1"/>
      <w:numFmt w:val="chineseCounting"/>
      <w:suff w:val="nothing"/>
      <w:lvlText w:val="%1、"/>
      <w:lvlJc w:val="left"/>
      <w:pPr>
        <w:ind w:left="-342"/>
      </w:pPr>
      <w:rPr>
        <w:rFonts w:hint="eastAsia"/>
      </w:rPr>
    </w:lvl>
  </w:abstractNum>
  <w:abstractNum w:abstractNumId="3">
    <w:nsid w:val="728C6F77"/>
    <w:multiLevelType w:val="singleLevel"/>
    <w:tmpl w:val="728C6F77"/>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NjljMGVmZDk3MTY3NzE3M2QxYTA4NmQyYmU1OWQifQ=="/>
  </w:docVars>
  <w:rsids>
    <w:rsidRoot w:val="4D577016"/>
    <w:rsid w:val="000749E3"/>
    <w:rsid w:val="08026FA2"/>
    <w:rsid w:val="0995798E"/>
    <w:rsid w:val="0A581BBB"/>
    <w:rsid w:val="0B261896"/>
    <w:rsid w:val="0B725406"/>
    <w:rsid w:val="0CE9794A"/>
    <w:rsid w:val="0E0013EF"/>
    <w:rsid w:val="11AE48CF"/>
    <w:rsid w:val="13E32A28"/>
    <w:rsid w:val="170F4451"/>
    <w:rsid w:val="172338E2"/>
    <w:rsid w:val="17EC50D1"/>
    <w:rsid w:val="1A152B2A"/>
    <w:rsid w:val="1BA33D1B"/>
    <w:rsid w:val="1D9D4085"/>
    <w:rsid w:val="1DEF40CD"/>
    <w:rsid w:val="1F905C55"/>
    <w:rsid w:val="23700025"/>
    <w:rsid w:val="25072FC1"/>
    <w:rsid w:val="27BB1A8B"/>
    <w:rsid w:val="29AF73CD"/>
    <w:rsid w:val="2AF75C96"/>
    <w:rsid w:val="2E314108"/>
    <w:rsid w:val="2E7C709B"/>
    <w:rsid w:val="2F6E7C82"/>
    <w:rsid w:val="307A43EF"/>
    <w:rsid w:val="31225A56"/>
    <w:rsid w:val="331D5B13"/>
    <w:rsid w:val="39670C0B"/>
    <w:rsid w:val="3B935E08"/>
    <w:rsid w:val="3BB5218A"/>
    <w:rsid w:val="3C4B742A"/>
    <w:rsid w:val="3F9115F7"/>
    <w:rsid w:val="3FB543FD"/>
    <w:rsid w:val="4100382A"/>
    <w:rsid w:val="41DA6AFF"/>
    <w:rsid w:val="43721740"/>
    <w:rsid w:val="43DA2B56"/>
    <w:rsid w:val="482D5086"/>
    <w:rsid w:val="487D6BBD"/>
    <w:rsid w:val="49262DB0"/>
    <w:rsid w:val="4A5B627C"/>
    <w:rsid w:val="4B6278B6"/>
    <w:rsid w:val="4D577016"/>
    <w:rsid w:val="4F8F78E5"/>
    <w:rsid w:val="4FD537E9"/>
    <w:rsid w:val="540046A2"/>
    <w:rsid w:val="55CB08F9"/>
    <w:rsid w:val="57807393"/>
    <w:rsid w:val="59442BC5"/>
    <w:rsid w:val="5A494BC1"/>
    <w:rsid w:val="5FCB17CB"/>
    <w:rsid w:val="60AE63A1"/>
    <w:rsid w:val="60C04D97"/>
    <w:rsid w:val="616C1945"/>
    <w:rsid w:val="61B10F4A"/>
    <w:rsid w:val="68C83273"/>
    <w:rsid w:val="69056D5A"/>
    <w:rsid w:val="6FBC4FF3"/>
    <w:rsid w:val="725400DF"/>
    <w:rsid w:val="797B1BBD"/>
    <w:rsid w:val="7C1A4147"/>
    <w:rsid w:val="7DDA3B8E"/>
    <w:rsid w:val="7E271673"/>
    <w:rsid w:val="7F890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qFormat/>
    <w:uiPriority w:val="0"/>
    <w:rPr>
      <w:color w:val="0000FF"/>
      <w:u w:val="single"/>
    </w:rPr>
  </w:style>
  <w:style w:type="paragraph" w:customStyle="1" w:styleId="10">
    <w:name w:val="BodyText"/>
    <w:qFormat/>
    <w:uiPriority w:val="0"/>
    <w:pPr>
      <w:widowControl w:val="0"/>
      <w:spacing w:line="360" w:lineRule="auto"/>
      <w:ind w:firstLine="972" w:firstLineChars="200"/>
    </w:pPr>
    <w:rPr>
      <w:rFonts w:ascii="仿宋_GB2312" w:hAnsi="仿宋_GB2312" w:eastAsia="仿宋_GB2312" w:cs="Arial"/>
      <w:b/>
      <w:kern w:val="2"/>
      <w:sz w:val="44"/>
      <w:szCs w:val="22"/>
      <w:lang w:val="en-US" w:eastAsia="zh-CN" w:bidi="ar-SA"/>
    </w:rPr>
  </w:style>
  <w:style w:type="character" w:customStyle="1" w:styleId="11">
    <w:name w:val="font11"/>
    <w:basedOn w:val="7"/>
    <w:qFormat/>
    <w:uiPriority w:val="0"/>
    <w:rPr>
      <w:rFonts w:ascii="仿宋" w:hAnsi="仿宋" w:eastAsia="仿宋" w:cs="仿宋"/>
      <w:color w:val="000000"/>
      <w:sz w:val="24"/>
      <w:szCs w:val="24"/>
      <w:u w:val="none"/>
    </w:rPr>
  </w:style>
  <w:style w:type="character" w:customStyle="1" w:styleId="12">
    <w:name w:val="font21"/>
    <w:basedOn w:val="7"/>
    <w:qFormat/>
    <w:uiPriority w:val="0"/>
    <w:rPr>
      <w:rFonts w:hint="default" w:ascii="Times New Roman" w:hAnsi="Times New Roman" w:cs="Times New Roman"/>
      <w:color w:val="000000"/>
      <w:sz w:val="24"/>
      <w:szCs w:val="24"/>
      <w:u w:val="none"/>
    </w:rPr>
  </w:style>
  <w:style w:type="paragraph" w:customStyle="1" w:styleId="13">
    <w:name w:val="闻政正文"/>
    <w:basedOn w:val="1"/>
    <w:qFormat/>
    <w:uiPriority w:val="0"/>
    <w:pPr>
      <w:spacing w:line="500" w:lineRule="exact"/>
      <w:ind w:firstLine="560" w:firstLineChars="200"/>
    </w:pPr>
    <w:rPr>
      <w:rFonts w:ascii="Times New Roman" w:hAnsi="Times New Roman" w:eastAsia="仿宋_GB2312"/>
      <w:sz w:val="28"/>
      <w:szCs w:val="28"/>
    </w:rPr>
  </w:style>
  <w:style w:type="character" w:customStyle="1" w:styleId="14">
    <w:name w:val="font31"/>
    <w:basedOn w:val="7"/>
    <w:qFormat/>
    <w:uiPriority w:val="0"/>
    <w:rPr>
      <w:rFonts w:hint="default" w:ascii="Times New Roman" w:hAnsi="Times New Roman" w:cs="Times New Roman"/>
      <w:color w:val="000000"/>
      <w:sz w:val="24"/>
      <w:szCs w:val="24"/>
      <w:u w:val="none"/>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13876</Words>
  <Characters>16065</Characters>
  <Lines>0</Lines>
  <Paragraphs>0</Paragraphs>
  <TotalTime>24</TotalTime>
  <ScaleCrop>false</ScaleCrop>
  <LinksUpToDate>false</LinksUpToDate>
  <CharactersWithSpaces>16195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2022-10-20T09:10:00Z</dcterms:created>
  <dc:creator>゜ 祐手</dc:creator>
  <cp:lastModifiedBy>Administrator</cp:lastModifiedBy>
  <dcterms:modified xsi:type="dcterms:W3CDTF">2023-09-11T09:22:17Z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BAECA8B0B57E40E4816472E2E42FB0FC</vt:lpwstr>
  </property>
</Properties>
</file>