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outlineLvl w:val="9"/>
        <w:rPr>
          <w:rFonts w:hint="eastAsia" w:ascii="仿宋_GB2312" w:hAnsi="仿宋_GB2312" w:eastAsia="仿宋_GB2312" w:cs="仿宋_GB2312"/>
        </w:rPr>
      </w:pPr>
    </w:p>
    <w:p>
      <w:pPr>
        <w:spacing w:line="360" w:lineRule="auto"/>
        <w:jc w:val="both"/>
        <w:rPr>
          <w:rFonts w:hint="eastAsia" w:ascii="仿宋_GB2312" w:hAnsi="仿宋_GB2312" w:eastAsia="仿宋_GB2312" w:cs="仿宋_GB2312"/>
          <w:sz w:val="44"/>
          <w:szCs w:val="44"/>
        </w:rPr>
      </w:pPr>
    </w:p>
    <w:p>
      <w:pPr>
        <w:rPr>
          <w:rFonts w:hint="eastAsia" w:ascii="仿宋_GB2312" w:hAnsi="仿宋_GB2312" w:eastAsia="仿宋_GB2312" w:cs="仿宋_GB2312"/>
        </w:rPr>
      </w:pPr>
    </w:p>
    <w:p>
      <w:pPr>
        <w:pageBreakBefore w:val="0"/>
        <w:wordWrap/>
        <w:topLinePunct w:val="0"/>
        <w:bidi w:val="0"/>
        <w:spacing w:line="360" w:lineRule="auto"/>
        <w:jc w:val="center"/>
        <w:rPr>
          <w:rFonts w:hint="eastAsia" w:ascii="黑体" w:hAnsi="黑体" w:eastAsia="黑体" w:cs="黑体"/>
          <w:b w:val="0"/>
          <w:bCs w:val="0"/>
          <w:sz w:val="44"/>
          <w:szCs w:val="44"/>
        </w:rPr>
      </w:pPr>
      <w:r>
        <w:rPr>
          <w:rFonts w:hint="eastAsia" w:ascii="黑体" w:hAnsi="黑体" w:eastAsia="黑体" w:cs="黑体"/>
          <w:b w:val="0"/>
          <w:bCs w:val="0"/>
          <w:sz w:val="44"/>
          <w:szCs w:val="44"/>
          <w:lang w:eastAsia="zh-CN"/>
        </w:rPr>
        <w:t>安阳县住房和城乡建设局大型排水泵购置项目</w:t>
      </w:r>
      <w:r>
        <w:rPr>
          <w:rFonts w:hint="eastAsia" w:ascii="黑体" w:hAnsi="黑体" w:eastAsia="黑体" w:cs="黑体"/>
          <w:b w:val="0"/>
          <w:bCs w:val="0"/>
          <w:sz w:val="44"/>
          <w:szCs w:val="44"/>
        </w:rPr>
        <w:t>绩效评价报告</w:t>
      </w:r>
    </w:p>
    <w:p>
      <w:pPr>
        <w:pageBreakBefore w:val="0"/>
        <w:wordWrap/>
        <w:topLinePunct w:val="0"/>
        <w:bidi w:val="0"/>
        <w:spacing w:line="360" w:lineRule="auto"/>
        <w:jc w:val="center"/>
        <w:rPr>
          <w:rFonts w:hint="eastAsia" w:ascii="黑体" w:hAnsi="黑体" w:eastAsia="黑体" w:cs="黑体"/>
          <w:b w:val="0"/>
          <w:bCs w:val="0"/>
          <w:kern w:val="0"/>
          <w:sz w:val="30"/>
          <w:szCs w:val="30"/>
          <w:highlight w:val="none"/>
          <w:lang w:val="en-US" w:eastAsia="zh-CN" w:bidi="ar-SA"/>
        </w:rPr>
      </w:pPr>
      <w:r>
        <w:rPr>
          <w:rFonts w:hint="eastAsia" w:ascii="黑体" w:hAnsi="黑体" w:eastAsia="黑体" w:cs="黑体"/>
          <w:b w:val="0"/>
          <w:bCs w:val="0"/>
          <w:kern w:val="0"/>
          <w:sz w:val="30"/>
          <w:szCs w:val="30"/>
          <w:highlight w:val="none"/>
          <w:lang w:val="en-US" w:eastAsia="zh-CN" w:bidi="ar-SA"/>
        </w:rPr>
        <w:t>昌盛绩报字【2023】149号</w:t>
      </w:r>
    </w:p>
    <w:p>
      <w:pPr>
        <w:pageBreakBefore w:val="0"/>
        <w:wordWrap/>
        <w:topLinePunct w:val="0"/>
        <w:bidi w:val="0"/>
        <w:spacing w:line="360" w:lineRule="auto"/>
        <w:jc w:val="center"/>
        <w:rPr>
          <w:rFonts w:hint="eastAsia" w:ascii="黑体" w:hAnsi="黑体" w:eastAsia="黑体" w:cs="黑体"/>
          <w:b w:val="0"/>
          <w:bCs w:val="0"/>
          <w:kern w:val="0"/>
          <w:sz w:val="30"/>
          <w:szCs w:val="30"/>
          <w:highlight w:val="yellow"/>
          <w:lang w:val="en-US" w:eastAsia="zh-CN" w:bidi="ar-SA"/>
        </w:rPr>
      </w:pPr>
    </w:p>
    <w:p>
      <w:pPr>
        <w:spacing w:after="120" w:line="500" w:lineRule="exact"/>
        <w:ind w:firstLine="960" w:firstLineChars="300"/>
        <w:rPr>
          <w:rFonts w:hint="eastAsia" w:ascii="仿宋_GB2312" w:hAnsi="仿宋_GB2312" w:eastAsia="仿宋_GB2312" w:cs="仿宋_GB2312"/>
          <w:sz w:val="32"/>
          <w:szCs w:val="32"/>
        </w:rPr>
      </w:pPr>
    </w:p>
    <w:p>
      <w:pPr>
        <w:spacing w:after="120" w:line="500" w:lineRule="exact"/>
        <w:ind w:firstLine="960" w:firstLineChars="300"/>
        <w:rPr>
          <w:rFonts w:hint="eastAsia" w:ascii="仿宋_GB2312" w:hAnsi="仿宋_GB2312" w:eastAsia="仿宋_GB2312" w:cs="仿宋_GB2312"/>
          <w:sz w:val="32"/>
          <w:szCs w:val="32"/>
        </w:rPr>
      </w:pPr>
    </w:p>
    <w:p>
      <w:pPr>
        <w:spacing w:after="120" w:line="500" w:lineRule="exact"/>
        <w:ind w:firstLine="960" w:firstLineChars="300"/>
        <w:rPr>
          <w:rFonts w:hint="eastAsia" w:ascii="仿宋_GB2312" w:hAnsi="仿宋_GB2312" w:eastAsia="仿宋_GB2312" w:cs="仿宋_GB2312"/>
          <w:sz w:val="32"/>
          <w:szCs w:val="32"/>
        </w:rPr>
      </w:pPr>
    </w:p>
    <w:p>
      <w:pPr>
        <w:spacing w:after="120" w:line="500" w:lineRule="exact"/>
        <w:ind w:firstLine="960" w:firstLineChars="300"/>
        <w:rPr>
          <w:rFonts w:hint="eastAsia" w:ascii="仿宋_GB2312" w:hAnsi="仿宋_GB2312" w:eastAsia="仿宋_GB2312" w:cs="仿宋_GB2312"/>
          <w:sz w:val="32"/>
          <w:szCs w:val="32"/>
        </w:rPr>
      </w:pPr>
    </w:p>
    <w:p>
      <w:pPr>
        <w:spacing w:after="120" w:line="500" w:lineRule="exact"/>
        <w:ind w:firstLine="960" w:firstLineChars="300"/>
        <w:rPr>
          <w:rFonts w:hint="eastAsia" w:ascii="仿宋_GB2312" w:hAnsi="仿宋_GB2312" w:eastAsia="仿宋_GB2312" w:cs="仿宋_GB2312"/>
          <w:sz w:val="32"/>
          <w:szCs w:val="32"/>
        </w:rPr>
      </w:pPr>
    </w:p>
    <w:p>
      <w:pPr>
        <w:jc w:val="center"/>
        <w:rPr>
          <w:rFonts w:hint="eastAsia" w:ascii="仿宋_GB2312" w:hAnsi="仿宋_GB2312" w:eastAsia="仿宋_GB2312" w:cs="仿宋_GB2312"/>
          <w:sz w:val="32"/>
          <w:szCs w:val="32"/>
        </w:rPr>
      </w:pPr>
    </w:p>
    <w:p>
      <w:pPr>
        <w:jc w:val="center"/>
        <w:rPr>
          <w:rFonts w:hint="eastAsia" w:ascii="仿宋_GB2312" w:hAnsi="仿宋_GB2312" w:eastAsia="仿宋_GB2312" w:cs="仿宋_GB2312"/>
          <w:sz w:val="32"/>
          <w:szCs w:val="32"/>
        </w:rPr>
      </w:pPr>
    </w:p>
    <w:p>
      <w:pPr>
        <w:jc w:val="center"/>
        <w:rPr>
          <w:rFonts w:hint="eastAsia" w:ascii="仿宋_GB2312" w:hAnsi="仿宋_GB2312" w:eastAsia="仿宋_GB2312" w:cs="仿宋_GB2312"/>
          <w:sz w:val="32"/>
          <w:szCs w:val="32"/>
        </w:rPr>
      </w:pPr>
    </w:p>
    <w:p>
      <w:pPr>
        <w:jc w:val="center"/>
        <w:rPr>
          <w:rFonts w:hint="eastAsia" w:ascii="仿宋_GB2312" w:hAnsi="仿宋_GB2312" w:eastAsia="仿宋_GB2312" w:cs="仿宋_GB2312"/>
          <w:sz w:val="32"/>
          <w:szCs w:val="32"/>
        </w:rPr>
      </w:pPr>
    </w:p>
    <w:p>
      <w:pPr>
        <w:jc w:val="both"/>
        <w:outlineLvl w:val="0"/>
        <w:rPr>
          <w:rFonts w:hint="eastAsia" w:ascii="仿宋_GB2312" w:hAnsi="仿宋_GB2312" w:eastAsia="仿宋_GB2312" w:cs="仿宋_GB2312"/>
          <w:b/>
          <w:bCs/>
          <w:sz w:val="32"/>
          <w:szCs w:val="32"/>
          <w:lang w:eastAsia="zh-CN"/>
        </w:rPr>
      </w:pPr>
      <w:bookmarkStart w:id="0" w:name="_Toc5729"/>
    </w:p>
    <w:p>
      <w:pPr>
        <w:ind w:firstLine="1606" w:firstLineChars="500"/>
        <w:jc w:val="both"/>
        <w:outlineLvl w:val="0"/>
        <w:rPr>
          <w:rFonts w:hint="eastAsia" w:ascii="仿宋_GB2312" w:hAnsi="仿宋_GB2312" w:eastAsia="仿宋_GB2312" w:cs="仿宋_GB2312"/>
          <w:b/>
          <w:bCs/>
          <w:sz w:val="32"/>
          <w:szCs w:val="32"/>
          <w:lang w:eastAsia="zh-CN"/>
        </w:rPr>
      </w:pPr>
    </w:p>
    <w:p>
      <w:pPr>
        <w:ind w:firstLine="1606" w:firstLineChars="500"/>
        <w:jc w:val="both"/>
        <w:outlineLvl w:val="0"/>
        <w:rPr>
          <w:rFonts w:hint="eastAsia" w:ascii="仿宋_GB2312" w:hAnsi="仿宋_GB2312" w:eastAsia="仿宋_GB2312" w:cs="仿宋_GB2312"/>
          <w:b/>
          <w:bCs/>
          <w:sz w:val="32"/>
          <w:szCs w:val="32"/>
          <w:lang w:eastAsia="zh-CN"/>
        </w:rPr>
      </w:pPr>
    </w:p>
    <w:bookmarkEnd w:id="0"/>
    <w:p>
      <w:pPr>
        <w:pageBreakBefore w:val="0"/>
        <w:wordWrap/>
        <w:topLinePunct w:val="0"/>
        <w:bidi w:val="0"/>
        <w:spacing w:line="360" w:lineRule="auto"/>
        <w:jc w:val="center"/>
        <w:rPr>
          <w:rFonts w:hint="eastAsia" w:ascii="黑体" w:hAnsi="黑体" w:eastAsia="黑体" w:cs="黑体"/>
          <w:sz w:val="32"/>
          <w:szCs w:val="32"/>
          <w:lang w:eastAsia="zh-CN"/>
        </w:rPr>
      </w:pPr>
      <w:r>
        <w:rPr>
          <w:rFonts w:hint="eastAsia" w:ascii="黑体" w:hAnsi="黑体" w:eastAsia="黑体" w:cs="黑体"/>
          <w:sz w:val="32"/>
          <w:szCs w:val="32"/>
          <w:lang w:eastAsia="zh-CN"/>
        </w:rPr>
        <w:t>河南昌盛会计师事务所（普通合伙）</w:t>
      </w:r>
    </w:p>
    <w:p>
      <w:pPr>
        <w:ind w:firstLine="3200" w:firstLineChars="1000"/>
        <w:jc w:val="both"/>
        <w:rPr>
          <w:rFonts w:hint="eastAsia" w:ascii="仿宋_GB2312" w:hAnsi="仿宋_GB2312" w:eastAsia="仿宋_GB2312" w:cs="仿宋_GB2312"/>
          <w:b/>
          <w:bCs/>
          <w:sz w:val="32"/>
          <w:szCs w:val="32"/>
        </w:rPr>
      </w:pPr>
      <w:r>
        <w:rPr>
          <w:rFonts w:ascii="黑体" w:hAnsi="黑体" w:eastAsia="黑体" w:cs="黑体"/>
          <w:sz w:val="32"/>
          <w:szCs w:val="32"/>
        </w:rPr>
        <w:t>202</w:t>
      </w:r>
      <w:r>
        <w:rPr>
          <w:rFonts w:hint="eastAsia" w:ascii="黑体" w:hAnsi="黑体" w:eastAsia="黑体" w:cs="黑体"/>
          <w:sz w:val="32"/>
          <w:szCs w:val="32"/>
          <w:lang w:val="en-US" w:eastAsia="zh-CN"/>
        </w:rPr>
        <w:t>3年9</w:t>
      </w:r>
      <w:r>
        <w:rPr>
          <w:rFonts w:hint="eastAsia" w:ascii="黑体" w:hAnsi="黑体" w:eastAsia="黑体" w:cs="黑体"/>
          <w:sz w:val="32"/>
          <w:szCs w:val="32"/>
        </w:rPr>
        <w:t>月</w:t>
      </w:r>
    </w:p>
    <w:p>
      <w:pPr>
        <w:rPr>
          <w:rFonts w:hint="eastAsia"/>
          <w:lang w:val="en-US" w:eastAsia="zh-CN"/>
        </w:rPr>
      </w:pPr>
      <w:r>
        <w:rPr>
          <w:rFonts w:hint="eastAsia" w:ascii="仿宋_GB2312" w:hAnsi="仿宋_GB2312" w:eastAsia="仿宋_GB2312" w:cs="仿宋_GB2312"/>
          <w:b/>
          <w:bCs/>
          <w:sz w:val="32"/>
          <w:szCs w:val="32"/>
        </w:rPr>
        <w:br w:type="page"/>
      </w:r>
    </w:p>
    <w:sdt>
      <w:sdtPr>
        <w:rPr>
          <w:rFonts w:hint="eastAsia" w:ascii="仿宋_GB2312" w:hAnsi="仿宋_GB2312" w:eastAsia="仿宋_GB2312" w:cs="仿宋_GB2312"/>
          <w:kern w:val="0"/>
          <w:sz w:val="21"/>
          <w:szCs w:val="24"/>
          <w:lang w:val="en-US" w:eastAsia="zh-CN" w:bidi="ar-SA"/>
        </w:rPr>
        <w:id w:val="147460520"/>
        <w15:color w:val="DBDBDB"/>
        <w:docPartObj>
          <w:docPartGallery w:val="Table of Contents"/>
          <w:docPartUnique/>
        </w:docPartObj>
      </w:sdtPr>
      <w:sdtEndPr>
        <w:rPr>
          <w:rFonts w:hint="eastAsia" w:ascii="仿宋_GB2312" w:hAnsi="仿宋_GB2312" w:eastAsia="仿宋_GB2312" w:cs="仿宋_GB2312"/>
          <w:b/>
          <w:kern w:val="0"/>
          <w:sz w:val="24"/>
          <w:szCs w:val="24"/>
          <w:lang w:val="en-US" w:eastAsia="zh-CN" w:bidi="ar-SA"/>
        </w:rPr>
      </w:sdtEndPr>
      <w:sdtContent>
        <w:p>
          <w:pPr>
            <w:spacing w:before="0" w:beforeLines="0" w:after="0" w:afterLines="0" w:line="240" w:lineRule="auto"/>
            <w:ind w:left="0" w:leftChars="0" w:right="0" w:rightChars="0" w:firstLine="0" w:firstLineChars="0"/>
            <w:jc w:val="center"/>
            <w:rPr>
              <w:rFonts w:hint="eastAsia" w:ascii="仿宋_GB2312" w:hAnsi="仿宋_GB2312" w:eastAsia="仿宋_GB2312" w:cs="仿宋_GB2312"/>
              <w:b/>
            </w:rPr>
          </w:pPr>
          <w:r>
            <w:rPr>
              <w:rFonts w:hint="eastAsia" w:ascii="仿宋_GB2312" w:hAnsi="仿宋_GB2312" w:eastAsia="仿宋_GB2312" w:cs="仿宋_GB2312"/>
              <w:b/>
              <w:bCs/>
              <w:sz w:val="44"/>
              <w:szCs w:val="52"/>
            </w:rPr>
            <w:t>目录</w:t>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TOC \o "1-2" \h \u </w:instrText>
          </w:r>
          <w:r>
            <w:rPr>
              <w:rFonts w:hint="eastAsia" w:ascii="仿宋_GB2312" w:hAnsi="仿宋_GB2312" w:eastAsia="仿宋_GB2312" w:cs="仿宋_GB2312"/>
            </w:rPr>
            <w:fldChar w:fldCharType="separate"/>
          </w:r>
        </w:p>
        <w:p>
          <w:pPr>
            <w:pStyle w:val="46"/>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b/>
              <w:sz w:val="36"/>
              <w:szCs w:val="36"/>
            </w:rPr>
          </w:pPr>
          <w:r>
            <w:rPr>
              <w:rFonts w:hint="eastAsia" w:ascii="仿宋_GB2312" w:hAnsi="仿宋_GB2312" w:eastAsia="仿宋_GB2312" w:cs="仿宋_GB2312"/>
              <w:b/>
              <w:sz w:val="36"/>
              <w:szCs w:val="36"/>
            </w:rPr>
            <w:fldChar w:fldCharType="begin"/>
          </w:r>
          <w:r>
            <w:rPr>
              <w:rFonts w:hint="eastAsia" w:ascii="仿宋_GB2312" w:hAnsi="仿宋_GB2312" w:eastAsia="仿宋_GB2312" w:cs="仿宋_GB2312"/>
              <w:b/>
              <w:sz w:val="36"/>
              <w:szCs w:val="36"/>
            </w:rPr>
            <w:instrText xml:space="preserve"> HYPERLINK \l _Toc16691 </w:instrText>
          </w:r>
          <w:r>
            <w:rPr>
              <w:rFonts w:hint="eastAsia" w:ascii="仿宋_GB2312" w:hAnsi="仿宋_GB2312" w:eastAsia="仿宋_GB2312" w:cs="仿宋_GB2312"/>
              <w:b/>
              <w:sz w:val="36"/>
              <w:szCs w:val="36"/>
            </w:rPr>
            <w:fldChar w:fldCharType="separate"/>
          </w:r>
          <w:r>
            <w:rPr>
              <w:rFonts w:hint="eastAsia" w:ascii="仿宋_GB2312" w:hAnsi="仿宋_GB2312" w:eastAsia="仿宋_GB2312" w:cs="仿宋_GB2312"/>
              <w:b/>
              <w:sz w:val="28"/>
              <w:szCs w:val="52"/>
            </w:rPr>
            <w:t>一、基本概况</w:t>
          </w:r>
          <w:r>
            <w:rPr>
              <w:rFonts w:hint="eastAsia" w:ascii="仿宋_GB2312" w:hAnsi="仿宋_GB2312" w:eastAsia="仿宋_GB2312" w:cs="仿宋_GB2312"/>
              <w:b w:val="0"/>
              <w:bCs/>
              <w:sz w:val="36"/>
              <w:szCs w:val="36"/>
            </w:rPr>
            <w:tab/>
          </w:r>
          <w:r>
            <w:rPr>
              <w:rFonts w:hint="eastAsia" w:ascii="仿宋_GB2312" w:hAnsi="仿宋_GB2312" w:eastAsia="仿宋_GB2312" w:cs="仿宋_GB2312"/>
              <w:b w:val="0"/>
              <w:bCs/>
              <w:sz w:val="36"/>
              <w:szCs w:val="36"/>
            </w:rPr>
            <w:fldChar w:fldCharType="begin"/>
          </w:r>
          <w:r>
            <w:rPr>
              <w:rFonts w:hint="eastAsia" w:ascii="仿宋_GB2312" w:hAnsi="仿宋_GB2312" w:eastAsia="仿宋_GB2312" w:cs="仿宋_GB2312"/>
              <w:b w:val="0"/>
              <w:bCs/>
              <w:sz w:val="36"/>
              <w:szCs w:val="36"/>
            </w:rPr>
            <w:instrText xml:space="preserve"> PAGEREF _Toc16691 \h </w:instrText>
          </w:r>
          <w:r>
            <w:rPr>
              <w:rFonts w:hint="eastAsia" w:ascii="仿宋_GB2312" w:hAnsi="仿宋_GB2312" w:eastAsia="仿宋_GB2312" w:cs="仿宋_GB2312"/>
              <w:b w:val="0"/>
              <w:bCs/>
              <w:sz w:val="36"/>
              <w:szCs w:val="36"/>
            </w:rPr>
            <w:fldChar w:fldCharType="separate"/>
          </w:r>
          <w:r>
            <w:rPr>
              <w:rFonts w:hint="eastAsia" w:ascii="仿宋_GB2312" w:hAnsi="仿宋_GB2312" w:eastAsia="仿宋_GB2312" w:cs="仿宋_GB2312"/>
              <w:b w:val="0"/>
              <w:bCs/>
              <w:sz w:val="36"/>
              <w:szCs w:val="36"/>
            </w:rPr>
            <w:t>1</w:t>
          </w:r>
          <w:r>
            <w:rPr>
              <w:rFonts w:hint="eastAsia" w:ascii="仿宋_GB2312" w:hAnsi="仿宋_GB2312" w:eastAsia="仿宋_GB2312" w:cs="仿宋_GB2312"/>
              <w:b w:val="0"/>
              <w:bCs/>
              <w:sz w:val="36"/>
              <w:szCs w:val="36"/>
            </w:rPr>
            <w:fldChar w:fldCharType="end"/>
          </w:r>
          <w:r>
            <w:rPr>
              <w:rFonts w:hint="eastAsia" w:ascii="仿宋_GB2312" w:hAnsi="仿宋_GB2312" w:eastAsia="仿宋_GB2312" w:cs="仿宋_GB2312"/>
              <w:b/>
              <w:sz w:val="36"/>
              <w:szCs w:val="36"/>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_Toc13583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（一）项目概况</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_Toc13583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_Toc9683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（二）项目绩效目标</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_Toc9683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6"/>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HYPERLINK \l _Toc22768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52"/>
            </w:rPr>
            <w:t>二、绩效评价工作开展情况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PAGEREF _Toc22768 \h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28"/>
            </w:rPr>
            <w:t>3</w:t>
          </w:r>
          <w:r>
            <w:rPr>
              <w:rFonts w:hint="eastAsia" w:ascii="仿宋_GB2312" w:hAnsi="仿宋_GB2312" w:eastAsia="仿宋_GB2312" w:cs="仿宋_GB2312"/>
              <w:b/>
              <w:sz w:val="28"/>
              <w:szCs w:val="28"/>
            </w:rPr>
            <w:fldChar w:fldCharType="end"/>
          </w:r>
          <w:r>
            <w:rPr>
              <w:rFonts w:hint="eastAsia" w:ascii="仿宋_GB2312" w:hAnsi="仿宋_GB2312" w:eastAsia="仿宋_GB2312" w:cs="仿宋_GB2312"/>
              <w:b/>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_Toc12302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（一）评价目的、对象及范围</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_Toc12302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_Toc5954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（二）评价指标体系</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_Toc5954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_Toc8754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（三）绩效评价原则、方法和标准</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_Toc8754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_Toc27948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（四）绩效评价工作过程</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_Toc27948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6"/>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HYPERLINK \l _Toc144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52"/>
            </w:rPr>
            <w:t>三、综合评价情况及评价结论</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PAGEREF _Toc144 \h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28"/>
            </w:rPr>
            <w:t>5</w:t>
          </w:r>
          <w:r>
            <w:rPr>
              <w:rFonts w:hint="eastAsia" w:ascii="仿宋_GB2312" w:hAnsi="仿宋_GB2312" w:eastAsia="仿宋_GB2312" w:cs="仿宋_GB2312"/>
              <w:b/>
              <w:sz w:val="28"/>
              <w:szCs w:val="28"/>
            </w:rPr>
            <w:fldChar w:fldCharType="end"/>
          </w:r>
          <w:r>
            <w:rPr>
              <w:rFonts w:hint="eastAsia" w:ascii="仿宋_GB2312" w:hAnsi="仿宋_GB2312" w:eastAsia="仿宋_GB2312" w:cs="仿宋_GB2312"/>
              <w:b/>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_Toc605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（一）综合评价情况</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_Toc605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5</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_Toc15924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（二）总体评价结论</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_Toc15924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5</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6"/>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HYPERLINK \l _Toc10089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52"/>
            </w:rPr>
            <w:t>四、绩效指标分析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PAGEREF _Toc10089 \h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28"/>
            </w:rPr>
            <w:t>5</w:t>
          </w:r>
          <w:r>
            <w:rPr>
              <w:rFonts w:hint="eastAsia" w:ascii="仿宋_GB2312" w:hAnsi="仿宋_GB2312" w:eastAsia="仿宋_GB2312" w:cs="仿宋_GB2312"/>
              <w:b/>
              <w:sz w:val="28"/>
              <w:szCs w:val="28"/>
            </w:rPr>
            <w:fldChar w:fldCharType="end"/>
          </w:r>
          <w:r>
            <w:rPr>
              <w:rFonts w:hint="eastAsia" w:ascii="仿宋_GB2312" w:hAnsi="仿宋_GB2312" w:eastAsia="仿宋_GB2312" w:cs="仿宋_GB2312"/>
              <w:b/>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_Toc13392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（一）项目决策情况</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_Toc13392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6</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_Toc6130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（二）项目过程情况</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_Toc6130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6</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_Toc25143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（三）项目产出情况</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_Toc25143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6</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7"/>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b/>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_Toc10074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sz w:val="28"/>
              <w:szCs w:val="52"/>
            </w:rPr>
            <w:t>（四） 项目效益情况</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_Toc10074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7</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46"/>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HYPERLINK \l _Toc29649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52"/>
            </w:rPr>
            <w:t>五、主要成效和做法</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PAGEREF _Toc29649 \h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28"/>
            </w:rPr>
            <w:t>7</w:t>
          </w:r>
          <w:r>
            <w:rPr>
              <w:rFonts w:hint="eastAsia" w:ascii="仿宋_GB2312" w:hAnsi="仿宋_GB2312" w:eastAsia="仿宋_GB2312" w:cs="仿宋_GB2312"/>
              <w:b/>
              <w:sz w:val="28"/>
              <w:szCs w:val="28"/>
            </w:rPr>
            <w:fldChar w:fldCharType="end"/>
          </w:r>
          <w:r>
            <w:rPr>
              <w:rFonts w:hint="eastAsia" w:ascii="仿宋_GB2312" w:hAnsi="仿宋_GB2312" w:eastAsia="仿宋_GB2312" w:cs="仿宋_GB2312"/>
              <w:b/>
              <w:sz w:val="28"/>
              <w:szCs w:val="28"/>
            </w:rPr>
            <w:fldChar w:fldCharType="end"/>
          </w:r>
        </w:p>
        <w:p>
          <w:pPr>
            <w:pStyle w:val="46"/>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sz w:val="28"/>
              <w:szCs w:val="28"/>
            </w:rPr>
          </w:pP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HYPERLINK \l _Toc29093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52"/>
            </w:rPr>
            <w:t>六、存在的问题及原因分析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PAGEREF _Toc29093 \h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28"/>
            </w:rPr>
            <w:t>7</w:t>
          </w:r>
          <w:r>
            <w:rPr>
              <w:rFonts w:hint="eastAsia" w:ascii="仿宋_GB2312" w:hAnsi="仿宋_GB2312" w:eastAsia="仿宋_GB2312" w:cs="仿宋_GB2312"/>
              <w:b/>
              <w:sz w:val="28"/>
              <w:szCs w:val="28"/>
            </w:rPr>
            <w:fldChar w:fldCharType="end"/>
          </w:r>
          <w:r>
            <w:rPr>
              <w:rFonts w:hint="eastAsia" w:ascii="仿宋_GB2312" w:hAnsi="仿宋_GB2312" w:eastAsia="仿宋_GB2312" w:cs="仿宋_GB2312"/>
              <w:b/>
              <w:sz w:val="28"/>
              <w:szCs w:val="28"/>
            </w:rPr>
            <w:fldChar w:fldCharType="end"/>
          </w:r>
        </w:p>
        <w:p>
          <w:pPr>
            <w:pStyle w:val="46"/>
            <w:keepNext w:val="0"/>
            <w:keepLines w:val="0"/>
            <w:pageBreakBefore w:val="0"/>
            <w:widowControl/>
            <w:tabs>
              <w:tab w:val="right" w:leader="dot" w:pos="8306"/>
            </w:tabs>
            <w:kinsoku/>
            <w:wordWrap/>
            <w:overflowPunct/>
            <w:topLinePunct w:val="0"/>
            <w:autoSpaceDE/>
            <w:autoSpaceDN/>
            <w:bidi w:val="0"/>
            <w:adjustRightInd/>
            <w:snapToGrid/>
            <w:spacing w:line="360" w:lineRule="auto"/>
            <w:textAlignment w:val="auto"/>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HYPERLINK \l _Toc17041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52"/>
            </w:rPr>
            <w:t>七、有关建议</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sz w:val="28"/>
              <w:szCs w:val="28"/>
            </w:rPr>
            <w:fldChar w:fldCharType="begin"/>
          </w:r>
          <w:r>
            <w:rPr>
              <w:rFonts w:hint="eastAsia" w:ascii="仿宋_GB2312" w:hAnsi="仿宋_GB2312" w:eastAsia="仿宋_GB2312" w:cs="仿宋_GB2312"/>
              <w:b/>
              <w:sz w:val="28"/>
              <w:szCs w:val="28"/>
            </w:rPr>
            <w:instrText xml:space="preserve"> PAGEREF _Toc17041 \h </w:instrText>
          </w:r>
          <w:r>
            <w:rPr>
              <w:rFonts w:hint="eastAsia" w:ascii="仿宋_GB2312" w:hAnsi="仿宋_GB2312" w:eastAsia="仿宋_GB2312" w:cs="仿宋_GB2312"/>
              <w:b/>
              <w:sz w:val="28"/>
              <w:szCs w:val="28"/>
            </w:rPr>
            <w:fldChar w:fldCharType="separate"/>
          </w:r>
          <w:r>
            <w:rPr>
              <w:rFonts w:hint="eastAsia" w:ascii="仿宋_GB2312" w:hAnsi="仿宋_GB2312" w:eastAsia="仿宋_GB2312" w:cs="仿宋_GB2312"/>
              <w:b/>
              <w:sz w:val="28"/>
              <w:szCs w:val="28"/>
            </w:rPr>
            <w:t>8</w:t>
          </w:r>
          <w:r>
            <w:rPr>
              <w:rFonts w:hint="eastAsia" w:ascii="仿宋_GB2312" w:hAnsi="仿宋_GB2312" w:eastAsia="仿宋_GB2312" w:cs="仿宋_GB2312"/>
              <w:b/>
              <w:sz w:val="28"/>
              <w:szCs w:val="28"/>
            </w:rPr>
            <w:fldChar w:fldCharType="end"/>
          </w:r>
          <w:r>
            <w:rPr>
              <w:rFonts w:hint="eastAsia" w:ascii="仿宋_GB2312" w:hAnsi="仿宋_GB2312" w:eastAsia="仿宋_GB2312" w:cs="仿宋_GB2312"/>
              <w:b/>
              <w:sz w:val="28"/>
              <w:szCs w:val="28"/>
            </w:rPr>
            <w:fldChar w:fldCharType="end"/>
          </w:r>
        </w:p>
        <w:p>
          <w:pPr>
            <w:pageBreakBefore w:val="0"/>
            <w:widowControl w:val="0"/>
            <w:kinsoku/>
            <w:wordWrap/>
            <w:overflowPunct/>
            <w:topLinePunct w:val="0"/>
            <w:autoSpaceDE/>
            <w:autoSpaceDN/>
            <w:bidi w:val="0"/>
            <w:adjustRightInd w:val="0"/>
            <w:snapToGrid w:val="0"/>
            <w:spacing w:line="360" w:lineRule="auto"/>
            <w:jc w:val="left"/>
            <w:outlineLvl w:val="0"/>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pacing w:val="-20"/>
              <w:sz w:val="24"/>
              <w:szCs w:val="24"/>
            </w:rPr>
            <w:fldChar w:fldCharType="begin"/>
          </w:r>
          <w:r>
            <w:rPr>
              <w:rFonts w:hint="eastAsia" w:ascii="仿宋_GB2312" w:hAnsi="仿宋_GB2312" w:eastAsia="仿宋_GB2312" w:cs="仿宋_GB2312"/>
              <w:b/>
              <w:spacing w:val="-20"/>
              <w:sz w:val="24"/>
              <w:szCs w:val="24"/>
            </w:rPr>
            <w:instrText xml:space="preserve"> HYPERLINK \l _Toc3102 </w:instrText>
          </w:r>
          <w:r>
            <w:rPr>
              <w:rFonts w:hint="eastAsia" w:ascii="仿宋_GB2312" w:hAnsi="仿宋_GB2312" w:eastAsia="仿宋_GB2312" w:cs="仿宋_GB2312"/>
              <w:b/>
              <w:spacing w:val="-20"/>
              <w:sz w:val="24"/>
              <w:szCs w:val="24"/>
            </w:rPr>
            <w:fldChar w:fldCharType="separate"/>
          </w:r>
          <w:r>
            <w:rPr>
              <w:rFonts w:hint="eastAsia" w:ascii="仿宋_GB2312" w:hAnsi="仿宋_GB2312" w:eastAsia="仿宋_GB2312" w:cs="仿宋_GB2312"/>
              <w:b/>
              <w:bCs/>
              <w:spacing w:val="-20"/>
              <w:kern w:val="2"/>
              <w:sz w:val="24"/>
              <w:szCs w:val="48"/>
            </w:rPr>
            <w:t>附件</w:t>
          </w:r>
          <w:r>
            <w:rPr>
              <w:rFonts w:hint="eastAsia" w:ascii="仿宋_GB2312" w:hAnsi="仿宋_GB2312" w:eastAsia="仿宋_GB2312" w:cs="仿宋_GB2312"/>
              <w:b/>
              <w:bCs/>
              <w:spacing w:val="-20"/>
              <w:kern w:val="2"/>
              <w:sz w:val="24"/>
              <w:szCs w:val="48"/>
              <w:lang w:val="en-US" w:eastAsia="zh-CN"/>
            </w:rPr>
            <w:t>1</w:t>
          </w:r>
          <w:r>
            <w:rPr>
              <w:rFonts w:hint="eastAsia" w:ascii="仿宋_GB2312" w:hAnsi="仿宋_GB2312" w:eastAsia="仿宋_GB2312" w:cs="仿宋_GB2312"/>
              <w:b/>
              <w:bCs/>
              <w:spacing w:val="-20"/>
              <w:kern w:val="2"/>
              <w:sz w:val="24"/>
              <w:szCs w:val="48"/>
            </w:rPr>
            <w:t>：</w:t>
          </w:r>
          <w:r>
            <w:rPr>
              <w:rFonts w:hint="eastAsia" w:ascii="仿宋_GB2312" w:hAnsi="仿宋_GB2312" w:eastAsia="仿宋_GB2312" w:cs="仿宋_GB2312"/>
              <w:b/>
              <w:spacing w:val="-20"/>
              <w:kern w:val="0"/>
              <w:sz w:val="24"/>
              <w:szCs w:val="48"/>
              <w:lang w:eastAsia="zh-CN"/>
            </w:rPr>
            <w:t>安阳县住房和城乡建设局大型排水泵购置项目</w:t>
          </w:r>
          <w:r>
            <w:rPr>
              <w:rFonts w:hint="eastAsia" w:ascii="仿宋_GB2312" w:hAnsi="仿宋_GB2312" w:eastAsia="仿宋_GB2312" w:cs="仿宋_GB2312"/>
              <w:b/>
              <w:spacing w:val="-20"/>
              <w:kern w:val="0"/>
              <w:sz w:val="24"/>
              <w:szCs w:val="48"/>
            </w:rPr>
            <w:t>绩效评价</w:t>
          </w:r>
          <w:r>
            <w:rPr>
              <w:rFonts w:hint="eastAsia" w:ascii="仿宋_GB2312" w:hAnsi="仿宋_GB2312" w:eastAsia="仿宋_GB2312" w:cs="仿宋_GB2312"/>
              <w:b/>
              <w:spacing w:val="-20"/>
              <w:kern w:val="0"/>
              <w:sz w:val="24"/>
              <w:szCs w:val="48"/>
              <w:lang w:eastAsia="zh-CN"/>
            </w:rPr>
            <w:t>评分表</w:t>
          </w:r>
          <w:r>
            <w:rPr>
              <w:rFonts w:hint="eastAsia" w:ascii="仿宋_GB2312" w:hAnsi="仿宋_GB2312" w:eastAsia="仿宋_GB2312" w:cs="仿宋_GB2312"/>
              <w:b/>
              <w:spacing w:val="-20"/>
              <w:kern w:val="0"/>
              <w:sz w:val="24"/>
              <w:szCs w:val="48"/>
              <w:lang w:val="en-US" w:eastAsia="zh-CN"/>
            </w:rPr>
            <w:t>.</w:t>
          </w:r>
          <w:r>
            <w:rPr>
              <w:rFonts w:hint="eastAsia" w:ascii="仿宋_GB2312" w:hAnsi="仿宋_GB2312" w:eastAsia="仿宋_GB2312" w:cs="仿宋_GB2312"/>
              <w:b/>
              <w:spacing w:val="-20"/>
              <w:kern w:val="0"/>
              <w:sz w:val="24"/>
              <w:szCs w:val="48"/>
              <w:lang w:val="en-US" w:eastAsia="zh-CN" w:bidi="ar-SA"/>
            </w:rPr>
            <w:t>..................</w:t>
          </w:r>
          <w:r>
            <w:rPr>
              <w:rFonts w:hint="eastAsia" w:ascii="仿宋_GB2312" w:hAnsi="仿宋_GB2312" w:eastAsia="仿宋_GB2312" w:cs="仿宋_GB2312"/>
              <w:b/>
              <w:spacing w:val="-20"/>
              <w:sz w:val="24"/>
              <w:szCs w:val="24"/>
              <w:lang w:val="en-US" w:eastAsia="zh-CN"/>
            </w:rPr>
            <w:t>1</w:t>
          </w:r>
          <w:r>
            <w:rPr>
              <w:rFonts w:hint="eastAsia" w:ascii="仿宋_GB2312" w:hAnsi="仿宋_GB2312" w:eastAsia="仿宋_GB2312" w:cs="仿宋_GB2312"/>
              <w:b/>
              <w:spacing w:val="-20"/>
              <w:sz w:val="24"/>
              <w:szCs w:val="24"/>
            </w:rPr>
            <w:fldChar w:fldCharType="end"/>
          </w:r>
          <w:r>
            <w:rPr>
              <w:rFonts w:hint="eastAsia" w:ascii="仿宋_GB2312" w:hAnsi="仿宋_GB2312" w:eastAsia="仿宋_GB2312" w:cs="仿宋_GB2312"/>
              <w:b/>
              <w:spacing w:val="-20"/>
              <w:sz w:val="24"/>
              <w:szCs w:val="24"/>
              <w:lang w:val="en-US" w:eastAsia="zh-CN"/>
            </w:rPr>
            <w:t>0</w:t>
          </w:r>
        </w:p>
        <w:p>
          <w:pPr>
            <w:rPr>
              <w:rFonts w:hint="eastAsia" w:ascii="仿宋_GB2312" w:hAnsi="仿宋_GB2312" w:eastAsia="仿宋_GB2312" w:cs="仿宋_GB2312"/>
            </w:rPr>
            <w:sectPr>
              <w:headerReference r:id="rId5" w:type="first"/>
              <w:footerReference r:id="rId7" w:type="first"/>
              <w:headerReference r:id="rId3" w:type="default"/>
              <w:headerReference r:id="rId4" w:type="even"/>
              <w:footerReference r:id="rId6" w:type="even"/>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hint="eastAsia" w:ascii="仿宋_GB2312" w:hAnsi="仿宋_GB2312" w:eastAsia="仿宋_GB2312" w:cs="仿宋_GB2312"/>
              <w:b/>
            </w:rPr>
            <w:fldChar w:fldCharType="end"/>
          </w:r>
        </w:p>
      </w:sdtContent>
    </w:sdt>
    <w:p>
      <w:pPr>
        <w:widowControl w:val="0"/>
        <w:spacing w:line="560" w:lineRule="exact"/>
        <w:jc w:val="center"/>
        <w:outlineLvl w:val="0"/>
        <w:rPr>
          <w:rFonts w:hint="eastAsia" w:ascii="仿宋_GB2312" w:hAnsi="仿宋_GB2312" w:eastAsia="仿宋_GB2312" w:cs="仿宋_GB2312"/>
          <w:b/>
          <w:bCs/>
          <w:sz w:val="36"/>
          <w:szCs w:val="40"/>
          <w:lang w:eastAsia="zh-CN"/>
        </w:rPr>
      </w:pPr>
      <w:bookmarkStart w:id="1" w:name="_Toc834"/>
      <w:bookmarkStart w:id="2" w:name="_Toc26159"/>
      <w:bookmarkStart w:id="3" w:name="_Toc74939773"/>
      <w:r>
        <w:rPr>
          <w:rFonts w:hint="eastAsia" w:ascii="仿宋_GB2312" w:hAnsi="仿宋_GB2312" w:eastAsia="仿宋_GB2312" w:cs="仿宋_GB2312"/>
          <w:b/>
          <w:bCs/>
          <w:sz w:val="36"/>
          <w:szCs w:val="40"/>
          <w:lang w:eastAsia="zh-CN"/>
        </w:rPr>
        <w:t>安阳县住房和城乡建设局大型排水泵购置项目</w:t>
      </w:r>
    </w:p>
    <w:p>
      <w:pPr>
        <w:widowControl w:val="0"/>
        <w:spacing w:line="560" w:lineRule="exact"/>
        <w:jc w:val="center"/>
        <w:outlineLvl w:val="0"/>
        <w:rPr>
          <w:rFonts w:hint="eastAsia" w:ascii="仿宋_GB2312" w:hAnsi="仿宋_GB2312" w:eastAsia="仿宋_GB2312" w:cs="仿宋_GB2312"/>
          <w:b/>
          <w:bCs/>
          <w:sz w:val="36"/>
          <w:szCs w:val="36"/>
        </w:rPr>
      </w:pPr>
      <w:r>
        <w:rPr>
          <w:rFonts w:hint="eastAsia" w:ascii="仿宋_GB2312" w:hAnsi="仿宋_GB2312" w:eastAsia="仿宋_GB2312" w:cs="仿宋_GB2312"/>
          <w:b/>
          <w:bCs/>
          <w:sz w:val="36"/>
          <w:szCs w:val="40"/>
        </w:rPr>
        <w:t>绩效评价报告</w:t>
      </w:r>
      <w:bookmarkEnd w:id="1"/>
      <w:bookmarkEnd w:id="2"/>
    </w:p>
    <w:p>
      <w:pPr>
        <w:widowControl w:val="0"/>
        <w:spacing w:line="560" w:lineRule="exact"/>
        <w:jc w:val="center"/>
        <w:outlineLvl w:val="0"/>
        <w:rPr>
          <w:rFonts w:hint="eastAsia"/>
          <w:highlight w:val="none"/>
        </w:rPr>
      </w:pPr>
      <w:r>
        <w:rPr>
          <w:rFonts w:hint="eastAsia" w:ascii="仿宋_GB2312" w:hAnsi="仿宋_GB2312" w:eastAsia="仿宋_GB2312" w:cs="仿宋_GB2312"/>
          <w:b/>
          <w:bCs/>
          <w:sz w:val="36"/>
          <w:szCs w:val="36"/>
          <w:lang w:val="en-US" w:eastAsia="zh-CN"/>
        </w:rPr>
        <w:t xml:space="preserve">                             </w:t>
      </w:r>
    </w:p>
    <w:p>
      <w:pPr>
        <w:pageBreakBefore w:val="0"/>
        <w:kinsoku/>
        <w:wordWrap/>
        <w:overflowPunct/>
        <w:topLinePunct w:val="0"/>
        <w:autoSpaceDE/>
        <w:autoSpaceDN/>
        <w:bidi w:val="0"/>
        <w:spacing w:line="360" w:lineRule="auto"/>
        <w:ind w:firstLine="640" w:firstLineChars="200"/>
        <w:jc w:val="both"/>
        <w:outlineLvl w:val="0"/>
        <w:rPr>
          <w:rFonts w:hint="eastAsia" w:ascii="Times New Roman" w:hAnsi="Times New Roman" w:eastAsia="仿宋_GB2312" w:cs="Times New Roman"/>
          <w:kern w:val="2"/>
          <w:sz w:val="32"/>
          <w:szCs w:val="36"/>
        </w:rPr>
      </w:pPr>
      <w:bookmarkStart w:id="4" w:name="_Toc16691"/>
      <w:r>
        <w:rPr>
          <w:rFonts w:hint="eastAsia" w:ascii="Times New Roman" w:hAnsi="Times New Roman" w:eastAsia="仿宋_GB2312" w:cs="Times New Roman"/>
          <w:kern w:val="2"/>
          <w:sz w:val="32"/>
          <w:szCs w:val="36"/>
        </w:rPr>
        <w:t>为深入贯彻落实《中共中央国务院关于全面实施预算绩效管理的意见》</w:t>
      </w:r>
      <w:r>
        <w:rPr>
          <w:rFonts w:hint="eastAsia" w:ascii="仿宋_GB2312" w:hAnsi="仿宋_GB2312" w:eastAsia="仿宋_GB2312" w:cs="仿宋_GB2312"/>
          <w:kern w:val="2"/>
          <w:sz w:val="32"/>
          <w:szCs w:val="36"/>
          <w:highlight w:val="none"/>
          <w:lang w:val="en-US" w:eastAsia="zh-CN" w:bidi="ar-SA"/>
        </w:rPr>
        <w:t>(中发(2018)34号)，</w:t>
      </w:r>
      <w:r>
        <w:rPr>
          <w:rFonts w:hint="eastAsia" w:ascii="Times New Roman" w:hAnsi="Times New Roman" w:eastAsia="仿宋_GB2312" w:cs="Times New Roman"/>
          <w:kern w:val="2"/>
          <w:sz w:val="32"/>
          <w:szCs w:val="36"/>
        </w:rPr>
        <w:t>扎实推进县级预算管理工作，不断增强预算绩效理念，强化部门支出责任，提高财政资金使用效益，根据《中共河南省委 河南省人民政府关于全面实施预算绩效管理的意见》、《安阳县财政局关于做好</w:t>
      </w:r>
      <w:r>
        <w:rPr>
          <w:rFonts w:hint="eastAsia" w:ascii="仿宋_GB2312" w:hAnsi="仿宋_GB2312" w:eastAsia="仿宋_GB2312" w:cs="仿宋_GB2312"/>
          <w:kern w:val="2"/>
          <w:sz w:val="32"/>
          <w:szCs w:val="36"/>
          <w:highlight w:val="none"/>
          <w:lang w:val="en-US" w:eastAsia="zh-CN" w:bidi="ar-SA"/>
        </w:rPr>
        <w:t>2022</w:t>
      </w:r>
      <w:r>
        <w:rPr>
          <w:rFonts w:hint="eastAsia" w:ascii="Times New Roman" w:hAnsi="Times New Roman" w:eastAsia="仿宋_GB2312" w:cs="Times New Roman"/>
          <w:kern w:val="2"/>
          <w:sz w:val="32"/>
          <w:szCs w:val="36"/>
        </w:rPr>
        <w:t>年财政支出重点项目及部门整体绩效评价工作的通知》（安县财效</w:t>
      </w:r>
      <w:r>
        <w:rPr>
          <w:rFonts w:hint="eastAsia" w:ascii="仿宋_GB2312" w:hAnsi="仿宋_GB2312" w:eastAsia="仿宋_GB2312" w:cs="仿宋_GB2312"/>
          <w:kern w:val="2"/>
          <w:sz w:val="32"/>
          <w:szCs w:val="36"/>
          <w:highlight w:val="none"/>
          <w:lang w:val="en-US" w:eastAsia="zh-CN" w:bidi="ar-SA"/>
        </w:rPr>
        <w:t>【2023】6号）等</w:t>
      </w:r>
      <w:r>
        <w:rPr>
          <w:rFonts w:hint="eastAsia" w:ascii="Times New Roman" w:hAnsi="Times New Roman" w:eastAsia="仿宋_GB2312" w:cs="Times New Roman"/>
          <w:kern w:val="2"/>
          <w:sz w:val="32"/>
          <w:szCs w:val="36"/>
        </w:rPr>
        <w:t>文件的有关要求，绩效评价工作小</w:t>
      </w:r>
      <w:r>
        <w:rPr>
          <w:rFonts w:hint="eastAsia" w:ascii="仿宋_GB2312" w:hAnsi="仿宋_GB2312" w:eastAsia="仿宋_GB2312" w:cs="仿宋_GB2312"/>
          <w:kern w:val="2"/>
          <w:sz w:val="32"/>
          <w:szCs w:val="36"/>
          <w:highlight w:val="none"/>
          <w:lang w:val="en-US" w:eastAsia="zh-CN" w:bidi="ar-SA"/>
        </w:rPr>
        <w:t>组于2023年08月对安阳县住房和城乡建设局大型排水泵购置项目</w:t>
      </w:r>
      <w:r>
        <w:rPr>
          <w:rFonts w:hint="eastAsia" w:ascii="Times New Roman" w:hAnsi="Times New Roman" w:eastAsia="仿宋_GB2312" w:cs="Times New Roman"/>
          <w:kern w:val="2"/>
          <w:sz w:val="32"/>
          <w:szCs w:val="36"/>
        </w:rPr>
        <w:t>（以下简称：该项目）实施了绩效评价，现将有关情况报告如下：</w:t>
      </w:r>
    </w:p>
    <w:p>
      <w:pPr>
        <w:pageBreakBefore w:val="0"/>
        <w:kinsoku/>
        <w:wordWrap/>
        <w:overflowPunct/>
        <w:topLinePunct w:val="0"/>
        <w:autoSpaceDE/>
        <w:autoSpaceDN/>
        <w:bidi w:val="0"/>
        <w:spacing w:line="360" w:lineRule="auto"/>
        <w:ind w:firstLine="643" w:firstLineChars="200"/>
        <w:jc w:val="both"/>
        <w:outlineLvl w:val="0"/>
        <w:rPr>
          <w:rFonts w:hint="eastAsia" w:ascii="仿宋_GB2312" w:hAnsi="仿宋_GB2312" w:eastAsia="仿宋_GB2312" w:cs="仿宋_GB2312"/>
          <w:b/>
          <w:bCs/>
          <w:sz w:val="32"/>
          <w:szCs w:val="36"/>
        </w:rPr>
      </w:pPr>
      <w:r>
        <w:rPr>
          <w:rFonts w:hint="eastAsia" w:ascii="仿宋_GB2312" w:hAnsi="仿宋_GB2312" w:eastAsia="仿宋_GB2312" w:cs="仿宋_GB2312"/>
          <w:b/>
          <w:bCs/>
          <w:sz w:val="32"/>
          <w:szCs w:val="36"/>
        </w:rPr>
        <w:t>一、基本概况</w:t>
      </w:r>
      <w:bookmarkEnd w:id="3"/>
      <w:bookmarkEnd w:id="4"/>
    </w:p>
    <w:p>
      <w:pPr>
        <w:pageBreakBefore w:val="0"/>
        <w:widowControl w:val="0"/>
        <w:kinsoku/>
        <w:wordWrap/>
        <w:overflowPunct/>
        <w:topLinePunct w:val="0"/>
        <w:autoSpaceDE/>
        <w:autoSpaceDN/>
        <w:bidi w:val="0"/>
        <w:spacing w:line="360" w:lineRule="auto"/>
        <w:ind w:firstLine="643" w:firstLineChars="200"/>
        <w:jc w:val="both"/>
        <w:outlineLvl w:val="1"/>
        <w:rPr>
          <w:rFonts w:hint="eastAsia" w:ascii="仿宋_GB2312" w:hAnsi="仿宋_GB2312" w:eastAsia="仿宋_GB2312" w:cs="仿宋_GB2312"/>
          <w:b/>
          <w:bCs/>
          <w:kern w:val="2"/>
          <w:sz w:val="32"/>
          <w:szCs w:val="36"/>
        </w:rPr>
      </w:pPr>
      <w:bookmarkStart w:id="5" w:name="_Toc74939774"/>
      <w:bookmarkStart w:id="6" w:name="_Toc13583"/>
      <w:r>
        <w:rPr>
          <w:rFonts w:hint="eastAsia" w:ascii="仿宋_GB2312" w:hAnsi="仿宋_GB2312" w:eastAsia="仿宋_GB2312" w:cs="仿宋_GB2312"/>
          <w:b/>
          <w:bCs/>
          <w:sz w:val="32"/>
          <w:szCs w:val="36"/>
        </w:rPr>
        <w:t>（一）项目概况</w:t>
      </w:r>
      <w:bookmarkEnd w:id="5"/>
      <w:bookmarkEnd w:id="6"/>
    </w:p>
    <w:p>
      <w:pPr>
        <w:pageBreakBefore w:val="0"/>
        <w:widowControl w:val="0"/>
        <w:wordWrap/>
        <w:topLinePunct w:val="0"/>
        <w:bidi w:val="0"/>
        <w:spacing w:line="360" w:lineRule="auto"/>
        <w:ind w:firstLine="640" w:firstLineChars="200"/>
        <w:jc w:val="both"/>
        <w:rPr>
          <w:rFonts w:hint="default" w:ascii="仿宋_GB2312" w:hAnsi="仿宋_GB2312" w:eastAsia="仿宋_GB2312" w:cs="仿宋_GB2312"/>
          <w:kern w:val="2"/>
          <w:sz w:val="32"/>
          <w:szCs w:val="36"/>
          <w:highlight w:val="none"/>
          <w:lang w:val="en-US" w:eastAsia="zh-CN" w:bidi="ar-SA"/>
        </w:rPr>
      </w:pPr>
      <w:bookmarkStart w:id="7" w:name="_Hlk74771306"/>
      <w:bookmarkStart w:id="8" w:name="_Toc9683"/>
      <w:bookmarkStart w:id="9" w:name="_Toc74939775"/>
      <w:r>
        <w:rPr>
          <w:rFonts w:hint="eastAsia" w:ascii="仿宋_GB2312" w:hAnsi="仿宋_GB2312" w:eastAsia="仿宋_GB2312" w:cs="仿宋_GB2312"/>
          <w:kern w:val="2"/>
          <w:sz w:val="32"/>
          <w:szCs w:val="36"/>
          <w:highlight w:val="none"/>
          <w:lang w:val="en-US" w:eastAsia="zh-CN" w:bidi="ar-SA"/>
        </w:rPr>
        <w:t>安阳县（示范区）目前处于新城建设阶段，市政设施排水设施建设还不完备，原有沟渠的行洪能力无法满足整体排水的需要，造成多处积水点影响通行，甚至造成安全隐患。安阳县住房和城乡建设局为消除安全隐患，减轻财产损失，购置大功率排水泵2台。</w:t>
      </w:r>
    </w:p>
    <w:p>
      <w:pPr>
        <w:pageBreakBefore w:val="0"/>
        <w:widowControl w:val="0"/>
        <w:wordWrap/>
        <w:topLinePunct w:val="0"/>
        <w:bidi w:val="0"/>
        <w:spacing w:line="360" w:lineRule="auto"/>
        <w:ind w:firstLine="640" w:firstLineChars="200"/>
        <w:jc w:val="both"/>
        <w:rPr>
          <w:rFonts w:hint="default" w:ascii="仿宋_GB2312" w:hAnsi="仿宋_GB2312" w:eastAsia="仿宋_GB2312" w:cs="仿宋_GB2312"/>
          <w:kern w:val="2"/>
          <w:sz w:val="32"/>
          <w:szCs w:val="36"/>
          <w:lang w:val="en-US" w:eastAsia="zh-CN"/>
        </w:rPr>
      </w:pPr>
      <w:r>
        <w:rPr>
          <w:rFonts w:hint="eastAsia" w:ascii="仿宋_GB2312" w:hAnsi="仿宋_GB2312" w:eastAsia="仿宋_GB2312" w:cs="仿宋_GB2312"/>
          <w:kern w:val="2"/>
          <w:sz w:val="32"/>
          <w:szCs w:val="36"/>
          <w:highlight w:val="none"/>
          <w:lang w:val="en-US" w:eastAsia="zh-CN" w:bidi="ar-SA"/>
        </w:rPr>
        <w:t>截至2022年12月31日，安阳县住房和城乡建设局大型排水泵购置项目资金总额40.00万元，实际到位资金40.00万元，资金到位率100%</w:t>
      </w:r>
      <w:r>
        <w:rPr>
          <w:rFonts w:hint="eastAsia" w:ascii="仿宋_GB2312" w:hAnsi="仿宋_GB2312" w:eastAsia="仿宋_GB2312" w:cs="仿宋_GB2312"/>
          <w:color w:val="000000"/>
          <w:kern w:val="0"/>
          <w:sz w:val="32"/>
          <w:szCs w:val="32"/>
          <w:lang w:val="en-US" w:eastAsia="zh-CN" w:bidi="ar-SA"/>
        </w:rPr>
        <w:t>；截止2022年12月31日，已支付40.00万元，资金执行率100%。</w:t>
      </w:r>
      <w:bookmarkEnd w:id="7"/>
    </w:p>
    <w:p>
      <w:pPr>
        <w:pageBreakBefore w:val="0"/>
        <w:widowControl w:val="0"/>
        <w:kinsoku/>
        <w:wordWrap/>
        <w:overflowPunct/>
        <w:topLinePunct w:val="0"/>
        <w:autoSpaceDE/>
        <w:autoSpaceDN/>
        <w:bidi w:val="0"/>
        <w:spacing w:line="360" w:lineRule="auto"/>
        <w:ind w:firstLine="643" w:firstLineChars="200"/>
        <w:jc w:val="both"/>
        <w:rPr>
          <w:rFonts w:hint="eastAsia" w:ascii="仿宋_GB2312" w:hAnsi="仿宋_GB2312" w:eastAsia="仿宋_GB2312" w:cs="仿宋_GB2312"/>
          <w:b/>
          <w:bCs/>
          <w:sz w:val="32"/>
          <w:szCs w:val="36"/>
        </w:rPr>
      </w:pPr>
      <w:r>
        <w:rPr>
          <w:rFonts w:hint="eastAsia" w:ascii="仿宋_GB2312" w:hAnsi="仿宋_GB2312" w:eastAsia="仿宋_GB2312" w:cs="仿宋_GB2312"/>
          <w:b/>
          <w:bCs/>
          <w:sz w:val="32"/>
          <w:szCs w:val="36"/>
        </w:rPr>
        <w:t>（二）项目绩效目标</w:t>
      </w:r>
      <w:bookmarkEnd w:id="8"/>
      <w:bookmarkEnd w:id="9"/>
    </w:p>
    <w:p>
      <w:pPr>
        <w:pageBreakBefore w:val="0"/>
        <w:widowControl w:val="0"/>
        <w:kinsoku/>
        <w:wordWrap/>
        <w:overflowPunct/>
        <w:topLinePunct w:val="0"/>
        <w:autoSpaceDE/>
        <w:autoSpaceDN/>
        <w:bidi w:val="0"/>
        <w:spacing w:line="360" w:lineRule="auto"/>
        <w:ind w:firstLine="640" w:firstLineChars="200"/>
        <w:jc w:val="both"/>
        <w:rPr>
          <w:rFonts w:hint="default" w:ascii="仿宋_GB2312" w:hAnsi="仿宋_GB2312" w:eastAsia="仿宋_GB2312" w:cs="仿宋_GB2312"/>
          <w:kern w:val="2"/>
          <w:sz w:val="32"/>
          <w:szCs w:val="36"/>
          <w:lang w:val="en-US" w:eastAsia="zh-CN"/>
        </w:rPr>
      </w:pPr>
      <w:bookmarkStart w:id="10" w:name="_Toc74939776"/>
      <w:r>
        <w:rPr>
          <w:rFonts w:hint="eastAsia" w:ascii="仿宋_GB2312" w:hAnsi="仿宋_GB2312" w:eastAsia="仿宋_GB2312" w:cs="仿宋_GB2312"/>
          <w:kern w:val="2"/>
          <w:sz w:val="32"/>
          <w:szCs w:val="36"/>
        </w:rPr>
        <w:t>总体目标：</w:t>
      </w:r>
      <w:r>
        <w:rPr>
          <w:rFonts w:hint="eastAsia" w:ascii="仿宋_GB2312" w:hAnsi="仿宋_GB2312" w:eastAsia="仿宋_GB2312" w:cs="仿宋_GB2312"/>
          <w:kern w:val="2"/>
          <w:sz w:val="32"/>
          <w:szCs w:val="36"/>
          <w:lang w:eastAsia="zh-CN"/>
        </w:rPr>
        <w:t>购置</w:t>
      </w:r>
      <w:r>
        <w:rPr>
          <w:rFonts w:hint="eastAsia" w:ascii="仿宋_GB2312" w:hAnsi="仿宋_GB2312" w:eastAsia="仿宋_GB2312" w:cs="仿宋_GB2312"/>
          <w:kern w:val="2"/>
          <w:sz w:val="32"/>
          <w:szCs w:val="36"/>
          <w:lang w:val="en-US" w:eastAsia="zh-CN"/>
        </w:rPr>
        <w:t>2台排水离心泵用于胡官屯沟汛期入洪河的强排，以及其他区域的抢险排水，提高区域防洪排涝减灾能力，保障人民群众生命财产安全，促进社会经济发展。</w:t>
      </w:r>
    </w:p>
    <w:p>
      <w:pPr>
        <w:pageBreakBefore w:val="0"/>
        <w:widowControl w:val="0"/>
        <w:kinsoku/>
        <w:wordWrap/>
        <w:overflowPunct/>
        <w:topLinePunct w:val="0"/>
        <w:autoSpaceDE/>
        <w:autoSpaceDN/>
        <w:bidi w:val="0"/>
        <w:spacing w:line="360" w:lineRule="auto"/>
        <w:ind w:firstLine="640" w:firstLineChars="200"/>
        <w:jc w:val="both"/>
        <w:rPr>
          <w:rFonts w:hint="eastAsia" w:ascii="仿宋_GB2312" w:hAnsi="仿宋_GB2312" w:eastAsia="仿宋_GB2312" w:cs="仿宋_GB2312"/>
          <w:kern w:val="2"/>
          <w:sz w:val="32"/>
          <w:szCs w:val="36"/>
          <w:lang w:eastAsia="zh-CN"/>
        </w:rPr>
      </w:pPr>
      <w:r>
        <w:rPr>
          <w:rFonts w:hint="eastAsia" w:ascii="仿宋_GB2312" w:hAnsi="仿宋_GB2312" w:eastAsia="仿宋_GB2312" w:cs="仿宋_GB2312"/>
          <w:kern w:val="2"/>
          <w:sz w:val="32"/>
          <w:szCs w:val="36"/>
        </w:rPr>
        <w:t>具体目标：</w:t>
      </w:r>
      <w:r>
        <w:rPr>
          <w:rFonts w:hint="eastAsia" w:ascii="仿宋_GB2312" w:hAnsi="仿宋_GB2312" w:eastAsia="仿宋_GB2312" w:cs="仿宋_GB2312"/>
          <w:kern w:val="2"/>
          <w:sz w:val="32"/>
          <w:szCs w:val="36"/>
          <w:lang w:eastAsia="zh-CN"/>
        </w:rPr>
        <w:t>完成排水离心泵的购买任务，保证汛期安全度汛，有效地减轻财产损失、消除安全隐患。</w:t>
      </w:r>
    </w:p>
    <w:p>
      <w:pPr>
        <w:pageBreakBefore w:val="0"/>
        <w:widowControl w:val="0"/>
        <w:kinsoku/>
        <w:wordWrap/>
        <w:overflowPunct/>
        <w:topLinePunct w:val="0"/>
        <w:autoSpaceDE/>
        <w:autoSpaceDN/>
        <w:bidi w:val="0"/>
        <w:spacing w:line="360" w:lineRule="auto"/>
        <w:ind w:firstLine="640" w:firstLineChars="200"/>
        <w:jc w:val="both"/>
        <w:rPr>
          <w:rFonts w:hint="eastAsia" w:ascii="仿宋_GB2312" w:hAnsi="仿宋_GB2312" w:eastAsia="仿宋_GB2312" w:cs="仿宋_GB2312"/>
          <w:lang w:val="en-US" w:eastAsia="zh-CN"/>
        </w:rPr>
      </w:pPr>
      <w:r>
        <w:rPr>
          <w:rFonts w:hint="eastAsia" w:ascii="仿宋_GB2312" w:hAnsi="仿宋_GB2312" w:eastAsia="仿宋_GB2312" w:cs="仿宋_GB2312"/>
          <w:kern w:val="2"/>
          <w:sz w:val="32"/>
          <w:szCs w:val="36"/>
          <w:lang w:val="en-US" w:eastAsia="zh-CN"/>
        </w:rPr>
        <w:t>具体年度绩效指标如表1-1所示。</w:t>
      </w:r>
    </w:p>
    <w:tbl>
      <w:tblPr>
        <w:tblStyle w:val="18"/>
        <w:tblW w:w="648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80"/>
        <w:gridCol w:w="2160"/>
        <w:gridCol w:w="1453"/>
        <w:gridCol w:w="17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6480" w:type="dxa"/>
            <w:gridSpan w:val="4"/>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tabs>
                <w:tab w:val="left" w:pos="2485"/>
              </w:tabs>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表1-1：年度绩效目标表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8" w:hRule="atLeast"/>
          <w:jc w:val="center"/>
        </w:trPr>
        <w:tc>
          <w:tcPr>
            <w:tcW w:w="108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一级指标</w:t>
            </w:r>
          </w:p>
        </w:tc>
        <w:tc>
          <w:tcPr>
            <w:tcW w:w="216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二级指标</w:t>
            </w:r>
          </w:p>
        </w:tc>
        <w:tc>
          <w:tcPr>
            <w:tcW w:w="145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三级指标</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指标值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jc w:val="center"/>
        </w:trPr>
        <w:tc>
          <w:tcPr>
            <w:tcW w:w="108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产出指标</w:t>
            </w:r>
          </w:p>
        </w:tc>
        <w:tc>
          <w:tcPr>
            <w:tcW w:w="216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数量指标</w:t>
            </w:r>
          </w:p>
        </w:tc>
        <w:tc>
          <w:tcPr>
            <w:tcW w:w="145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eastAsia" w:ascii="仿宋_GB2312" w:eastAsia="仿宋_GB2312" w:cs="仿宋_GB2312"/>
                <w:i w:val="0"/>
                <w:iCs w:val="0"/>
                <w:color w:val="000000"/>
                <w:kern w:val="0"/>
                <w:sz w:val="21"/>
                <w:szCs w:val="21"/>
                <w:u w:val="none"/>
                <w:lang w:val="en-US" w:eastAsia="zh-CN" w:bidi="ar"/>
              </w:rPr>
              <w:t>离心泵购买数量</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eastAsia" w:ascii="仿宋_GB2312" w:eastAsia="仿宋_GB2312" w:cs="仿宋_GB2312"/>
                <w:i w:val="0"/>
                <w:iCs w:val="0"/>
                <w:color w:val="000000"/>
                <w:kern w:val="0"/>
                <w:sz w:val="21"/>
                <w:szCs w:val="21"/>
                <w:u w:val="none"/>
                <w:lang w:val="en-US" w:eastAsia="zh-CN" w:bidi="ar"/>
              </w:rPr>
              <w:t>2台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08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default" w:ascii="仿宋_GB2312" w:hAnsi="宋体" w:eastAsia="仿宋_GB2312" w:cs="仿宋_GB2312"/>
                <w:i w:val="0"/>
                <w:iCs w:val="0"/>
                <w:color w:val="000000"/>
                <w:sz w:val="21"/>
                <w:szCs w:val="21"/>
                <w:u w:val="none"/>
              </w:rPr>
            </w:pPr>
          </w:p>
        </w:tc>
        <w:tc>
          <w:tcPr>
            <w:tcW w:w="216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质量指标</w:t>
            </w:r>
          </w:p>
        </w:tc>
        <w:tc>
          <w:tcPr>
            <w:tcW w:w="145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eastAsia" w:ascii="仿宋_GB2312" w:hAnsi="宋体" w:eastAsia="仿宋_GB2312" w:cs="仿宋_GB2312"/>
                <w:i w:val="0"/>
                <w:iCs w:val="0"/>
                <w:color w:val="000000"/>
                <w:sz w:val="21"/>
                <w:szCs w:val="21"/>
                <w:u w:val="none"/>
                <w:lang w:eastAsia="zh-CN"/>
              </w:rPr>
            </w:pPr>
            <w:r>
              <w:rPr>
                <w:rFonts w:hint="eastAsia" w:ascii="仿宋_GB2312" w:eastAsia="仿宋_GB2312" w:cs="仿宋_GB2312"/>
                <w:i w:val="0"/>
                <w:iCs w:val="0"/>
                <w:color w:val="000000"/>
                <w:sz w:val="21"/>
                <w:szCs w:val="21"/>
                <w:u w:val="none"/>
                <w:lang w:eastAsia="zh-CN"/>
              </w:rPr>
              <w:t>离心泵质量达标率</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08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default" w:ascii="仿宋_GB2312" w:hAnsi="宋体" w:eastAsia="仿宋_GB2312" w:cs="仿宋_GB2312"/>
                <w:i w:val="0"/>
                <w:iCs w:val="0"/>
                <w:color w:val="000000"/>
                <w:sz w:val="21"/>
                <w:szCs w:val="21"/>
                <w:u w:val="none"/>
              </w:rPr>
            </w:pPr>
          </w:p>
        </w:tc>
        <w:tc>
          <w:tcPr>
            <w:tcW w:w="216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时效指标</w:t>
            </w:r>
          </w:p>
        </w:tc>
        <w:tc>
          <w:tcPr>
            <w:tcW w:w="145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eastAsia" w:ascii="仿宋_GB2312" w:eastAsia="仿宋_GB2312" w:cs="仿宋_GB2312"/>
                <w:i w:val="0"/>
                <w:iCs w:val="0"/>
                <w:color w:val="000000"/>
                <w:kern w:val="0"/>
                <w:sz w:val="21"/>
                <w:szCs w:val="21"/>
                <w:u w:val="none"/>
                <w:lang w:val="en-US" w:eastAsia="zh-CN" w:bidi="ar"/>
              </w:rPr>
              <w:t>及时购买率</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08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default" w:ascii="仿宋_GB2312" w:hAnsi="宋体" w:eastAsia="仿宋_GB2312" w:cs="仿宋_GB2312"/>
                <w:i w:val="0"/>
                <w:iCs w:val="0"/>
                <w:color w:val="000000"/>
                <w:sz w:val="21"/>
                <w:szCs w:val="21"/>
                <w:u w:val="none"/>
              </w:rPr>
            </w:pPr>
          </w:p>
        </w:tc>
        <w:tc>
          <w:tcPr>
            <w:tcW w:w="216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default" w:ascii="仿宋_GB2312" w:hAnsi="宋体" w:eastAsia="仿宋_GB2312" w:cs="仿宋_GB2312"/>
                <w:i w:val="0"/>
                <w:iCs w:val="0"/>
                <w:color w:val="000000"/>
                <w:sz w:val="21"/>
                <w:szCs w:val="21"/>
                <w:u w:val="none"/>
              </w:rPr>
            </w:pPr>
          </w:p>
        </w:tc>
        <w:tc>
          <w:tcPr>
            <w:tcW w:w="145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eastAsia" w:ascii="仿宋_GB2312" w:eastAsia="仿宋_GB2312" w:cs="仿宋_GB2312"/>
                <w:i w:val="0"/>
                <w:iCs w:val="0"/>
                <w:color w:val="000000"/>
                <w:kern w:val="0"/>
                <w:sz w:val="21"/>
                <w:szCs w:val="21"/>
                <w:u w:val="none"/>
                <w:lang w:val="en-US" w:eastAsia="zh-CN" w:bidi="ar"/>
              </w:rPr>
              <w:t>及时到货率</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lang w:val="en-US"/>
              </w:rPr>
            </w:pPr>
            <w:r>
              <w:rPr>
                <w:rFonts w:hint="eastAsia" w:ascii="仿宋_GB2312" w:eastAsia="仿宋_GB2312" w:cs="仿宋_GB2312"/>
                <w:i w:val="0"/>
                <w:iCs w:val="0"/>
                <w:color w:val="000000"/>
                <w:kern w:val="0"/>
                <w:sz w:val="21"/>
                <w:szCs w:val="21"/>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08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成本指标</w:t>
            </w:r>
          </w:p>
        </w:tc>
        <w:tc>
          <w:tcPr>
            <w:tcW w:w="216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成本指标</w:t>
            </w:r>
          </w:p>
        </w:tc>
        <w:tc>
          <w:tcPr>
            <w:tcW w:w="145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eastAsia" w:ascii="仿宋_GB2312" w:eastAsia="仿宋_GB2312" w:cs="仿宋_GB2312"/>
                <w:i w:val="0"/>
                <w:iCs w:val="0"/>
                <w:color w:val="000000"/>
                <w:kern w:val="0"/>
                <w:sz w:val="21"/>
                <w:szCs w:val="21"/>
                <w:u w:val="none"/>
                <w:lang w:val="en-US" w:eastAsia="zh-CN" w:bidi="ar"/>
              </w:rPr>
              <w:t>离心泵购买成本</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lang w:val="en-US"/>
              </w:rPr>
            </w:pPr>
            <w:r>
              <w:rPr>
                <w:rFonts w:hint="eastAsia" w:ascii="仿宋_GB2312" w:eastAsia="仿宋_GB2312" w:cs="仿宋_GB2312"/>
                <w:i w:val="0"/>
                <w:iCs w:val="0"/>
                <w:color w:val="000000"/>
                <w:kern w:val="0"/>
                <w:sz w:val="21"/>
                <w:szCs w:val="21"/>
                <w:u w:val="none"/>
                <w:lang w:val="en-US" w:eastAsia="zh-CN" w:bidi="ar"/>
              </w:rPr>
              <w:t>45万元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08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效益指标</w:t>
            </w:r>
          </w:p>
        </w:tc>
        <w:tc>
          <w:tcPr>
            <w:tcW w:w="216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经济效益</w:t>
            </w:r>
            <w:r>
              <w:rPr>
                <w:rFonts w:hint="eastAsia" w:ascii="仿宋_GB2312" w:eastAsia="仿宋_GB2312" w:cs="仿宋_GB2312"/>
                <w:i w:val="0"/>
                <w:iCs w:val="0"/>
                <w:color w:val="000000"/>
                <w:kern w:val="0"/>
                <w:sz w:val="21"/>
                <w:szCs w:val="21"/>
                <w:u w:val="none"/>
                <w:lang w:val="en-US" w:eastAsia="zh-CN" w:bidi="ar"/>
              </w:rPr>
              <w:t>指标</w:t>
            </w:r>
          </w:p>
        </w:tc>
        <w:tc>
          <w:tcPr>
            <w:tcW w:w="145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sz w:val="21"/>
                <w:szCs w:val="21"/>
                <w:u w:val="none"/>
                <w:lang w:eastAsia="zh-CN"/>
              </w:rPr>
              <w:t>有效地减轻财产损失</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eastAsia" w:ascii="仿宋_GB2312" w:hAnsi="宋体" w:eastAsia="仿宋_GB2312" w:cs="仿宋_GB2312"/>
                <w:i w:val="0"/>
                <w:iCs w:val="0"/>
                <w:color w:val="000000"/>
                <w:sz w:val="21"/>
                <w:szCs w:val="21"/>
                <w:u w:val="none"/>
                <w:lang w:eastAsia="zh-CN"/>
              </w:rPr>
            </w:pPr>
            <w:r>
              <w:rPr>
                <w:rFonts w:hint="eastAsia" w:ascii="仿宋_GB2312" w:eastAsia="仿宋_GB2312" w:cs="仿宋_GB2312"/>
                <w:i w:val="0"/>
                <w:iCs w:val="0"/>
                <w:color w:val="000000"/>
                <w:sz w:val="21"/>
                <w:szCs w:val="21"/>
                <w:u w:val="none"/>
                <w:lang w:eastAsia="zh-CN"/>
              </w:rPr>
              <w:t>明显提升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08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default" w:ascii="仿宋_GB2312" w:hAnsi="宋体" w:eastAsia="仿宋_GB2312" w:cs="仿宋_GB2312"/>
                <w:i w:val="0"/>
                <w:iCs w:val="0"/>
                <w:color w:val="000000"/>
                <w:sz w:val="21"/>
                <w:szCs w:val="21"/>
                <w:u w:val="none"/>
              </w:rPr>
            </w:pPr>
          </w:p>
        </w:tc>
        <w:tc>
          <w:tcPr>
            <w:tcW w:w="216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社会效益指标</w:t>
            </w:r>
          </w:p>
        </w:tc>
        <w:tc>
          <w:tcPr>
            <w:tcW w:w="145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sz w:val="21"/>
                <w:szCs w:val="21"/>
                <w:u w:val="none"/>
                <w:lang w:eastAsia="zh-CN"/>
              </w:rPr>
              <w:t>保证汛期安全度汛</w:t>
            </w:r>
            <w:r>
              <w:rPr>
                <w:rFonts w:hint="eastAsia" w:ascii="仿宋_GB2312" w:eastAsia="仿宋_GB2312" w:cs="仿宋_GB2312"/>
                <w:i w:val="0"/>
                <w:iCs w:val="0"/>
                <w:color w:val="000000"/>
                <w:sz w:val="21"/>
                <w:szCs w:val="21"/>
                <w:u w:val="none"/>
                <w:lang w:eastAsia="zh-CN"/>
              </w:rPr>
              <w:t>，消除安全隐患</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eastAsia" w:ascii="仿宋_GB2312" w:eastAsia="仿宋_GB2312" w:cs="仿宋_GB2312"/>
                <w:i w:val="0"/>
                <w:iCs w:val="0"/>
                <w:color w:val="000000"/>
                <w:sz w:val="21"/>
                <w:szCs w:val="21"/>
                <w:u w:val="none"/>
                <w:lang w:eastAsia="zh-CN"/>
              </w:rPr>
              <w:t>明显提升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jc w:val="center"/>
        </w:trPr>
        <w:tc>
          <w:tcPr>
            <w:tcW w:w="108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满意度指标</w:t>
            </w:r>
          </w:p>
        </w:tc>
        <w:tc>
          <w:tcPr>
            <w:tcW w:w="2160"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服务对象满意度指标</w:t>
            </w:r>
          </w:p>
        </w:tc>
        <w:tc>
          <w:tcPr>
            <w:tcW w:w="145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both"/>
              <w:textAlignment w:val="center"/>
              <w:rPr>
                <w:rFonts w:hint="default" w:ascii="仿宋_GB2312" w:hAnsi="宋体" w:eastAsia="仿宋_GB2312" w:cs="仿宋_GB2312"/>
                <w:i w:val="0"/>
                <w:iCs w:val="0"/>
                <w:color w:val="000000"/>
                <w:sz w:val="21"/>
                <w:szCs w:val="21"/>
                <w:u w:val="none"/>
              </w:rPr>
            </w:pPr>
            <w:r>
              <w:rPr>
                <w:rFonts w:hint="eastAsia" w:ascii="仿宋_GB2312" w:eastAsia="仿宋_GB2312" w:cs="仿宋_GB2312"/>
                <w:i w:val="0"/>
                <w:iCs w:val="0"/>
                <w:color w:val="000000"/>
                <w:kern w:val="0"/>
                <w:sz w:val="21"/>
                <w:szCs w:val="21"/>
                <w:u w:val="none"/>
                <w:lang w:val="en-US" w:eastAsia="zh-CN" w:bidi="ar"/>
              </w:rPr>
              <w:t>直接服务对象</w:t>
            </w:r>
            <w:r>
              <w:rPr>
                <w:rFonts w:hint="default" w:ascii="仿宋_GB2312" w:hAnsi="宋体" w:eastAsia="仿宋_GB2312" w:cs="仿宋_GB2312"/>
                <w:i w:val="0"/>
                <w:iCs w:val="0"/>
                <w:color w:val="000000"/>
                <w:kern w:val="0"/>
                <w:sz w:val="21"/>
                <w:szCs w:val="21"/>
                <w:u w:val="none"/>
                <w:lang w:val="en-US" w:eastAsia="zh-CN" w:bidi="ar"/>
              </w:rPr>
              <w:t>满意</w:t>
            </w:r>
            <w:r>
              <w:rPr>
                <w:rFonts w:hint="eastAsia" w:ascii="仿宋_GB2312" w:eastAsia="仿宋_GB2312" w:cs="仿宋_GB2312"/>
                <w:i w:val="0"/>
                <w:iCs w:val="0"/>
                <w:color w:val="000000"/>
                <w:kern w:val="0"/>
                <w:sz w:val="21"/>
                <w:szCs w:val="21"/>
                <w:u w:val="none"/>
                <w:lang w:val="en-US" w:eastAsia="zh-CN" w:bidi="ar"/>
              </w:rPr>
              <w:t>度</w:t>
            </w:r>
          </w:p>
        </w:tc>
        <w:tc>
          <w:tcPr>
            <w:tcW w:w="1787"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default" w:ascii="仿宋_GB2312" w:hAnsi="宋体" w:eastAsia="仿宋_GB2312" w:cs="仿宋_GB2312"/>
                <w:i w:val="0"/>
                <w:iCs w:val="0"/>
                <w:color w:val="000000"/>
                <w:sz w:val="21"/>
                <w:szCs w:val="21"/>
                <w:u w:val="none"/>
              </w:rPr>
            </w:pPr>
            <w:r>
              <w:rPr>
                <w:rFonts w:hint="default" w:ascii="仿宋_GB2312" w:hAnsi="宋体" w:eastAsia="仿宋_GB2312" w:cs="仿宋_GB2312"/>
                <w:i w:val="0"/>
                <w:iCs w:val="0"/>
                <w:color w:val="000000"/>
                <w:kern w:val="0"/>
                <w:sz w:val="21"/>
                <w:szCs w:val="21"/>
                <w:u w:val="none"/>
                <w:lang w:val="en-US" w:eastAsia="zh-CN" w:bidi="ar"/>
              </w:rPr>
              <w:t>9</w:t>
            </w:r>
            <w:r>
              <w:rPr>
                <w:rFonts w:hint="eastAsia" w:ascii="仿宋_GB2312" w:eastAsia="仿宋_GB2312" w:cs="仿宋_GB2312"/>
                <w:i w:val="0"/>
                <w:iCs w:val="0"/>
                <w:color w:val="000000"/>
                <w:kern w:val="0"/>
                <w:sz w:val="21"/>
                <w:szCs w:val="21"/>
                <w:u w:val="none"/>
                <w:lang w:val="en-US" w:eastAsia="zh-CN" w:bidi="ar"/>
              </w:rPr>
              <w:t>8</w:t>
            </w:r>
            <w:r>
              <w:rPr>
                <w:rFonts w:hint="default" w:ascii="仿宋_GB2312" w:hAnsi="宋体" w:eastAsia="仿宋_GB2312" w:cs="仿宋_GB2312"/>
                <w:i w:val="0"/>
                <w:iCs w:val="0"/>
                <w:color w:val="000000"/>
                <w:kern w:val="0"/>
                <w:sz w:val="21"/>
                <w:szCs w:val="21"/>
                <w:u w:val="none"/>
                <w:lang w:val="en-US" w:eastAsia="zh-CN" w:bidi="ar"/>
              </w:rPr>
              <w:t>%</w:t>
            </w:r>
          </w:p>
        </w:tc>
      </w:tr>
    </w:tbl>
    <w:p>
      <w:pPr>
        <w:pageBreakBefore w:val="0"/>
        <w:widowControl w:val="0"/>
        <w:kinsoku/>
        <w:wordWrap/>
        <w:overflowPunct/>
        <w:topLinePunct w:val="0"/>
        <w:autoSpaceDE/>
        <w:autoSpaceDN/>
        <w:bidi w:val="0"/>
        <w:spacing w:line="360" w:lineRule="auto"/>
        <w:jc w:val="both"/>
        <w:rPr>
          <w:rFonts w:hint="eastAsia" w:ascii="仿宋_GB2312" w:hAnsi="仿宋_GB2312" w:eastAsia="仿宋_GB2312" w:cs="仿宋_GB2312"/>
          <w:kern w:val="2"/>
          <w:sz w:val="32"/>
          <w:szCs w:val="36"/>
          <w:lang w:val="en-US"/>
        </w:rPr>
      </w:pPr>
    </w:p>
    <w:p>
      <w:pPr>
        <w:pageBreakBefore w:val="0"/>
        <w:kinsoku/>
        <w:wordWrap/>
        <w:overflowPunct/>
        <w:topLinePunct w:val="0"/>
        <w:autoSpaceDE/>
        <w:autoSpaceDN/>
        <w:bidi w:val="0"/>
        <w:spacing w:line="360" w:lineRule="auto"/>
        <w:ind w:firstLine="643" w:firstLineChars="200"/>
        <w:jc w:val="both"/>
        <w:outlineLvl w:val="0"/>
        <w:rPr>
          <w:rFonts w:hint="eastAsia" w:ascii="仿宋_GB2312" w:hAnsi="仿宋_GB2312" w:eastAsia="仿宋_GB2312" w:cs="仿宋_GB2312"/>
          <w:b/>
          <w:bCs/>
          <w:sz w:val="32"/>
          <w:szCs w:val="36"/>
        </w:rPr>
      </w:pPr>
      <w:bookmarkStart w:id="11" w:name="_Toc22768"/>
      <w:r>
        <w:rPr>
          <w:rFonts w:hint="eastAsia" w:ascii="仿宋_GB2312" w:hAnsi="仿宋_GB2312" w:eastAsia="仿宋_GB2312" w:cs="仿宋_GB2312"/>
          <w:b/>
          <w:bCs/>
          <w:sz w:val="32"/>
          <w:szCs w:val="36"/>
        </w:rPr>
        <w:t>二、绩效评价工作开展情况</w:t>
      </w:r>
      <w:bookmarkEnd w:id="11"/>
    </w:p>
    <w:bookmarkEnd w:id="10"/>
    <w:p>
      <w:pPr>
        <w:pageBreakBefore w:val="0"/>
        <w:widowControl w:val="0"/>
        <w:kinsoku/>
        <w:wordWrap/>
        <w:overflowPunct/>
        <w:topLinePunct w:val="0"/>
        <w:autoSpaceDE/>
        <w:autoSpaceDN/>
        <w:bidi w:val="0"/>
        <w:spacing w:line="360" w:lineRule="auto"/>
        <w:ind w:firstLine="643" w:firstLineChars="200"/>
        <w:jc w:val="both"/>
        <w:outlineLvl w:val="1"/>
        <w:rPr>
          <w:rFonts w:hint="eastAsia" w:ascii="仿宋_GB2312" w:hAnsi="仿宋_GB2312" w:eastAsia="仿宋_GB2312" w:cs="仿宋_GB2312"/>
          <w:b/>
          <w:bCs/>
          <w:kern w:val="2"/>
          <w:sz w:val="32"/>
          <w:szCs w:val="36"/>
        </w:rPr>
      </w:pPr>
      <w:bookmarkStart w:id="12" w:name="_Toc12302"/>
      <w:bookmarkStart w:id="13" w:name="_Toc74939782"/>
      <w:r>
        <w:rPr>
          <w:rFonts w:hint="eastAsia" w:ascii="仿宋_GB2312" w:hAnsi="仿宋_GB2312" w:eastAsia="仿宋_GB2312" w:cs="仿宋_GB2312"/>
          <w:b/>
          <w:bCs/>
          <w:sz w:val="32"/>
          <w:szCs w:val="36"/>
        </w:rPr>
        <w:t>（一）评价目的、对象及范围</w:t>
      </w:r>
      <w:bookmarkEnd w:id="12"/>
    </w:p>
    <w:p>
      <w:pPr>
        <w:pageBreakBefore w:val="0"/>
        <w:kinsoku/>
        <w:wordWrap/>
        <w:overflowPunct/>
        <w:topLinePunct w:val="0"/>
        <w:autoSpaceDE/>
        <w:autoSpaceDN/>
        <w:bidi w:val="0"/>
        <w:spacing w:line="360" w:lineRule="auto"/>
        <w:ind w:firstLine="640" w:firstLineChars="200"/>
        <w:outlineLvl w:val="1"/>
        <w:rPr>
          <w:rFonts w:hint="eastAsia" w:ascii="Times New Roman" w:hAnsi="Times New Roman" w:eastAsia="仿宋_GB2312" w:cs="Times New Roman"/>
          <w:kern w:val="2"/>
          <w:sz w:val="32"/>
          <w:szCs w:val="36"/>
        </w:rPr>
      </w:pPr>
      <w:bookmarkStart w:id="14" w:name="_Toc5954"/>
      <w:r>
        <w:rPr>
          <w:rFonts w:hint="eastAsia" w:ascii="Times New Roman" w:hAnsi="Times New Roman" w:eastAsia="仿宋_GB2312" w:cs="Times New Roman"/>
          <w:kern w:val="2"/>
          <w:sz w:val="32"/>
          <w:szCs w:val="36"/>
        </w:rPr>
        <w:t>通过对项目的了解和调查，掌握项目实施的全过程，对项目的立项依据、项目的各项管理监督、项目的各项保障措施、项目取得的经济效益、社会效益等进行了解，从中发现问题、总结经验，进一步加强预算绩效管理，强化预算支出责任，提高财政资金使用效益，并优化项目的工作程序，提高项目工作效率。为预算主管部门决策提供科学依据和动态管理手段。</w:t>
      </w:r>
    </w:p>
    <w:p>
      <w:pPr>
        <w:pageBreakBefore w:val="0"/>
        <w:kinsoku/>
        <w:wordWrap/>
        <w:overflowPunct/>
        <w:topLinePunct w:val="0"/>
        <w:autoSpaceDE/>
        <w:autoSpaceDN/>
        <w:bidi w:val="0"/>
        <w:spacing w:line="360" w:lineRule="auto"/>
        <w:ind w:firstLine="640" w:firstLineChars="200"/>
        <w:outlineLvl w:val="1"/>
        <w:rPr>
          <w:rFonts w:hint="eastAsia" w:ascii="Times New Roman" w:hAnsi="Times New Roman" w:eastAsia="仿宋_GB2312" w:cs="Times New Roman"/>
          <w:kern w:val="2"/>
          <w:sz w:val="32"/>
          <w:szCs w:val="36"/>
          <w:lang w:eastAsia="zh-CN"/>
        </w:rPr>
      </w:pPr>
      <w:r>
        <w:rPr>
          <w:rFonts w:hint="eastAsia" w:ascii="Times New Roman" w:hAnsi="Times New Roman" w:eastAsia="仿宋_GB2312" w:cs="Times New Roman"/>
          <w:kern w:val="2"/>
          <w:sz w:val="32"/>
          <w:szCs w:val="36"/>
        </w:rPr>
        <w:t>本次绩效评价对象是“</w:t>
      </w:r>
      <w:r>
        <w:rPr>
          <w:rFonts w:hint="eastAsia" w:ascii="仿宋_GB2312" w:hAnsi="仿宋_GB2312" w:eastAsia="仿宋_GB2312" w:cs="仿宋_GB2312"/>
          <w:kern w:val="2"/>
          <w:sz w:val="32"/>
          <w:szCs w:val="36"/>
          <w:lang w:eastAsia="zh-CN"/>
        </w:rPr>
        <w:t>安阳县住房和城乡建设局大型排水泵购置项目</w:t>
      </w:r>
      <w:r>
        <w:rPr>
          <w:rFonts w:hint="eastAsia" w:ascii="仿宋_GB2312" w:hAnsi="仿宋_GB2312" w:eastAsia="仿宋_GB2312" w:cs="仿宋_GB2312"/>
          <w:kern w:val="2"/>
          <w:sz w:val="32"/>
          <w:szCs w:val="36"/>
        </w:rPr>
        <w:t>”涉及的</w:t>
      </w:r>
      <w:r>
        <w:rPr>
          <w:rFonts w:hint="eastAsia" w:ascii="仿宋_GB2312" w:hAnsi="仿宋_GB2312" w:eastAsia="仿宋_GB2312" w:cs="仿宋_GB2312"/>
          <w:kern w:val="2"/>
          <w:sz w:val="32"/>
          <w:szCs w:val="36"/>
          <w:highlight w:val="none"/>
        </w:rPr>
        <w:t>财政预算资金</w:t>
      </w:r>
      <w:r>
        <w:rPr>
          <w:rFonts w:hint="eastAsia" w:ascii="仿宋_GB2312" w:hAnsi="仿宋_GB2312" w:eastAsia="仿宋_GB2312" w:cs="仿宋_GB2312"/>
          <w:color w:val="000000"/>
          <w:kern w:val="0"/>
          <w:sz w:val="32"/>
          <w:szCs w:val="32"/>
          <w:lang w:val="en-US" w:eastAsia="zh-CN" w:bidi="ar-SA"/>
        </w:rPr>
        <w:t>40.00</w:t>
      </w:r>
      <w:r>
        <w:rPr>
          <w:rFonts w:hint="eastAsia" w:ascii="仿宋_GB2312" w:hAnsi="仿宋_GB2312" w:eastAsia="仿宋_GB2312" w:cs="仿宋_GB2312"/>
          <w:kern w:val="2"/>
          <w:sz w:val="32"/>
          <w:szCs w:val="36"/>
        </w:rPr>
        <w:t>万元。</w:t>
      </w:r>
      <w:r>
        <w:rPr>
          <w:rFonts w:hint="eastAsia" w:ascii="仿宋_GB2312" w:hAnsi="仿宋_GB2312" w:eastAsia="仿宋_GB2312" w:cs="仿宋_GB2312"/>
          <w:kern w:val="2"/>
          <w:sz w:val="32"/>
          <w:szCs w:val="36"/>
          <w:highlight w:val="none"/>
        </w:rPr>
        <w:t>评价相关</w:t>
      </w:r>
      <w:r>
        <w:rPr>
          <w:rFonts w:hint="eastAsia" w:ascii="Times New Roman" w:hAnsi="Times New Roman" w:eastAsia="仿宋_GB2312" w:cs="Times New Roman"/>
          <w:kern w:val="2"/>
          <w:sz w:val="32"/>
          <w:szCs w:val="36"/>
          <w:highlight w:val="none"/>
        </w:rPr>
        <w:t>方</w:t>
      </w:r>
      <w:r>
        <w:rPr>
          <w:rFonts w:hint="eastAsia" w:ascii="Times New Roman" w:hAnsi="Times New Roman" w:eastAsia="仿宋_GB2312" w:cs="Times New Roman"/>
          <w:kern w:val="2"/>
          <w:sz w:val="32"/>
          <w:szCs w:val="36"/>
          <w:highlight w:val="none"/>
          <w:lang w:eastAsia="zh-CN"/>
        </w:rPr>
        <w:t>为</w:t>
      </w:r>
      <w:r>
        <w:rPr>
          <w:rFonts w:hint="eastAsia" w:ascii="Times New Roman" w:hAnsi="Times New Roman" w:eastAsia="仿宋_GB2312" w:cs="Times New Roman"/>
          <w:kern w:val="2"/>
          <w:sz w:val="32"/>
          <w:szCs w:val="36"/>
          <w:lang w:eastAsia="zh-CN"/>
        </w:rPr>
        <w:t>安阳县住房和城乡建设局。</w:t>
      </w:r>
    </w:p>
    <w:p>
      <w:pPr>
        <w:pageBreakBefore w:val="0"/>
        <w:kinsoku/>
        <w:wordWrap/>
        <w:overflowPunct/>
        <w:topLinePunct w:val="0"/>
        <w:autoSpaceDE/>
        <w:autoSpaceDN/>
        <w:bidi w:val="0"/>
        <w:spacing w:line="360" w:lineRule="auto"/>
        <w:ind w:firstLine="643" w:firstLineChars="200"/>
        <w:outlineLvl w:val="1"/>
        <w:rPr>
          <w:rFonts w:hint="eastAsia" w:ascii="仿宋_GB2312" w:hAnsi="仿宋_GB2312" w:eastAsia="仿宋_GB2312" w:cs="仿宋_GB2312"/>
          <w:b/>
          <w:bCs/>
          <w:sz w:val="32"/>
          <w:szCs w:val="36"/>
        </w:rPr>
      </w:pPr>
      <w:r>
        <w:rPr>
          <w:rFonts w:hint="eastAsia" w:ascii="仿宋_GB2312" w:hAnsi="仿宋_GB2312" w:eastAsia="仿宋_GB2312" w:cs="仿宋_GB2312"/>
          <w:b/>
          <w:bCs/>
          <w:sz w:val="32"/>
          <w:szCs w:val="36"/>
        </w:rPr>
        <w:t>（二）评价指标体系</w:t>
      </w:r>
      <w:bookmarkEnd w:id="14"/>
    </w:p>
    <w:p>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仿宋_GB2312" w:hAnsi="Times New Roman" w:eastAsia="仿宋_GB2312" w:cs="Times New Roman"/>
          <w:kern w:val="2"/>
          <w:sz w:val="32"/>
          <w:szCs w:val="32"/>
          <w:lang w:val="en-US" w:eastAsia="zh-CN"/>
        </w:rPr>
      </w:pPr>
      <w:r>
        <w:rPr>
          <w:rFonts w:hint="eastAsia" w:ascii="Times New Roman" w:hAnsi="Times New Roman" w:eastAsia="仿宋_GB2312" w:cs="Times New Roman"/>
          <w:kern w:val="2"/>
          <w:sz w:val="32"/>
          <w:szCs w:val="36"/>
        </w:rPr>
        <w:t>本次绩效评价指标体系按照“决策</w:t>
      </w:r>
      <w:r>
        <w:rPr>
          <w:rFonts w:ascii="Times New Roman" w:hAnsi="Times New Roman" w:eastAsia="仿宋_GB2312" w:cs="Times New Roman"/>
          <w:kern w:val="2"/>
          <w:sz w:val="32"/>
          <w:szCs w:val="36"/>
        </w:rPr>
        <w:t>-</w:t>
      </w:r>
      <w:r>
        <w:rPr>
          <w:rFonts w:hint="eastAsia" w:ascii="Times New Roman" w:hAnsi="Times New Roman" w:eastAsia="仿宋_GB2312" w:cs="Times New Roman"/>
          <w:kern w:val="2"/>
          <w:sz w:val="32"/>
          <w:szCs w:val="36"/>
        </w:rPr>
        <w:t>过程</w:t>
      </w:r>
      <w:r>
        <w:rPr>
          <w:rFonts w:ascii="Times New Roman" w:hAnsi="Times New Roman" w:eastAsia="仿宋_GB2312" w:cs="Times New Roman"/>
          <w:kern w:val="2"/>
          <w:sz w:val="32"/>
          <w:szCs w:val="36"/>
        </w:rPr>
        <w:t>-</w:t>
      </w:r>
      <w:r>
        <w:rPr>
          <w:rFonts w:hint="eastAsia" w:ascii="Times New Roman" w:hAnsi="Times New Roman" w:eastAsia="仿宋_GB2312" w:cs="Times New Roman"/>
          <w:kern w:val="2"/>
          <w:sz w:val="32"/>
          <w:szCs w:val="36"/>
        </w:rPr>
        <w:t>产出</w:t>
      </w:r>
      <w:r>
        <w:rPr>
          <w:rFonts w:ascii="Times New Roman" w:hAnsi="Times New Roman" w:eastAsia="仿宋_GB2312" w:cs="Times New Roman"/>
          <w:kern w:val="2"/>
          <w:sz w:val="32"/>
          <w:szCs w:val="36"/>
        </w:rPr>
        <w:t>-</w:t>
      </w:r>
      <w:r>
        <w:rPr>
          <w:rFonts w:hint="eastAsia" w:ascii="Times New Roman" w:hAnsi="Times New Roman" w:eastAsia="仿宋_GB2312" w:cs="Times New Roman"/>
          <w:kern w:val="2"/>
          <w:sz w:val="32"/>
          <w:szCs w:val="36"/>
        </w:rPr>
        <w:t>效益”的逻辑路径分层设</w:t>
      </w:r>
      <w:r>
        <w:rPr>
          <w:rFonts w:hint="eastAsia" w:ascii="仿宋_GB2312" w:hAnsi="Times New Roman" w:eastAsia="仿宋_GB2312" w:cs="Times New Roman"/>
          <w:kern w:val="2"/>
          <w:sz w:val="32"/>
          <w:szCs w:val="32"/>
          <w:lang w:val="en-US" w:eastAsia="zh-CN"/>
        </w:rPr>
        <w:t>定，划分为4个一级指标、14个二级指标和21个三级指标。总分值为100分。</w:t>
      </w:r>
    </w:p>
    <w:p>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仿宋_GB2312" w:hAnsi="Times New Roman" w:eastAsia="仿宋_GB2312" w:cs="Times New Roman"/>
          <w:kern w:val="2"/>
          <w:sz w:val="32"/>
          <w:szCs w:val="32"/>
          <w:lang w:val="en-US" w:eastAsia="zh-CN"/>
        </w:rPr>
      </w:pPr>
      <w:r>
        <w:rPr>
          <w:rFonts w:hint="eastAsia" w:ascii="仿宋_GB2312" w:hAnsi="Times New Roman" w:eastAsia="仿宋_GB2312" w:cs="Times New Roman"/>
          <w:kern w:val="2"/>
          <w:sz w:val="32"/>
          <w:szCs w:val="32"/>
          <w:lang w:val="en-US" w:eastAsia="zh-CN"/>
        </w:rPr>
        <w:t>一是决策（16分）。主要评价项目立项依据充分性、项目立项程序规范性、绩效目标合理性、绩效指标明确性及预算编制科学性和资金分配合理性。</w:t>
      </w:r>
    </w:p>
    <w:p>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仿宋_GB2312" w:hAnsi="Times New Roman" w:eastAsia="仿宋_GB2312" w:cs="Times New Roman"/>
          <w:kern w:val="2"/>
          <w:sz w:val="32"/>
          <w:szCs w:val="32"/>
          <w:lang w:val="en-US" w:eastAsia="zh-CN"/>
        </w:rPr>
      </w:pPr>
      <w:r>
        <w:rPr>
          <w:rFonts w:hint="eastAsia" w:ascii="仿宋_GB2312" w:hAnsi="Times New Roman" w:eastAsia="仿宋_GB2312" w:cs="Times New Roman"/>
          <w:kern w:val="2"/>
          <w:sz w:val="32"/>
          <w:szCs w:val="32"/>
          <w:lang w:val="en-US" w:eastAsia="zh-CN"/>
        </w:rPr>
        <w:t>二是过程（20分）。主要评价预算执行时效性、资金使用合规性、财务管理制度健全性、财务管理制度执行有效性、资金拨付及时率、项目管理制度健全性、项目使用规范性。</w:t>
      </w:r>
    </w:p>
    <w:p>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仿宋_GB2312" w:hAnsi="Times New Roman" w:eastAsia="仿宋_GB2312" w:cs="Times New Roman"/>
          <w:kern w:val="2"/>
          <w:sz w:val="32"/>
          <w:szCs w:val="32"/>
          <w:lang w:val="en-US" w:eastAsia="zh-CN"/>
        </w:rPr>
      </w:pPr>
      <w:r>
        <w:rPr>
          <w:rFonts w:hint="eastAsia" w:ascii="仿宋_GB2312" w:hAnsi="Times New Roman" w:eastAsia="仿宋_GB2312" w:cs="Times New Roman"/>
          <w:kern w:val="2"/>
          <w:sz w:val="32"/>
          <w:szCs w:val="32"/>
          <w:lang w:val="en-US" w:eastAsia="zh-CN"/>
        </w:rPr>
        <w:t>三是产出（40分）。主要评价数量指标、质量指标、时效指标、项目总成本。</w:t>
      </w:r>
    </w:p>
    <w:p>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仿宋_GB2312" w:hAnsi="仿宋_GB2312" w:eastAsia="仿宋_GB2312" w:cs="仿宋_GB2312"/>
          <w:kern w:val="2"/>
          <w:sz w:val="32"/>
          <w:szCs w:val="36"/>
        </w:rPr>
      </w:pPr>
      <w:r>
        <w:rPr>
          <w:rFonts w:hint="eastAsia" w:ascii="仿宋_GB2312" w:hAnsi="Times New Roman" w:eastAsia="仿宋_GB2312" w:cs="Times New Roman"/>
          <w:kern w:val="2"/>
          <w:sz w:val="32"/>
          <w:szCs w:val="32"/>
          <w:lang w:val="en-US" w:eastAsia="zh-CN"/>
        </w:rPr>
        <w:t>四是效益（24分）</w:t>
      </w:r>
      <w:r>
        <w:rPr>
          <w:rFonts w:hint="eastAsia" w:ascii="Times New Roman" w:hAnsi="Times New Roman" w:eastAsia="仿宋_GB2312" w:cs="Times New Roman"/>
          <w:kern w:val="2"/>
          <w:sz w:val="32"/>
          <w:szCs w:val="36"/>
        </w:rPr>
        <w:t>。主要评价</w:t>
      </w:r>
      <w:r>
        <w:rPr>
          <w:rFonts w:hint="eastAsia" w:ascii="Times New Roman" w:hAnsi="Times New Roman" w:eastAsia="仿宋_GB2312" w:cs="Times New Roman"/>
          <w:kern w:val="2"/>
          <w:sz w:val="32"/>
          <w:szCs w:val="36"/>
          <w:lang w:eastAsia="zh-CN"/>
        </w:rPr>
        <w:t>社会效益、生态效益、经济效益、可持续影响效益</w:t>
      </w:r>
      <w:r>
        <w:rPr>
          <w:rFonts w:hint="eastAsia" w:ascii="Times New Roman" w:hAnsi="Times New Roman" w:eastAsia="仿宋_GB2312" w:cs="Times New Roman"/>
          <w:kern w:val="2"/>
          <w:sz w:val="32"/>
          <w:szCs w:val="36"/>
        </w:rPr>
        <w:t>及服务对象满意度。</w:t>
      </w:r>
      <w:r>
        <w:rPr>
          <w:rFonts w:hint="eastAsia" w:ascii="仿宋_GB2312" w:hAnsi="仿宋_GB2312" w:eastAsia="仿宋_GB2312" w:cs="仿宋_GB2312"/>
          <w:kern w:val="2"/>
          <w:sz w:val="32"/>
          <w:szCs w:val="36"/>
          <w:lang w:val="en-US" w:eastAsia="zh-CN"/>
        </w:rPr>
        <w:t xml:space="preserve">   </w:t>
      </w:r>
    </w:p>
    <w:p>
      <w:pPr>
        <w:pageBreakBefore w:val="0"/>
        <w:kinsoku/>
        <w:wordWrap/>
        <w:overflowPunct/>
        <w:topLinePunct w:val="0"/>
        <w:autoSpaceDE/>
        <w:autoSpaceDN/>
        <w:bidi w:val="0"/>
        <w:spacing w:line="360" w:lineRule="auto"/>
        <w:ind w:firstLine="643" w:firstLineChars="200"/>
        <w:outlineLvl w:val="1"/>
        <w:rPr>
          <w:rFonts w:hint="eastAsia" w:ascii="仿宋_GB2312" w:hAnsi="仿宋_GB2312" w:eastAsia="仿宋_GB2312" w:cs="仿宋_GB2312"/>
          <w:b/>
          <w:bCs/>
          <w:sz w:val="32"/>
          <w:szCs w:val="36"/>
        </w:rPr>
      </w:pPr>
      <w:bookmarkStart w:id="15" w:name="_Toc74939780"/>
      <w:bookmarkStart w:id="16" w:name="_Toc8754"/>
      <w:r>
        <w:rPr>
          <w:rFonts w:hint="eastAsia" w:ascii="仿宋_GB2312" w:hAnsi="仿宋_GB2312" w:eastAsia="仿宋_GB2312" w:cs="仿宋_GB2312"/>
          <w:b/>
          <w:bCs/>
          <w:sz w:val="32"/>
          <w:szCs w:val="36"/>
        </w:rPr>
        <w:t>（三）绩效评价原则、方法和标准</w:t>
      </w:r>
      <w:bookmarkEnd w:id="15"/>
      <w:bookmarkEnd w:id="16"/>
    </w:p>
    <w:p>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仿宋_GB2312" w:hAnsi="Times New Roman" w:eastAsia="仿宋_GB2312" w:cs="Times New Roman"/>
          <w:kern w:val="2"/>
          <w:sz w:val="32"/>
          <w:szCs w:val="32"/>
          <w:lang w:val="en-US" w:eastAsia="zh-CN"/>
        </w:rPr>
      </w:pPr>
      <w:bookmarkStart w:id="17" w:name="_Toc27948"/>
      <w:r>
        <w:rPr>
          <w:rFonts w:hint="eastAsia" w:ascii="仿宋_GB2312" w:hAnsi="Times New Roman" w:eastAsia="仿宋_GB2312" w:cs="Times New Roman"/>
          <w:kern w:val="2"/>
          <w:sz w:val="32"/>
          <w:szCs w:val="32"/>
          <w:lang w:val="en-US" w:eastAsia="zh-CN"/>
        </w:rPr>
        <w:t>绩效评价方法主要有成本效益分析法、比较法、因素分析法、最低成本法、公众评判法、标杆管理法等。</w:t>
      </w:r>
    </w:p>
    <w:p>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仿宋_GB2312" w:hAnsi="Times New Roman" w:eastAsia="仿宋_GB2312" w:cs="Times New Roman"/>
          <w:kern w:val="2"/>
          <w:sz w:val="32"/>
          <w:szCs w:val="32"/>
          <w:lang w:val="en-US" w:eastAsia="zh-CN"/>
        </w:rPr>
      </w:pPr>
      <w:r>
        <w:rPr>
          <w:rFonts w:hint="eastAsia" w:ascii="仿宋_GB2312" w:hAnsi="Times New Roman" w:eastAsia="仿宋_GB2312" w:cs="Times New Roman"/>
          <w:kern w:val="2"/>
          <w:sz w:val="32"/>
          <w:szCs w:val="32"/>
          <w:lang w:val="en-US" w:eastAsia="zh-CN"/>
        </w:rPr>
        <w:t>根据所收集的基础资料，结合现场勘查的有关情况，汇总整理出该项目绩效评价基础资料和数据，形成系统、完整的评价资料体系。通过对项目资料、数据进行分析，汇总、计算项目绩效结果，对该项目绩效情况进行全面的定量、定性分析和综合评价，并进行量化打分。</w:t>
      </w:r>
    </w:p>
    <w:p>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仿宋_GB2312" w:hAnsi="Times New Roman" w:eastAsia="仿宋_GB2312" w:cs="Times New Roman"/>
          <w:kern w:val="2"/>
          <w:sz w:val="32"/>
          <w:szCs w:val="32"/>
          <w:lang w:val="en-US" w:eastAsia="zh-CN"/>
        </w:rPr>
      </w:pPr>
      <w:r>
        <w:rPr>
          <w:rFonts w:hint="eastAsia" w:ascii="仿宋_GB2312" w:hAnsi="Times New Roman" w:eastAsia="仿宋_GB2312" w:cs="Times New Roman"/>
          <w:kern w:val="2"/>
          <w:sz w:val="32"/>
          <w:szCs w:val="32"/>
          <w:lang w:val="en-US" w:eastAsia="zh-CN"/>
        </w:rPr>
        <w:t>项目最终评价等级分定为四级：优：得分90分—100分（含90分）；良：得分80分—90分（含80分）；中：得分60分—80分（含60分)；差：得分60分以下。</w:t>
      </w:r>
    </w:p>
    <w:p>
      <w:pPr>
        <w:pageBreakBefore w:val="0"/>
        <w:kinsoku/>
        <w:wordWrap/>
        <w:overflowPunct/>
        <w:topLinePunct w:val="0"/>
        <w:autoSpaceDE/>
        <w:autoSpaceDN/>
        <w:bidi w:val="0"/>
        <w:spacing w:line="360" w:lineRule="auto"/>
        <w:ind w:firstLine="643" w:firstLineChars="200"/>
        <w:outlineLvl w:val="1"/>
        <w:rPr>
          <w:rFonts w:hint="eastAsia" w:ascii="仿宋_GB2312" w:hAnsi="仿宋_GB2312" w:eastAsia="仿宋_GB2312" w:cs="仿宋_GB2312"/>
          <w:b/>
          <w:bCs/>
          <w:sz w:val="32"/>
          <w:szCs w:val="36"/>
        </w:rPr>
      </w:pPr>
      <w:r>
        <w:rPr>
          <w:rFonts w:hint="eastAsia" w:ascii="仿宋_GB2312" w:hAnsi="仿宋_GB2312" w:eastAsia="仿宋_GB2312" w:cs="仿宋_GB2312"/>
          <w:b/>
          <w:bCs/>
          <w:sz w:val="32"/>
          <w:szCs w:val="36"/>
        </w:rPr>
        <w:t>（四）绩效评价工作过程</w:t>
      </w:r>
      <w:bookmarkEnd w:id="17"/>
    </w:p>
    <w:p>
      <w:pPr>
        <w:pageBreakBefore w:val="0"/>
        <w:widowControl w:val="0"/>
        <w:kinsoku/>
        <w:wordWrap/>
        <w:overflowPunct/>
        <w:topLinePunct w:val="0"/>
        <w:autoSpaceDE/>
        <w:autoSpaceDN/>
        <w:bidi w:val="0"/>
        <w:spacing w:line="360" w:lineRule="auto"/>
        <w:ind w:firstLine="640" w:firstLineChars="200"/>
        <w:jc w:val="both"/>
        <w:rPr>
          <w:rFonts w:hint="eastAsia" w:ascii="仿宋_GB2312" w:hAnsi="仿宋_GB2312" w:eastAsia="仿宋_GB2312" w:cs="仿宋_GB2312"/>
          <w:kern w:val="2"/>
          <w:sz w:val="32"/>
          <w:szCs w:val="36"/>
        </w:rPr>
      </w:pPr>
      <w:r>
        <w:rPr>
          <w:rFonts w:hint="eastAsia" w:ascii="仿宋_GB2312" w:hAnsi="仿宋_GB2312" w:eastAsia="仿宋_GB2312" w:cs="仿宋_GB2312"/>
          <w:kern w:val="2"/>
          <w:sz w:val="32"/>
          <w:szCs w:val="36"/>
        </w:rPr>
        <w:t>本次绩效评价工作期间为202</w:t>
      </w:r>
      <w:r>
        <w:rPr>
          <w:rFonts w:hint="eastAsia" w:ascii="仿宋_GB2312" w:hAnsi="仿宋_GB2312" w:eastAsia="仿宋_GB2312" w:cs="仿宋_GB2312"/>
          <w:kern w:val="2"/>
          <w:sz w:val="32"/>
          <w:szCs w:val="36"/>
          <w:lang w:val="en-US" w:eastAsia="zh-CN"/>
        </w:rPr>
        <w:t>3</w:t>
      </w:r>
      <w:r>
        <w:rPr>
          <w:rFonts w:hint="eastAsia" w:ascii="仿宋_GB2312" w:hAnsi="仿宋_GB2312" w:eastAsia="仿宋_GB2312" w:cs="仿宋_GB2312"/>
          <w:kern w:val="2"/>
          <w:sz w:val="32"/>
          <w:szCs w:val="36"/>
        </w:rPr>
        <w:t>年</w:t>
      </w:r>
      <w:r>
        <w:rPr>
          <w:rFonts w:hint="eastAsia" w:ascii="仿宋_GB2312" w:hAnsi="仿宋_GB2312" w:eastAsia="仿宋_GB2312" w:cs="仿宋_GB2312"/>
          <w:kern w:val="2"/>
          <w:sz w:val="32"/>
          <w:szCs w:val="36"/>
          <w:lang w:val="en-US" w:eastAsia="zh-CN"/>
        </w:rPr>
        <w:t>08</w:t>
      </w:r>
      <w:r>
        <w:rPr>
          <w:rFonts w:hint="eastAsia" w:ascii="仿宋_GB2312" w:hAnsi="仿宋_GB2312" w:eastAsia="仿宋_GB2312" w:cs="仿宋_GB2312"/>
          <w:kern w:val="2"/>
          <w:sz w:val="32"/>
          <w:szCs w:val="36"/>
        </w:rPr>
        <w:t>月</w:t>
      </w:r>
      <w:r>
        <w:rPr>
          <w:rFonts w:hint="eastAsia" w:ascii="仿宋_GB2312" w:hAnsi="仿宋_GB2312" w:eastAsia="仿宋_GB2312" w:cs="仿宋_GB2312"/>
          <w:kern w:val="2"/>
          <w:sz w:val="32"/>
          <w:szCs w:val="36"/>
          <w:lang w:val="en-US" w:eastAsia="zh-CN"/>
        </w:rPr>
        <w:t>17</w:t>
      </w:r>
      <w:r>
        <w:rPr>
          <w:rFonts w:hint="eastAsia" w:ascii="仿宋_GB2312" w:hAnsi="仿宋_GB2312" w:eastAsia="仿宋_GB2312" w:cs="仿宋_GB2312"/>
          <w:kern w:val="2"/>
          <w:sz w:val="32"/>
          <w:szCs w:val="36"/>
        </w:rPr>
        <w:t>日</w:t>
      </w:r>
      <w:r>
        <w:rPr>
          <w:rFonts w:hint="eastAsia" w:ascii="仿宋_GB2312" w:hAnsi="仿宋_GB2312" w:eastAsia="仿宋_GB2312" w:cs="仿宋_GB2312"/>
          <w:kern w:val="2"/>
          <w:sz w:val="32"/>
          <w:szCs w:val="36"/>
          <w:highlight w:val="none"/>
        </w:rPr>
        <w:t>至</w:t>
      </w:r>
      <w:r>
        <w:rPr>
          <w:rFonts w:hint="eastAsia" w:ascii="仿宋_GB2312" w:hAnsi="仿宋_GB2312" w:eastAsia="仿宋_GB2312" w:cs="仿宋_GB2312"/>
          <w:kern w:val="2"/>
          <w:sz w:val="32"/>
          <w:szCs w:val="36"/>
          <w:highlight w:val="none"/>
          <w:lang w:val="en-US" w:eastAsia="zh-CN"/>
        </w:rPr>
        <w:t>09</w:t>
      </w:r>
      <w:r>
        <w:rPr>
          <w:rFonts w:hint="eastAsia" w:ascii="仿宋_GB2312" w:hAnsi="仿宋_GB2312" w:eastAsia="仿宋_GB2312" w:cs="仿宋_GB2312"/>
          <w:kern w:val="2"/>
          <w:sz w:val="32"/>
          <w:szCs w:val="36"/>
          <w:highlight w:val="none"/>
        </w:rPr>
        <w:t>月</w:t>
      </w:r>
      <w:r>
        <w:rPr>
          <w:rFonts w:hint="eastAsia" w:ascii="仿宋_GB2312" w:hAnsi="仿宋_GB2312" w:eastAsia="仿宋_GB2312" w:cs="仿宋_GB2312"/>
          <w:kern w:val="2"/>
          <w:sz w:val="32"/>
          <w:szCs w:val="36"/>
          <w:highlight w:val="none"/>
          <w:lang w:val="en-US" w:eastAsia="zh-CN"/>
        </w:rPr>
        <w:t>15</w:t>
      </w:r>
      <w:r>
        <w:rPr>
          <w:rFonts w:hint="eastAsia" w:ascii="仿宋_GB2312" w:hAnsi="仿宋_GB2312" w:eastAsia="仿宋_GB2312" w:cs="仿宋_GB2312"/>
          <w:kern w:val="2"/>
          <w:sz w:val="32"/>
          <w:szCs w:val="36"/>
        </w:rPr>
        <w:t>日，历经前期准备、具体实施、数据分析与报告撰写等阶段。在此基础上，按要求形成初步评价报告，并根据相关部门、专家意见进行修改完善，形成最终绩效评价报告。</w:t>
      </w:r>
    </w:p>
    <w:p>
      <w:pPr>
        <w:pageBreakBefore w:val="0"/>
        <w:kinsoku/>
        <w:wordWrap/>
        <w:overflowPunct/>
        <w:topLinePunct w:val="0"/>
        <w:autoSpaceDE/>
        <w:autoSpaceDN/>
        <w:bidi w:val="0"/>
        <w:spacing w:line="360" w:lineRule="auto"/>
        <w:ind w:firstLine="643" w:firstLineChars="200"/>
        <w:jc w:val="both"/>
        <w:outlineLvl w:val="0"/>
        <w:rPr>
          <w:rFonts w:hint="eastAsia" w:ascii="仿宋_GB2312" w:hAnsi="仿宋_GB2312" w:eastAsia="仿宋_GB2312" w:cs="仿宋_GB2312"/>
          <w:b/>
          <w:bCs/>
          <w:sz w:val="32"/>
          <w:szCs w:val="36"/>
        </w:rPr>
      </w:pPr>
      <w:bookmarkStart w:id="18" w:name="_Toc144"/>
      <w:r>
        <w:rPr>
          <w:rFonts w:hint="eastAsia" w:ascii="仿宋_GB2312" w:hAnsi="仿宋_GB2312" w:eastAsia="仿宋_GB2312" w:cs="仿宋_GB2312"/>
          <w:b/>
          <w:bCs/>
          <w:sz w:val="32"/>
          <w:szCs w:val="36"/>
        </w:rPr>
        <w:t>三、综合评价</w:t>
      </w:r>
      <w:bookmarkEnd w:id="13"/>
      <w:r>
        <w:rPr>
          <w:rFonts w:hint="eastAsia" w:ascii="仿宋_GB2312" w:hAnsi="仿宋_GB2312" w:eastAsia="仿宋_GB2312" w:cs="仿宋_GB2312"/>
          <w:b/>
          <w:bCs/>
          <w:sz w:val="32"/>
          <w:szCs w:val="36"/>
        </w:rPr>
        <w:t>情况及评价结论</w:t>
      </w:r>
      <w:bookmarkEnd w:id="18"/>
    </w:p>
    <w:p>
      <w:pPr>
        <w:pageBreakBefore w:val="0"/>
        <w:kinsoku/>
        <w:wordWrap/>
        <w:overflowPunct/>
        <w:topLinePunct w:val="0"/>
        <w:autoSpaceDE/>
        <w:autoSpaceDN/>
        <w:bidi w:val="0"/>
        <w:spacing w:line="360" w:lineRule="auto"/>
        <w:ind w:firstLine="643" w:firstLineChars="200"/>
        <w:outlineLvl w:val="1"/>
        <w:rPr>
          <w:rFonts w:hint="eastAsia"/>
        </w:rPr>
      </w:pPr>
      <w:bookmarkStart w:id="19" w:name="_Toc74030225"/>
      <w:bookmarkStart w:id="20" w:name="_Toc74939783"/>
      <w:bookmarkStart w:id="21" w:name="_Toc605"/>
      <w:r>
        <w:rPr>
          <w:rFonts w:hint="eastAsia" w:ascii="仿宋_GB2312" w:hAnsi="仿宋_GB2312" w:eastAsia="仿宋_GB2312" w:cs="仿宋_GB2312"/>
          <w:b/>
          <w:bCs/>
          <w:sz w:val="32"/>
          <w:szCs w:val="36"/>
        </w:rPr>
        <w:t>（一）综合评价情况</w:t>
      </w:r>
      <w:bookmarkEnd w:id="19"/>
      <w:bookmarkEnd w:id="20"/>
      <w:bookmarkEnd w:id="21"/>
    </w:p>
    <w:p>
      <w:pPr>
        <w:pStyle w:val="8"/>
        <w:ind w:firstLine="640" w:firstLineChars="200"/>
        <w:rPr>
          <w:rFonts w:hint="eastAsia" w:ascii="仿宋_GB2312" w:hAnsi="仿宋_GB2312" w:eastAsia="仿宋_GB2312" w:cs="仿宋_GB2312"/>
          <w:kern w:val="2"/>
          <w:sz w:val="32"/>
          <w:szCs w:val="36"/>
          <w:lang w:val="en-US" w:eastAsia="zh-CN" w:bidi="ar-SA"/>
        </w:rPr>
      </w:pPr>
      <w:r>
        <w:rPr>
          <w:rFonts w:hint="eastAsia" w:ascii="Times New Roman" w:hAnsi="Times New Roman" w:eastAsia="仿宋_GB2312" w:cs="Times New Roman"/>
          <w:kern w:val="2"/>
          <w:sz w:val="32"/>
          <w:szCs w:val="36"/>
          <w:lang w:eastAsia="zh-CN"/>
        </w:rPr>
        <w:t>评价组人员通过数据采集分析、实地调研和访谈等方式，对获得的数据与资料进行了切实深入的分析，根据绩效评价指标体系进行了细致的评分，该项目决策科学，依据充分，项目管理较为规范，项目完成效果好，实施后达到了预期目的，提高了区域防洪排涝减灾能力，能够保障人民群众生命财产安全。</w:t>
      </w:r>
      <w:r>
        <w:rPr>
          <w:rFonts w:hint="eastAsia" w:ascii="仿宋_GB2312" w:hAnsi="仿宋_GB2312" w:eastAsia="仿宋_GB2312" w:cs="仿宋_GB2312"/>
          <w:kern w:val="2"/>
          <w:sz w:val="32"/>
          <w:szCs w:val="36"/>
          <w:lang w:eastAsia="zh-CN"/>
        </w:rPr>
        <w:t>但</w:t>
      </w:r>
      <w:r>
        <w:rPr>
          <w:rFonts w:hint="eastAsia" w:ascii="仿宋_GB2312" w:hAnsi="仿宋_GB2312" w:eastAsia="仿宋_GB2312" w:cs="仿宋_GB2312"/>
          <w:kern w:val="2"/>
          <w:sz w:val="32"/>
          <w:szCs w:val="36"/>
          <w:highlight w:val="none"/>
          <w:lang w:eastAsia="zh-CN"/>
        </w:rPr>
        <w:t>在管理制度等方面存在一些问题</w:t>
      </w:r>
      <w:r>
        <w:rPr>
          <w:rFonts w:hint="eastAsia" w:ascii="仿宋_GB2312" w:hAnsi="仿宋_GB2312" w:eastAsia="仿宋_GB2312" w:cs="仿宋_GB2312"/>
          <w:kern w:val="2"/>
          <w:sz w:val="32"/>
          <w:szCs w:val="36"/>
          <w:lang w:eastAsia="zh-CN"/>
        </w:rPr>
        <w:t>。</w:t>
      </w:r>
    </w:p>
    <w:p>
      <w:pPr>
        <w:pageBreakBefore w:val="0"/>
        <w:kinsoku/>
        <w:wordWrap/>
        <w:overflowPunct/>
        <w:topLinePunct w:val="0"/>
        <w:autoSpaceDE/>
        <w:autoSpaceDN/>
        <w:bidi w:val="0"/>
        <w:spacing w:line="360" w:lineRule="auto"/>
        <w:ind w:firstLine="643" w:firstLineChars="200"/>
        <w:outlineLvl w:val="1"/>
        <w:rPr>
          <w:rFonts w:hint="eastAsia" w:ascii="仿宋_GB2312" w:hAnsi="仿宋_GB2312" w:eastAsia="仿宋_GB2312" w:cs="仿宋_GB2312"/>
          <w:b/>
          <w:bCs/>
          <w:sz w:val="32"/>
          <w:szCs w:val="36"/>
        </w:rPr>
      </w:pPr>
      <w:bookmarkStart w:id="22" w:name="_Toc15924"/>
      <w:bookmarkStart w:id="23" w:name="_Toc74939784"/>
      <w:bookmarkStart w:id="24" w:name="_Toc74030226"/>
      <w:bookmarkStart w:id="25" w:name="_Toc74939785"/>
      <w:bookmarkStart w:id="26" w:name="_Toc43151969"/>
      <w:bookmarkStart w:id="27" w:name="_Toc12001083"/>
      <w:bookmarkStart w:id="28" w:name="_Toc519063322"/>
      <w:r>
        <w:rPr>
          <w:rFonts w:hint="eastAsia" w:ascii="仿宋_GB2312" w:hAnsi="仿宋_GB2312" w:eastAsia="仿宋_GB2312" w:cs="仿宋_GB2312"/>
          <w:b/>
          <w:bCs/>
          <w:sz w:val="32"/>
          <w:szCs w:val="36"/>
        </w:rPr>
        <w:t>（二）总体评价结论</w:t>
      </w:r>
      <w:bookmarkEnd w:id="22"/>
      <w:bookmarkEnd w:id="23"/>
      <w:bookmarkEnd w:id="24"/>
    </w:p>
    <w:p>
      <w:pPr>
        <w:pageBreakBefore w:val="0"/>
        <w:kinsoku/>
        <w:wordWrap/>
        <w:overflowPunct/>
        <w:topLinePunct w:val="0"/>
        <w:autoSpaceDE/>
        <w:autoSpaceDN/>
        <w:bidi w:val="0"/>
        <w:spacing w:line="360" w:lineRule="auto"/>
        <w:ind w:firstLine="640" w:firstLineChars="200"/>
        <w:contextualSpacing/>
        <w:jc w:val="both"/>
        <w:rPr>
          <w:rFonts w:hint="eastAsia" w:ascii="仿宋_GB2312" w:hAnsi="仿宋_GB2312" w:eastAsia="仿宋_GB2312" w:cs="仿宋_GB2312"/>
          <w:kern w:val="2"/>
          <w:sz w:val="32"/>
          <w:szCs w:val="36"/>
        </w:rPr>
      </w:pPr>
      <w:r>
        <w:rPr>
          <w:rFonts w:hint="eastAsia" w:ascii="仿宋_GB2312" w:hAnsi="仿宋_GB2312" w:eastAsia="仿宋_GB2312" w:cs="仿宋_GB2312"/>
          <w:kern w:val="2"/>
          <w:sz w:val="32"/>
          <w:szCs w:val="36"/>
        </w:rPr>
        <w:t>依据绩效评价指标体系进行评分，</w:t>
      </w:r>
      <w:r>
        <w:rPr>
          <w:rFonts w:hint="eastAsia" w:ascii="仿宋_GB2312" w:hAnsi="仿宋_GB2312" w:eastAsia="仿宋_GB2312" w:cs="仿宋_GB2312"/>
          <w:kern w:val="2"/>
          <w:sz w:val="32"/>
          <w:szCs w:val="36"/>
          <w:lang w:eastAsia="zh-CN"/>
        </w:rPr>
        <w:t>安阳县住房和城乡建设局大型排水泵购置项目</w:t>
      </w:r>
      <w:r>
        <w:rPr>
          <w:rFonts w:hint="eastAsia" w:ascii="仿宋_GB2312" w:hAnsi="仿宋_GB2312" w:eastAsia="仿宋_GB2312" w:cs="仿宋_GB2312"/>
          <w:kern w:val="2"/>
          <w:sz w:val="32"/>
          <w:szCs w:val="36"/>
        </w:rPr>
        <w:t>总体得分</w:t>
      </w:r>
      <w:r>
        <w:rPr>
          <w:rFonts w:hint="eastAsia" w:ascii="仿宋_GB2312" w:hAnsi="仿宋_GB2312" w:eastAsia="仿宋_GB2312" w:cs="仿宋_GB2312"/>
          <w:kern w:val="2"/>
          <w:sz w:val="32"/>
          <w:szCs w:val="36"/>
          <w:highlight w:val="none"/>
        </w:rPr>
        <w:t>为</w:t>
      </w:r>
      <w:r>
        <w:rPr>
          <w:rFonts w:hint="eastAsia" w:ascii="仿宋_GB2312" w:hAnsi="仿宋_GB2312" w:eastAsia="仿宋_GB2312" w:cs="仿宋_GB2312"/>
          <w:kern w:val="2"/>
          <w:sz w:val="32"/>
          <w:szCs w:val="36"/>
          <w:highlight w:val="none"/>
          <w:lang w:val="en-US" w:eastAsia="zh-CN"/>
        </w:rPr>
        <w:t>93.5</w:t>
      </w:r>
      <w:r>
        <w:rPr>
          <w:rFonts w:hint="eastAsia" w:ascii="仿宋_GB2312" w:hAnsi="仿宋_GB2312" w:eastAsia="仿宋_GB2312" w:cs="仿宋_GB2312"/>
          <w:kern w:val="2"/>
          <w:sz w:val="32"/>
          <w:szCs w:val="36"/>
        </w:rPr>
        <w:t>分（见表1-</w:t>
      </w:r>
      <w:r>
        <w:rPr>
          <w:rFonts w:hint="eastAsia" w:ascii="仿宋_GB2312" w:hAnsi="仿宋_GB2312" w:eastAsia="仿宋_GB2312" w:cs="仿宋_GB2312"/>
          <w:kern w:val="2"/>
          <w:sz w:val="32"/>
          <w:szCs w:val="36"/>
          <w:lang w:val="en-US" w:eastAsia="zh-CN"/>
        </w:rPr>
        <w:t>2</w:t>
      </w:r>
      <w:r>
        <w:rPr>
          <w:rFonts w:hint="eastAsia" w:ascii="仿宋_GB2312" w:hAnsi="仿宋_GB2312" w:eastAsia="仿宋_GB2312" w:cs="仿宋_GB2312"/>
          <w:kern w:val="2"/>
          <w:sz w:val="32"/>
          <w:szCs w:val="36"/>
        </w:rPr>
        <w:t>）。按照明确的评价等级设置，该项目评价等级为</w:t>
      </w:r>
      <w:r>
        <w:rPr>
          <w:rFonts w:hint="eastAsia" w:ascii="仿宋_GB2312" w:hAnsi="仿宋_GB2312" w:eastAsia="仿宋_GB2312" w:cs="仿宋_GB2312"/>
          <w:kern w:val="2"/>
          <w:sz w:val="32"/>
          <w:szCs w:val="36"/>
          <w:highlight w:val="none"/>
        </w:rPr>
        <w:t>“</w:t>
      </w:r>
      <w:r>
        <w:rPr>
          <w:rFonts w:hint="eastAsia" w:ascii="仿宋_GB2312" w:hAnsi="仿宋_GB2312" w:eastAsia="仿宋_GB2312" w:cs="仿宋_GB2312"/>
          <w:kern w:val="2"/>
          <w:sz w:val="32"/>
          <w:szCs w:val="36"/>
          <w:highlight w:val="none"/>
          <w:lang w:eastAsia="zh-CN"/>
        </w:rPr>
        <w:t>优</w:t>
      </w:r>
      <w:r>
        <w:rPr>
          <w:rFonts w:hint="eastAsia" w:ascii="仿宋_GB2312" w:hAnsi="仿宋_GB2312" w:eastAsia="仿宋_GB2312" w:cs="仿宋_GB2312"/>
          <w:kern w:val="2"/>
          <w:sz w:val="32"/>
          <w:szCs w:val="36"/>
          <w:highlight w:val="none"/>
        </w:rPr>
        <w:t>”。</w:t>
      </w:r>
    </w:p>
    <w:p>
      <w:pPr>
        <w:pageBreakBefore w:val="0"/>
        <w:kinsoku/>
        <w:wordWrap/>
        <w:overflowPunct/>
        <w:topLinePunct w:val="0"/>
        <w:autoSpaceDE/>
        <w:autoSpaceDN/>
        <w:bidi w:val="0"/>
        <w:spacing w:line="360" w:lineRule="auto"/>
        <w:contextualSpacing/>
        <w:jc w:val="center"/>
        <w:rPr>
          <w:rFonts w:ascii="Times New Roman" w:hAnsi="Times New Roman" w:eastAsia="仿宋_GB2312" w:cs="Times New Roman"/>
          <w:b/>
          <w:bCs/>
          <w:kern w:val="2"/>
          <w:highlight w:val="none"/>
        </w:rPr>
      </w:pPr>
      <w:bookmarkStart w:id="29" w:name="_Toc10089"/>
      <w:r>
        <w:rPr>
          <w:rFonts w:hint="eastAsia" w:ascii="Times New Roman" w:hAnsi="Times New Roman" w:eastAsia="仿宋_GB2312" w:cs="Times New Roman"/>
          <w:b/>
          <w:bCs/>
          <w:kern w:val="2"/>
          <w:highlight w:val="none"/>
        </w:rPr>
        <w:t>表</w:t>
      </w:r>
      <w:r>
        <w:rPr>
          <w:rFonts w:ascii="Times New Roman" w:hAnsi="Times New Roman" w:eastAsia="仿宋_GB2312" w:cs="Times New Roman"/>
          <w:b/>
          <w:bCs/>
          <w:kern w:val="2"/>
          <w:highlight w:val="none"/>
        </w:rPr>
        <w:t>1-</w:t>
      </w:r>
      <w:r>
        <w:rPr>
          <w:rFonts w:hint="eastAsia" w:ascii="Times New Roman" w:hAnsi="Times New Roman" w:eastAsia="仿宋_GB2312" w:cs="Times New Roman"/>
          <w:b/>
          <w:bCs/>
          <w:kern w:val="2"/>
          <w:highlight w:val="none"/>
          <w:lang w:val="en-US" w:eastAsia="zh-CN"/>
        </w:rPr>
        <w:t>2</w:t>
      </w:r>
      <w:r>
        <w:rPr>
          <w:rFonts w:ascii="Times New Roman" w:hAnsi="Times New Roman" w:eastAsia="仿宋_GB2312" w:cs="Times New Roman"/>
          <w:b/>
          <w:bCs/>
          <w:kern w:val="2"/>
          <w:highlight w:val="none"/>
        </w:rPr>
        <w:t xml:space="preserve"> </w:t>
      </w:r>
      <w:r>
        <w:rPr>
          <w:rFonts w:hint="eastAsia" w:ascii="Times New Roman" w:hAnsi="Times New Roman" w:eastAsia="仿宋_GB2312" w:cs="Times New Roman"/>
          <w:b/>
          <w:bCs/>
          <w:kern w:val="2"/>
          <w:highlight w:val="none"/>
        </w:rPr>
        <w:t>总体得分情况表</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1"/>
        <w:gridCol w:w="1491"/>
        <w:gridCol w:w="1491"/>
        <w:gridCol w:w="1491"/>
        <w:gridCol w:w="1492"/>
        <w:gridCol w:w="1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628"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指标</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A 决策</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B 过程</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C 产出</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D 效益</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628"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分值</w:t>
            </w:r>
          </w:p>
        </w:tc>
        <w:tc>
          <w:tcPr>
            <w:tcW w:w="874" w:type="pct"/>
            <w:vAlign w:val="center"/>
          </w:tcPr>
          <w:p>
            <w:pPr>
              <w:pageBreakBefore w:val="0"/>
              <w:kinsoku/>
              <w:wordWrap/>
              <w:overflowPunct/>
              <w:topLinePunct w:val="0"/>
              <w:autoSpaceDE/>
              <w:autoSpaceDN/>
              <w:bidi w:val="0"/>
              <w:snapToGrid w:val="0"/>
              <w:spacing w:line="360" w:lineRule="auto"/>
              <w:jc w:val="center"/>
              <w:rPr>
                <w:rFonts w:hint="default"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16</w:t>
            </w:r>
          </w:p>
        </w:tc>
        <w:tc>
          <w:tcPr>
            <w:tcW w:w="874" w:type="pct"/>
            <w:vAlign w:val="center"/>
          </w:tcPr>
          <w:p>
            <w:pPr>
              <w:pageBreakBefore w:val="0"/>
              <w:kinsoku/>
              <w:wordWrap/>
              <w:overflowPunct/>
              <w:topLinePunct w:val="0"/>
              <w:autoSpaceDE/>
              <w:autoSpaceDN/>
              <w:bidi w:val="0"/>
              <w:snapToGrid w:val="0"/>
              <w:spacing w:line="360" w:lineRule="auto"/>
              <w:jc w:val="center"/>
              <w:rPr>
                <w:rFonts w:hint="default"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20</w:t>
            </w:r>
          </w:p>
        </w:tc>
        <w:tc>
          <w:tcPr>
            <w:tcW w:w="874" w:type="pct"/>
            <w:vAlign w:val="center"/>
          </w:tcPr>
          <w:p>
            <w:pPr>
              <w:pageBreakBefore w:val="0"/>
              <w:kinsoku/>
              <w:wordWrap/>
              <w:overflowPunct/>
              <w:topLinePunct w:val="0"/>
              <w:autoSpaceDE/>
              <w:autoSpaceDN/>
              <w:bidi w:val="0"/>
              <w:snapToGrid w:val="0"/>
              <w:spacing w:line="360" w:lineRule="auto"/>
              <w:jc w:val="center"/>
              <w:rPr>
                <w:rFonts w:hint="default"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40</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rPr>
              <w:t>2</w:t>
            </w:r>
            <w:r>
              <w:rPr>
                <w:rFonts w:hint="eastAsia" w:ascii="仿宋_GB2312" w:hAnsi="仿宋_GB2312" w:eastAsia="仿宋_GB2312" w:cs="仿宋_GB2312"/>
                <w:b/>
                <w:bCs/>
                <w:highlight w:val="none"/>
                <w:lang w:val="en-US" w:eastAsia="zh-CN"/>
              </w:rPr>
              <w:t>4</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628"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得分</w:t>
            </w:r>
          </w:p>
        </w:tc>
        <w:tc>
          <w:tcPr>
            <w:tcW w:w="874" w:type="pct"/>
            <w:vAlign w:val="center"/>
          </w:tcPr>
          <w:p>
            <w:pPr>
              <w:pageBreakBefore w:val="0"/>
              <w:kinsoku/>
              <w:wordWrap/>
              <w:overflowPunct/>
              <w:topLinePunct w:val="0"/>
              <w:autoSpaceDE/>
              <w:autoSpaceDN/>
              <w:bidi w:val="0"/>
              <w:snapToGrid w:val="0"/>
              <w:spacing w:line="360" w:lineRule="auto"/>
              <w:jc w:val="center"/>
              <w:rPr>
                <w:rFonts w:hint="default"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16</w:t>
            </w:r>
          </w:p>
        </w:tc>
        <w:tc>
          <w:tcPr>
            <w:tcW w:w="874" w:type="pct"/>
            <w:vAlign w:val="center"/>
          </w:tcPr>
          <w:p>
            <w:pPr>
              <w:pageBreakBefore w:val="0"/>
              <w:kinsoku/>
              <w:wordWrap/>
              <w:overflowPunct/>
              <w:topLinePunct w:val="0"/>
              <w:autoSpaceDE/>
              <w:autoSpaceDN/>
              <w:bidi w:val="0"/>
              <w:snapToGrid w:val="0"/>
              <w:spacing w:line="360" w:lineRule="auto"/>
              <w:jc w:val="center"/>
              <w:rPr>
                <w:rFonts w:hint="default"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16</w:t>
            </w:r>
          </w:p>
        </w:tc>
        <w:tc>
          <w:tcPr>
            <w:tcW w:w="874" w:type="pct"/>
            <w:vAlign w:val="center"/>
          </w:tcPr>
          <w:p>
            <w:pPr>
              <w:pageBreakBefore w:val="0"/>
              <w:kinsoku/>
              <w:wordWrap/>
              <w:overflowPunct/>
              <w:topLinePunct w:val="0"/>
              <w:autoSpaceDE/>
              <w:autoSpaceDN/>
              <w:bidi w:val="0"/>
              <w:snapToGrid w:val="0"/>
              <w:spacing w:line="360" w:lineRule="auto"/>
              <w:jc w:val="center"/>
              <w:rPr>
                <w:rFonts w:hint="default"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40</w:t>
            </w:r>
          </w:p>
        </w:tc>
        <w:tc>
          <w:tcPr>
            <w:tcW w:w="874" w:type="pct"/>
            <w:vAlign w:val="center"/>
          </w:tcPr>
          <w:p>
            <w:pPr>
              <w:pageBreakBefore w:val="0"/>
              <w:kinsoku/>
              <w:wordWrap/>
              <w:overflowPunct/>
              <w:topLinePunct w:val="0"/>
              <w:autoSpaceDE/>
              <w:autoSpaceDN/>
              <w:bidi w:val="0"/>
              <w:snapToGrid w:val="0"/>
              <w:spacing w:line="360" w:lineRule="auto"/>
              <w:jc w:val="center"/>
              <w:rPr>
                <w:rFonts w:hint="default"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21.5</w:t>
            </w:r>
          </w:p>
        </w:tc>
        <w:tc>
          <w:tcPr>
            <w:tcW w:w="874" w:type="pct"/>
            <w:vAlign w:val="center"/>
          </w:tcPr>
          <w:p>
            <w:pPr>
              <w:pageBreakBefore w:val="0"/>
              <w:kinsoku/>
              <w:wordWrap/>
              <w:overflowPunct/>
              <w:topLinePunct w:val="0"/>
              <w:autoSpaceDE/>
              <w:autoSpaceDN/>
              <w:bidi w:val="0"/>
              <w:snapToGrid w:val="0"/>
              <w:spacing w:line="360" w:lineRule="auto"/>
              <w:jc w:val="center"/>
              <w:rPr>
                <w:rFonts w:hint="default"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628"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rPr>
            </w:pPr>
            <w:r>
              <w:rPr>
                <w:rFonts w:hint="eastAsia" w:ascii="仿宋_GB2312" w:hAnsi="仿宋_GB2312" w:eastAsia="仿宋_GB2312" w:cs="仿宋_GB2312"/>
                <w:b/>
                <w:bCs/>
                <w:highlight w:val="none"/>
              </w:rPr>
              <w:t>得分率</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100%</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80%</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100%</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89.60%</w:t>
            </w:r>
          </w:p>
        </w:tc>
        <w:tc>
          <w:tcPr>
            <w:tcW w:w="874" w:type="pct"/>
            <w:vAlign w:val="center"/>
          </w:tcPr>
          <w:p>
            <w:pPr>
              <w:pageBreakBefore w:val="0"/>
              <w:kinsoku/>
              <w:wordWrap/>
              <w:overflowPunct/>
              <w:topLinePunct w:val="0"/>
              <w:autoSpaceDE/>
              <w:autoSpaceDN/>
              <w:bidi w:val="0"/>
              <w:snapToGrid w:val="0"/>
              <w:spacing w:line="360" w:lineRule="auto"/>
              <w:jc w:val="center"/>
              <w:rPr>
                <w:rFonts w:hint="eastAsia" w:ascii="仿宋_GB2312" w:hAnsi="仿宋_GB2312" w:eastAsia="仿宋_GB2312" w:cs="仿宋_GB2312"/>
                <w:b/>
                <w:bCs/>
                <w:highlight w:val="none"/>
                <w:lang w:val="en-US" w:eastAsia="zh-CN"/>
              </w:rPr>
            </w:pPr>
            <w:r>
              <w:rPr>
                <w:rFonts w:hint="eastAsia" w:ascii="仿宋_GB2312" w:hAnsi="仿宋_GB2312" w:eastAsia="仿宋_GB2312" w:cs="仿宋_GB2312"/>
                <w:b/>
                <w:bCs/>
                <w:highlight w:val="none"/>
                <w:lang w:val="en-US" w:eastAsia="zh-CN"/>
              </w:rPr>
              <w:t>93.5%</w:t>
            </w:r>
          </w:p>
        </w:tc>
      </w:tr>
    </w:tbl>
    <w:p>
      <w:pPr>
        <w:pageBreakBefore w:val="0"/>
        <w:kinsoku/>
        <w:wordWrap/>
        <w:overflowPunct/>
        <w:topLinePunct w:val="0"/>
        <w:autoSpaceDE/>
        <w:autoSpaceDN/>
        <w:bidi w:val="0"/>
        <w:spacing w:line="360" w:lineRule="auto"/>
        <w:ind w:firstLine="643" w:firstLineChars="200"/>
        <w:jc w:val="both"/>
        <w:outlineLvl w:val="0"/>
        <w:rPr>
          <w:rFonts w:hint="eastAsia" w:ascii="仿宋_GB2312" w:hAnsi="仿宋_GB2312" w:eastAsia="仿宋_GB2312" w:cs="仿宋_GB2312"/>
          <w:b/>
          <w:bCs/>
          <w:sz w:val="32"/>
          <w:szCs w:val="36"/>
          <w:highlight w:val="yellow"/>
        </w:rPr>
      </w:pPr>
    </w:p>
    <w:p>
      <w:pPr>
        <w:pageBreakBefore w:val="0"/>
        <w:kinsoku/>
        <w:wordWrap/>
        <w:overflowPunct/>
        <w:topLinePunct w:val="0"/>
        <w:autoSpaceDE/>
        <w:autoSpaceDN/>
        <w:bidi w:val="0"/>
        <w:spacing w:line="360" w:lineRule="auto"/>
        <w:ind w:firstLine="643" w:firstLineChars="200"/>
        <w:jc w:val="both"/>
        <w:outlineLvl w:val="0"/>
        <w:rPr>
          <w:rFonts w:hint="eastAsia" w:ascii="仿宋_GB2312" w:hAnsi="仿宋_GB2312" w:eastAsia="仿宋_GB2312" w:cs="仿宋_GB2312"/>
          <w:b/>
          <w:bCs/>
          <w:sz w:val="32"/>
          <w:szCs w:val="36"/>
          <w:highlight w:val="none"/>
        </w:rPr>
      </w:pPr>
      <w:r>
        <w:rPr>
          <w:rFonts w:hint="eastAsia" w:ascii="仿宋_GB2312" w:hAnsi="仿宋_GB2312" w:eastAsia="仿宋_GB2312" w:cs="仿宋_GB2312"/>
          <w:b/>
          <w:bCs/>
          <w:sz w:val="32"/>
          <w:szCs w:val="36"/>
          <w:highlight w:val="none"/>
        </w:rPr>
        <w:t>四、绩效指标分析</w:t>
      </w:r>
      <w:bookmarkEnd w:id="25"/>
      <w:bookmarkEnd w:id="26"/>
      <w:bookmarkEnd w:id="27"/>
      <w:bookmarkEnd w:id="28"/>
      <w:bookmarkEnd w:id="29"/>
    </w:p>
    <w:p>
      <w:pPr>
        <w:pageBreakBefore w:val="0"/>
        <w:kinsoku/>
        <w:wordWrap/>
        <w:overflowPunct/>
        <w:topLinePunct w:val="0"/>
        <w:autoSpaceDE/>
        <w:autoSpaceDN/>
        <w:bidi w:val="0"/>
        <w:spacing w:line="360" w:lineRule="auto"/>
        <w:ind w:firstLine="643" w:firstLineChars="200"/>
        <w:outlineLvl w:val="1"/>
        <w:rPr>
          <w:rFonts w:hint="eastAsia" w:ascii="仿宋_GB2312" w:hAnsi="仿宋_GB2312" w:eastAsia="仿宋_GB2312" w:cs="仿宋_GB2312"/>
          <w:b/>
          <w:bCs/>
          <w:sz w:val="32"/>
          <w:szCs w:val="36"/>
          <w:highlight w:val="none"/>
        </w:rPr>
      </w:pPr>
      <w:bookmarkStart w:id="30" w:name="_Toc13392"/>
      <w:bookmarkStart w:id="31" w:name="_Toc74939786"/>
      <w:bookmarkStart w:id="32" w:name="_Toc43151970"/>
      <w:r>
        <w:rPr>
          <w:rFonts w:hint="eastAsia" w:ascii="仿宋_GB2312" w:hAnsi="仿宋_GB2312" w:eastAsia="仿宋_GB2312" w:cs="仿宋_GB2312"/>
          <w:b/>
          <w:bCs/>
          <w:sz w:val="32"/>
          <w:szCs w:val="36"/>
          <w:highlight w:val="none"/>
        </w:rPr>
        <w:t>（一）项目决策情况</w:t>
      </w:r>
      <w:bookmarkEnd w:id="30"/>
      <w:bookmarkEnd w:id="31"/>
      <w:bookmarkEnd w:id="32"/>
    </w:p>
    <w:p>
      <w:pPr>
        <w:pageBreakBefore w:val="0"/>
        <w:kinsoku/>
        <w:wordWrap/>
        <w:overflowPunct/>
        <w:topLinePunct w:val="0"/>
        <w:autoSpaceDE/>
        <w:autoSpaceDN/>
        <w:bidi w:val="0"/>
        <w:spacing w:line="360" w:lineRule="auto"/>
        <w:ind w:firstLine="640" w:firstLineChars="200"/>
        <w:contextualSpacing/>
        <w:jc w:val="both"/>
        <w:rPr>
          <w:rFonts w:hint="default" w:ascii="仿宋_GB2312" w:hAnsi="仿宋_GB2312" w:eastAsia="仿宋_GB2312" w:cs="仿宋_GB2312"/>
          <w:kern w:val="2"/>
          <w:sz w:val="32"/>
          <w:szCs w:val="36"/>
          <w:lang w:val="en-US" w:eastAsia="zh-CN"/>
        </w:rPr>
      </w:pPr>
      <w:bookmarkStart w:id="33" w:name="_Hlk39566407"/>
      <w:bookmarkStart w:id="34" w:name="_Toc43151971"/>
      <w:r>
        <w:rPr>
          <w:rFonts w:hint="eastAsia" w:ascii="仿宋_GB2312" w:hAnsi="仿宋_GB2312" w:eastAsia="仿宋_GB2312" w:cs="仿宋_GB2312"/>
          <w:kern w:val="2"/>
          <w:sz w:val="32"/>
          <w:szCs w:val="36"/>
          <w:highlight w:val="none"/>
        </w:rPr>
        <w:t>项目决策主要从项目立项</w:t>
      </w:r>
      <w:r>
        <w:rPr>
          <w:rFonts w:hint="eastAsia" w:ascii="仿宋_GB2312" w:hAnsi="仿宋_GB2312" w:eastAsia="仿宋_GB2312" w:cs="仿宋_GB2312"/>
          <w:kern w:val="2"/>
          <w:sz w:val="32"/>
          <w:szCs w:val="36"/>
        </w:rPr>
        <w:t>、绩效目标、资金投入三个方面进行评价，该部分指标总分</w:t>
      </w:r>
      <w:r>
        <w:rPr>
          <w:rFonts w:hint="eastAsia" w:ascii="仿宋_GB2312" w:hAnsi="仿宋_GB2312" w:eastAsia="仿宋_GB2312" w:cs="仿宋_GB2312"/>
          <w:kern w:val="2"/>
          <w:sz w:val="32"/>
          <w:szCs w:val="36"/>
          <w:lang w:val="en-US" w:eastAsia="zh-CN"/>
        </w:rPr>
        <w:t>16</w:t>
      </w:r>
      <w:r>
        <w:rPr>
          <w:rFonts w:hint="eastAsia" w:ascii="仿宋_GB2312" w:hAnsi="仿宋_GB2312" w:eastAsia="仿宋_GB2312" w:cs="仿宋_GB2312"/>
          <w:kern w:val="2"/>
          <w:sz w:val="32"/>
          <w:szCs w:val="36"/>
        </w:rPr>
        <w:t>分，实际得</w:t>
      </w:r>
      <w:r>
        <w:rPr>
          <w:rFonts w:hint="eastAsia" w:ascii="仿宋_GB2312" w:hAnsi="仿宋_GB2312" w:eastAsia="仿宋_GB2312" w:cs="仿宋_GB2312"/>
          <w:kern w:val="2"/>
          <w:sz w:val="32"/>
          <w:szCs w:val="36"/>
          <w:lang w:val="en-US" w:eastAsia="zh-CN"/>
        </w:rPr>
        <w:t>16</w:t>
      </w:r>
      <w:r>
        <w:rPr>
          <w:rFonts w:hint="eastAsia" w:ascii="仿宋_GB2312" w:hAnsi="仿宋_GB2312" w:eastAsia="仿宋_GB2312" w:cs="仿宋_GB2312"/>
          <w:kern w:val="2"/>
          <w:sz w:val="32"/>
          <w:szCs w:val="36"/>
        </w:rPr>
        <w:t>分，得分率</w:t>
      </w:r>
      <w:r>
        <w:rPr>
          <w:rFonts w:hint="eastAsia" w:ascii="仿宋_GB2312" w:hAnsi="仿宋_GB2312" w:eastAsia="仿宋_GB2312" w:cs="仿宋_GB2312"/>
          <w:kern w:val="2"/>
          <w:sz w:val="32"/>
          <w:szCs w:val="36"/>
          <w:lang w:val="en-US" w:eastAsia="zh-CN"/>
        </w:rPr>
        <w:t>100</w:t>
      </w:r>
      <w:r>
        <w:rPr>
          <w:rFonts w:hint="eastAsia" w:ascii="仿宋_GB2312" w:hAnsi="仿宋_GB2312" w:eastAsia="仿宋_GB2312" w:cs="仿宋_GB2312"/>
          <w:kern w:val="2"/>
          <w:sz w:val="32"/>
          <w:szCs w:val="36"/>
        </w:rPr>
        <w:t>%。该项目在项目立项过程中，与部门职责范围相符，立项依据充分，程序规范</w:t>
      </w:r>
      <w:r>
        <w:rPr>
          <w:rFonts w:hint="eastAsia" w:ascii="仿宋_GB2312" w:hAnsi="仿宋_GB2312" w:eastAsia="仿宋_GB2312" w:cs="仿宋_GB2312"/>
          <w:kern w:val="2"/>
          <w:sz w:val="32"/>
          <w:szCs w:val="36"/>
          <w:lang w:eastAsia="zh-CN"/>
        </w:rPr>
        <w:t>。该项目按要求设定了合理及明确的绩效目标，设立的绩效目标与实际实施工作内容相符合，具有详细的绩效指标，指标设定明确有可衡量的指标值。</w:t>
      </w:r>
    </w:p>
    <w:bookmarkEnd w:id="33"/>
    <w:p>
      <w:pPr>
        <w:pageBreakBefore w:val="0"/>
        <w:kinsoku/>
        <w:wordWrap/>
        <w:overflowPunct/>
        <w:topLinePunct w:val="0"/>
        <w:autoSpaceDE/>
        <w:autoSpaceDN/>
        <w:bidi w:val="0"/>
        <w:spacing w:line="360" w:lineRule="auto"/>
        <w:ind w:firstLine="643" w:firstLineChars="200"/>
        <w:outlineLvl w:val="1"/>
        <w:rPr>
          <w:rFonts w:hint="eastAsia" w:ascii="仿宋_GB2312" w:hAnsi="仿宋_GB2312" w:eastAsia="仿宋_GB2312" w:cs="仿宋_GB2312"/>
          <w:b/>
          <w:bCs/>
          <w:sz w:val="32"/>
          <w:szCs w:val="36"/>
        </w:rPr>
      </w:pPr>
      <w:bookmarkStart w:id="35" w:name="_Toc74939787"/>
      <w:bookmarkStart w:id="36" w:name="_Toc6130"/>
      <w:bookmarkStart w:id="37" w:name="_Hlk73956149"/>
      <w:r>
        <w:rPr>
          <w:rFonts w:hint="eastAsia" w:ascii="仿宋_GB2312" w:hAnsi="仿宋_GB2312" w:eastAsia="仿宋_GB2312" w:cs="仿宋_GB2312"/>
          <w:b/>
          <w:bCs/>
          <w:sz w:val="32"/>
          <w:szCs w:val="36"/>
        </w:rPr>
        <w:t>（二）项目过程情况</w:t>
      </w:r>
      <w:bookmarkEnd w:id="35"/>
      <w:bookmarkEnd w:id="36"/>
    </w:p>
    <w:bookmarkEnd w:id="37"/>
    <w:p>
      <w:pPr>
        <w:pageBreakBefore w:val="0"/>
        <w:kinsoku/>
        <w:wordWrap/>
        <w:overflowPunct/>
        <w:topLinePunct w:val="0"/>
        <w:autoSpaceDE/>
        <w:autoSpaceDN/>
        <w:bidi w:val="0"/>
        <w:spacing w:line="360" w:lineRule="auto"/>
        <w:ind w:firstLine="640" w:firstLineChars="200"/>
        <w:outlineLvl w:val="1"/>
        <w:rPr>
          <w:rFonts w:hint="eastAsia" w:ascii="仿宋_GB2312" w:hAnsi="仿宋_GB2312" w:eastAsia="仿宋_GB2312" w:cs="仿宋_GB2312"/>
          <w:kern w:val="2"/>
          <w:sz w:val="32"/>
          <w:szCs w:val="36"/>
          <w:lang w:eastAsia="zh-CN"/>
        </w:rPr>
      </w:pPr>
      <w:r>
        <w:rPr>
          <w:rFonts w:hint="eastAsia" w:ascii="仿宋_GB2312" w:hAnsi="仿宋_GB2312" w:eastAsia="仿宋_GB2312" w:cs="仿宋_GB2312"/>
          <w:kern w:val="2"/>
          <w:sz w:val="32"/>
          <w:szCs w:val="36"/>
        </w:rPr>
        <w:t>项目过程主要从预算执行、资金管理和组织实施三个方面进行评价，该部分指标总分</w:t>
      </w:r>
      <w:r>
        <w:rPr>
          <w:rFonts w:hint="eastAsia" w:ascii="仿宋_GB2312" w:hAnsi="仿宋_GB2312" w:eastAsia="仿宋_GB2312" w:cs="仿宋_GB2312"/>
          <w:kern w:val="2"/>
          <w:sz w:val="32"/>
          <w:szCs w:val="36"/>
          <w:lang w:val="en-US" w:eastAsia="zh-CN"/>
        </w:rPr>
        <w:t>20</w:t>
      </w:r>
      <w:r>
        <w:rPr>
          <w:rFonts w:hint="eastAsia" w:ascii="仿宋_GB2312" w:hAnsi="仿宋_GB2312" w:eastAsia="仿宋_GB2312" w:cs="仿宋_GB2312"/>
          <w:kern w:val="2"/>
          <w:sz w:val="32"/>
          <w:szCs w:val="36"/>
        </w:rPr>
        <w:t>分，得</w:t>
      </w:r>
      <w:r>
        <w:rPr>
          <w:rFonts w:hint="eastAsia" w:ascii="仿宋_GB2312" w:hAnsi="仿宋_GB2312" w:eastAsia="仿宋_GB2312" w:cs="仿宋_GB2312"/>
          <w:kern w:val="2"/>
          <w:sz w:val="32"/>
          <w:szCs w:val="36"/>
          <w:lang w:val="en-US" w:eastAsia="zh-CN"/>
        </w:rPr>
        <w:t>16</w:t>
      </w:r>
      <w:r>
        <w:rPr>
          <w:rFonts w:hint="eastAsia" w:ascii="仿宋_GB2312" w:hAnsi="仿宋_GB2312" w:eastAsia="仿宋_GB2312" w:cs="仿宋_GB2312"/>
          <w:kern w:val="2"/>
          <w:sz w:val="32"/>
          <w:szCs w:val="36"/>
        </w:rPr>
        <w:t>分，得分率</w:t>
      </w:r>
      <w:r>
        <w:rPr>
          <w:rFonts w:hint="eastAsia" w:ascii="仿宋_GB2312" w:hAnsi="仿宋_GB2312" w:eastAsia="仿宋_GB2312" w:cs="仿宋_GB2312"/>
          <w:kern w:val="2"/>
          <w:sz w:val="32"/>
          <w:szCs w:val="36"/>
          <w:lang w:val="en-US" w:eastAsia="zh-CN"/>
        </w:rPr>
        <w:t>80</w:t>
      </w:r>
      <w:r>
        <w:rPr>
          <w:rFonts w:hint="eastAsia" w:ascii="仿宋_GB2312" w:hAnsi="仿宋_GB2312" w:eastAsia="仿宋_GB2312" w:cs="仿宋_GB2312"/>
          <w:kern w:val="2"/>
          <w:sz w:val="32"/>
          <w:szCs w:val="36"/>
        </w:rPr>
        <w:t>%。</w:t>
      </w:r>
      <w:bookmarkStart w:id="38" w:name="_Toc74939788"/>
      <w:bookmarkStart w:id="39" w:name="_Hlk73956916"/>
      <w:r>
        <w:rPr>
          <w:rFonts w:hint="eastAsia" w:ascii="仿宋_GB2312" w:hAnsi="仿宋_GB2312" w:eastAsia="仿宋_GB2312" w:cs="仿宋_GB2312"/>
          <w:kern w:val="2"/>
          <w:sz w:val="32"/>
          <w:szCs w:val="36"/>
          <w:lang w:eastAsia="zh-CN"/>
        </w:rPr>
        <w:t>项目实施过程中，</w:t>
      </w:r>
      <w:bookmarkStart w:id="40" w:name="_Toc25143"/>
      <w:r>
        <w:rPr>
          <w:rFonts w:hint="eastAsia" w:ascii="仿宋_GB2312" w:hAnsi="仿宋_GB2312" w:eastAsia="仿宋_GB2312" w:cs="仿宋_GB2312"/>
          <w:kern w:val="2"/>
          <w:sz w:val="32"/>
          <w:szCs w:val="36"/>
          <w:lang w:eastAsia="zh-CN"/>
        </w:rPr>
        <w:t>资金使用经过预算部门的内部审批根据项目实际进度据实拨付，项目主管部门做到了资金单独记账，专款专用，符合项目预算的规定用途，资金使用合规，工程项目基本按照批复要求进行招标投标程序，但是在财务制度方面，未建立专项的资金管理制度，无法良好的保障和监控资金的安全性，项目管理方面，对水泵后续的管护未制定相关的制度，无法保障后续水泵的维护。</w:t>
      </w:r>
    </w:p>
    <w:p>
      <w:pPr>
        <w:pageBreakBefore w:val="0"/>
        <w:kinsoku/>
        <w:wordWrap/>
        <w:overflowPunct/>
        <w:topLinePunct w:val="0"/>
        <w:autoSpaceDE/>
        <w:autoSpaceDN/>
        <w:bidi w:val="0"/>
        <w:spacing w:line="360" w:lineRule="auto"/>
        <w:ind w:firstLine="643" w:firstLineChars="200"/>
        <w:outlineLvl w:val="1"/>
        <w:rPr>
          <w:rFonts w:hint="eastAsia" w:ascii="仿宋_GB2312" w:hAnsi="仿宋_GB2312" w:eastAsia="仿宋_GB2312" w:cs="仿宋_GB2312"/>
          <w:b/>
          <w:bCs/>
          <w:sz w:val="32"/>
          <w:szCs w:val="36"/>
        </w:rPr>
      </w:pPr>
      <w:r>
        <w:rPr>
          <w:rFonts w:hint="eastAsia" w:ascii="仿宋_GB2312" w:hAnsi="仿宋_GB2312" w:eastAsia="仿宋_GB2312" w:cs="仿宋_GB2312"/>
          <w:b/>
          <w:bCs/>
          <w:sz w:val="32"/>
          <w:szCs w:val="36"/>
        </w:rPr>
        <w:t>（三）项目产出情况</w:t>
      </w:r>
      <w:bookmarkEnd w:id="38"/>
      <w:bookmarkEnd w:id="40"/>
    </w:p>
    <w:p>
      <w:pPr>
        <w:pageBreakBefore w:val="0"/>
        <w:kinsoku/>
        <w:wordWrap/>
        <w:overflowPunct/>
        <w:topLinePunct w:val="0"/>
        <w:autoSpaceDE/>
        <w:autoSpaceDN/>
        <w:bidi w:val="0"/>
        <w:spacing w:line="360" w:lineRule="auto"/>
        <w:ind w:firstLine="640" w:firstLineChars="200"/>
        <w:contextualSpacing/>
        <w:jc w:val="both"/>
        <w:rPr>
          <w:rFonts w:hint="default" w:ascii="仿宋_GB2312" w:hAnsi="仿宋_GB2312" w:eastAsia="仿宋_GB2312" w:cs="仿宋_GB2312"/>
          <w:kern w:val="2"/>
          <w:sz w:val="32"/>
          <w:szCs w:val="36"/>
          <w:lang w:val="en-US" w:eastAsia="zh-CN"/>
        </w:rPr>
      </w:pPr>
      <w:r>
        <w:rPr>
          <w:rFonts w:hint="eastAsia" w:ascii="仿宋_GB2312" w:hAnsi="仿宋_GB2312" w:eastAsia="仿宋_GB2312" w:cs="仿宋_GB2312"/>
          <w:kern w:val="2"/>
          <w:sz w:val="32"/>
          <w:szCs w:val="36"/>
        </w:rPr>
        <w:t>项目产出主要从数量、质量、时效</w:t>
      </w:r>
      <w:r>
        <w:rPr>
          <w:rFonts w:hint="eastAsia" w:ascii="仿宋_GB2312" w:hAnsi="仿宋_GB2312" w:eastAsia="仿宋_GB2312" w:cs="仿宋_GB2312"/>
          <w:kern w:val="2"/>
          <w:sz w:val="32"/>
          <w:szCs w:val="36"/>
          <w:lang w:eastAsia="zh-CN"/>
        </w:rPr>
        <w:t>、成本四</w:t>
      </w:r>
      <w:r>
        <w:rPr>
          <w:rFonts w:hint="eastAsia" w:ascii="仿宋_GB2312" w:hAnsi="仿宋_GB2312" w:eastAsia="仿宋_GB2312" w:cs="仿宋_GB2312"/>
          <w:kern w:val="2"/>
          <w:sz w:val="32"/>
          <w:szCs w:val="36"/>
        </w:rPr>
        <w:t>个方面进行评价，该部分指标总分</w:t>
      </w:r>
      <w:r>
        <w:rPr>
          <w:rFonts w:hint="eastAsia" w:ascii="仿宋_GB2312" w:hAnsi="仿宋_GB2312" w:eastAsia="仿宋_GB2312" w:cs="仿宋_GB2312"/>
          <w:kern w:val="2"/>
          <w:sz w:val="32"/>
          <w:szCs w:val="36"/>
          <w:lang w:val="en-US" w:eastAsia="zh-CN"/>
        </w:rPr>
        <w:t>40</w:t>
      </w:r>
      <w:r>
        <w:rPr>
          <w:rFonts w:hint="eastAsia" w:ascii="仿宋_GB2312" w:hAnsi="仿宋_GB2312" w:eastAsia="仿宋_GB2312" w:cs="仿宋_GB2312"/>
          <w:kern w:val="2"/>
          <w:sz w:val="32"/>
          <w:szCs w:val="36"/>
        </w:rPr>
        <w:t>分，实际得</w:t>
      </w:r>
      <w:r>
        <w:rPr>
          <w:rFonts w:hint="eastAsia" w:ascii="仿宋_GB2312" w:hAnsi="仿宋_GB2312" w:eastAsia="仿宋_GB2312" w:cs="仿宋_GB2312"/>
          <w:kern w:val="2"/>
          <w:sz w:val="32"/>
          <w:szCs w:val="36"/>
          <w:lang w:val="en-US" w:eastAsia="zh-CN"/>
        </w:rPr>
        <w:t>40</w:t>
      </w:r>
      <w:r>
        <w:rPr>
          <w:rFonts w:hint="eastAsia" w:ascii="仿宋_GB2312" w:hAnsi="仿宋_GB2312" w:eastAsia="仿宋_GB2312" w:cs="仿宋_GB2312"/>
          <w:kern w:val="2"/>
          <w:sz w:val="32"/>
          <w:szCs w:val="36"/>
        </w:rPr>
        <w:t>分，得分率</w:t>
      </w:r>
      <w:r>
        <w:rPr>
          <w:rFonts w:hint="eastAsia" w:ascii="仿宋_GB2312" w:hAnsi="仿宋_GB2312" w:eastAsia="仿宋_GB2312" w:cs="仿宋_GB2312"/>
          <w:kern w:val="2"/>
          <w:sz w:val="32"/>
          <w:szCs w:val="36"/>
          <w:lang w:val="en-US" w:eastAsia="zh-CN"/>
        </w:rPr>
        <w:t>100</w:t>
      </w:r>
      <w:r>
        <w:rPr>
          <w:rFonts w:hint="eastAsia" w:ascii="仿宋_GB2312" w:hAnsi="仿宋_GB2312" w:eastAsia="仿宋_GB2312" w:cs="仿宋_GB2312"/>
          <w:kern w:val="2"/>
          <w:sz w:val="32"/>
          <w:szCs w:val="36"/>
        </w:rPr>
        <w:t>%。</w:t>
      </w:r>
      <w:bookmarkEnd w:id="34"/>
      <w:bookmarkEnd w:id="39"/>
      <w:r>
        <w:rPr>
          <w:rFonts w:hint="eastAsia" w:ascii="仿宋_GB2312" w:hAnsi="仿宋_GB2312" w:eastAsia="仿宋_GB2312" w:cs="仿宋_GB2312"/>
          <w:kern w:val="2"/>
          <w:sz w:val="32"/>
          <w:szCs w:val="36"/>
          <w:lang w:eastAsia="zh-CN"/>
        </w:rPr>
        <w:t>通过查验单位提供的相关资料，该项目共购买</w:t>
      </w:r>
      <w:r>
        <w:rPr>
          <w:rFonts w:hint="eastAsia" w:ascii="仿宋_GB2312" w:hAnsi="仿宋_GB2312" w:eastAsia="仿宋_GB2312" w:cs="仿宋_GB2312"/>
          <w:kern w:val="2"/>
          <w:sz w:val="32"/>
          <w:szCs w:val="36"/>
          <w:lang w:val="en-US" w:eastAsia="zh-CN"/>
        </w:rPr>
        <w:t>2台排水离心泵，</w:t>
      </w:r>
      <w:r>
        <w:rPr>
          <w:rFonts w:hint="eastAsia" w:ascii="仿宋_GB2312" w:hAnsi="仿宋_GB2312" w:eastAsia="仿宋_GB2312" w:cs="仿宋_GB2312"/>
          <w:kern w:val="2"/>
          <w:sz w:val="32"/>
          <w:szCs w:val="36"/>
          <w:lang w:eastAsia="zh-CN"/>
        </w:rPr>
        <w:t>均通过专家组验收，出具专家验收表，并经过试抽排，具备安全运行条件，满足设计要求，全面投入使用。项目成本</w:t>
      </w:r>
      <w:r>
        <w:rPr>
          <w:rFonts w:hint="eastAsia" w:ascii="仿宋_GB2312" w:hAnsi="仿宋_GB2312" w:eastAsia="仿宋_GB2312" w:cs="仿宋_GB2312"/>
          <w:kern w:val="2"/>
          <w:sz w:val="32"/>
          <w:szCs w:val="36"/>
          <w:lang w:val="en-US" w:eastAsia="zh-CN"/>
        </w:rPr>
        <w:t>40.00万元，实际支出40.00万元，资金执行率100%。</w:t>
      </w:r>
    </w:p>
    <w:p>
      <w:pPr>
        <w:pageBreakBefore w:val="0"/>
        <w:numPr>
          <w:ilvl w:val="0"/>
          <w:numId w:val="1"/>
        </w:numPr>
        <w:kinsoku/>
        <w:wordWrap/>
        <w:overflowPunct/>
        <w:topLinePunct w:val="0"/>
        <w:autoSpaceDE/>
        <w:autoSpaceDN/>
        <w:bidi w:val="0"/>
        <w:spacing w:line="360" w:lineRule="auto"/>
        <w:ind w:firstLine="643" w:firstLineChars="200"/>
        <w:outlineLvl w:val="1"/>
        <w:rPr>
          <w:rFonts w:hint="eastAsia" w:ascii="仿宋_GB2312" w:hAnsi="仿宋_GB2312" w:eastAsia="仿宋_GB2312" w:cs="仿宋_GB2312"/>
          <w:b/>
          <w:bCs/>
          <w:sz w:val="32"/>
          <w:szCs w:val="36"/>
        </w:rPr>
      </w:pPr>
      <w:bookmarkStart w:id="41" w:name="_Toc10074"/>
      <w:bookmarkStart w:id="42" w:name="_Toc74939789"/>
      <w:r>
        <w:rPr>
          <w:rFonts w:hint="eastAsia" w:ascii="仿宋_GB2312" w:hAnsi="仿宋_GB2312" w:eastAsia="仿宋_GB2312" w:cs="仿宋_GB2312"/>
          <w:b/>
          <w:bCs/>
          <w:sz w:val="32"/>
          <w:szCs w:val="36"/>
        </w:rPr>
        <w:t>项目效益情况</w:t>
      </w:r>
      <w:bookmarkEnd w:id="41"/>
      <w:bookmarkEnd w:id="42"/>
    </w:p>
    <w:p>
      <w:pPr>
        <w:pageBreakBefore w:val="0"/>
        <w:kinsoku/>
        <w:wordWrap/>
        <w:overflowPunct/>
        <w:topLinePunct w:val="0"/>
        <w:autoSpaceDE/>
        <w:autoSpaceDN/>
        <w:bidi w:val="0"/>
        <w:spacing w:line="360" w:lineRule="auto"/>
        <w:ind w:firstLine="640" w:firstLineChars="200"/>
        <w:rPr>
          <w:rFonts w:hint="eastAsia" w:ascii="仿宋_GB2312" w:hAnsi="仿宋_GB2312" w:eastAsia="仿宋_GB2312" w:cs="仿宋_GB2312"/>
          <w:kern w:val="2"/>
          <w:sz w:val="32"/>
          <w:szCs w:val="36"/>
          <w:lang w:eastAsia="zh-CN"/>
        </w:rPr>
      </w:pPr>
      <w:r>
        <w:rPr>
          <w:rFonts w:hint="eastAsia" w:ascii="仿宋_GB2312" w:hAnsi="仿宋_GB2312" w:eastAsia="仿宋_GB2312" w:cs="仿宋_GB2312"/>
          <w:kern w:val="2"/>
          <w:sz w:val="32"/>
          <w:szCs w:val="36"/>
        </w:rPr>
        <w:t>项目效益主要从经济效益、社会效益、可持续影响、服务对象满意度四个方面进行评价。该部分指标总分</w:t>
      </w:r>
      <w:r>
        <w:rPr>
          <w:rFonts w:hint="eastAsia" w:ascii="仿宋_GB2312" w:hAnsi="仿宋_GB2312" w:eastAsia="仿宋_GB2312" w:cs="仿宋_GB2312"/>
          <w:kern w:val="2"/>
          <w:sz w:val="32"/>
          <w:szCs w:val="36"/>
          <w:lang w:val="en-US" w:eastAsia="zh-CN"/>
        </w:rPr>
        <w:t>24</w:t>
      </w:r>
      <w:r>
        <w:rPr>
          <w:rFonts w:hint="eastAsia" w:ascii="仿宋_GB2312" w:hAnsi="仿宋_GB2312" w:eastAsia="仿宋_GB2312" w:cs="仿宋_GB2312"/>
          <w:kern w:val="2"/>
          <w:sz w:val="32"/>
          <w:szCs w:val="36"/>
        </w:rPr>
        <w:t>分，</w:t>
      </w:r>
      <w:r>
        <w:rPr>
          <w:rFonts w:hint="eastAsia" w:ascii="仿宋_GB2312" w:hAnsi="仿宋_GB2312" w:eastAsia="仿宋_GB2312" w:cs="仿宋_GB2312"/>
          <w:kern w:val="2"/>
          <w:sz w:val="32"/>
          <w:szCs w:val="36"/>
          <w:lang w:eastAsia="zh-CN"/>
        </w:rPr>
        <w:t>实际</w:t>
      </w:r>
      <w:r>
        <w:rPr>
          <w:rFonts w:hint="eastAsia" w:ascii="仿宋_GB2312" w:hAnsi="仿宋_GB2312" w:eastAsia="仿宋_GB2312" w:cs="仿宋_GB2312"/>
          <w:kern w:val="2"/>
          <w:sz w:val="32"/>
          <w:szCs w:val="36"/>
        </w:rPr>
        <w:t>得</w:t>
      </w:r>
      <w:r>
        <w:rPr>
          <w:rFonts w:hint="eastAsia" w:ascii="仿宋_GB2312" w:hAnsi="仿宋_GB2312" w:eastAsia="仿宋_GB2312" w:cs="仿宋_GB2312"/>
          <w:kern w:val="2"/>
          <w:sz w:val="32"/>
          <w:szCs w:val="36"/>
          <w:lang w:val="en-US" w:eastAsia="zh-CN"/>
        </w:rPr>
        <w:t>21.5</w:t>
      </w:r>
      <w:r>
        <w:rPr>
          <w:rFonts w:hint="eastAsia" w:ascii="仿宋_GB2312" w:hAnsi="仿宋_GB2312" w:eastAsia="仿宋_GB2312" w:cs="仿宋_GB2312"/>
          <w:kern w:val="2"/>
          <w:sz w:val="32"/>
          <w:szCs w:val="36"/>
        </w:rPr>
        <w:t>分，得分率</w:t>
      </w:r>
      <w:r>
        <w:rPr>
          <w:rFonts w:hint="eastAsia" w:ascii="仿宋_GB2312" w:hAnsi="仿宋_GB2312" w:eastAsia="仿宋_GB2312" w:cs="仿宋_GB2312"/>
          <w:kern w:val="2"/>
          <w:sz w:val="32"/>
          <w:szCs w:val="36"/>
          <w:lang w:val="en-US" w:eastAsia="zh-CN"/>
        </w:rPr>
        <w:t>89.60</w:t>
      </w:r>
      <w:r>
        <w:rPr>
          <w:rFonts w:hint="eastAsia" w:ascii="仿宋_GB2312" w:hAnsi="仿宋_GB2312" w:eastAsia="仿宋_GB2312" w:cs="仿宋_GB2312"/>
          <w:kern w:val="2"/>
          <w:sz w:val="32"/>
          <w:szCs w:val="36"/>
        </w:rPr>
        <w:t>%。</w:t>
      </w:r>
      <w:r>
        <w:rPr>
          <w:rFonts w:hint="eastAsia" w:ascii="仿宋_GB2312" w:hAnsi="仿宋_GB2312" w:eastAsia="仿宋_GB2312" w:cs="仿宋_GB2312"/>
          <w:kern w:val="2"/>
          <w:sz w:val="32"/>
          <w:szCs w:val="36"/>
          <w:lang w:eastAsia="zh-CN"/>
        </w:rPr>
        <w:t>该项目的实施能够有效提高防洪能力，保证汛期安全度汛，有效减轻财产损失、消除安全隐患，在满意度调查方面，评价小组采用实地走访方式进行满意度调查。评价标准为满意人数/被调查人数*指标分值，本次调查共形成30份有效问卷，其中2</w:t>
      </w:r>
      <w:r>
        <w:rPr>
          <w:rFonts w:hint="eastAsia" w:ascii="仿宋_GB2312" w:hAnsi="仿宋_GB2312" w:eastAsia="仿宋_GB2312" w:cs="仿宋_GB2312"/>
          <w:kern w:val="2"/>
          <w:sz w:val="32"/>
          <w:szCs w:val="36"/>
          <w:lang w:val="en-US" w:eastAsia="zh-CN"/>
        </w:rPr>
        <w:t>8</w:t>
      </w:r>
      <w:r>
        <w:rPr>
          <w:rFonts w:hint="eastAsia" w:ascii="仿宋_GB2312" w:hAnsi="仿宋_GB2312" w:eastAsia="仿宋_GB2312" w:cs="仿宋_GB2312"/>
          <w:kern w:val="2"/>
          <w:sz w:val="32"/>
          <w:szCs w:val="36"/>
          <w:lang w:eastAsia="zh-CN"/>
        </w:rPr>
        <w:t>份满意度较高。受益群体对安阳县住房和城乡建设局大型排水泵购置项目的满意度为</w:t>
      </w:r>
      <w:r>
        <w:rPr>
          <w:rFonts w:hint="eastAsia" w:ascii="仿宋_GB2312" w:hAnsi="仿宋_GB2312" w:eastAsia="仿宋_GB2312" w:cs="仿宋_GB2312"/>
          <w:kern w:val="2"/>
          <w:sz w:val="32"/>
          <w:szCs w:val="36"/>
          <w:lang w:val="en-US" w:eastAsia="zh-CN"/>
        </w:rPr>
        <w:t>93</w:t>
      </w:r>
      <w:r>
        <w:rPr>
          <w:rFonts w:hint="eastAsia" w:ascii="仿宋_GB2312" w:hAnsi="仿宋_GB2312" w:eastAsia="仿宋_GB2312" w:cs="仿宋_GB2312"/>
          <w:kern w:val="2"/>
          <w:sz w:val="32"/>
          <w:szCs w:val="36"/>
          <w:lang w:eastAsia="zh-CN"/>
        </w:rPr>
        <w:t>%。</w:t>
      </w:r>
      <w:bookmarkStart w:id="43" w:name="_Toc74939790"/>
    </w:p>
    <w:p>
      <w:pPr>
        <w:pStyle w:val="2"/>
        <w:rPr>
          <w:rFonts w:hint="eastAsia"/>
        </w:rPr>
      </w:pPr>
      <w:r>
        <w:drawing>
          <wp:anchor distT="0" distB="0" distL="114300" distR="114300" simplePos="0" relativeHeight="251659264" behindDoc="1" locked="0" layoutInCell="1" allowOverlap="1">
            <wp:simplePos x="0" y="0"/>
            <wp:positionH relativeFrom="column">
              <wp:posOffset>2977515</wp:posOffset>
            </wp:positionH>
            <wp:positionV relativeFrom="paragraph">
              <wp:posOffset>256540</wp:posOffset>
            </wp:positionV>
            <wp:extent cx="2775585" cy="2111375"/>
            <wp:effectExtent l="0" t="0" r="5715" b="3175"/>
            <wp:wrapNone/>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5"/>
                    <a:stretch>
                      <a:fillRect/>
                    </a:stretch>
                  </pic:blipFill>
                  <pic:spPr>
                    <a:xfrm>
                      <a:off x="0" y="0"/>
                      <a:ext cx="2775585" cy="2111375"/>
                    </a:xfrm>
                    <a:prstGeom prst="rect">
                      <a:avLst/>
                    </a:prstGeom>
                    <a:noFill/>
                    <a:ln>
                      <a:noFill/>
                    </a:ln>
                  </pic:spPr>
                </pic:pic>
              </a:graphicData>
            </a:graphic>
          </wp:anchor>
        </w:drawing>
      </w:r>
      <w:r>
        <w:drawing>
          <wp:inline distT="0" distB="0" distL="114300" distR="114300">
            <wp:extent cx="2824480" cy="2118360"/>
            <wp:effectExtent l="0" t="0" r="13970" b="152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6"/>
                    <a:stretch>
                      <a:fillRect/>
                    </a:stretch>
                  </pic:blipFill>
                  <pic:spPr>
                    <a:xfrm>
                      <a:off x="0" y="0"/>
                      <a:ext cx="2824480" cy="2118360"/>
                    </a:xfrm>
                    <a:prstGeom prst="rect">
                      <a:avLst/>
                    </a:prstGeom>
                    <a:noFill/>
                    <a:ln>
                      <a:noFill/>
                    </a:ln>
                  </pic:spPr>
                </pic:pic>
              </a:graphicData>
            </a:graphic>
          </wp:inline>
        </w:drawing>
      </w:r>
    </w:p>
    <w:p>
      <w:pPr>
        <w:pageBreakBefore w:val="0"/>
        <w:kinsoku/>
        <w:wordWrap/>
        <w:overflowPunct/>
        <w:topLinePunct w:val="0"/>
        <w:autoSpaceDE/>
        <w:autoSpaceDN/>
        <w:bidi w:val="0"/>
        <w:spacing w:line="360" w:lineRule="auto"/>
        <w:ind w:firstLine="643" w:firstLineChars="200"/>
        <w:jc w:val="both"/>
        <w:outlineLvl w:val="0"/>
        <w:rPr>
          <w:rFonts w:hint="eastAsia" w:ascii="仿宋_GB2312" w:hAnsi="仿宋_GB2312" w:eastAsia="仿宋_GB2312" w:cs="仿宋_GB2312"/>
          <w:b/>
          <w:bCs/>
          <w:sz w:val="32"/>
          <w:szCs w:val="36"/>
          <w:lang w:eastAsia="zh-CN"/>
        </w:rPr>
      </w:pPr>
      <w:bookmarkStart w:id="44" w:name="_Toc29649"/>
      <w:r>
        <w:rPr>
          <w:rFonts w:hint="eastAsia" w:ascii="仿宋_GB2312" w:hAnsi="仿宋_GB2312" w:eastAsia="仿宋_GB2312" w:cs="仿宋_GB2312"/>
          <w:b/>
          <w:bCs/>
          <w:sz w:val="32"/>
          <w:szCs w:val="36"/>
        </w:rPr>
        <w:t>五、主要</w:t>
      </w:r>
      <w:bookmarkEnd w:id="43"/>
      <w:bookmarkEnd w:id="44"/>
      <w:r>
        <w:rPr>
          <w:rFonts w:hint="eastAsia" w:ascii="仿宋_GB2312" w:hAnsi="仿宋_GB2312" w:eastAsia="仿宋_GB2312" w:cs="仿宋_GB2312"/>
          <w:b/>
          <w:bCs/>
          <w:sz w:val="32"/>
          <w:szCs w:val="36"/>
          <w:lang w:eastAsia="zh-CN"/>
        </w:rPr>
        <w:t>经验</w:t>
      </w:r>
    </w:p>
    <w:p>
      <w:pPr>
        <w:pageBreakBefore w:val="0"/>
        <w:widowControl w:val="0"/>
        <w:kinsoku/>
        <w:wordWrap/>
        <w:overflowPunct/>
        <w:topLinePunct w:val="0"/>
        <w:autoSpaceDE/>
        <w:autoSpaceDN/>
        <w:bidi w:val="0"/>
        <w:adjustRightInd w:val="0"/>
        <w:snapToGrid w:val="0"/>
        <w:spacing w:line="360" w:lineRule="auto"/>
        <w:ind w:firstLine="640" w:firstLineChars="200"/>
        <w:jc w:val="both"/>
        <w:outlineLvl w:val="0"/>
        <w:rPr>
          <w:rFonts w:hint="eastAsia" w:ascii="仿宋_GB2312" w:hAnsi="仿宋_GB2312" w:eastAsia="仿宋_GB2312" w:cs="仿宋_GB2312"/>
          <w:kern w:val="2"/>
          <w:sz w:val="32"/>
          <w:szCs w:val="36"/>
          <w:highlight w:val="none"/>
          <w:lang w:eastAsia="zh-CN"/>
        </w:rPr>
      </w:pPr>
      <w:bookmarkStart w:id="45" w:name="_Toc29093"/>
      <w:r>
        <w:rPr>
          <w:rFonts w:hint="eastAsia" w:ascii="仿宋_GB2312" w:hAnsi="仿宋_GB2312" w:eastAsia="仿宋_GB2312" w:cs="仿宋_GB2312"/>
          <w:kern w:val="2"/>
          <w:sz w:val="32"/>
          <w:szCs w:val="36"/>
          <w:highlight w:val="none"/>
          <w:lang w:eastAsia="zh-CN"/>
        </w:rPr>
        <w:t>强化绩效理念，深入推进评价工作。住建局进一步强化绩效管理理念，将“要我评价”的被动认识转化为“我要评价”的主动实践，把财政绩效评价作为转变政府职能、深化财政改革、促进科学理财的重要工作来抓，健全完善制度办法，切实加强组织领导，深入推进评价工作，提升了整体绩效管理水平。</w:t>
      </w:r>
    </w:p>
    <w:p>
      <w:pPr>
        <w:pageBreakBefore w:val="0"/>
        <w:widowControl w:val="0"/>
        <w:kinsoku/>
        <w:wordWrap/>
        <w:overflowPunct/>
        <w:topLinePunct w:val="0"/>
        <w:autoSpaceDE/>
        <w:autoSpaceDN/>
        <w:bidi w:val="0"/>
        <w:adjustRightInd w:val="0"/>
        <w:snapToGrid w:val="0"/>
        <w:spacing w:line="360" w:lineRule="auto"/>
        <w:ind w:firstLine="643" w:firstLineChars="200"/>
        <w:jc w:val="both"/>
        <w:outlineLvl w:val="0"/>
        <w:rPr>
          <w:rFonts w:hint="eastAsia" w:ascii="仿宋_GB2312" w:hAnsi="仿宋_GB2312" w:eastAsia="仿宋_GB2312" w:cs="仿宋_GB2312"/>
          <w:b/>
          <w:bCs/>
          <w:sz w:val="32"/>
          <w:szCs w:val="36"/>
        </w:rPr>
      </w:pPr>
      <w:r>
        <w:rPr>
          <w:rFonts w:hint="eastAsia" w:ascii="仿宋_GB2312" w:hAnsi="仿宋_GB2312" w:eastAsia="仿宋_GB2312" w:cs="仿宋_GB2312"/>
          <w:b/>
          <w:bCs/>
          <w:sz w:val="32"/>
          <w:szCs w:val="36"/>
        </w:rPr>
        <w:t>六、存在的问题</w:t>
      </w:r>
      <w:bookmarkEnd w:id="45"/>
    </w:p>
    <w:p>
      <w:pPr>
        <w:pageBreakBefore w:val="0"/>
        <w:kinsoku/>
        <w:wordWrap/>
        <w:overflowPunct/>
        <w:topLinePunct w:val="0"/>
        <w:autoSpaceDE/>
        <w:autoSpaceDN/>
        <w:bidi w:val="0"/>
        <w:spacing w:line="360" w:lineRule="auto"/>
        <w:ind w:firstLine="643" w:firstLineChars="200"/>
        <w:jc w:val="both"/>
        <w:outlineLvl w:val="1"/>
        <w:rPr>
          <w:rFonts w:hint="eastAsia" w:ascii="仿宋_GB2312" w:hAnsi="仿宋_GB2312" w:eastAsia="仿宋_GB2312" w:cs="仿宋_GB2312"/>
          <w:b/>
          <w:bCs/>
          <w:kern w:val="2"/>
          <w:sz w:val="32"/>
          <w:szCs w:val="36"/>
          <w:lang w:val="en-US" w:eastAsia="zh-CN" w:bidi="ar-SA"/>
        </w:rPr>
      </w:pPr>
      <w:bookmarkStart w:id="46" w:name="_Toc1137"/>
      <w:bookmarkStart w:id="47" w:name="_Toc74939799"/>
      <w:r>
        <w:rPr>
          <w:rFonts w:hint="eastAsia" w:ascii="仿宋_GB2312" w:hAnsi="仿宋_GB2312" w:eastAsia="仿宋_GB2312" w:cs="仿宋_GB2312"/>
          <w:b/>
          <w:bCs/>
          <w:sz w:val="32"/>
          <w:szCs w:val="36"/>
        </w:rPr>
        <w:t>（</w:t>
      </w:r>
      <w:r>
        <w:rPr>
          <w:rFonts w:hint="eastAsia" w:ascii="仿宋_GB2312" w:hAnsi="仿宋_GB2312" w:eastAsia="仿宋_GB2312" w:cs="仿宋_GB2312"/>
          <w:b/>
          <w:bCs/>
          <w:sz w:val="32"/>
          <w:szCs w:val="36"/>
          <w:lang w:eastAsia="zh-CN"/>
        </w:rPr>
        <w:t>一</w:t>
      </w:r>
      <w:r>
        <w:rPr>
          <w:rFonts w:hint="eastAsia" w:ascii="仿宋_GB2312" w:hAnsi="仿宋_GB2312" w:eastAsia="仿宋_GB2312" w:cs="仿宋_GB2312"/>
          <w:b/>
          <w:bCs/>
          <w:sz w:val="32"/>
          <w:szCs w:val="36"/>
        </w:rPr>
        <w:t>）项目管理有所欠缺</w:t>
      </w:r>
      <w:r>
        <w:rPr>
          <w:rFonts w:hint="eastAsia" w:ascii="仿宋_GB2312" w:hAnsi="仿宋_GB2312" w:eastAsia="仿宋_GB2312" w:cs="仿宋_GB2312"/>
          <w:b/>
          <w:bCs/>
          <w:sz w:val="32"/>
          <w:szCs w:val="36"/>
          <w:lang w:eastAsia="zh-CN"/>
        </w:rPr>
        <w:t>，</w:t>
      </w:r>
      <w:r>
        <w:rPr>
          <w:rFonts w:hint="eastAsia" w:ascii="仿宋_GB2312" w:hAnsi="仿宋_GB2312" w:eastAsia="仿宋_GB2312" w:cs="仿宋_GB2312"/>
          <w:b/>
          <w:bCs/>
          <w:kern w:val="2"/>
          <w:sz w:val="32"/>
          <w:szCs w:val="36"/>
          <w:lang w:val="en-US" w:eastAsia="zh-CN" w:bidi="ar-SA"/>
        </w:rPr>
        <w:t>制度建设不全面</w:t>
      </w:r>
    </w:p>
    <w:bookmarkEnd w:id="46"/>
    <w:p>
      <w:pPr>
        <w:pageBreakBefore w:val="0"/>
        <w:widowControl w:val="0"/>
        <w:kinsoku/>
        <w:wordWrap/>
        <w:overflowPunct/>
        <w:topLinePunct w:val="0"/>
        <w:autoSpaceDE/>
        <w:autoSpaceDN/>
        <w:bidi w:val="0"/>
        <w:adjustRightInd w:val="0"/>
        <w:snapToGrid w:val="0"/>
        <w:spacing w:line="360" w:lineRule="auto"/>
        <w:ind w:firstLine="640" w:firstLineChars="200"/>
        <w:jc w:val="both"/>
        <w:outlineLvl w:val="0"/>
        <w:rPr>
          <w:rFonts w:hint="eastAsia" w:ascii="仿宋_GB2312" w:hAnsi="仿宋_GB2312" w:eastAsia="仿宋_GB2312" w:cs="仿宋_GB2312"/>
          <w:kern w:val="2"/>
          <w:sz w:val="32"/>
          <w:szCs w:val="36"/>
          <w:lang w:eastAsia="zh-CN"/>
        </w:rPr>
      </w:pPr>
      <w:bookmarkStart w:id="48" w:name="_Toc17041"/>
      <w:r>
        <w:rPr>
          <w:rFonts w:hint="eastAsia" w:ascii="仿宋_GB2312" w:hAnsi="仿宋_GB2312" w:eastAsia="仿宋_GB2312" w:cs="仿宋_GB2312"/>
          <w:kern w:val="2"/>
          <w:sz w:val="32"/>
          <w:szCs w:val="36"/>
          <w:lang w:eastAsia="zh-CN"/>
        </w:rPr>
        <w:t>财务制度方面，未建立专项的资金管理制度，无法良好的保障和监控资金的安全性，项目管理方面，对水泵后续的管护未制定相关的制度，无法保障后续水泵的维护。</w:t>
      </w:r>
    </w:p>
    <w:p>
      <w:pPr>
        <w:pageBreakBefore w:val="0"/>
        <w:widowControl w:val="0"/>
        <w:kinsoku/>
        <w:wordWrap/>
        <w:overflowPunct/>
        <w:topLinePunct w:val="0"/>
        <w:autoSpaceDE/>
        <w:autoSpaceDN/>
        <w:bidi w:val="0"/>
        <w:adjustRightInd w:val="0"/>
        <w:snapToGrid w:val="0"/>
        <w:spacing w:line="360" w:lineRule="auto"/>
        <w:ind w:firstLine="643" w:firstLineChars="200"/>
        <w:jc w:val="both"/>
        <w:outlineLvl w:val="0"/>
        <w:rPr>
          <w:rFonts w:hint="eastAsia" w:ascii="仿宋_GB2312" w:hAnsi="仿宋_GB2312" w:eastAsia="仿宋_GB2312" w:cs="仿宋_GB2312"/>
          <w:b/>
          <w:bCs/>
          <w:kern w:val="2"/>
          <w:sz w:val="32"/>
          <w:szCs w:val="36"/>
          <w:lang w:val="en-US" w:eastAsia="zh-CN"/>
        </w:rPr>
      </w:pPr>
      <w:r>
        <w:rPr>
          <w:rFonts w:hint="eastAsia" w:ascii="仿宋_GB2312" w:hAnsi="仿宋_GB2312" w:eastAsia="仿宋_GB2312" w:cs="仿宋_GB2312"/>
          <w:b/>
          <w:bCs/>
          <w:kern w:val="2"/>
          <w:sz w:val="32"/>
          <w:szCs w:val="36"/>
          <w:lang w:val="en-US" w:eastAsia="zh-CN"/>
        </w:rPr>
        <w:t>七、有关建议</w:t>
      </w:r>
      <w:bookmarkEnd w:id="47"/>
      <w:bookmarkEnd w:id="48"/>
    </w:p>
    <w:p>
      <w:pPr>
        <w:pageBreakBefore w:val="0"/>
        <w:widowControl w:val="0"/>
        <w:kinsoku/>
        <w:wordWrap/>
        <w:overflowPunct/>
        <w:topLinePunct w:val="0"/>
        <w:autoSpaceDE/>
        <w:autoSpaceDN/>
        <w:bidi w:val="0"/>
        <w:adjustRightInd w:val="0"/>
        <w:snapToGrid w:val="0"/>
        <w:spacing w:line="360" w:lineRule="auto"/>
        <w:ind w:firstLine="643" w:firstLineChars="200"/>
        <w:jc w:val="both"/>
        <w:outlineLvl w:val="0"/>
        <w:rPr>
          <w:rFonts w:hint="eastAsia" w:ascii="仿宋_GB2312" w:hAnsi="仿宋_GB2312" w:eastAsia="仿宋_GB2312" w:cs="仿宋_GB2312"/>
          <w:b/>
          <w:bCs/>
          <w:kern w:val="2"/>
          <w:sz w:val="32"/>
          <w:szCs w:val="36"/>
          <w:lang w:eastAsia="zh-CN"/>
        </w:rPr>
      </w:pPr>
      <w:bookmarkStart w:id="49" w:name="_Toc26961"/>
      <w:bookmarkStart w:id="50" w:name="_Toc30613"/>
      <w:bookmarkStart w:id="51" w:name="_Toc22565"/>
      <w:bookmarkStart w:id="52" w:name="_Toc23246"/>
      <w:r>
        <w:rPr>
          <w:rFonts w:hint="eastAsia" w:ascii="仿宋_GB2312" w:hAnsi="仿宋_GB2312" w:eastAsia="仿宋_GB2312" w:cs="仿宋_GB2312"/>
          <w:b/>
          <w:bCs/>
          <w:kern w:val="2"/>
          <w:sz w:val="32"/>
          <w:szCs w:val="36"/>
          <w:lang w:eastAsia="zh-CN"/>
        </w:rPr>
        <w:t>（一）</w:t>
      </w:r>
      <w:bookmarkEnd w:id="49"/>
      <w:bookmarkEnd w:id="50"/>
      <w:bookmarkEnd w:id="51"/>
      <w:bookmarkEnd w:id="52"/>
      <w:bookmarkStart w:id="53" w:name="_Toc6763"/>
      <w:r>
        <w:rPr>
          <w:rFonts w:hint="eastAsia" w:ascii="仿宋_GB2312" w:hAnsi="仿宋_GB2312" w:eastAsia="仿宋_GB2312" w:cs="仿宋_GB2312"/>
          <w:b/>
          <w:bCs/>
          <w:kern w:val="2"/>
          <w:sz w:val="32"/>
          <w:szCs w:val="36"/>
          <w:lang w:eastAsia="zh-CN"/>
        </w:rPr>
        <w:t>加大项目过程和项目实施完成后的监督力度</w:t>
      </w:r>
    </w:p>
    <w:bookmarkEnd w:id="53"/>
    <w:p>
      <w:pPr>
        <w:pageBreakBefore w:val="0"/>
        <w:widowControl w:val="0"/>
        <w:kinsoku/>
        <w:wordWrap/>
        <w:overflowPunct/>
        <w:topLinePunct w:val="0"/>
        <w:autoSpaceDE/>
        <w:autoSpaceDN/>
        <w:bidi w:val="0"/>
        <w:adjustRightInd w:val="0"/>
        <w:snapToGrid w:val="0"/>
        <w:spacing w:line="360" w:lineRule="auto"/>
        <w:ind w:firstLine="640" w:firstLineChars="200"/>
        <w:jc w:val="both"/>
        <w:outlineLvl w:val="0"/>
        <w:rPr>
          <w:rFonts w:hint="eastAsia" w:ascii="仿宋_GB2312" w:hAnsi="仿宋_GB2312" w:eastAsia="仿宋_GB2312" w:cs="仿宋_GB2312"/>
          <w:kern w:val="2"/>
          <w:sz w:val="32"/>
          <w:szCs w:val="36"/>
          <w:lang w:val="en-US" w:eastAsia="zh-CN"/>
        </w:rPr>
      </w:pPr>
      <w:r>
        <w:rPr>
          <w:rFonts w:hint="eastAsia" w:ascii="仿宋_GB2312" w:hAnsi="仿宋_GB2312" w:eastAsia="仿宋_GB2312" w:cs="仿宋_GB2312"/>
          <w:kern w:val="2"/>
          <w:sz w:val="32"/>
          <w:szCs w:val="36"/>
          <w:lang w:val="en-US" w:eastAsia="zh-CN"/>
        </w:rPr>
        <w:t>建立完善项目专项资金管理制度，对资金的支付加大监督力度，完善水泵后续管护制度，定期进行维护检修，保障水泵的正常运转和可持续使用。</w:t>
      </w:r>
    </w:p>
    <w:p>
      <w:pPr>
        <w:pageBreakBefore w:val="0"/>
        <w:widowControl w:val="0"/>
        <w:kinsoku/>
        <w:wordWrap/>
        <w:overflowPunct/>
        <w:topLinePunct w:val="0"/>
        <w:autoSpaceDE/>
        <w:autoSpaceDN/>
        <w:bidi w:val="0"/>
        <w:adjustRightInd w:val="0"/>
        <w:snapToGrid w:val="0"/>
        <w:spacing w:line="360" w:lineRule="auto"/>
        <w:jc w:val="left"/>
        <w:outlineLvl w:val="0"/>
        <w:rPr>
          <w:rFonts w:hint="eastAsia" w:ascii="仿宋_GB2312" w:hAnsi="仿宋_GB2312" w:eastAsia="仿宋_GB2312" w:cs="仿宋_GB2312"/>
          <w:bCs/>
          <w:color w:val="000000"/>
          <w:sz w:val="18"/>
          <w:szCs w:val="28"/>
          <w:lang w:eastAsia="zh-CN"/>
        </w:rPr>
      </w:pPr>
      <w:bookmarkStart w:id="54" w:name="_Toc3102"/>
      <w:r>
        <w:rPr>
          <w:rFonts w:hint="eastAsia" w:ascii="仿宋_GB2312" w:hAnsi="仿宋_GB2312" w:eastAsia="仿宋_GB2312" w:cs="仿宋_GB2312"/>
          <w:b/>
          <w:bCs/>
          <w:kern w:val="2"/>
          <w:sz w:val="32"/>
          <w:szCs w:val="36"/>
        </w:rPr>
        <w:t>附件</w:t>
      </w:r>
      <w:r>
        <w:rPr>
          <w:rFonts w:hint="eastAsia" w:ascii="仿宋_GB2312" w:hAnsi="仿宋_GB2312" w:eastAsia="仿宋_GB2312" w:cs="仿宋_GB2312"/>
          <w:b/>
          <w:bCs/>
          <w:kern w:val="2"/>
          <w:sz w:val="32"/>
          <w:szCs w:val="36"/>
          <w:lang w:val="en-US" w:eastAsia="zh-CN"/>
        </w:rPr>
        <w:t>1</w:t>
      </w:r>
      <w:r>
        <w:rPr>
          <w:rFonts w:hint="eastAsia" w:ascii="仿宋_GB2312" w:hAnsi="仿宋_GB2312" w:eastAsia="仿宋_GB2312" w:cs="仿宋_GB2312"/>
          <w:b/>
          <w:bCs/>
          <w:kern w:val="2"/>
          <w:sz w:val="32"/>
          <w:szCs w:val="36"/>
        </w:rPr>
        <w:t>：</w:t>
      </w:r>
      <w:r>
        <w:rPr>
          <w:rFonts w:hint="eastAsia" w:ascii="仿宋_GB2312" w:hAnsi="仿宋_GB2312" w:eastAsia="仿宋_GB2312" w:cs="仿宋_GB2312"/>
          <w:b/>
          <w:bCs/>
          <w:kern w:val="2"/>
          <w:sz w:val="32"/>
          <w:szCs w:val="36"/>
          <w:lang w:eastAsia="zh-CN"/>
        </w:rPr>
        <w:t>安阳县住房和城乡建设局大型排水泵购置项目</w:t>
      </w:r>
      <w:r>
        <w:rPr>
          <w:rFonts w:hint="eastAsia" w:ascii="仿宋_GB2312" w:hAnsi="仿宋_GB2312" w:eastAsia="仿宋_GB2312" w:cs="仿宋_GB2312"/>
          <w:b/>
          <w:bCs/>
          <w:kern w:val="2"/>
          <w:sz w:val="32"/>
          <w:szCs w:val="36"/>
        </w:rPr>
        <w:t>绩效评价</w:t>
      </w:r>
      <w:bookmarkEnd w:id="54"/>
      <w:bookmarkStart w:id="55" w:name="_Toc40284076"/>
      <w:bookmarkEnd w:id="55"/>
      <w:bookmarkStart w:id="56" w:name="_Toc75201980"/>
      <w:bookmarkEnd w:id="56"/>
      <w:r>
        <w:rPr>
          <w:rFonts w:hint="eastAsia" w:ascii="仿宋_GB2312" w:hAnsi="仿宋_GB2312" w:eastAsia="仿宋_GB2312" w:cs="仿宋_GB2312"/>
          <w:b/>
          <w:bCs/>
          <w:kern w:val="2"/>
          <w:sz w:val="32"/>
          <w:szCs w:val="36"/>
          <w:lang w:eastAsia="zh-CN"/>
        </w:rPr>
        <w:t>评分表</w:t>
      </w:r>
    </w:p>
    <w:p>
      <w:pPr>
        <w:pStyle w:val="6"/>
        <w:numPr>
          <w:ilvl w:val="0"/>
          <w:numId w:val="0"/>
        </w:numPr>
        <w:jc w:val="right"/>
        <w:rPr>
          <w:rFonts w:hint="eastAsia" w:ascii="仿宋_GB2312" w:hAnsi="仿宋_GB2312" w:eastAsia="仿宋_GB2312" w:cs="仿宋_GB2312"/>
          <w:color w:val="auto"/>
          <w:kern w:val="2"/>
          <w:sz w:val="32"/>
          <w:szCs w:val="32"/>
          <w:lang w:val="en-US" w:eastAsia="zh-CN"/>
        </w:rPr>
      </w:pPr>
    </w:p>
    <w:p>
      <w:pPr>
        <w:pStyle w:val="6"/>
        <w:numPr>
          <w:ilvl w:val="0"/>
          <w:numId w:val="0"/>
        </w:numPr>
        <w:jc w:val="left"/>
        <w:rPr>
          <w:rFonts w:hint="eastAsia" w:ascii="仿宋_GB2312" w:hAnsi="仿宋_GB2312" w:eastAsia="仿宋_GB2312" w:cs="仿宋_GB2312"/>
          <w:color w:val="auto"/>
          <w:kern w:val="2"/>
          <w:sz w:val="32"/>
          <w:szCs w:val="32"/>
          <w:lang w:val="en-US" w:eastAsia="zh-CN"/>
        </w:rPr>
      </w:pPr>
      <w:r>
        <w:rPr>
          <w:rFonts w:hint="eastAsia" w:ascii="仿宋_GB2312" w:hAnsi="仿宋_GB2312" w:eastAsia="仿宋_GB2312" w:cs="仿宋_GB2312"/>
          <w:color w:val="auto"/>
          <w:kern w:val="2"/>
          <w:sz w:val="32"/>
          <w:szCs w:val="32"/>
          <w:lang w:val="en-US" w:eastAsia="zh-CN"/>
        </w:rPr>
        <w:t>河南昌盛会计师事务所（普通合伙）    主评人：</w:t>
      </w:r>
    </w:p>
    <w:p>
      <w:pPr>
        <w:pStyle w:val="6"/>
        <w:numPr>
          <w:ilvl w:val="0"/>
          <w:numId w:val="0"/>
        </w:numPr>
        <w:ind w:firstLine="640" w:firstLineChars="200"/>
        <w:rPr>
          <w:rFonts w:hint="eastAsia" w:ascii="仿宋_GB2312" w:hAnsi="仿宋_GB2312" w:eastAsia="仿宋_GB2312" w:cs="仿宋_GB2312"/>
          <w:color w:val="auto"/>
          <w:kern w:val="2"/>
          <w:sz w:val="32"/>
          <w:szCs w:val="32"/>
          <w:lang w:val="en-US" w:eastAsia="zh-CN"/>
        </w:rPr>
      </w:pPr>
    </w:p>
    <w:p>
      <w:pPr>
        <w:pStyle w:val="6"/>
        <w:numPr>
          <w:ilvl w:val="0"/>
          <w:numId w:val="0"/>
        </w:numPr>
        <w:ind w:firstLine="640" w:firstLineChars="200"/>
        <w:rPr>
          <w:rFonts w:hint="eastAsia"/>
        </w:rPr>
        <w:sectPr>
          <w:headerReference r:id="rId8" w:type="default"/>
          <w:footerReference r:id="rId10" w:type="default"/>
          <w:headerReference r:id="rId9" w:type="even"/>
          <w:footerReference r:id="rId11" w:type="even"/>
          <w:pgSz w:w="11906" w:h="16838"/>
          <w:pgMar w:top="1440" w:right="1797" w:bottom="1440" w:left="1797" w:header="851" w:footer="992" w:gutter="0"/>
          <w:pgBorders>
            <w:top w:val="none" w:sz="0" w:space="0"/>
            <w:left w:val="none" w:sz="0" w:space="0"/>
            <w:bottom w:val="none" w:sz="0" w:space="0"/>
            <w:right w:val="none" w:sz="0" w:space="0"/>
          </w:pgBorders>
          <w:pgNumType w:start="1"/>
          <w:cols w:space="425" w:num="1"/>
          <w:docGrid w:type="lines" w:linePitch="326" w:charSpace="0"/>
        </w:sectPr>
      </w:pPr>
      <w:bookmarkStart w:id="58" w:name="_GoBack"/>
      <w:bookmarkEnd w:id="58"/>
      <w:r>
        <w:rPr>
          <w:rFonts w:hint="eastAsia" w:ascii="仿宋_GB2312" w:hAnsi="仿宋_GB2312" w:eastAsia="仿宋_GB2312" w:cs="仿宋_GB2312"/>
          <w:color w:val="auto"/>
          <w:kern w:val="2"/>
          <w:sz w:val="32"/>
          <w:szCs w:val="32"/>
          <w:lang w:val="en-US" w:eastAsia="zh-CN"/>
        </w:rPr>
        <w:t xml:space="preserve">  中国安阳市                  2023年09月12日</w:t>
      </w:r>
    </w:p>
    <w:p>
      <w:pPr>
        <w:rPr>
          <w:rFonts w:hint="eastAsia" w:ascii="仿宋_GB2312" w:hAnsi="仿宋_GB2312" w:eastAsia="仿宋_GB2312" w:cs="仿宋_GB2312"/>
          <w:kern w:val="2"/>
        </w:rPr>
      </w:pPr>
      <w:bookmarkStart w:id="57" w:name="_Toc17515"/>
      <w:r>
        <w:rPr>
          <w:rFonts w:hint="eastAsia" w:ascii="仿宋_GB2312" w:hAnsi="仿宋_GB2312" w:eastAsia="仿宋_GB2312" w:cs="仿宋_GB2312"/>
          <w:bCs/>
          <w:kern w:val="36"/>
          <w:sz w:val="28"/>
          <w:szCs w:val="28"/>
        </w:rPr>
        <w:t>附件</w:t>
      </w:r>
      <w:bookmarkEnd w:id="57"/>
      <w:r>
        <w:rPr>
          <w:rFonts w:hint="eastAsia" w:ascii="仿宋_GB2312" w:hAnsi="仿宋_GB2312" w:eastAsia="仿宋_GB2312" w:cs="仿宋_GB2312"/>
          <w:bCs/>
          <w:kern w:val="36"/>
          <w:sz w:val="28"/>
          <w:szCs w:val="28"/>
          <w:lang w:val="en-US" w:eastAsia="zh-CN"/>
        </w:rPr>
        <w:t>1</w:t>
      </w:r>
      <w:r>
        <w:rPr>
          <w:rFonts w:hint="eastAsia" w:ascii="仿宋_GB2312" w:hAnsi="仿宋_GB2312" w:eastAsia="仿宋_GB2312" w:cs="仿宋_GB2312"/>
          <w:bCs/>
          <w:kern w:val="36"/>
          <w:sz w:val="28"/>
          <w:szCs w:val="28"/>
        </w:rPr>
        <w:t>：</w:t>
      </w:r>
    </w:p>
    <w:p>
      <w:pPr>
        <w:widowControl w:val="0"/>
        <w:adjustRightInd w:val="0"/>
        <w:snapToGrid w:val="0"/>
        <w:jc w:val="center"/>
        <w:rPr>
          <w:rFonts w:hint="eastAsia" w:ascii="仿宋_GB2312" w:hAnsi="仿宋_GB2312" w:eastAsia="仿宋_GB2312" w:cs="仿宋_GB2312"/>
          <w:kern w:val="2"/>
          <w:sz w:val="32"/>
          <w:szCs w:val="32"/>
          <w:lang w:eastAsia="zh-CN"/>
        </w:rPr>
      </w:pPr>
      <w:r>
        <w:rPr>
          <w:rFonts w:hint="eastAsia" w:ascii="仿宋_GB2312" w:hAnsi="仿宋_GB2312" w:eastAsia="仿宋_GB2312" w:cs="仿宋_GB2312"/>
          <w:kern w:val="2"/>
          <w:sz w:val="32"/>
          <w:szCs w:val="32"/>
          <w:lang w:eastAsia="zh-CN"/>
        </w:rPr>
        <w:t>安阳县住房和城乡建设局大型排水泵购置项目</w:t>
      </w:r>
      <w:r>
        <w:rPr>
          <w:rFonts w:hint="eastAsia" w:ascii="仿宋_GB2312" w:hAnsi="仿宋_GB2312" w:eastAsia="仿宋_GB2312" w:cs="仿宋_GB2312"/>
          <w:kern w:val="2"/>
          <w:sz w:val="32"/>
          <w:szCs w:val="32"/>
        </w:rPr>
        <w:t>绩效评价</w:t>
      </w:r>
      <w:r>
        <w:rPr>
          <w:rFonts w:hint="eastAsia" w:ascii="仿宋_GB2312" w:hAnsi="仿宋_GB2312" w:eastAsia="仿宋_GB2312" w:cs="仿宋_GB2312"/>
          <w:kern w:val="2"/>
          <w:sz w:val="32"/>
          <w:szCs w:val="32"/>
          <w:lang w:eastAsia="zh-CN"/>
        </w:rPr>
        <w:t>评分表</w:t>
      </w:r>
    </w:p>
    <w:tbl>
      <w:tblPr>
        <w:tblStyle w:val="18"/>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
        <w:gridCol w:w="948"/>
        <w:gridCol w:w="900"/>
        <w:gridCol w:w="954"/>
        <w:gridCol w:w="941"/>
        <w:gridCol w:w="655"/>
        <w:gridCol w:w="4589"/>
        <w:gridCol w:w="4338"/>
        <w:gridCol w:w="8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1" w:hRule="atLeast"/>
          <w:jc w:val="center"/>
        </w:trPr>
        <w:tc>
          <w:tcPr>
            <w:tcW w:w="336" w:type="pct"/>
            <w:gridSpan w:val="2"/>
            <w:vAlign w:val="center"/>
          </w:tcPr>
          <w:p>
            <w:pPr>
              <w:adjustRightInd w:val="0"/>
              <w:snapToGrid w:val="0"/>
              <w:jc w:val="center"/>
              <w:rPr>
                <w:rFonts w:hint="eastAsia" w:ascii="仿宋_GB2312" w:hAnsi="仿宋_GB2312" w:eastAsia="仿宋_GB2312" w:cs="仿宋_GB2312"/>
                <w:b/>
                <w:sz w:val="22"/>
                <w:szCs w:val="22"/>
              </w:rPr>
            </w:pPr>
            <w:r>
              <w:rPr>
                <w:rFonts w:hint="eastAsia" w:ascii="仿宋_GB2312" w:hAnsi="仿宋_GB2312" w:eastAsia="仿宋_GB2312" w:cs="仿宋_GB2312"/>
                <w:b/>
                <w:sz w:val="22"/>
                <w:szCs w:val="22"/>
              </w:rPr>
              <w:t>一级指标</w:t>
            </w:r>
          </w:p>
        </w:tc>
        <w:tc>
          <w:tcPr>
            <w:tcW w:w="317" w:type="pct"/>
            <w:vAlign w:val="center"/>
          </w:tcPr>
          <w:p>
            <w:pPr>
              <w:adjustRightInd w:val="0"/>
              <w:snapToGrid w:val="0"/>
              <w:jc w:val="center"/>
              <w:rPr>
                <w:rFonts w:hint="eastAsia" w:ascii="仿宋_GB2312" w:hAnsi="仿宋_GB2312" w:eastAsia="仿宋_GB2312" w:cs="仿宋_GB2312"/>
                <w:b/>
                <w:sz w:val="22"/>
                <w:szCs w:val="22"/>
              </w:rPr>
            </w:pPr>
            <w:r>
              <w:rPr>
                <w:rFonts w:hint="eastAsia" w:ascii="仿宋_GB2312" w:hAnsi="仿宋_GB2312" w:eastAsia="仿宋_GB2312" w:cs="仿宋_GB2312"/>
                <w:b/>
                <w:sz w:val="22"/>
                <w:szCs w:val="22"/>
              </w:rPr>
              <w:t>二级指标</w:t>
            </w:r>
          </w:p>
        </w:tc>
        <w:tc>
          <w:tcPr>
            <w:tcW w:w="336" w:type="pct"/>
            <w:vAlign w:val="center"/>
          </w:tcPr>
          <w:p>
            <w:pPr>
              <w:adjustRightInd w:val="0"/>
              <w:snapToGrid w:val="0"/>
              <w:jc w:val="center"/>
              <w:rPr>
                <w:rFonts w:hint="eastAsia" w:ascii="仿宋_GB2312" w:hAnsi="仿宋_GB2312" w:eastAsia="仿宋_GB2312" w:cs="仿宋_GB2312"/>
                <w:b/>
                <w:sz w:val="22"/>
                <w:szCs w:val="22"/>
              </w:rPr>
            </w:pPr>
            <w:r>
              <w:rPr>
                <w:rFonts w:hint="eastAsia" w:ascii="仿宋_GB2312" w:hAnsi="仿宋_GB2312" w:eastAsia="仿宋_GB2312" w:cs="仿宋_GB2312"/>
                <w:b/>
                <w:sz w:val="22"/>
                <w:szCs w:val="22"/>
              </w:rPr>
              <w:t>三级指标</w:t>
            </w:r>
          </w:p>
        </w:tc>
        <w:tc>
          <w:tcPr>
            <w:tcW w:w="332" w:type="pct"/>
            <w:vAlign w:val="center"/>
          </w:tcPr>
          <w:p>
            <w:pPr>
              <w:adjustRightInd w:val="0"/>
              <w:snapToGrid w:val="0"/>
              <w:jc w:val="center"/>
              <w:rPr>
                <w:rFonts w:hint="eastAsia" w:ascii="仿宋_GB2312" w:hAnsi="仿宋_GB2312" w:eastAsia="仿宋_GB2312" w:cs="仿宋_GB2312"/>
                <w:b/>
                <w:sz w:val="22"/>
                <w:szCs w:val="22"/>
              </w:rPr>
            </w:pPr>
            <w:r>
              <w:rPr>
                <w:rFonts w:hint="eastAsia" w:ascii="仿宋_GB2312" w:hAnsi="仿宋_GB2312" w:eastAsia="仿宋_GB2312" w:cs="仿宋_GB2312"/>
                <w:b/>
                <w:sz w:val="22"/>
                <w:szCs w:val="22"/>
              </w:rPr>
              <w:t>目标值</w:t>
            </w:r>
          </w:p>
        </w:tc>
        <w:tc>
          <w:tcPr>
            <w:tcW w:w="231" w:type="pct"/>
            <w:vAlign w:val="center"/>
          </w:tcPr>
          <w:p>
            <w:pPr>
              <w:adjustRightInd w:val="0"/>
              <w:snapToGrid w:val="0"/>
              <w:jc w:val="center"/>
              <w:rPr>
                <w:rFonts w:hint="eastAsia" w:ascii="仿宋_GB2312" w:hAnsi="仿宋_GB2312" w:eastAsia="仿宋_GB2312" w:cs="仿宋_GB2312"/>
                <w:b/>
                <w:sz w:val="22"/>
                <w:szCs w:val="22"/>
              </w:rPr>
            </w:pPr>
            <w:r>
              <w:rPr>
                <w:rFonts w:hint="eastAsia" w:ascii="仿宋_GB2312" w:hAnsi="仿宋_GB2312" w:eastAsia="仿宋_GB2312" w:cs="仿宋_GB2312"/>
                <w:b/>
                <w:sz w:val="22"/>
                <w:szCs w:val="22"/>
              </w:rPr>
              <w:t>分值</w:t>
            </w:r>
          </w:p>
        </w:tc>
        <w:tc>
          <w:tcPr>
            <w:tcW w:w="1620" w:type="pct"/>
            <w:vAlign w:val="center"/>
          </w:tcPr>
          <w:p>
            <w:pPr>
              <w:adjustRightInd w:val="0"/>
              <w:snapToGrid w:val="0"/>
              <w:jc w:val="center"/>
              <w:rPr>
                <w:rFonts w:hint="eastAsia" w:ascii="仿宋_GB2312" w:hAnsi="仿宋_GB2312" w:eastAsia="仿宋_GB2312" w:cs="仿宋_GB2312"/>
                <w:b/>
                <w:sz w:val="22"/>
                <w:szCs w:val="22"/>
              </w:rPr>
            </w:pPr>
            <w:r>
              <w:rPr>
                <w:rFonts w:hint="eastAsia" w:ascii="仿宋_GB2312" w:hAnsi="仿宋_GB2312" w:eastAsia="仿宋_GB2312" w:cs="仿宋_GB2312"/>
                <w:b/>
                <w:sz w:val="22"/>
                <w:szCs w:val="22"/>
              </w:rPr>
              <w:t>评价标准</w:t>
            </w:r>
          </w:p>
        </w:tc>
        <w:tc>
          <w:tcPr>
            <w:tcW w:w="1531" w:type="pct"/>
            <w:vAlign w:val="center"/>
          </w:tcPr>
          <w:p>
            <w:pPr>
              <w:adjustRightInd w:val="0"/>
              <w:snapToGrid w:val="0"/>
              <w:jc w:val="center"/>
              <w:rPr>
                <w:rFonts w:hint="eastAsia" w:ascii="仿宋_GB2312" w:hAnsi="仿宋_GB2312" w:eastAsia="仿宋_GB2312" w:cs="仿宋_GB2312"/>
                <w:b/>
                <w:sz w:val="22"/>
                <w:szCs w:val="22"/>
              </w:rPr>
            </w:pPr>
            <w:r>
              <w:rPr>
                <w:rFonts w:hint="eastAsia" w:ascii="仿宋_GB2312" w:hAnsi="仿宋_GB2312" w:eastAsia="仿宋_GB2312" w:cs="仿宋_GB2312"/>
                <w:b/>
                <w:sz w:val="22"/>
                <w:szCs w:val="22"/>
              </w:rPr>
              <w:t>评价过程</w:t>
            </w:r>
          </w:p>
        </w:tc>
        <w:tc>
          <w:tcPr>
            <w:tcW w:w="294" w:type="pct"/>
            <w:vAlign w:val="center"/>
          </w:tcPr>
          <w:p>
            <w:pPr>
              <w:adjustRightInd w:val="0"/>
              <w:snapToGrid w:val="0"/>
              <w:jc w:val="center"/>
              <w:rPr>
                <w:rFonts w:hint="eastAsia" w:ascii="仿宋_GB2312" w:hAnsi="仿宋_GB2312" w:eastAsia="仿宋_GB2312" w:cs="仿宋_GB2312"/>
                <w:b/>
                <w:sz w:val="22"/>
                <w:szCs w:val="22"/>
              </w:rPr>
            </w:pPr>
            <w:r>
              <w:rPr>
                <w:rFonts w:hint="eastAsia" w:ascii="仿宋_GB2312" w:hAnsi="仿宋_GB2312" w:eastAsia="仿宋_GB2312" w:cs="仿宋_GB2312"/>
                <w:b/>
                <w:sz w:val="22"/>
                <w:szCs w:val="22"/>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87" w:hRule="atLeast"/>
          <w:jc w:val="center"/>
        </w:trPr>
        <w:tc>
          <w:tcPr>
            <w:tcW w:w="336" w:type="pct"/>
            <w:gridSpan w:val="2"/>
            <w:vMerge w:val="restart"/>
            <w:vAlign w:val="center"/>
          </w:tcPr>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项目决策</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A</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（1</w:t>
            </w:r>
            <w:r>
              <w:rPr>
                <w:rFonts w:hint="eastAsia" w:ascii="仿宋" w:hAnsi="仿宋" w:eastAsia="仿宋" w:cs="仿宋"/>
                <w:sz w:val="20"/>
                <w:szCs w:val="20"/>
                <w:lang w:val="en-US" w:eastAsia="zh-CN"/>
              </w:rPr>
              <w:t>6</w:t>
            </w:r>
            <w:r>
              <w:rPr>
                <w:rFonts w:hint="eastAsia" w:ascii="仿宋" w:hAnsi="仿宋" w:eastAsia="仿宋" w:cs="仿宋"/>
                <w:sz w:val="20"/>
                <w:szCs w:val="20"/>
              </w:rPr>
              <w:t>分）</w:t>
            </w:r>
          </w:p>
          <w:p>
            <w:pPr>
              <w:adjustRightInd w:val="0"/>
              <w:snapToGrid w:val="0"/>
              <w:jc w:val="center"/>
              <w:rPr>
                <w:rFonts w:hint="eastAsia" w:ascii="仿宋" w:hAnsi="仿宋" w:eastAsia="仿宋" w:cs="仿宋"/>
                <w:sz w:val="20"/>
                <w:szCs w:val="20"/>
              </w:rPr>
            </w:pPr>
          </w:p>
        </w:tc>
        <w:tc>
          <w:tcPr>
            <w:tcW w:w="317" w:type="pct"/>
            <w:vMerge w:val="restar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项目立项A1</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（4分）</w:t>
            </w: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立项依据充分性</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A11</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充分</w:t>
            </w:r>
          </w:p>
        </w:tc>
        <w:tc>
          <w:tcPr>
            <w:tcW w:w="2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2</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①项目立项是否符合国家法律法规、国民经济发展规划和相关政策；②项目立项是否符合行业发展规划和政策要求；③项目立项是否与部门职责范围相符，属于部门履职所需；④项目是否属于公共财政支持范围，是否符合中央、地方事权支出责任划分原则；⑤项目是否与相关部门同类项目或部门内部相关项目重复。以上要素各占1/5权重分，符合相关要素得满分,否则对应要素不得分。</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经评价组核</w:t>
            </w:r>
            <w:r>
              <w:rPr>
                <w:rFonts w:hint="eastAsia" w:ascii="仿宋" w:hAnsi="仿宋" w:eastAsia="仿宋" w:cs="仿宋"/>
                <w:color w:val="000000"/>
                <w:sz w:val="20"/>
                <w:szCs w:val="20"/>
                <w:lang w:eastAsia="zh-CN"/>
              </w:rPr>
              <w:t>查：①</w:t>
            </w:r>
            <w:r>
              <w:rPr>
                <w:rFonts w:hint="eastAsia" w:ascii="仿宋" w:hAnsi="仿宋" w:eastAsia="仿宋" w:cs="仿宋"/>
                <w:color w:val="000000"/>
                <w:sz w:val="20"/>
                <w:szCs w:val="20"/>
                <w:lang w:val="en-US" w:eastAsia="zh-CN"/>
              </w:rPr>
              <w:t>安阳县住房和城乡建设局大型排水泵购置项目</w:t>
            </w:r>
            <w:r>
              <w:rPr>
                <w:rFonts w:hint="eastAsia" w:ascii="仿宋" w:hAnsi="仿宋" w:eastAsia="仿宋" w:cs="仿宋"/>
                <w:color w:val="000000"/>
                <w:sz w:val="20"/>
                <w:szCs w:val="20"/>
                <w:lang w:eastAsia="zh-CN"/>
              </w:rPr>
              <w:t>设立符</w:t>
            </w:r>
            <w:r>
              <w:rPr>
                <w:rFonts w:hint="eastAsia" w:ascii="仿宋" w:hAnsi="仿宋" w:eastAsia="仿宋" w:cs="仿宋"/>
                <w:color w:val="000000"/>
                <w:sz w:val="20"/>
                <w:szCs w:val="20"/>
                <w:highlight w:val="none"/>
                <w:lang w:eastAsia="zh-CN"/>
              </w:rPr>
              <w:t>合</w:t>
            </w:r>
            <w:r>
              <w:rPr>
                <w:rFonts w:hint="eastAsia" w:ascii="仿宋" w:hAnsi="仿宋" w:eastAsia="仿宋" w:cs="仿宋"/>
                <w:sz w:val="20"/>
                <w:szCs w:val="20"/>
              </w:rPr>
              <w:t>国家法律法规</w:t>
            </w:r>
            <w:r>
              <w:rPr>
                <w:rFonts w:hint="eastAsia" w:ascii="仿宋" w:hAnsi="仿宋" w:eastAsia="仿宋" w:cs="仿宋"/>
                <w:sz w:val="20"/>
                <w:szCs w:val="20"/>
                <w:highlight w:val="none"/>
              </w:rPr>
              <w:t>及</w:t>
            </w:r>
            <w:r>
              <w:rPr>
                <w:rFonts w:hint="eastAsia" w:ascii="仿宋" w:hAnsi="仿宋" w:eastAsia="仿宋" w:cs="仿宋"/>
                <w:sz w:val="20"/>
                <w:szCs w:val="20"/>
              </w:rPr>
              <w:t>相关政策要求；②</w:t>
            </w:r>
            <w:r>
              <w:rPr>
                <w:rFonts w:hint="eastAsia" w:ascii="仿宋" w:hAnsi="仿宋" w:eastAsia="仿宋" w:cs="仿宋"/>
                <w:color w:val="000000"/>
                <w:sz w:val="20"/>
                <w:szCs w:val="20"/>
                <w:lang w:val="en-US" w:eastAsia="zh-CN"/>
              </w:rPr>
              <w:t>安阳县住房和城乡建设局大型排水泵购置项目</w:t>
            </w:r>
            <w:r>
              <w:rPr>
                <w:rFonts w:hint="eastAsia" w:ascii="仿宋" w:hAnsi="仿宋" w:eastAsia="仿宋" w:cs="仿宋"/>
                <w:sz w:val="20"/>
                <w:szCs w:val="20"/>
              </w:rPr>
              <w:t>设</w:t>
            </w:r>
            <w:r>
              <w:rPr>
                <w:rFonts w:hint="eastAsia" w:ascii="仿宋" w:hAnsi="仿宋" w:eastAsia="仿宋" w:cs="仿宋"/>
                <w:sz w:val="20"/>
                <w:szCs w:val="20"/>
                <w:highlight w:val="none"/>
              </w:rPr>
              <w:t>立符合</w:t>
            </w:r>
            <w:r>
              <w:rPr>
                <w:rFonts w:hint="eastAsia" w:ascii="仿宋" w:hAnsi="仿宋" w:eastAsia="仿宋" w:cs="仿宋"/>
                <w:sz w:val="20"/>
                <w:szCs w:val="20"/>
                <w:highlight w:val="none"/>
                <w:lang w:eastAsia="zh-CN"/>
              </w:rPr>
              <w:t>安阳县</w:t>
            </w:r>
            <w:r>
              <w:rPr>
                <w:rFonts w:hint="eastAsia" w:ascii="仿宋" w:hAnsi="仿宋" w:eastAsia="仿宋" w:cs="仿宋"/>
                <w:sz w:val="20"/>
                <w:szCs w:val="20"/>
                <w:highlight w:val="none"/>
              </w:rPr>
              <w:t>行</w:t>
            </w:r>
            <w:r>
              <w:rPr>
                <w:rFonts w:hint="eastAsia" w:ascii="仿宋" w:hAnsi="仿宋" w:eastAsia="仿宋" w:cs="仿宋"/>
                <w:sz w:val="20"/>
                <w:szCs w:val="20"/>
              </w:rPr>
              <w:t>业发展规划和政策要求；③</w:t>
            </w:r>
            <w:r>
              <w:rPr>
                <w:rFonts w:hint="eastAsia" w:ascii="仿宋" w:hAnsi="仿宋" w:eastAsia="仿宋" w:cs="仿宋"/>
                <w:color w:val="000000"/>
                <w:sz w:val="20"/>
                <w:szCs w:val="20"/>
                <w:lang w:val="en-US" w:eastAsia="zh-CN"/>
              </w:rPr>
              <w:t>安阳县住房和城乡建设局大型排水泵购置项目</w:t>
            </w:r>
            <w:r>
              <w:rPr>
                <w:rFonts w:hint="eastAsia" w:ascii="仿宋" w:hAnsi="仿宋" w:eastAsia="仿宋" w:cs="仿宋"/>
                <w:sz w:val="20"/>
                <w:szCs w:val="20"/>
              </w:rPr>
              <w:t>设立与</w:t>
            </w:r>
            <w:r>
              <w:rPr>
                <w:rFonts w:hint="eastAsia" w:ascii="仿宋" w:hAnsi="仿宋" w:eastAsia="仿宋" w:cs="仿宋"/>
                <w:sz w:val="20"/>
                <w:szCs w:val="20"/>
                <w:lang w:eastAsia="zh-CN"/>
              </w:rPr>
              <w:t>安阳县住房和城乡建设局</w:t>
            </w:r>
            <w:r>
              <w:rPr>
                <w:rFonts w:hint="eastAsia" w:ascii="仿宋" w:hAnsi="仿宋" w:eastAsia="仿宋" w:cs="仿宋"/>
                <w:sz w:val="20"/>
                <w:szCs w:val="20"/>
              </w:rPr>
              <w:t>职责范围相符合；④</w:t>
            </w:r>
            <w:r>
              <w:rPr>
                <w:rFonts w:hint="default" w:ascii="仿宋" w:hAnsi="仿宋" w:eastAsia="仿宋" w:cs="仿宋"/>
                <w:sz w:val="20"/>
                <w:szCs w:val="20"/>
              </w:rPr>
              <w:t>项目</w:t>
            </w:r>
            <w:r>
              <w:rPr>
                <w:rFonts w:hint="eastAsia" w:ascii="仿宋" w:hAnsi="仿宋" w:eastAsia="仿宋" w:cs="仿宋"/>
                <w:sz w:val="20"/>
                <w:szCs w:val="20"/>
              </w:rPr>
              <w:t>属于公共财政支持范围；⑤</w:t>
            </w:r>
            <w:r>
              <w:rPr>
                <w:rFonts w:hint="default" w:ascii="仿宋" w:hAnsi="仿宋" w:eastAsia="仿宋" w:cs="仿宋"/>
                <w:sz w:val="20"/>
                <w:szCs w:val="20"/>
              </w:rPr>
              <w:t>项目</w:t>
            </w:r>
            <w:r>
              <w:rPr>
                <w:rFonts w:hint="eastAsia" w:ascii="仿宋" w:hAnsi="仿宋" w:eastAsia="仿宋" w:cs="仿宋"/>
                <w:sz w:val="20"/>
                <w:szCs w:val="20"/>
              </w:rPr>
              <w:t>与相关部门同类项目或部门内部相关项目不重复。根据评分标准，</w:t>
            </w:r>
            <w:r>
              <w:rPr>
                <w:rFonts w:hint="default" w:ascii="仿宋" w:hAnsi="仿宋" w:eastAsia="仿宋" w:cs="仿宋"/>
                <w:sz w:val="20"/>
                <w:szCs w:val="20"/>
              </w:rPr>
              <w:t>综上，</w:t>
            </w:r>
            <w:r>
              <w:rPr>
                <w:rFonts w:hint="eastAsia" w:ascii="仿宋" w:hAnsi="仿宋" w:eastAsia="仿宋" w:cs="仿宋"/>
                <w:sz w:val="20"/>
                <w:szCs w:val="20"/>
              </w:rPr>
              <w:t>该指标得满分。</w:t>
            </w:r>
          </w:p>
        </w:tc>
        <w:tc>
          <w:tcPr>
            <w:tcW w:w="294"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3"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continue"/>
            <w:vAlign w:val="center"/>
          </w:tcPr>
          <w:p>
            <w:pPr>
              <w:adjustRightInd w:val="0"/>
              <w:snapToGrid w:val="0"/>
              <w:jc w:val="center"/>
              <w:rPr>
                <w:rFonts w:hint="eastAsia" w:ascii="仿宋" w:hAnsi="仿宋" w:eastAsia="仿宋" w:cs="仿宋"/>
                <w:sz w:val="20"/>
                <w:szCs w:val="20"/>
              </w:rPr>
            </w:pP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立项程序规范性</w:t>
            </w:r>
          </w:p>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rPr>
              <w:t>A12</w:t>
            </w:r>
          </w:p>
        </w:tc>
        <w:tc>
          <w:tcPr>
            <w:tcW w:w="332"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rPr>
              <w:t>规范</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rPr>
              <w:t>2</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单个方向评价：①</w:t>
            </w:r>
            <w:r>
              <w:rPr>
                <w:rFonts w:hint="eastAsia" w:ascii="仿宋" w:hAnsi="仿宋" w:eastAsia="仿宋" w:cs="仿宋"/>
                <w:sz w:val="20"/>
                <w:szCs w:val="20"/>
                <w:lang w:eastAsia="zh-CN"/>
              </w:rPr>
              <w:t>区级</w:t>
            </w:r>
            <w:r>
              <w:rPr>
                <w:rFonts w:hint="eastAsia" w:ascii="仿宋" w:hAnsi="仿宋" w:eastAsia="仿宋" w:cs="仿宋"/>
                <w:sz w:val="20"/>
                <w:szCs w:val="20"/>
              </w:rPr>
              <w:t>部门直接安排实施的项目；②项目是否按照规定的程序申请设立；③审批文件、材料是否符合相关要求；④事前是否已经过必要的可行性研究、专家论证、风险评估、绩效评估、集体决策。符合相关要素得满分，否则对应要素不得分。</w:t>
            </w:r>
          </w:p>
          <w:p>
            <w:pPr>
              <w:adjustRightInd w:val="0"/>
              <w:snapToGrid w:val="0"/>
              <w:jc w:val="left"/>
              <w:rPr>
                <w:rFonts w:hint="eastAsia" w:ascii="仿宋" w:hAnsi="仿宋" w:eastAsia="仿宋" w:cs="仿宋"/>
                <w:sz w:val="20"/>
                <w:szCs w:val="20"/>
                <w:lang w:val="en-US" w:eastAsia="zh-CN"/>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rPr>
              <w:t>经评价组核查：①</w:t>
            </w:r>
            <w:r>
              <w:rPr>
                <w:rFonts w:hint="eastAsia" w:ascii="仿宋" w:hAnsi="仿宋" w:eastAsia="仿宋" w:cs="仿宋"/>
                <w:sz w:val="20"/>
                <w:szCs w:val="20"/>
                <w:lang w:eastAsia="zh-CN"/>
              </w:rPr>
              <w:t>安阳县住房和城乡建设局安排实施</w:t>
            </w:r>
            <w:r>
              <w:rPr>
                <w:rFonts w:hint="eastAsia" w:ascii="仿宋" w:hAnsi="仿宋" w:eastAsia="仿宋" w:cs="仿宋"/>
                <w:color w:val="000000"/>
                <w:sz w:val="20"/>
                <w:szCs w:val="20"/>
                <w:lang w:val="en-US" w:eastAsia="zh-CN"/>
              </w:rPr>
              <w:t>大型排水泵购置项目</w:t>
            </w:r>
            <w:r>
              <w:rPr>
                <w:rFonts w:hint="eastAsia" w:ascii="仿宋" w:hAnsi="仿宋" w:eastAsia="仿宋" w:cs="仿宋"/>
                <w:sz w:val="20"/>
                <w:szCs w:val="20"/>
              </w:rPr>
              <w:t>②</w:t>
            </w:r>
            <w:r>
              <w:rPr>
                <w:rFonts w:hint="eastAsia" w:ascii="仿宋" w:hAnsi="仿宋" w:eastAsia="仿宋" w:cs="仿宋"/>
                <w:sz w:val="20"/>
                <w:szCs w:val="20"/>
                <w:highlight w:val="none"/>
                <w:lang w:eastAsia="zh-CN"/>
              </w:rPr>
              <w:t>项目前期招标询价工作均严格遵守《中华人民共和国招标投标法》、《河南省实施&lt;中华人民共和国招标投标法&gt;》的规定和要求，完成招标程序</w:t>
            </w:r>
            <w:r>
              <w:rPr>
                <w:rFonts w:hint="eastAsia" w:ascii="仿宋" w:hAnsi="仿宋" w:eastAsia="仿宋" w:cs="仿宋"/>
                <w:sz w:val="20"/>
                <w:szCs w:val="20"/>
                <w:highlight w:val="none"/>
              </w:rPr>
              <w:t>；③审批文件、材料符合相关要求；④</w:t>
            </w:r>
            <w:r>
              <w:rPr>
                <w:rFonts w:hint="eastAsia" w:ascii="仿宋" w:hAnsi="仿宋" w:eastAsia="仿宋" w:cs="仿宋"/>
                <w:sz w:val="20"/>
                <w:szCs w:val="20"/>
                <w:highlight w:val="none"/>
                <w:lang w:eastAsia="zh-CN"/>
              </w:rPr>
              <w:t>项目</w:t>
            </w:r>
            <w:r>
              <w:rPr>
                <w:rFonts w:hint="eastAsia" w:ascii="仿宋" w:hAnsi="仿宋" w:eastAsia="仿宋" w:cs="仿宋"/>
                <w:sz w:val="20"/>
                <w:szCs w:val="20"/>
                <w:highlight w:val="none"/>
              </w:rPr>
              <w:t>事前经过必要的绩效评估</w:t>
            </w:r>
            <w:r>
              <w:rPr>
                <w:rFonts w:hint="eastAsia" w:ascii="仿宋" w:hAnsi="仿宋" w:eastAsia="仿宋" w:cs="仿宋"/>
                <w:sz w:val="20"/>
                <w:szCs w:val="20"/>
                <w:highlight w:val="none"/>
                <w:lang w:eastAsia="zh-CN"/>
              </w:rPr>
              <w:t>、集体决策</w:t>
            </w:r>
            <w:r>
              <w:rPr>
                <w:rFonts w:hint="eastAsia" w:ascii="仿宋" w:hAnsi="仿宋" w:eastAsia="仿宋" w:cs="仿宋"/>
                <w:sz w:val="20"/>
                <w:szCs w:val="20"/>
                <w:highlight w:val="none"/>
              </w:rPr>
              <w:t>。根据评分标准，该</w:t>
            </w:r>
            <w:r>
              <w:rPr>
                <w:rFonts w:hint="eastAsia" w:ascii="仿宋" w:hAnsi="仿宋" w:eastAsia="仿宋" w:cs="仿宋"/>
                <w:sz w:val="20"/>
                <w:szCs w:val="20"/>
              </w:rPr>
              <w:t>指标得</w:t>
            </w:r>
            <w:r>
              <w:rPr>
                <w:rFonts w:hint="eastAsia" w:ascii="仿宋" w:hAnsi="仿宋" w:eastAsia="仿宋" w:cs="仿宋"/>
                <w:sz w:val="20"/>
                <w:szCs w:val="20"/>
                <w:lang w:val="en-US" w:eastAsia="zh-CN"/>
              </w:rPr>
              <w:t>满</w:t>
            </w:r>
            <w:r>
              <w:rPr>
                <w:rFonts w:hint="eastAsia" w:ascii="仿宋" w:hAnsi="仿宋" w:eastAsia="仿宋" w:cs="仿宋"/>
                <w:sz w:val="20"/>
                <w:szCs w:val="20"/>
              </w:rPr>
              <w:t>分。</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restar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绩效目标A2</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（8分）</w:t>
            </w: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绩效目标合理性</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A21</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合理</w:t>
            </w:r>
          </w:p>
        </w:tc>
        <w:tc>
          <w:tcPr>
            <w:tcW w:w="2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4</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①项目具有绩效目标；②项目绩效目标与实际工作内容是否具有相关性；③项目预期产出效益和效果是否符合正常的业绩水平；④是否与预算确定的项目投资额或资金量相匹配。符合要素①时，则要素①②③④各占1/4权重分，符合相关要素得满分，否则对应要素不得分；当要素①不符合时，该项指标不得分。</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color w:val="000000"/>
                <w:sz w:val="20"/>
                <w:szCs w:val="20"/>
                <w:highlight w:val="none"/>
              </w:rPr>
              <w:t>经评价组核查：</w:t>
            </w:r>
            <w:r>
              <w:rPr>
                <w:rFonts w:hint="eastAsia" w:ascii="仿宋" w:hAnsi="仿宋" w:eastAsia="仿宋" w:cs="仿宋"/>
                <w:sz w:val="20"/>
                <w:szCs w:val="20"/>
                <w:highlight w:val="none"/>
              </w:rPr>
              <w:t>①</w:t>
            </w:r>
            <w:r>
              <w:rPr>
                <w:rFonts w:hint="eastAsia" w:ascii="仿宋" w:hAnsi="仿宋" w:eastAsia="仿宋" w:cs="仿宋"/>
                <w:color w:val="000000"/>
                <w:sz w:val="20"/>
                <w:szCs w:val="20"/>
                <w:highlight w:val="none"/>
                <w:lang w:eastAsia="zh-CN"/>
              </w:rPr>
              <w:t>项目具有</w:t>
            </w:r>
            <w:r>
              <w:rPr>
                <w:rFonts w:hint="eastAsia" w:ascii="仿宋" w:hAnsi="仿宋" w:eastAsia="仿宋" w:cs="仿宋"/>
                <w:color w:val="000000"/>
                <w:sz w:val="20"/>
                <w:szCs w:val="20"/>
                <w:lang w:eastAsia="zh-CN"/>
              </w:rPr>
              <w:t>绩效目标申报表</w:t>
            </w:r>
            <w:r>
              <w:rPr>
                <w:rFonts w:hint="eastAsia" w:ascii="仿宋" w:hAnsi="仿宋" w:eastAsia="仿宋" w:cs="仿宋"/>
                <w:color w:val="000000"/>
                <w:sz w:val="20"/>
                <w:szCs w:val="20"/>
              </w:rPr>
              <w:t>；</w:t>
            </w:r>
            <w:r>
              <w:rPr>
                <w:rFonts w:hint="eastAsia" w:ascii="仿宋" w:hAnsi="仿宋" w:eastAsia="仿宋" w:cs="仿宋"/>
                <w:sz w:val="20"/>
                <w:szCs w:val="20"/>
                <w:highlight w:val="none"/>
              </w:rPr>
              <w:t>②</w:t>
            </w:r>
            <w:r>
              <w:rPr>
                <w:rFonts w:hint="eastAsia" w:ascii="仿宋" w:hAnsi="仿宋" w:eastAsia="仿宋" w:cs="仿宋"/>
                <w:color w:val="000000"/>
                <w:sz w:val="20"/>
                <w:szCs w:val="20"/>
                <w:highlight w:val="none"/>
                <w:lang w:eastAsia="zh-CN"/>
              </w:rPr>
              <w:t>项目</w:t>
            </w:r>
            <w:r>
              <w:rPr>
                <w:rFonts w:hint="eastAsia" w:ascii="仿宋" w:hAnsi="仿宋" w:eastAsia="仿宋" w:cs="仿宋"/>
                <w:color w:val="000000"/>
                <w:sz w:val="20"/>
                <w:szCs w:val="20"/>
                <w:highlight w:val="none"/>
              </w:rPr>
              <w:t>绩效目标与实际工作内</w:t>
            </w:r>
            <w:r>
              <w:rPr>
                <w:rFonts w:hint="eastAsia" w:ascii="仿宋" w:hAnsi="仿宋" w:eastAsia="仿宋" w:cs="仿宋"/>
                <w:color w:val="000000"/>
                <w:sz w:val="20"/>
                <w:szCs w:val="20"/>
                <w:highlight w:val="none"/>
                <w:lang w:eastAsia="zh-CN"/>
              </w:rPr>
              <w:t>容</w:t>
            </w:r>
            <w:r>
              <w:rPr>
                <w:rFonts w:hint="eastAsia" w:ascii="仿宋" w:hAnsi="仿宋" w:eastAsia="仿宋" w:cs="仿宋"/>
                <w:color w:val="000000"/>
                <w:sz w:val="20"/>
                <w:szCs w:val="20"/>
                <w:highlight w:val="none"/>
              </w:rPr>
              <w:t>相关；</w:t>
            </w:r>
            <w:r>
              <w:rPr>
                <w:rFonts w:hint="eastAsia" w:ascii="仿宋" w:hAnsi="仿宋" w:eastAsia="仿宋" w:cs="仿宋"/>
                <w:sz w:val="20"/>
                <w:szCs w:val="20"/>
              </w:rPr>
              <w:t>③</w:t>
            </w:r>
            <w:r>
              <w:rPr>
                <w:rFonts w:hint="eastAsia" w:ascii="仿宋" w:hAnsi="仿宋" w:eastAsia="仿宋" w:cs="仿宋"/>
                <w:color w:val="000000"/>
                <w:sz w:val="20"/>
                <w:szCs w:val="20"/>
                <w:lang w:eastAsia="zh-CN"/>
              </w:rPr>
              <w:t>项目</w:t>
            </w:r>
            <w:r>
              <w:rPr>
                <w:rFonts w:hint="eastAsia" w:ascii="仿宋" w:hAnsi="仿宋" w:eastAsia="仿宋" w:cs="仿宋"/>
                <w:sz w:val="20"/>
                <w:szCs w:val="20"/>
              </w:rPr>
              <w:t>预期产出效益和效果符合正常的业绩水平</w:t>
            </w:r>
            <w:r>
              <w:rPr>
                <w:rFonts w:hint="eastAsia" w:ascii="仿宋" w:hAnsi="仿宋" w:eastAsia="仿宋" w:cs="仿宋"/>
                <w:color w:val="000000"/>
                <w:sz w:val="20"/>
                <w:szCs w:val="20"/>
                <w:lang w:eastAsia="zh-CN"/>
              </w:rPr>
              <w:t>；</w:t>
            </w:r>
            <w:r>
              <w:rPr>
                <w:rFonts w:hint="eastAsia" w:ascii="仿宋" w:hAnsi="仿宋" w:eastAsia="仿宋" w:cs="仿宋"/>
                <w:sz w:val="20"/>
                <w:szCs w:val="20"/>
              </w:rPr>
              <w:t>④</w:t>
            </w:r>
            <w:r>
              <w:rPr>
                <w:rFonts w:hint="eastAsia" w:ascii="仿宋" w:hAnsi="仿宋" w:eastAsia="仿宋" w:cs="仿宋"/>
                <w:sz w:val="20"/>
                <w:szCs w:val="20"/>
                <w:lang w:eastAsia="zh-CN"/>
              </w:rPr>
              <w:t>与</w:t>
            </w:r>
            <w:r>
              <w:rPr>
                <w:rFonts w:hint="eastAsia" w:ascii="仿宋" w:hAnsi="仿宋" w:eastAsia="仿宋" w:cs="仿宋"/>
                <w:sz w:val="20"/>
                <w:szCs w:val="20"/>
              </w:rPr>
              <w:t>预算确定的项目投资额或资金量相匹配</w:t>
            </w:r>
            <w:r>
              <w:rPr>
                <w:rFonts w:hint="eastAsia" w:ascii="仿宋" w:hAnsi="仿宋" w:eastAsia="仿宋" w:cs="仿宋"/>
                <w:sz w:val="20"/>
                <w:szCs w:val="20"/>
                <w:lang w:eastAsia="zh-CN"/>
              </w:rPr>
              <w:t>，</w:t>
            </w:r>
            <w:r>
              <w:rPr>
                <w:rFonts w:hint="eastAsia" w:ascii="仿宋" w:hAnsi="仿宋" w:eastAsia="仿宋" w:cs="仿宋"/>
                <w:color w:val="000000"/>
                <w:sz w:val="20"/>
                <w:szCs w:val="20"/>
              </w:rPr>
              <w:t>根据评分标准，</w:t>
            </w:r>
            <w:r>
              <w:rPr>
                <w:rFonts w:hint="eastAsia" w:ascii="仿宋" w:hAnsi="仿宋" w:eastAsia="仿宋" w:cs="仿宋"/>
                <w:sz w:val="20"/>
                <w:szCs w:val="20"/>
              </w:rPr>
              <w:t>该指标得</w:t>
            </w:r>
            <w:r>
              <w:rPr>
                <w:rFonts w:hint="eastAsia" w:ascii="仿宋" w:hAnsi="仿宋" w:eastAsia="仿宋" w:cs="仿宋"/>
                <w:sz w:val="20"/>
                <w:szCs w:val="20"/>
                <w:lang w:val="en-US" w:eastAsia="zh-CN"/>
              </w:rPr>
              <w:t>满分</w:t>
            </w:r>
            <w:r>
              <w:rPr>
                <w:rFonts w:hint="eastAsia" w:ascii="仿宋" w:hAnsi="仿宋" w:eastAsia="仿宋" w:cs="仿宋"/>
                <w:sz w:val="20"/>
                <w:szCs w:val="20"/>
              </w:rPr>
              <w:t>。</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59"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continue"/>
            <w:vAlign w:val="center"/>
          </w:tcPr>
          <w:p>
            <w:pPr>
              <w:adjustRightInd w:val="0"/>
              <w:snapToGrid w:val="0"/>
              <w:jc w:val="center"/>
              <w:rPr>
                <w:rFonts w:hint="eastAsia" w:ascii="仿宋" w:hAnsi="仿宋" w:eastAsia="仿宋" w:cs="仿宋"/>
                <w:sz w:val="20"/>
                <w:szCs w:val="20"/>
              </w:rPr>
            </w:pP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绩效指标明确性</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A22</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明确</w:t>
            </w:r>
          </w:p>
        </w:tc>
        <w:tc>
          <w:tcPr>
            <w:tcW w:w="2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4</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单个方向评价：①是否将项目绩效目标细化分解为具体的绩效指标；②是否通过清晰、可衡量的指标值予以体现；③是否与项目目标任务数或计划数相对应。</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color w:val="000000"/>
                <w:sz w:val="20"/>
                <w:szCs w:val="20"/>
                <w:highlight w:val="none"/>
              </w:rPr>
              <w:t>经评价组核查：①</w:t>
            </w:r>
            <w:r>
              <w:rPr>
                <w:rFonts w:hint="eastAsia" w:ascii="仿宋" w:hAnsi="仿宋" w:eastAsia="仿宋" w:cs="仿宋"/>
                <w:color w:val="000000"/>
                <w:sz w:val="20"/>
                <w:szCs w:val="20"/>
                <w:highlight w:val="none"/>
                <w:lang w:eastAsia="zh-CN"/>
              </w:rPr>
              <w:t>项目</w:t>
            </w:r>
            <w:r>
              <w:rPr>
                <w:rFonts w:hint="eastAsia" w:ascii="仿宋" w:hAnsi="仿宋" w:eastAsia="仿宋" w:cs="仿宋"/>
                <w:color w:val="000000"/>
                <w:sz w:val="20"/>
                <w:szCs w:val="20"/>
                <w:highlight w:val="none"/>
              </w:rPr>
              <w:t>绩效目标</w:t>
            </w:r>
            <w:r>
              <w:rPr>
                <w:rFonts w:hint="eastAsia" w:ascii="仿宋" w:hAnsi="仿宋" w:eastAsia="仿宋" w:cs="仿宋"/>
                <w:sz w:val="20"/>
                <w:szCs w:val="20"/>
              </w:rPr>
              <w:t>细化分解为具体的绩效指标</w:t>
            </w:r>
            <w:r>
              <w:rPr>
                <w:rFonts w:hint="eastAsia" w:ascii="仿宋" w:hAnsi="仿宋" w:eastAsia="仿宋" w:cs="仿宋"/>
                <w:color w:val="000000"/>
                <w:sz w:val="20"/>
                <w:szCs w:val="20"/>
                <w:highlight w:val="none"/>
                <w:lang w:eastAsia="zh-CN"/>
              </w:rPr>
              <w:t>；</w:t>
            </w:r>
            <w:r>
              <w:rPr>
                <w:rFonts w:hint="eastAsia" w:ascii="仿宋" w:hAnsi="仿宋" w:eastAsia="仿宋" w:cs="仿宋"/>
                <w:color w:val="000000"/>
                <w:sz w:val="20"/>
                <w:szCs w:val="20"/>
                <w:highlight w:val="none"/>
              </w:rPr>
              <w:t>②绩效指标通过清晰、可衡量的指标值予以体现</w:t>
            </w:r>
            <w:r>
              <w:rPr>
                <w:rFonts w:hint="eastAsia" w:ascii="仿宋" w:hAnsi="仿宋" w:eastAsia="仿宋" w:cs="仿宋"/>
                <w:color w:val="000000"/>
                <w:sz w:val="20"/>
                <w:szCs w:val="20"/>
                <w:lang w:eastAsia="zh-CN"/>
              </w:rPr>
              <w:t>；</w:t>
            </w:r>
            <w:r>
              <w:rPr>
                <w:rFonts w:hint="eastAsia" w:ascii="仿宋" w:hAnsi="仿宋" w:eastAsia="仿宋" w:cs="仿宋"/>
                <w:color w:val="000000"/>
                <w:sz w:val="20"/>
                <w:szCs w:val="20"/>
                <w:highlight w:val="none"/>
              </w:rPr>
              <w:t>③</w:t>
            </w:r>
            <w:r>
              <w:rPr>
                <w:rFonts w:hint="eastAsia" w:ascii="仿宋" w:hAnsi="仿宋" w:eastAsia="仿宋" w:cs="仿宋"/>
                <w:sz w:val="20"/>
                <w:szCs w:val="20"/>
                <w:lang w:eastAsia="zh-CN"/>
              </w:rPr>
              <w:t>绩效指标</w:t>
            </w:r>
            <w:r>
              <w:rPr>
                <w:rFonts w:hint="eastAsia" w:ascii="仿宋" w:hAnsi="仿宋" w:eastAsia="仿宋" w:cs="仿宋"/>
                <w:sz w:val="20"/>
                <w:szCs w:val="20"/>
              </w:rPr>
              <w:t>与项目目标任务数或计划数</w:t>
            </w:r>
            <w:r>
              <w:rPr>
                <w:rFonts w:hint="eastAsia" w:ascii="仿宋" w:hAnsi="仿宋" w:eastAsia="仿宋" w:cs="仿宋"/>
                <w:sz w:val="20"/>
                <w:szCs w:val="20"/>
                <w:lang w:eastAsia="zh-CN"/>
              </w:rPr>
              <w:t>相对应</w:t>
            </w:r>
            <w:r>
              <w:rPr>
                <w:rFonts w:hint="eastAsia" w:ascii="仿宋" w:hAnsi="仿宋" w:eastAsia="仿宋" w:cs="仿宋"/>
                <w:color w:val="000000"/>
                <w:sz w:val="20"/>
                <w:szCs w:val="20"/>
                <w:highlight w:val="none"/>
              </w:rPr>
              <w:t>。</w:t>
            </w:r>
            <w:r>
              <w:rPr>
                <w:rFonts w:hint="eastAsia" w:ascii="仿宋" w:hAnsi="仿宋" w:eastAsia="仿宋" w:cs="仿宋"/>
                <w:sz w:val="20"/>
                <w:szCs w:val="20"/>
                <w:highlight w:val="none"/>
              </w:rPr>
              <w:t>综上，该指标得</w:t>
            </w:r>
            <w:r>
              <w:rPr>
                <w:rFonts w:hint="eastAsia" w:ascii="仿宋" w:hAnsi="仿宋" w:eastAsia="仿宋" w:cs="仿宋"/>
                <w:sz w:val="20"/>
                <w:szCs w:val="20"/>
                <w:highlight w:val="none"/>
                <w:lang w:val="en-US" w:eastAsia="zh-CN"/>
              </w:rPr>
              <w:t>满</w:t>
            </w:r>
            <w:r>
              <w:rPr>
                <w:rFonts w:hint="eastAsia" w:ascii="仿宋" w:hAnsi="仿宋" w:eastAsia="仿宋" w:cs="仿宋"/>
                <w:sz w:val="20"/>
                <w:szCs w:val="20"/>
                <w:highlight w:val="none"/>
              </w:rPr>
              <w:t>分。</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restar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资金投入A3</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4</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预算编制科学性</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A31</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科学合理</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2</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单个方向评价：①预算编制经过科学论证；②预算内容与项目内容相匹配；</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③预算额度测算依据充分，且按照标准编制；④预算确定的项目投资额或资金量与工作任务相匹配。以上各要素各占25%权重分，符合相关要素得满分，否则对应要素不得分。</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color w:val="000000"/>
                <w:sz w:val="20"/>
                <w:szCs w:val="20"/>
              </w:rPr>
              <w:t>经评价组核查，</w:t>
            </w:r>
            <w:r>
              <w:rPr>
                <w:rFonts w:hint="eastAsia" w:ascii="仿宋" w:hAnsi="仿宋" w:eastAsia="仿宋" w:cs="仿宋"/>
                <w:color w:val="000000"/>
                <w:sz w:val="20"/>
                <w:szCs w:val="20"/>
                <w:lang w:eastAsia="zh-CN"/>
              </w:rPr>
              <w:t>该项目专项资金</w:t>
            </w:r>
            <w:r>
              <w:rPr>
                <w:rFonts w:hint="eastAsia" w:ascii="仿宋" w:hAnsi="仿宋" w:eastAsia="仿宋" w:cs="仿宋"/>
                <w:color w:val="000000"/>
                <w:sz w:val="20"/>
                <w:szCs w:val="20"/>
                <w:highlight w:val="none"/>
              </w:rPr>
              <w:t>：①立项时编制预算申报书经过</w:t>
            </w:r>
            <w:r>
              <w:rPr>
                <w:rFonts w:hint="eastAsia" w:ascii="仿宋" w:hAnsi="仿宋" w:eastAsia="仿宋" w:cs="仿宋"/>
                <w:color w:val="000000"/>
                <w:sz w:val="20"/>
                <w:szCs w:val="20"/>
                <w:highlight w:val="none"/>
                <w:lang w:eastAsia="zh-CN"/>
              </w:rPr>
              <w:t>了科学</w:t>
            </w:r>
            <w:r>
              <w:rPr>
                <w:rFonts w:hint="eastAsia" w:ascii="仿宋" w:hAnsi="仿宋" w:eastAsia="仿宋" w:cs="仿宋"/>
                <w:color w:val="000000"/>
                <w:sz w:val="20"/>
                <w:szCs w:val="20"/>
                <w:highlight w:val="none"/>
              </w:rPr>
              <w:t>论证；②</w:t>
            </w:r>
            <w:r>
              <w:rPr>
                <w:rFonts w:hint="eastAsia" w:ascii="仿宋" w:hAnsi="仿宋" w:eastAsia="仿宋" w:cs="仿宋"/>
                <w:sz w:val="20"/>
                <w:szCs w:val="20"/>
                <w:highlight w:val="none"/>
              </w:rPr>
              <w:t>预算内容与项目内容相匹配</w:t>
            </w:r>
            <w:r>
              <w:rPr>
                <w:rFonts w:hint="eastAsia" w:ascii="仿宋" w:hAnsi="仿宋" w:eastAsia="仿宋" w:cs="仿宋"/>
                <w:color w:val="000000"/>
                <w:sz w:val="20"/>
                <w:szCs w:val="20"/>
                <w:highlight w:val="none"/>
              </w:rPr>
              <w:t>；③预算额度测算依据充分；④</w:t>
            </w:r>
            <w:r>
              <w:rPr>
                <w:rFonts w:hint="eastAsia" w:ascii="仿宋" w:hAnsi="仿宋" w:eastAsia="仿宋" w:cs="仿宋"/>
                <w:sz w:val="20"/>
                <w:szCs w:val="20"/>
                <w:highlight w:val="none"/>
              </w:rPr>
              <w:t>预算确定的项目投资额或资金量与工作任务相匹配</w:t>
            </w:r>
            <w:r>
              <w:rPr>
                <w:rFonts w:hint="eastAsia" w:ascii="仿宋" w:hAnsi="仿宋" w:eastAsia="仿宋" w:cs="仿宋"/>
                <w:color w:val="000000"/>
                <w:sz w:val="20"/>
                <w:szCs w:val="20"/>
                <w:highlight w:val="none"/>
              </w:rPr>
              <w:t>。根据评分标准</w:t>
            </w:r>
            <w:r>
              <w:rPr>
                <w:rFonts w:hint="eastAsia" w:ascii="仿宋" w:hAnsi="仿宋" w:eastAsia="仿宋" w:cs="仿宋"/>
                <w:color w:val="000000"/>
                <w:sz w:val="20"/>
                <w:szCs w:val="20"/>
                <w:lang w:eastAsia="zh-CN"/>
              </w:rPr>
              <w:t>。综上，</w:t>
            </w:r>
            <w:r>
              <w:rPr>
                <w:rFonts w:hint="eastAsia" w:ascii="仿宋" w:hAnsi="仿宋" w:eastAsia="仿宋" w:cs="仿宋"/>
                <w:color w:val="000000"/>
                <w:sz w:val="20"/>
                <w:szCs w:val="20"/>
              </w:rPr>
              <w:t>该指标得</w:t>
            </w:r>
            <w:r>
              <w:rPr>
                <w:rFonts w:hint="eastAsia" w:ascii="仿宋" w:hAnsi="仿宋" w:eastAsia="仿宋" w:cs="仿宋"/>
                <w:color w:val="000000"/>
                <w:sz w:val="20"/>
                <w:szCs w:val="20"/>
                <w:lang w:val="en-US" w:eastAsia="zh-CN"/>
              </w:rPr>
              <w:t>2</w:t>
            </w:r>
            <w:r>
              <w:rPr>
                <w:rFonts w:hint="eastAsia" w:ascii="仿宋" w:hAnsi="仿宋" w:eastAsia="仿宋" w:cs="仿宋"/>
                <w:color w:val="000000"/>
                <w:sz w:val="20"/>
                <w:szCs w:val="20"/>
              </w:rPr>
              <w:t>分。</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1"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continue"/>
            <w:vAlign w:val="center"/>
          </w:tcPr>
          <w:p>
            <w:pPr>
              <w:adjustRightInd w:val="0"/>
              <w:snapToGrid w:val="0"/>
              <w:jc w:val="center"/>
              <w:rPr>
                <w:rFonts w:hint="eastAsia" w:ascii="仿宋" w:hAnsi="仿宋" w:eastAsia="仿宋" w:cs="仿宋"/>
                <w:sz w:val="20"/>
                <w:szCs w:val="20"/>
              </w:rPr>
            </w:pP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资金分配合理性</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A32</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科学合理</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2</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单个方向评价：①预算资金分配依据是否充分；②资金分配额度是否合理，与项目单位或地方实际是否相适应。要素①②各占50%权重分，符合相关要素得满分，否则对应要素不得分。</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根据</w:t>
            </w:r>
            <w:r>
              <w:rPr>
                <w:rFonts w:hint="eastAsia" w:ascii="仿宋" w:hAnsi="仿宋" w:eastAsia="仿宋" w:cs="仿宋"/>
                <w:sz w:val="20"/>
                <w:szCs w:val="20"/>
                <w:lang w:eastAsia="zh-CN"/>
              </w:rPr>
              <w:t>安阳县住房和城乡建设局</w:t>
            </w:r>
            <w:r>
              <w:rPr>
                <w:rFonts w:hint="eastAsia" w:ascii="仿宋" w:hAnsi="仿宋" w:eastAsia="仿宋" w:cs="仿宋"/>
                <w:sz w:val="20"/>
                <w:szCs w:val="20"/>
              </w:rPr>
              <w:t>提供的分配依据及测算过程材料，经评价组核查：①</w:t>
            </w:r>
            <w:r>
              <w:rPr>
                <w:rFonts w:hint="eastAsia" w:ascii="仿宋" w:hAnsi="仿宋" w:eastAsia="仿宋" w:cs="仿宋"/>
                <w:sz w:val="20"/>
                <w:szCs w:val="20"/>
                <w:highlight w:val="none"/>
                <w:lang w:eastAsia="zh-CN"/>
              </w:rPr>
              <w:t>项目预算资金</w:t>
            </w:r>
            <w:r>
              <w:rPr>
                <w:rFonts w:hint="eastAsia" w:ascii="仿宋" w:hAnsi="仿宋" w:eastAsia="仿宋" w:cs="仿宋"/>
                <w:sz w:val="20"/>
                <w:szCs w:val="20"/>
                <w:highlight w:val="none"/>
              </w:rPr>
              <w:t>分配依据充分。②</w:t>
            </w:r>
            <w:r>
              <w:rPr>
                <w:rFonts w:hint="eastAsia" w:ascii="仿宋" w:hAnsi="仿宋" w:eastAsia="仿宋" w:cs="仿宋"/>
                <w:sz w:val="20"/>
                <w:szCs w:val="20"/>
              </w:rPr>
              <w:t>资金分配额度合理，与</w:t>
            </w:r>
            <w:r>
              <w:rPr>
                <w:rFonts w:hint="eastAsia" w:ascii="仿宋" w:hAnsi="仿宋" w:eastAsia="仿宋" w:cs="仿宋"/>
                <w:sz w:val="20"/>
                <w:szCs w:val="20"/>
                <w:lang w:eastAsia="zh-CN"/>
              </w:rPr>
              <w:t>实际情况</w:t>
            </w:r>
            <w:r>
              <w:rPr>
                <w:rFonts w:hint="eastAsia" w:ascii="仿宋" w:hAnsi="仿宋" w:eastAsia="仿宋" w:cs="仿宋"/>
                <w:sz w:val="20"/>
                <w:szCs w:val="20"/>
              </w:rPr>
              <w:t>相适应</w:t>
            </w:r>
            <w:r>
              <w:rPr>
                <w:rFonts w:hint="eastAsia" w:ascii="仿宋" w:hAnsi="仿宋" w:eastAsia="仿宋" w:cs="仿宋"/>
                <w:sz w:val="20"/>
                <w:szCs w:val="20"/>
                <w:highlight w:val="none"/>
              </w:rPr>
              <w:t>。根据评分标准，该指标得</w:t>
            </w:r>
            <w:r>
              <w:rPr>
                <w:rFonts w:hint="eastAsia" w:ascii="仿宋" w:hAnsi="仿宋" w:eastAsia="仿宋" w:cs="仿宋"/>
                <w:sz w:val="20"/>
                <w:szCs w:val="20"/>
                <w:highlight w:val="none"/>
                <w:lang w:val="en-US" w:eastAsia="zh-CN"/>
              </w:rPr>
              <w:t>2</w:t>
            </w:r>
            <w:r>
              <w:rPr>
                <w:rFonts w:hint="eastAsia" w:ascii="仿宋" w:hAnsi="仿宋" w:eastAsia="仿宋" w:cs="仿宋"/>
                <w:sz w:val="20"/>
                <w:szCs w:val="20"/>
                <w:highlight w:val="none"/>
              </w:rPr>
              <w:t>分。</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23" w:hRule="atLeast"/>
          <w:jc w:val="center"/>
        </w:trPr>
        <w:tc>
          <w:tcPr>
            <w:tcW w:w="336" w:type="pct"/>
            <w:gridSpan w:val="2"/>
            <w:vMerge w:val="restar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项目过程</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B</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20</w:t>
            </w:r>
            <w:r>
              <w:rPr>
                <w:rFonts w:hint="eastAsia" w:ascii="仿宋" w:hAnsi="仿宋" w:eastAsia="仿宋" w:cs="仿宋"/>
                <w:sz w:val="20"/>
                <w:szCs w:val="20"/>
              </w:rPr>
              <w:t>分）</w:t>
            </w:r>
          </w:p>
        </w:tc>
        <w:tc>
          <w:tcPr>
            <w:tcW w:w="317"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预算执行B1</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4</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预算执行</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时效性B11</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符合预算法下达时间要求</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4</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单个方向评价：专项执行率</w:t>
            </w:r>
            <w:r>
              <w:rPr>
                <w:rFonts w:hint="eastAsia" w:ascii="仿宋" w:hAnsi="仿宋" w:eastAsia="仿宋" w:cs="仿宋"/>
                <w:sz w:val="20"/>
                <w:szCs w:val="20"/>
                <w:lang w:val="en-US" w:eastAsia="zh-CN"/>
              </w:rPr>
              <w:t>100</w:t>
            </w:r>
            <w:r>
              <w:rPr>
                <w:rFonts w:hint="eastAsia" w:ascii="仿宋" w:hAnsi="仿宋" w:eastAsia="仿宋" w:cs="仿宋"/>
                <w:sz w:val="20"/>
                <w:szCs w:val="20"/>
              </w:rPr>
              <w:t>%</w:t>
            </w:r>
            <w:r>
              <w:rPr>
                <w:rFonts w:hint="eastAsia" w:ascii="仿宋" w:hAnsi="仿宋" w:eastAsia="仿宋" w:cs="仿宋"/>
                <w:sz w:val="20"/>
                <w:szCs w:val="20"/>
                <w:lang w:eastAsia="zh-CN"/>
              </w:rPr>
              <w:t>得</w:t>
            </w:r>
            <w:r>
              <w:rPr>
                <w:rFonts w:hint="eastAsia" w:ascii="仿宋" w:hAnsi="仿宋" w:eastAsia="仿宋" w:cs="仿宋"/>
                <w:sz w:val="20"/>
                <w:szCs w:val="20"/>
                <w:lang w:val="en-US" w:eastAsia="zh-CN"/>
              </w:rPr>
              <w:t>100</w:t>
            </w:r>
            <w:r>
              <w:rPr>
                <w:rFonts w:hint="eastAsia" w:ascii="仿宋" w:hAnsi="仿宋" w:eastAsia="仿宋" w:cs="仿宋"/>
                <w:sz w:val="20"/>
                <w:szCs w:val="20"/>
              </w:rPr>
              <w:t>，</w:t>
            </w:r>
            <w:r>
              <w:rPr>
                <w:rFonts w:hint="eastAsia" w:ascii="仿宋" w:hAnsi="仿宋" w:eastAsia="仿宋" w:cs="仿宋"/>
                <w:sz w:val="20"/>
                <w:szCs w:val="20"/>
                <w:lang w:eastAsia="zh-CN"/>
              </w:rPr>
              <w:t>专项执行</w:t>
            </w:r>
            <w:r>
              <w:rPr>
                <w:rFonts w:hint="eastAsia" w:ascii="仿宋" w:hAnsi="仿宋" w:eastAsia="仿宋" w:cs="仿宋"/>
                <w:sz w:val="20"/>
                <w:szCs w:val="20"/>
                <w:lang w:val="en-US" w:eastAsia="zh-CN"/>
              </w:rPr>
              <w:t>率＜100%的，</w:t>
            </w:r>
            <w:r>
              <w:rPr>
                <w:rFonts w:hint="eastAsia" w:ascii="仿宋" w:hAnsi="仿宋" w:eastAsia="仿宋" w:cs="仿宋"/>
                <w:sz w:val="20"/>
                <w:szCs w:val="20"/>
              </w:rPr>
              <w:t>得分=指标分值×</w:t>
            </w:r>
            <w:r>
              <w:rPr>
                <w:rFonts w:hint="eastAsia" w:ascii="仿宋" w:hAnsi="仿宋" w:eastAsia="仿宋" w:cs="仿宋"/>
                <w:sz w:val="20"/>
                <w:szCs w:val="20"/>
                <w:lang w:eastAsia="zh-CN"/>
              </w:rPr>
              <w:t>预算执行</w:t>
            </w:r>
            <w:r>
              <w:rPr>
                <w:rFonts w:hint="eastAsia" w:ascii="仿宋" w:hAnsi="仿宋" w:eastAsia="仿宋" w:cs="仿宋"/>
                <w:sz w:val="20"/>
                <w:szCs w:val="20"/>
              </w:rPr>
              <w:t>率</w:t>
            </w:r>
            <w:r>
              <w:rPr>
                <w:rFonts w:hint="eastAsia" w:ascii="仿宋" w:hAnsi="仿宋" w:eastAsia="仿宋" w:cs="仿宋"/>
                <w:sz w:val="20"/>
                <w:szCs w:val="20"/>
                <w:lang w:eastAsia="zh-CN"/>
              </w:rPr>
              <w:t>。</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经评价组核查：</w:t>
            </w:r>
            <w:r>
              <w:rPr>
                <w:rFonts w:hint="eastAsia" w:ascii="仿宋" w:hAnsi="仿宋" w:eastAsia="仿宋" w:cs="仿宋"/>
                <w:sz w:val="20"/>
                <w:szCs w:val="20"/>
                <w:lang w:eastAsia="zh-CN"/>
              </w:rPr>
              <w:t>项目资金总额</w:t>
            </w:r>
            <w:r>
              <w:rPr>
                <w:rFonts w:hint="eastAsia" w:ascii="仿宋" w:hAnsi="仿宋" w:eastAsia="仿宋" w:cs="仿宋"/>
                <w:sz w:val="20"/>
                <w:szCs w:val="20"/>
                <w:lang w:val="en-US" w:eastAsia="zh-CN"/>
              </w:rPr>
              <w:t>40.00万元</w:t>
            </w:r>
            <w:r>
              <w:rPr>
                <w:rFonts w:hint="eastAsia" w:ascii="仿宋" w:hAnsi="仿宋" w:eastAsia="仿宋" w:cs="仿宋"/>
                <w:sz w:val="20"/>
                <w:szCs w:val="20"/>
              </w:rPr>
              <w:t>，</w:t>
            </w:r>
            <w:r>
              <w:rPr>
                <w:rFonts w:hint="eastAsia" w:ascii="仿宋" w:hAnsi="仿宋" w:eastAsia="仿宋" w:cs="仿宋"/>
                <w:sz w:val="20"/>
                <w:szCs w:val="20"/>
                <w:lang w:eastAsia="zh-CN"/>
              </w:rPr>
              <w:t>实际执行数</w:t>
            </w:r>
            <w:r>
              <w:rPr>
                <w:rFonts w:hint="eastAsia" w:ascii="仿宋" w:hAnsi="仿宋" w:eastAsia="仿宋" w:cs="仿宋"/>
                <w:sz w:val="20"/>
                <w:szCs w:val="20"/>
                <w:lang w:val="en-US" w:eastAsia="zh-CN"/>
              </w:rPr>
              <w:t>40.00</w:t>
            </w:r>
            <w:r>
              <w:rPr>
                <w:rFonts w:hint="eastAsia" w:ascii="仿宋" w:hAnsi="仿宋" w:eastAsia="仿宋" w:cs="仿宋"/>
                <w:sz w:val="20"/>
                <w:szCs w:val="20"/>
              </w:rPr>
              <w:t>万元</w:t>
            </w:r>
            <w:r>
              <w:rPr>
                <w:rFonts w:hint="eastAsia" w:ascii="仿宋" w:hAnsi="仿宋" w:eastAsia="仿宋" w:cs="仿宋"/>
                <w:sz w:val="20"/>
                <w:szCs w:val="20"/>
                <w:lang w:eastAsia="zh-CN"/>
              </w:rPr>
              <w:t>，预算</w:t>
            </w:r>
            <w:r>
              <w:rPr>
                <w:rFonts w:hint="eastAsia" w:ascii="仿宋" w:hAnsi="仿宋" w:eastAsia="仿宋" w:cs="仿宋"/>
                <w:sz w:val="20"/>
                <w:szCs w:val="20"/>
              </w:rPr>
              <w:t>执行率</w:t>
            </w:r>
            <w:r>
              <w:rPr>
                <w:rFonts w:hint="eastAsia" w:ascii="仿宋" w:hAnsi="仿宋" w:eastAsia="仿宋" w:cs="仿宋"/>
                <w:sz w:val="20"/>
                <w:szCs w:val="20"/>
                <w:lang w:val="en-US" w:eastAsia="zh-CN"/>
              </w:rPr>
              <w:t>100</w:t>
            </w:r>
            <w:r>
              <w:rPr>
                <w:rFonts w:ascii="仿宋" w:hAnsi="仿宋" w:eastAsia="仿宋" w:cs="仿宋"/>
                <w:sz w:val="20"/>
                <w:szCs w:val="20"/>
              </w:rPr>
              <w:t>%</w:t>
            </w:r>
            <w:r>
              <w:rPr>
                <w:rFonts w:hint="eastAsia" w:ascii="仿宋" w:hAnsi="仿宋" w:eastAsia="仿宋" w:cs="仿宋"/>
                <w:sz w:val="20"/>
                <w:szCs w:val="20"/>
              </w:rPr>
              <w:t>。根据评分标准，该指标得</w:t>
            </w:r>
            <w:r>
              <w:rPr>
                <w:rFonts w:hint="eastAsia" w:ascii="仿宋" w:hAnsi="仿宋" w:eastAsia="仿宋" w:cs="仿宋"/>
                <w:sz w:val="20"/>
                <w:szCs w:val="20"/>
                <w:lang w:val="en-US" w:eastAsia="zh-CN"/>
              </w:rPr>
              <w:t>4</w:t>
            </w:r>
            <w:r>
              <w:rPr>
                <w:rFonts w:hint="eastAsia" w:ascii="仿宋" w:hAnsi="仿宋" w:eastAsia="仿宋" w:cs="仿宋"/>
                <w:sz w:val="20"/>
                <w:szCs w:val="20"/>
              </w:rPr>
              <w:t>分。</w:t>
            </w:r>
          </w:p>
        </w:tc>
        <w:tc>
          <w:tcPr>
            <w:tcW w:w="294" w:type="pct"/>
            <w:vAlign w:val="center"/>
          </w:tcPr>
          <w:p>
            <w:pPr>
              <w:adjustRightInd w:val="0"/>
              <w:snapToGrid w:val="0"/>
              <w:jc w:val="center"/>
              <w:rPr>
                <w:rFonts w:hint="default" w:ascii="仿宋" w:hAnsi="仿宋" w:eastAsia="仿宋" w:cs="仿宋"/>
                <w:sz w:val="20"/>
                <w:szCs w:val="20"/>
                <w:lang w:val="en-US" w:eastAsia="zh-CN"/>
              </w:rPr>
            </w:pPr>
            <w:r>
              <w:rPr>
                <w:rFonts w:hint="eastAsia" w:ascii="仿宋" w:hAnsi="仿宋" w:eastAsia="仿宋" w:cs="仿宋"/>
                <w:sz w:val="20"/>
                <w:szCs w:val="20"/>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restart"/>
            <w:vAlign w:val="center"/>
          </w:tcPr>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资金管理B2</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9</w:t>
            </w:r>
            <w:r>
              <w:rPr>
                <w:rFonts w:hint="eastAsia" w:ascii="仿宋" w:hAnsi="仿宋" w:eastAsia="仿宋" w:cs="仿宋"/>
                <w:sz w:val="20"/>
                <w:szCs w:val="20"/>
              </w:rPr>
              <w:t>分）</w:t>
            </w:r>
          </w:p>
          <w:p>
            <w:pPr>
              <w:adjustRightInd w:val="0"/>
              <w:snapToGrid w:val="0"/>
              <w:jc w:val="center"/>
              <w:rPr>
                <w:rFonts w:hint="eastAsia" w:ascii="仿宋" w:hAnsi="仿宋" w:eastAsia="仿宋" w:cs="仿宋"/>
                <w:sz w:val="20"/>
                <w:szCs w:val="20"/>
              </w:rPr>
            </w:pP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资金使用合规性</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B21</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合规</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2</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lang w:eastAsia="zh-CN"/>
              </w:rPr>
            </w:pPr>
            <w:r>
              <w:rPr>
                <w:rFonts w:hint="eastAsia" w:ascii="仿宋" w:hAnsi="仿宋" w:eastAsia="仿宋" w:cs="仿宋"/>
                <w:sz w:val="20"/>
                <w:szCs w:val="20"/>
              </w:rPr>
              <w:t>单个项目评价：①符合项目预算批复或合同规定的用途，专款专用；②资金支出依据充分；③不存在截留、挤占、挪用、虚列支出等情况。符合相关要素得满分，否则不得分</w:t>
            </w:r>
            <w:r>
              <w:rPr>
                <w:rFonts w:hint="eastAsia" w:ascii="仿宋" w:hAnsi="仿宋" w:eastAsia="仿宋" w:cs="仿宋"/>
                <w:sz w:val="20"/>
                <w:szCs w:val="20"/>
                <w:lang w:eastAsia="zh-CN"/>
              </w:rPr>
              <w:t>。</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color w:val="000000"/>
                <w:sz w:val="20"/>
                <w:szCs w:val="20"/>
              </w:rPr>
              <w:t>经评价组核查：①</w:t>
            </w:r>
            <w:r>
              <w:rPr>
                <w:rFonts w:hint="eastAsia" w:ascii="仿宋" w:hAnsi="仿宋" w:eastAsia="仿宋" w:cs="仿宋"/>
                <w:color w:val="000000"/>
                <w:sz w:val="20"/>
                <w:szCs w:val="20"/>
                <w:lang w:val="en-US" w:eastAsia="zh-CN"/>
              </w:rPr>
              <w:t>项目资金</w:t>
            </w:r>
            <w:r>
              <w:rPr>
                <w:rFonts w:hint="eastAsia" w:ascii="仿宋" w:hAnsi="仿宋" w:eastAsia="仿宋" w:cs="仿宋"/>
                <w:color w:val="000000"/>
                <w:sz w:val="20"/>
                <w:szCs w:val="20"/>
              </w:rPr>
              <w:t>使用符合项目</w:t>
            </w:r>
            <w:r>
              <w:rPr>
                <w:rFonts w:hint="eastAsia" w:ascii="仿宋" w:hAnsi="仿宋" w:eastAsia="仿宋" w:cs="仿宋"/>
                <w:color w:val="000000"/>
                <w:sz w:val="20"/>
                <w:szCs w:val="20"/>
                <w:lang w:eastAsia="zh-CN"/>
              </w:rPr>
              <w:t>预算批复</w:t>
            </w:r>
            <w:r>
              <w:rPr>
                <w:rFonts w:hint="eastAsia" w:ascii="仿宋" w:hAnsi="仿宋" w:eastAsia="仿宋" w:cs="仿宋"/>
                <w:color w:val="000000"/>
                <w:sz w:val="20"/>
                <w:szCs w:val="20"/>
              </w:rPr>
              <w:t>用途</w:t>
            </w:r>
            <w:r>
              <w:rPr>
                <w:rFonts w:hint="eastAsia" w:ascii="仿宋" w:hAnsi="仿宋" w:eastAsia="仿宋" w:cs="仿宋"/>
                <w:color w:val="000000"/>
                <w:sz w:val="20"/>
                <w:szCs w:val="20"/>
                <w:lang w:eastAsia="zh-CN"/>
              </w:rPr>
              <w:t>，专款专用</w:t>
            </w:r>
            <w:r>
              <w:rPr>
                <w:rFonts w:hint="eastAsia" w:ascii="仿宋" w:hAnsi="仿宋" w:eastAsia="仿宋" w:cs="仿宋"/>
                <w:color w:val="000000"/>
                <w:sz w:val="20"/>
                <w:szCs w:val="20"/>
              </w:rPr>
              <w:t>；②资金的拨付有完整的审批程序和手续；③不存在截留、挤占、挪用、虚列支出等</w:t>
            </w:r>
            <w:r>
              <w:rPr>
                <w:rFonts w:hint="eastAsia" w:ascii="仿宋" w:hAnsi="仿宋" w:eastAsia="仿宋" w:cs="仿宋"/>
                <w:sz w:val="20"/>
                <w:szCs w:val="20"/>
              </w:rPr>
              <w:t>情况。</w:t>
            </w:r>
            <w:r>
              <w:rPr>
                <w:rFonts w:hint="eastAsia" w:ascii="仿宋" w:hAnsi="仿宋" w:eastAsia="仿宋" w:cs="仿宋"/>
                <w:color w:val="000000"/>
                <w:sz w:val="20"/>
                <w:szCs w:val="20"/>
              </w:rPr>
              <w:t>根据评分标准</w:t>
            </w:r>
            <w:r>
              <w:rPr>
                <w:rFonts w:hint="eastAsia" w:ascii="仿宋" w:hAnsi="仿宋" w:eastAsia="仿宋" w:cs="仿宋"/>
                <w:color w:val="000000"/>
                <w:sz w:val="20"/>
                <w:szCs w:val="20"/>
                <w:lang w:eastAsia="zh-CN"/>
              </w:rPr>
              <w:t>，</w:t>
            </w:r>
            <w:r>
              <w:rPr>
                <w:rFonts w:hint="eastAsia" w:ascii="仿宋" w:hAnsi="仿宋" w:eastAsia="仿宋" w:cs="仿宋"/>
                <w:sz w:val="20"/>
                <w:szCs w:val="20"/>
              </w:rPr>
              <w:t>该指标得</w:t>
            </w:r>
            <w:r>
              <w:rPr>
                <w:rFonts w:hint="eastAsia" w:ascii="仿宋" w:hAnsi="仿宋" w:eastAsia="仿宋" w:cs="仿宋"/>
                <w:sz w:val="20"/>
                <w:szCs w:val="20"/>
                <w:lang w:val="en-US" w:eastAsia="zh-CN"/>
              </w:rPr>
              <w:t>2</w:t>
            </w:r>
            <w:r>
              <w:rPr>
                <w:rFonts w:hint="eastAsia" w:ascii="仿宋" w:hAnsi="仿宋" w:eastAsia="仿宋" w:cs="仿宋"/>
                <w:sz w:val="20"/>
                <w:szCs w:val="20"/>
              </w:rPr>
              <w:t>分。</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46"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continue"/>
            <w:vAlign w:val="center"/>
          </w:tcPr>
          <w:p>
            <w:pPr>
              <w:adjustRightInd w:val="0"/>
              <w:snapToGrid w:val="0"/>
              <w:jc w:val="center"/>
              <w:rPr>
                <w:rFonts w:hint="eastAsia" w:ascii="仿宋" w:hAnsi="仿宋" w:eastAsia="仿宋" w:cs="仿宋"/>
                <w:sz w:val="20"/>
                <w:szCs w:val="20"/>
              </w:rPr>
            </w:pP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财务管理制度健全性B22</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健全</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2</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单个方向评价：项目已制定或具有专项资金管理制度</w:t>
            </w:r>
            <w:r>
              <w:rPr>
                <w:rFonts w:hint="eastAsia" w:ascii="仿宋" w:hAnsi="仿宋" w:eastAsia="仿宋" w:cs="仿宋"/>
                <w:sz w:val="20"/>
                <w:szCs w:val="20"/>
                <w:lang w:eastAsia="zh-CN"/>
              </w:rPr>
              <w:t>，有专项制度得满分，否则不得分。</w:t>
            </w:r>
          </w:p>
          <w:p>
            <w:pPr>
              <w:adjustRightInd w:val="0"/>
              <w:snapToGrid w:val="0"/>
              <w:jc w:val="left"/>
              <w:rPr>
                <w:rFonts w:hint="eastAsia" w:ascii="仿宋" w:hAnsi="仿宋" w:eastAsia="仿宋" w:cs="仿宋"/>
                <w:sz w:val="20"/>
                <w:szCs w:val="20"/>
              </w:rPr>
            </w:pP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经评价组核查：该项目制定</w:t>
            </w:r>
            <w:r>
              <w:rPr>
                <w:rFonts w:hint="eastAsia" w:ascii="仿宋" w:hAnsi="仿宋" w:eastAsia="仿宋" w:cs="仿宋"/>
                <w:sz w:val="20"/>
                <w:szCs w:val="20"/>
                <w:lang w:eastAsia="zh-CN"/>
              </w:rPr>
              <w:t>未制定专项资金管理制度</w:t>
            </w:r>
            <w:r>
              <w:rPr>
                <w:rFonts w:hint="eastAsia" w:ascii="仿宋" w:hAnsi="仿宋" w:eastAsia="仿宋" w:cs="仿宋"/>
                <w:sz w:val="20"/>
                <w:szCs w:val="20"/>
              </w:rPr>
              <w:t>。根据评分标准，该指标得</w:t>
            </w:r>
            <w:r>
              <w:rPr>
                <w:rFonts w:hint="eastAsia" w:ascii="仿宋" w:hAnsi="仿宋" w:eastAsia="仿宋" w:cs="仿宋"/>
                <w:sz w:val="20"/>
                <w:szCs w:val="20"/>
                <w:lang w:val="en-US" w:eastAsia="zh-CN"/>
              </w:rPr>
              <w:t>0</w:t>
            </w:r>
            <w:r>
              <w:rPr>
                <w:rFonts w:hint="eastAsia" w:ascii="仿宋" w:hAnsi="仿宋" w:eastAsia="仿宋" w:cs="仿宋"/>
                <w:sz w:val="20"/>
                <w:szCs w:val="20"/>
              </w:rPr>
              <w:t>分。</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26" w:hRule="atLeast"/>
          <w:jc w:val="center"/>
        </w:trPr>
        <w:tc>
          <w:tcPr>
            <w:tcW w:w="336" w:type="pct"/>
            <w:gridSpan w:val="2"/>
            <w:vMerge w:val="restar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项目过程</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B</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20</w:t>
            </w:r>
            <w:r>
              <w:rPr>
                <w:rFonts w:hint="eastAsia" w:ascii="仿宋" w:hAnsi="仿宋" w:eastAsia="仿宋" w:cs="仿宋"/>
                <w:sz w:val="20"/>
                <w:szCs w:val="20"/>
              </w:rPr>
              <w:t>分）</w:t>
            </w:r>
          </w:p>
        </w:tc>
        <w:tc>
          <w:tcPr>
            <w:tcW w:w="317" w:type="pct"/>
            <w:vMerge w:val="continue"/>
            <w:vAlign w:val="center"/>
          </w:tcPr>
          <w:p>
            <w:pPr>
              <w:adjustRightInd w:val="0"/>
              <w:snapToGrid w:val="0"/>
              <w:jc w:val="center"/>
              <w:rPr>
                <w:rFonts w:hint="eastAsia" w:ascii="仿宋" w:hAnsi="仿宋" w:eastAsia="仿宋" w:cs="仿宋"/>
                <w:sz w:val="20"/>
                <w:szCs w:val="20"/>
              </w:rPr>
            </w:pP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财务管理制度执行有效性</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B23</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有效</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2</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单个方向评价：①遵守相关法律法规和相关管理规定；②项目资金支付手续完备；③项目资金分账（专账）管理；④项目财务人员是否落实到位。以上各要素各占25%权重分。</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lang w:eastAsia="zh-CN"/>
              </w:rPr>
            </w:pPr>
            <w:r>
              <w:rPr>
                <w:rFonts w:hint="eastAsia" w:ascii="仿宋" w:hAnsi="仿宋" w:eastAsia="仿宋" w:cs="仿宋"/>
                <w:sz w:val="20"/>
                <w:szCs w:val="20"/>
              </w:rPr>
              <w:t>经评价组核查：①该项目遵守相关法律法规</w:t>
            </w:r>
            <w:r>
              <w:rPr>
                <w:rFonts w:hint="eastAsia" w:ascii="仿宋" w:hAnsi="仿宋" w:eastAsia="仿宋" w:cs="仿宋"/>
                <w:sz w:val="20"/>
                <w:szCs w:val="20"/>
                <w:lang w:eastAsia="zh-CN"/>
              </w:rPr>
              <w:t>，但在资金管理方面，未建立专项的资金管理制度，无法保障资金的安全性</w:t>
            </w:r>
            <w:r>
              <w:rPr>
                <w:rFonts w:hint="eastAsia" w:ascii="仿宋" w:hAnsi="仿宋" w:eastAsia="仿宋" w:cs="仿宋"/>
                <w:sz w:val="20"/>
                <w:szCs w:val="20"/>
              </w:rPr>
              <w:t>；②项目资金支付手续完备；③项目资金</w:t>
            </w:r>
            <w:r>
              <w:rPr>
                <w:rFonts w:hint="eastAsia" w:ascii="仿宋" w:hAnsi="仿宋" w:eastAsia="仿宋" w:cs="仿宋"/>
                <w:sz w:val="20"/>
                <w:szCs w:val="20"/>
                <w:lang w:eastAsia="zh-CN"/>
              </w:rPr>
              <w:t>有</w:t>
            </w:r>
            <w:r>
              <w:rPr>
                <w:rFonts w:hint="eastAsia" w:ascii="仿宋" w:hAnsi="仿宋" w:eastAsia="仿宋" w:cs="仿宋"/>
                <w:sz w:val="20"/>
                <w:szCs w:val="20"/>
              </w:rPr>
              <w:t>专账管理；④项目财务人员落实到位。根据评分标准，该指标得</w:t>
            </w:r>
            <w:r>
              <w:rPr>
                <w:rFonts w:hint="eastAsia" w:ascii="仿宋" w:hAnsi="仿宋" w:eastAsia="仿宋" w:cs="仿宋"/>
                <w:sz w:val="20"/>
                <w:szCs w:val="20"/>
                <w:lang w:val="en-US" w:eastAsia="zh-CN"/>
              </w:rPr>
              <w:t>1.5</w:t>
            </w:r>
            <w:r>
              <w:rPr>
                <w:rFonts w:hint="eastAsia" w:ascii="仿宋" w:hAnsi="仿宋" w:eastAsia="仿宋" w:cs="仿宋"/>
                <w:sz w:val="20"/>
                <w:szCs w:val="20"/>
              </w:rPr>
              <w:t>分。</w:t>
            </w:r>
          </w:p>
        </w:tc>
        <w:tc>
          <w:tcPr>
            <w:tcW w:w="294" w:type="pct"/>
            <w:vAlign w:val="center"/>
          </w:tcPr>
          <w:p>
            <w:pPr>
              <w:adjustRightInd w:val="0"/>
              <w:snapToGrid w:val="0"/>
              <w:jc w:val="center"/>
              <w:rPr>
                <w:rFonts w:hint="default" w:ascii="仿宋" w:hAnsi="仿宋" w:eastAsia="仿宋" w:cs="仿宋"/>
                <w:sz w:val="20"/>
                <w:szCs w:val="20"/>
                <w:lang w:val="en-US" w:eastAsia="zh-CN"/>
              </w:rPr>
            </w:pPr>
            <w:r>
              <w:rPr>
                <w:rFonts w:hint="eastAsia" w:ascii="仿宋" w:hAnsi="仿宋" w:eastAsia="仿宋" w:cs="仿宋"/>
                <w:sz w:val="20"/>
                <w:szCs w:val="20"/>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03"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continue"/>
            <w:vAlign w:val="center"/>
          </w:tcPr>
          <w:p>
            <w:pPr>
              <w:adjustRightInd w:val="0"/>
              <w:snapToGrid w:val="0"/>
              <w:jc w:val="center"/>
              <w:rPr>
                <w:rFonts w:hint="eastAsia" w:ascii="仿宋" w:hAnsi="仿宋" w:eastAsia="仿宋" w:cs="仿宋"/>
                <w:sz w:val="20"/>
                <w:szCs w:val="20"/>
              </w:rPr>
            </w:pP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财政资金拨付及时率B24</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100%</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3</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lang w:eastAsia="zh-CN"/>
              </w:rPr>
              <w:t>安阳县住房和城乡建设局大型排水泵购置项目</w:t>
            </w:r>
            <w:r>
              <w:rPr>
                <w:rFonts w:hint="eastAsia" w:ascii="仿宋" w:hAnsi="仿宋" w:eastAsia="仿宋" w:cs="仿宋"/>
                <w:sz w:val="20"/>
                <w:szCs w:val="20"/>
              </w:rPr>
              <w:t>均按照规定时间内</w:t>
            </w:r>
            <w:r>
              <w:rPr>
                <w:rFonts w:hint="eastAsia" w:ascii="仿宋" w:hAnsi="仿宋" w:eastAsia="仿宋" w:cs="仿宋"/>
                <w:sz w:val="20"/>
                <w:szCs w:val="20"/>
                <w:lang w:eastAsia="zh-CN"/>
              </w:rPr>
              <w:t>拨付</w:t>
            </w:r>
            <w:r>
              <w:rPr>
                <w:rFonts w:hint="eastAsia" w:ascii="仿宋" w:hAnsi="仿宋" w:eastAsia="仿宋" w:cs="仿宋"/>
                <w:sz w:val="20"/>
                <w:szCs w:val="20"/>
              </w:rPr>
              <w:t>完成得满分，否则，</w:t>
            </w:r>
            <w:r>
              <w:rPr>
                <w:rFonts w:hint="eastAsia" w:ascii="仿宋" w:hAnsi="仿宋" w:eastAsia="仿宋" w:cs="仿宋"/>
                <w:sz w:val="20"/>
                <w:szCs w:val="20"/>
                <w:lang w:eastAsia="zh-CN"/>
              </w:rPr>
              <w:t>不得分</w:t>
            </w:r>
            <w:r>
              <w:rPr>
                <w:rFonts w:hint="eastAsia" w:ascii="仿宋" w:hAnsi="仿宋" w:eastAsia="仿宋" w:cs="仿宋"/>
                <w:sz w:val="20"/>
                <w:szCs w:val="20"/>
              </w:rPr>
              <w:t>。</w:t>
            </w:r>
          </w:p>
        </w:tc>
        <w:tc>
          <w:tcPr>
            <w:tcW w:w="15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color w:val="000000"/>
                <w:sz w:val="20"/>
                <w:szCs w:val="20"/>
              </w:rPr>
              <w:t>经评价组核查：</w:t>
            </w:r>
            <w:r>
              <w:rPr>
                <w:rFonts w:hint="eastAsia" w:ascii="仿宋" w:hAnsi="仿宋" w:eastAsia="仿宋" w:cs="仿宋"/>
                <w:color w:val="000000"/>
                <w:sz w:val="20"/>
                <w:szCs w:val="20"/>
                <w:lang w:val="en-US" w:eastAsia="zh-CN"/>
              </w:rPr>
              <w:t>资金总额40.00万元，实际到位资金40.00万元，资金到位率100%</w:t>
            </w:r>
            <w:r>
              <w:rPr>
                <w:rFonts w:hint="eastAsia" w:ascii="仿宋" w:hAnsi="仿宋" w:eastAsia="仿宋" w:cs="仿宋"/>
                <w:color w:val="000000"/>
                <w:sz w:val="20"/>
                <w:szCs w:val="20"/>
              </w:rPr>
              <w:t>，</w:t>
            </w:r>
            <w:r>
              <w:rPr>
                <w:rFonts w:hint="eastAsia" w:ascii="仿宋" w:hAnsi="仿宋" w:eastAsia="仿宋" w:cs="仿宋"/>
                <w:sz w:val="20"/>
                <w:szCs w:val="20"/>
              </w:rPr>
              <w:t>根据评分标准，</w:t>
            </w:r>
            <w:r>
              <w:rPr>
                <w:rFonts w:hint="eastAsia" w:ascii="仿宋" w:hAnsi="仿宋" w:eastAsia="仿宋" w:cs="仿宋"/>
                <w:color w:val="000000"/>
                <w:sz w:val="20"/>
                <w:szCs w:val="20"/>
              </w:rPr>
              <w:t>得</w:t>
            </w:r>
            <w:r>
              <w:rPr>
                <w:rFonts w:hint="eastAsia" w:ascii="仿宋" w:hAnsi="仿宋" w:eastAsia="仿宋" w:cs="仿宋"/>
                <w:color w:val="000000"/>
                <w:sz w:val="20"/>
                <w:szCs w:val="20"/>
                <w:lang w:val="en-US" w:eastAsia="zh-CN"/>
              </w:rPr>
              <w:t>3</w:t>
            </w:r>
            <w:r>
              <w:rPr>
                <w:rFonts w:hint="eastAsia" w:ascii="仿宋" w:hAnsi="仿宋" w:eastAsia="仿宋" w:cs="仿宋"/>
                <w:color w:val="000000"/>
                <w:sz w:val="20"/>
                <w:szCs w:val="20"/>
              </w:rPr>
              <w:t>分</w:t>
            </w:r>
            <w:r>
              <w:rPr>
                <w:rFonts w:hint="eastAsia" w:ascii="仿宋" w:hAnsi="仿宋" w:eastAsia="仿宋" w:cs="仿宋"/>
                <w:color w:val="000000"/>
                <w:sz w:val="20"/>
                <w:szCs w:val="20"/>
                <w:lang w:eastAsia="zh-CN"/>
              </w:rPr>
              <w:t>。</w:t>
            </w:r>
          </w:p>
        </w:tc>
        <w:tc>
          <w:tcPr>
            <w:tcW w:w="294" w:type="pct"/>
            <w:vAlign w:val="center"/>
          </w:tcPr>
          <w:p>
            <w:pPr>
              <w:adjustRightInd w:val="0"/>
              <w:snapToGrid w:val="0"/>
              <w:jc w:val="center"/>
              <w:rPr>
                <w:rFonts w:hint="default" w:ascii="仿宋" w:hAnsi="仿宋" w:eastAsia="仿宋" w:cs="仿宋"/>
                <w:sz w:val="20"/>
                <w:szCs w:val="20"/>
                <w:lang w:val="en-US" w:eastAsia="zh-CN"/>
              </w:rPr>
            </w:pPr>
            <w:r>
              <w:rPr>
                <w:rFonts w:hint="eastAsia" w:ascii="仿宋" w:hAnsi="仿宋" w:eastAsia="仿宋" w:cs="仿宋"/>
                <w:sz w:val="20"/>
                <w:szCs w:val="20"/>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60"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restar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组织实施B3</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7</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项目管理制度健全性B31</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健全</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3</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单个方向评价：制定或具有相应的项目管理制度</w:t>
            </w:r>
            <w:r>
              <w:rPr>
                <w:rFonts w:hint="eastAsia" w:ascii="仿宋" w:hAnsi="仿宋" w:eastAsia="仿宋" w:cs="仿宋"/>
                <w:sz w:val="20"/>
                <w:szCs w:val="20"/>
                <w:lang w:eastAsia="zh-CN"/>
              </w:rPr>
              <w:t>，得满分，否则，不得分。</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经评价组核查，项目</w:t>
            </w:r>
            <w:r>
              <w:rPr>
                <w:rFonts w:hint="eastAsia" w:ascii="仿宋" w:hAnsi="仿宋" w:eastAsia="仿宋" w:cs="仿宋"/>
                <w:sz w:val="20"/>
                <w:szCs w:val="20"/>
                <w:lang w:eastAsia="zh-CN"/>
              </w:rPr>
              <w:t>制定了水泵管理制度，但对水泵后续的管护未制定相关的制度，无法保障后续水泵的维护</w:t>
            </w:r>
            <w:r>
              <w:rPr>
                <w:rFonts w:hint="eastAsia" w:ascii="仿宋" w:hAnsi="仿宋" w:eastAsia="仿宋" w:cs="仿宋"/>
                <w:sz w:val="20"/>
                <w:szCs w:val="20"/>
              </w:rPr>
              <w:t>。根据评分标准，该指标</w:t>
            </w:r>
            <w:r>
              <w:rPr>
                <w:rFonts w:hint="eastAsia" w:ascii="仿宋" w:hAnsi="仿宋" w:eastAsia="仿宋" w:cs="仿宋"/>
                <w:sz w:val="20"/>
                <w:szCs w:val="20"/>
                <w:lang w:eastAsia="zh-CN"/>
              </w:rPr>
              <w:t>得</w:t>
            </w:r>
            <w:r>
              <w:rPr>
                <w:rFonts w:hint="eastAsia" w:ascii="仿宋" w:hAnsi="仿宋" w:eastAsia="仿宋" w:cs="仿宋"/>
                <w:sz w:val="20"/>
                <w:szCs w:val="20"/>
                <w:lang w:val="en-US" w:eastAsia="zh-CN"/>
              </w:rPr>
              <w:t>1.5</w:t>
            </w:r>
            <w:r>
              <w:rPr>
                <w:rFonts w:hint="eastAsia" w:ascii="仿宋" w:hAnsi="仿宋" w:eastAsia="仿宋" w:cs="仿宋"/>
                <w:sz w:val="20"/>
                <w:szCs w:val="20"/>
              </w:rPr>
              <w:t>分。</w:t>
            </w:r>
          </w:p>
        </w:tc>
        <w:tc>
          <w:tcPr>
            <w:tcW w:w="294" w:type="pct"/>
            <w:vAlign w:val="center"/>
          </w:tcPr>
          <w:p>
            <w:pPr>
              <w:adjustRightInd w:val="0"/>
              <w:snapToGrid w:val="0"/>
              <w:jc w:val="center"/>
              <w:rPr>
                <w:rFonts w:hint="default" w:ascii="仿宋" w:hAnsi="仿宋" w:eastAsia="仿宋" w:cs="仿宋"/>
                <w:sz w:val="20"/>
                <w:szCs w:val="20"/>
                <w:lang w:val="en-US" w:eastAsia="zh-CN"/>
              </w:rPr>
            </w:pPr>
            <w:r>
              <w:rPr>
                <w:rFonts w:hint="eastAsia" w:ascii="仿宋" w:hAnsi="仿宋" w:eastAsia="仿宋" w:cs="仿宋"/>
                <w:sz w:val="20"/>
                <w:szCs w:val="20"/>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91" w:hRule="exac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Merge w:val="continue"/>
            <w:vAlign w:val="center"/>
          </w:tcPr>
          <w:p>
            <w:pPr>
              <w:adjustRightInd w:val="0"/>
              <w:snapToGrid w:val="0"/>
              <w:jc w:val="center"/>
              <w:rPr>
                <w:rFonts w:hint="eastAsia" w:ascii="仿宋" w:hAnsi="仿宋" w:eastAsia="仿宋" w:cs="仿宋"/>
                <w:sz w:val="20"/>
                <w:szCs w:val="20"/>
              </w:rPr>
            </w:pP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项目验收规范性B32</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规范</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4</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单个方向评价：①项目评审公平公正，按要求进行过公示；②项目验收过程严格按照管理办法中流程执行；③项目实施过程严格按照管理制度要求执行。要素</w:t>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 1 \* GB3 </w:instrText>
            </w:r>
            <w:r>
              <w:rPr>
                <w:rFonts w:hint="eastAsia" w:ascii="仿宋" w:hAnsi="仿宋" w:eastAsia="仿宋" w:cs="仿宋"/>
                <w:sz w:val="20"/>
                <w:szCs w:val="20"/>
              </w:rPr>
              <w:fldChar w:fldCharType="separate"/>
            </w:r>
            <w:r>
              <w:rPr>
                <w:rFonts w:hint="eastAsia" w:ascii="仿宋" w:hAnsi="仿宋" w:eastAsia="仿宋" w:cs="仿宋"/>
                <w:sz w:val="20"/>
                <w:szCs w:val="20"/>
              </w:rPr>
              <w:t>①</w:t>
            </w:r>
            <w:r>
              <w:rPr>
                <w:rFonts w:hint="eastAsia" w:ascii="仿宋" w:hAnsi="仿宋" w:eastAsia="仿宋" w:cs="仿宋"/>
                <w:sz w:val="20"/>
                <w:szCs w:val="20"/>
              </w:rPr>
              <w:fldChar w:fldCharType="end"/>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 2 \* GB3 </w:instrText>
            </w:r>
            <w:r>
              <w:rPr>
                <w:rFonts w:hint="eastAsia" w:ascii="仿宋" w:hAnsi="仿宋" w:eastAsia="仿宋" w:cs="仿宋"/>
                <w:sz w:val="20"/>
                <w:szCs w:val="20"/>
              </w:rPr>
              <w:fldChar w:fldCharType="separate"/>
            </w:r>
            <w:r>
              <w:rPr>
                <w:rFonts w:hint="eastAsia" w:ascii="仿宋" w:hAnsi="仿宋" w:eastAsia="仿宋" w:cs="仿宋"/>
                <w:sz w:val="20"/>
                <w:szCs w:val="20"/>
              </w:rPr>
              <w:t>②</w:t>
            </w:r>
            <w:r>
              <w:rPr>
                <w:rFonts w:hint="eastAsia" w:ascii="仿宋" w:hAnsi="仿宋" w:eastAsia="仿宋" w:cs="仿宋"/>
                <w:sz w:val="20"/>
                <w:szCs w:val="20"/>
              </w:rPr>
              <w:fldChar w:fldCharType="end"/>
            </w:r>
            <w:r>
              <w:rPr>
                <w:rFonts w:hint="eastAsia" w:ascii="仿宋" w:hAnsi="仿宋" w:eastAsia="仿宋" w:cs="仿宋"/>
                <w:sz w:val="20"/>
                <w:szCs w:val="20"/>
              </w:rPr>
              <w:t>各占30%权重分，要素</w:t>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 3 \* GB3 </w:instrText>
            </w:r>
            <w:r>
              <w:rPr>
                <w:rFonts w:hint="eastAsia" w:ascii="仿宋" w:hAnsi="仿宋" w:eastAsia="仿宋" w:cs="仿宋"/>
                <w:sz w:val="20"/>
                <w:szCs w:val="20"/>
              </w:rPr>
              <w:fldChar w:fldCharType="separate"/>
            </w:r>
            <w:r>
              <w:rPr>
                <w:rFonts w:hint="eastAsia" w:ascii="仿宋" w:hAnsi="仿宋" w:eastAsia="仿宋" w:cs="仿宋"/>
                <w:sz w:val="20"/>
                <w:szCs w:val="20"/>
              </w:rPr>
              <w:t>③</w:t>
            </w:r>
            <w:r>
              <w:rPr>
                <w:rFonts w:hint="eastAsia" w:ascii="仿宋" w:hAnsi="仿宋" w:eastAsia="仿宋" w:cs="仿宋"/>
                <w:sz w:val="20"/>
                <w:szCs w:val="20"/>
              </w:rPr>
              <w:fldChar w:fldCharType="end"/>
            </w:r>
            <w:r>
              <w:rPr>
                <w:rFonts w:hint="eastAsia" w:ascii="仿宋" w:hAnsi="仿宋" w:eastAsia="仿宋" w:cs="仿宋"/>
                <w:sz w:val="20"/>
                <w:szCs w:val="20"/>
              </w:rPr>
              <w:t>占40%权重分，符合相关要素得满分，否则不得分。</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汇总评价：按照单个方向得分情况，以各方向资金为权重加权求和。</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经评价组核查：①</w:t>
            </w:r>
            <w:r>
              <w:rPr>
                <w:rFonts w:hint="eastAsia" w:ascii="仿宋" w:hAnsi="仿宋" w:eastAsia="仿宋" w:cs="仿宋"/>
                <w:sz w:val="20"/>
                <w:szCs w:val="20"/>
                <w:lang w:eastAsia="zh-CN"/>
              </w:rPr>
              <w:t>安阳县住房和城乡建设局大型排水泵购置项目按照要求进行公</w:t>
            </w:r>
            <w:r>
              <w:rPr>
                <w:rFonts w:hint="eastAsia" w:ascii="仿宋" w:hAnsi="仿宋" w:eastAsia="仿宋" w:cs="仿宋"/>
                <w:sz w:val="20"/>
                <w:szCs w:val="20"/>
              </w:rPr>
              <w:t>示</w:t>
            </w:r>
            <w:r>
              <w:rPr>
                <w:rFonts w:hint="eastAsia" w:ascii="仿宋" w:hAnsi="仿宋" w:eastAsia="仿宋" w:cs="仿宋"/>
                <w:sz w:val="20"/>
                <w:szCs w:val="20"/>
                <w:lang w:eastAsia="zh-CN"/>
              </w:rPr>
              <w:t>；</w:t>
            </w:r>
            <w:r>
              <w:rPr>
                <w:rFonts w:hint="eastAsia" w:ascii="仿宋" w:hAnsi="仿宋" w:eastAsia="仿宋" w:cs="仿宋"/>
                <w:sz w:val="20"/>
                <w:szCs w:val="20"/>
              </w:rPr>
              <w:t>②项目</w:t>
            </w:r>
            <w:r>
              <w:rPr>
                <w:rFonts w:hint="eastAsia" w:ascii="仿宋" w:hAnsi="仿宋" w:eastAsia="仿宋" w:cs="仿宋"/>
                <w:sz w:val="20"/>
                <w:szCs w:val="20"/>
                <w:lang w:eastAsia="zh-CN"/>
              </w:rPr>
              <w:t>验收过程严格按照管理办法中流程执行；</w:t>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 3 \* GB3 </w:instrText>
            </w:r>
            <w:r>
              <w:rPr>
                <w:rFonts w:hint="eastAsia" w:ascii="仿宋" w:hAnsi="仿宋" w:eastAsia="仿宋" w:cs="仿宋"/>
                <w:sz w:val="20"/>
                <w:szCs w:val="20"/>
              </w:rPr>
              <w:fldChar w:fldCharType="separate"/>
            </w:r>
            <w:r>
              <w:rPr>
                <w:rFonts w:hint="eastAsia" w:ascii="仿宋" w:hAnsi="仿宋" w:eastAsia="仿宋" w:cs="仿宋"/>
                <w:sz w:val="20"/>
                <w:szCs w:val="20"/>
              </w:rPr>
              <w:t>③</w:t>
            </w:r>
            <w:r>
              <w:rPr>
                <w:rFonts w:hint="eastAsia" w:ascii="仿宋" w:hAnsi="仿宋" w:eastAsia="仿宋" w:cs="仿宋"/>
                <w:sz w:val="20"/>
                <w:szCs w:val="20"/>
              </w:rPr>
              <w:fldChar w:fldCharType="end"/>
            </w:r>
            <w:r>
              <w:rPr>
                <w:rFonts w:hint="eastAsia" w:ascii="仿宋" w:hAnsi="仿宋" w:eastAsia="仿宋" w:cs="仿宋"/>
                <w:sz w:val="20"/>
                <w:szCs w:val="20"/>
                <w:lang w:eastAsia="zh-CN"/>
              </w:rPr>
              <w:t>项目实施过程严格按照管理制度要求执行。</w:t>
            </w:r>
            <w:r>
              <w:rPr>
                <w:rFonts w:hint="eastAsia" w:ascii="仿宋" w:hAnsi="仿宋" w:eastAsia="仿宋" w:cs="仿宋"/>
                <w:sz w:val="20"/>
                <w:szCs w:val="20"/>
              </w:rPr>
              <w:t>根据评分标</w:t>
            </w:r>
            <w:r>
              <w:rPr>
                <w:rFonts w:hint="eastAsia" w:ascii="仿宋" w:hAnsi="仿宋" w:eastAsia="仿宋" w:cs="仿宋"/>
                <w:sz w:val="20"/>
                <w:szCs w:val="20"/>
                <w:lang w:eastAsia="zh-CN"/>
              </w:rPr>
              <w:t>准，</w:t>
            </w:r>
            <w:r>
              <w:rPr>
                <w:rFonts w:hint="eastAsia" w:ascii="仿宋" w:hAnsi="仿宋" w:eastAsia="仿宋" w:cs="仿宋"/>
                <w:sz w:val="20"/>
                <w:szCs w:val="20"/>
              </w:rPr>
              <w:t>该指标得</w:t>
            </w:r>
            <w:r>
              <w:rPr>
                <w:rFonts w:hint="eastAsia" w:ascii="仿宋" w:hAnsi="仿宋" w:eastAsia="仿宋" w:cs="仿宋"/>
                <w:sz w:val="20"/>
                <w:szCs w:val="20"/>
                <w:lang w:val="en-US" w:eastAsia="zh-CN"/>
              </w:rPr>
              <w:t>4</w:t>
            </w:r>
            <w:r>
              <w:rPr>
                <w:rFonts w:hint="eastAsia" w:ascii="仿宋" w:hAnsi="仿宋" w:eastAsia="仿宋" w:cs="仿宋"/>
                <w:sz w:val="20"/>
                <w:szCs w:val="20"/>
              </w:rPr>
              <w:t>分。</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45" w:hRule="atLeast"/>
          <w:jc w:val="center"/>
        </w:trPr>
        <w:tc>
          <w:tcPr>
            <w:tcW w:w="336" w:type="pct"/>
            <w:gridSpan w:val="2"/>
            <w:vMerge w:val="restar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项目产出C</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40</w:t>
            </w:r>
            <w:r>
              <w:rPr>
                <w:rFonts w:hint="eastAsia" w:ascii="仿宋" w:hAnsi="仿宋" w:eastAsia="仿宋" w:cs="仿宋"/>
                <w:sz w:val="20"/>
                <w:szCs w:val="20"/>
              </w:rPr>
              <w:t>分）</w:t>
            </w:r>
          </w:p>
          <w:p>
            <w:pPr>
              <w:adjustRightInd w:val="0"/>
              <w:snapToGrid w:val="0"/>
              <w:jc w:val="center"/>
              <w:rPr>
                <w:rFonts w:hint="eastAsia" w:ascii="仿宋" w:hAnsi="仿宋" w:eastAsia="仿宋" w:cs="仿宋"/>
                <w:sz w:val="20"/>
                <w:szCs w:val="20"/>
              </w:rPr>
            </w:pPr>
          </w:p>
        </w:tc>
        <w:tc>
          <w:tcPr>
            <w:tcW w:w="317"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数量指标C1</w:t>
            </w:r>
          </w:p>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rPr>
              <w:t>（</w:t>
            </w:r>
            <w:r>
              <w:rPr>
                <w:rFonts w:hint="eastAsia" w:ascii="仿宋" w:hAnsi="仿宋" w:eastAsia="仿宋" w:cs="仿宋"/>
                <w:sz w:val="20"/>
                <w:szCs w:val="20"/>
                <w:lang w:val="en-US" w:eastAsia="zh-CN"/>
              </w:rPr>
              <w:t>10</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sz w:val="20"/>
                <w:szCs w:val="20"/>
                <w:lang w:eastAsia="zh-CN"/>
              </w:rPr>
            </w:pPr>
            <w:r>
              <w:rPr>
                <w:rFonts w:hint="eastAsia" w:ascii="仿宋" w:hAnsi="仿宋" w:eastAsia="仿宋" w:cs="仿宋"/>
                <w:sz w:val="20"/>
                <w:szCs w:val="20"/>
                <w:lang w:eastAsia="zh-CN"/>
              </w:rPr>
              <w:t>离心泵购买数量</w:t>
            </w:r>
          </w:p>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rPr>
              <w:t>C11</w:t>
            </w:r>
          </w:p>
        </w:tc>
        <w:tc>
          <w:tcPr>
            <w:tcW w:w="332" w:type="pct"/>
            <w:vAlign w:val="center"/>
          </w:tcPr>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lang w:val="en-US" w:eastAsia="zh-CN"/>
              </w:rPr>
              <w:t>2台</w:t>
            </w:r>
          </w:p>
        </w:tc>
        <w:tc>
          <w:tcPr>
            <w:tcW w:w="231" w:type="pct"/>
            <w:vAlign w:val="center"/>
          </w:tcPr>
          <w:p>
            <w:pPr>
              <w:adjustRightInd w:val="0"/>
              <w:snapToGrid w:val="0"/>
              <w:jc w:val="center"/>
              <w:rPr>
                <w:rFonts w:hint="default" w:ascii="仿宋" w:hAnsi="仿宋" w:eastAsia="仿宋" w:cs="仿宋"/>
                <w:kern w:val="0"/>
                <w:sz w:val="20"/>
                <w:szCs w:val="20"/>
                <w:lang w:val="en-US" w:eastAsia="zh-CN" w:bidi="ar-SA"/>
              </w:rPr>
            </w:pPr>
            <w:r>
              <w:rPr>
                <w:rFonts w:hint="eastAsia" w:ascii="仿宋" w:hAnsi="仿宋" w:eastAsia="仿宋" w:cs="仿宋"/>
                <w:sz w:val="20"/>
                <w:szCs w:val="20"/>
                <w:lang w:val="en-US" w:eastAsia="zh-CN"/>
              </w:rPr>
              <w:t>10</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该指标得分采用完成率考核，</w:t>
            </w:r>
            <w:r>
              <w:rPr>
                <w:rFonts w:hint="eastAsia" w:ascii="仿宋" w:hAnsi="仿宋" w:eastAsia="仿宋" w:cs="仿宋"/>
                <w:sz w:val="20"/>
                <w:szCs w:val="20"/>
                <w:lang w:eastAsia="zh-CN"/>
              </w:rPr>
              <w:t>完成</w:t>
            </w:r>
            <w:r>
              <w:rPr>
                <w:rFonts w:hint="eastAsia" w:ascii="仿宋" w:hAnsi="仿宋" w:eastAsia="仿宋" w:cs="仿宋"/>
                <w:sz w:val="20"/>
                <w:szCs w:val="20"/>
                <w:lang w:val="en-US" w:eastAsia="zh-CN"/>
              </w:rPr>
              <w:t>100%</w:t>
            </w:r>
            <w:r>
              <w:rPr>
                <w:rFonts w:hint="eastAsia" w:ascii="仿宋" w:hAnsi="仿宋" w:eastAsia="仿宋" w:cs="仿宋"/>
                <w:sz w:val="20"/>
                <w:szCs w:val="20"/>
              </w:rPr>
              <w:t>得满分，</w:t>
            </w:r>
            <w:r>
              <w:rPr>
                <w:rFonts w:hint="eastAsia" w:ascii="仿宋" w:hAnsi="仿宋" w:eastAsia="仿宋" w:cs="仿宋"/>
                <w:sz w:val="20"/>
                <w:szCs w:val="20"/>
                <w:lang w:eastAsia="zh-CN"/>
              </w:rPr>
              <w:t>未完成酌情得分</w:t>
            </w:r>
            <w:r>
              <w:rPr>
                <w:rFonts w:hint="eastAsia" w:ascii="仿宋" w:hAnsi="仿宋" w:eastAsia="仿宋" w:cs="仿宋"/>
                <w:sz w:val="20"/>
                <w:szCs w:val="20"/>
              </w:rPr>
              <w:t>。</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实际完成率=（实际产出数/计划产出数）×100%。</w:t>
            </w:r>
          </w:p>
          <w:p>
            <w:pPr>
              <w:adjustRightInd w:val="0"/>
              <w:snapToGrid w:val="0"/>
              <w:jc w:val="left"/>
              <w:rPr>
                <w:rFonts w:hint="eastAsia" w:ascii="仿宋" w:hAnsi="仿宋" w:eastAsia="仿宋" w:cs="仿宋"/>
                <w:kern w:val="0"/>
                <w:sz w:val="20"/>
                <w:szCs w:val="20"/>
                <w:lang w:val="en-US" w:eastAsia="zh-CN" w:bidi="ar-SA"/>
              </w:rPr>
            </w:pPr>
          </w:p>
        </w:tc>
        <w:tc>
          <w:tcPr>
            <w:tcW w:w="1531" w:type="pct"/>
            <w:vAlign w:val="center"/>
          </w:tcPr>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rPr>
              <w:t>根据</w:t>
            </w:r>
            <w:r>
              <w:rPr>
                <w:rFonts w:hint="eastAsia" w:ascii="仿宋" w:hAnsi="仿宋" w:eastAsia="仿宋" w:cs="仿宋"/>
                <w:sz w:val="20"/>
                <w:szCs w:val="20"/>
                <w:lang w:eastAsia="zh-CN"/>
              </w:rPr>
              <w:t>安阳县住房和城乡建设局</w:t>
            </w:r>
            <w:r>
              <w:rPr>
                <w:rFonts w:hint="eastAsia" w:ascii="仿宋" w:hAnsi="仿宋" w:eastAsia="仿宋" w:cs="仿宋"/>
                <w:sz w:val="20"/>
                <w:szCs w:val="20"/>
              </w:rPr>
              <w:t>提供的</w:t>
            </w:r>
            <w:r>
              <w:rPr>
                <w:rFonts w:hint="eastAsia" w:ascii="仿宋" w:hAnsi="仿宋" w:eastAsia="仿宋" w:cs="仿宋"/>
                <w:sz w:val="20"/>
                <w:szCs w:val="20"/>
                <w:lang w:eastAsia="zh-CN"/>
              </w:rPr>
              <w:t>相关</w:t>
            </w:r>
            <w:r>
              <w:rPr>
                <w:rFonts w:hint="eastAsia" w:ascii="仿宋" w:hAnsi="仿宋" w:eastAsia="仿宋" w:cs="仿宋"/>
                <w:sz w:val="20"/>
                <w:szCs w:val="20"/>
              </w:rPr>
              <w:t>材料等，经评价组核查：</w:t>
            </w:r>
            <w:r>
              <w:rPr>
                <w:rFonts w:hint="eastAsia" w:ascii="仿宋" w:hAnsi="仿宋" w:eastAsia="仿宋" w:cs="仿宋"/>
                <w:sz w:val="20"/>
                <w:szCs w:val="20"/>
                <w:lang w:eastAsia="zh-CN"/>
              </w:rPr>
              <w:t>项目共购买</w:t>
            </w:r>
            <w:r>
              <w:rPr>
                <w:rFonts w:hint="eastAsia" w:ascii="仿宋" w:hAnsi="仿宋" w:eastAsia="仿宋" w:cs="仿宋"/>
                <w:sz w:val="20"/>
                <w:szCs w:val="20"/>
                <w:lang w:val="en-US" w:eastAsia="zh-CN"/>
              </w:rPr>
              <w:t>2台SIM SP6-250型号排水泵</w:t>
            </w:r>
            <w:r>
              <w:rPr>
                <w:rFonts w:hint="eastAsia" w:ascii="仿宋" w:hAnsi="仿宋" w:eastAsia="仿宋" w:cs="仿宋"/>
                <w:sz w:val="20"/>
                <w:szCs w:val="20"/>
                <w:lang w:eastAsia="zh-CN"/>
              </w:rPr>
              <w:t>，完成率为</w:t>
            </w:r>
            <w:r>
              <w:rPr>
                <w:rFonts w:hint="eastAsia" w:ascii="仿宋" w:hAnsi="仿宋" w:eastAsia="仿宋" w:cs="仿宋"/>
                <w:sz w:val="20"/>
                <w:szCs w:val="20"/>
                <w:lang w:val="en-US" w:eastAsia="zh-CN"/>
              </w:rPr>
              <w:t>100</w:t>
            </w:r>
            <w:r>
              <w:rPr>
                <w:rFonts w:hint="eastAsia" w:ascii="仿宋" w:hAnsi="仿宋" w:eastAsia="仿宋" w:cs="仿宋"/>
                <w:sz w:val="20"/>
                <w:szCs w:val="20"/>
              </w:rPr>
              <w:t>%，根据评分标准，该指标得</w:t>
            </w:r>
            <w:r>
              <w:rPr>
                <w:rFonts w:hint="eastAsia" w:ascii="仿宋" w:hAnsi="仿宋" w:eastAsia="仿宋" w:cs="仿宋"/>
                <w:sz w:val="20"/>
                <w:szCs w:val="20"/>
                <w:lang w:val="en-US" w:eastAsia="zh-CN"/>
              </w:rPr>
              <w:t>10</w:t>
            </w:r>
            <w:r>
              <w:rPr>
                <w:rFonts w:hint="eastAsia" w:ascii="仿宋" w:hAnsi="仿宋" w:eastAsia="仿宋" w:cs="仿宋"/>
                <w:sz w:val="20"/>
                <w:szCs w:val="20"/>
              </w:rPr>
              <w:t>分。</w:t>
            </w:r>
          </w:p>
        </w:tc>
        <w:tc>
          <w:tcPr>
            <w:tcW w:w="294" w:type="pct"/>
            <w:vAlign w:val="center"/>
          </w:tcPr>
          <w:p>
            <w:pPr>
              <w:adjustRightInd w:val="0"/>
              <w:snapToGrid w:val="0"/>
              <w:jc w:val="center"/>
              <w:rPr>
                <w:rFonts w:hint="default" w:ascii="仿宋" w:hAnsi="仿宋" w:eastAsia="仿宋" w:cs="仿宋"/>
                <w:kern w:val="0"/>
                <w:sz w:val="20"/>
                <w:szCs w:val="20"/>
                <w:lang w:val="en-US" w:eastAsia="zh-CN" w:bidi="ar-SA"/>
              </w:rPr>
            </w:pPr>
            <w:r>
              <w:rPr>
                <w:rFonts w:hint="eastAsia" w:ascii="仿宋" w:hAnsi="仿宋" w:eastAsia="仿宋" w:cs="仿宋"/>
                <w:sz w:val="20"/>
                <w:szCs w:val="20"/>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9"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质量指标C2</w:t>
            </w:r>
          </w:p>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rPr>
              <w:t>（</w:t>
            </w:r>
            <w:r>
              <w:rPr>
                <w:rFonts w:hint="eastAsia" w:ascii="仿宋" w:hAnsi="仿宋" w:eastAsia="仿宋" w:cs="仿宋"/>
                <w:sz w:val="20"/>
                <w:szCs w:val="20"/>
                <w:lang w:val="en-US" w:eastAsia="zh-CN"/>
              </w:rPr>
              <w:t>10</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sz w:val="20"/>
                <w:szCs w:val="20"/>
                <w:lang w:eastAsia="zh-CN"/>
              </w:rPr>
            </w:pPr>
            <w:r>
              <w:rPr>
                <w:rFonts w:hint="eastAsia" w:ascii="仿宋" w:hAnsi="仿宋" w:eastAsia="仿宋" w:cs="仿宋"/>
                <w:sz w:val="20"/>
                <w:szCs w:val="20"/>
                <w:lang w:eastAsia="zh-CN"/>
              </w:rPr>
              <w:t>离心泵质量达标率</w:t>
            </w:r>
          </w:p>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rPr>
              <w:t>C2</w:t>
            </w:r>
            <w:r>
              <w:rPr>
                <w:rFonts w:hint="eastAsia" w:ascii="仿宋" w:hAnsi="仿宋" w:eastAsia="仿宋" w:cs="仿宋"/>
                <w:sz w:val="20"/>
                <w:szCs w:val="20"/>
                <w:lang w:val="en-US" w:eastAsia="zh-CN"/>
              </w:rPr>
              <w:t>1</w:t>
            </w:r>
          </w:p>
        </w:tc>
        <w:tc>
          <w:tcPr>
            <w:tcW w:w="332" w:type="pct"/>
            <w:vAlign w:val="center"/>
          </w:tcPr>
          <w:p>
            <w:pPr>
              <w:adjustRightInd w:val="0"/>
              <w:snapToGrid w:val="0"/>
              <w:jc w:val="center"/>
              <w:rPr>
                <w:rFonts w:hint="default" w:ascii="仿宋" w:hAnsi="仿宋" w:eastAsia="仿宋" w:cs="仿宋"/>
                <w:sz w:val="20"/>
                <w:szCs w:val="20"/>
                <w:lang w:val="en-US" w:eastAsia="zh-CN"/>
              </w:rPr>
            </w:pPr>
            <w:r>
              <w:rPr>
                <w:rFonts w:hint="eastAsia" w:ascii="仿宋" w:hAnsi="仿宋" w:eastAsia="仿宋" w:cs="仿宋"/>
                <w:sz w:val="20"/>
                <w:szCs w:val="20"/>
                <w:lang w:val="en-US" w:eastAsia="zh-CN"/>
              </w:rPr>
              <w:t>100%</w:t>
            </w:r>
          </w:p>
        </w:tc>
        <w:tc>
          <w:tcPr>
            <w:tcW w:w="231" w:type="pct"/>
            <w:vAlign w:val="center"/>
          </w:tcPr>
          <w:p>
            <w:pPr>
              <w:adjustRightInd w:val="0"/>
              <w:snapToGrid w:val="0"/>
              <w:jc w:val="center"/>
              <w:rPr>
                <w:rFonts w:hint="default" w:ascii="仿宋" w:hAnsi="仿宋" w:eastAsia="仿宋" w:cs="仿宋"/>
                <w:sz w:val="20"/>
                <w:szCs w:val="20"/>
                <w:lang w:val="en-US" w:eastAsia="zh-CN"/>
              </w:rPr>
            </w:pPr>
            <w:r>
              <w:rPr>
                <w:rFonts w:hint="eastAsia" w:ascii="仿宋" w:hAnsi="仿宋" w:eastAsia="仿宋" w:cs="仿宋"/>
                <w:sz w:val="20"/>
                <w:szCs w:val="20"/>
                <w:lang w:val="en-US" w:eastAsia="zh-CN"/>
              </w:rPr>
              <w:t>10</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lang w:val="en-US" w:eastAsia="zh-CN"/>
              </w:rPr>
            </w:pPr>
            <w:r>
              <w:rPr>
                <w:rFonts w:hint="eastAsia" w:ascii="仿宋" w:hAnsi="仿宋" w:eastAsia="仿宋" w:cs="仿宋"/>
                <w:sz w:val="20"/>
                <w:szCs w:val="20"/>
                <w:lang w:eastAsia="zh-CN"/>
              </w:rPr>
              <w:t>完成</w:t>
            </w:r>
            <w:r>
              <w:rPr>
                <w:rFonts w:hint="eastAsia" w:ascii="仿宋" w:hAnsi="仿宋" w:eastAsia="仿宋" w:cs="仿宋"/>
                <w:sz w:val="20"/>
                <w:szCs w:val="20"/>
                <w:lang w:val="en-US" w:eastAsia="zh-CN"/>
              </w:rPr>
              <w:t>100%的得满分，否则，不得分。</w:t>
            </w:r>
          </w:p>
          <w:p>
            <w:pPr>
              <w:adjustRightInd w:val="0"/>
              <w:snapToGrid w:val="0"/>
              <w:jc w:val="left"/>
              <w:rPr>
                <w:rFonts w:hint="eastAsia" w:ascii="仿宋" w:hAnsi="仿宋" w:eastAsia="仿宋" w:cs="仿宋"/>
                <w:kern w:val="0"/>
                <w:sz w:val="20"/>
                <w:szCs w:val="20"/>
                <w:lang w:val="en-US" w:eastAsia="zh-CN" w:bidi="ar-SA"/>
              </w:rPr>
            </w:pP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根据</w:t>
            </w:r>
            <w:r>
              <w:rPr>
                <w:rFonts w:hint="eastAsia" w:ascii="仿宋" w:hAnsi="仿宋" w:eastAsia="仿宋" w:cs="仿宋"/>
                <w:sz w:val="20"/>
                <w:szCs w:val="20"/>
                <w:lang w:eastAsia="zh-CN"/>
              </w:rPr>
              <w:t>安阳县住房和城乡建设局</w:t>
            </w:r>
            <w:r>
              <w:rPr>
                <w:rFonts w:hint="eastAsia" w:ascii="仿宋" w:hAnsi="仿宋" w:eastAsia="仿宋" w:cs="仿宋"/>
                <w:sz w:val="20"/>
                <w:szCs w:val="20"/>
              </w:rPr>
              <w:t>提供的</w:t>
            </w:r>
            <w:r>
              <w:rPr>
                <w:rFonts w:hint="eastAsia" w:ascii="仿宋" w:hAnsi="仿宋" w:eastAsia="仿宋" w:cs="仿宋"/>
                <w:sz w:val="20"/>
                <w:szCs w:val="20"/>
                <w:lang w:eastAsia="zh-CN"/>
              </w:rPr>
              <w:t>相关</w:t>
            </w:r>
            <w:r>
              <w:rPr>
                <w:rFonts w:hint="eastAsia" w:ascii="仿宋" w:hAnsi="仿宋" w:eastAsia="仿宋" w:cs="仿宋"/>
                <w:sz w:val="20"/>
                <w:szCs w:val="20"/>
              </w:rPr>
              <w:t>材料等，经评价组核查：</w:t>
            </w:r>
            <w:r>
              <w:rPr>
                <w:rFonts w:hint="eastAsia" w:ascii="仿宋" w:hAnsi="仿宋" w:eastAsia="仿宋" w:cs="仿宋"/>
                <w:sz w:val="20"/>
                <w:szCs w:val="20"/>
                <w:lang w:eastAsia="zh-CN"/>
              </w:rPr>
              <w:t>工程实施完成后，经过了专家组验收，并进行试抽排，均能满足使用条件，验收合格率达到</w:t>
            </w:r>
            <w:r>
              <w:rPr>
                <w:rFonts w:hint="eastAsia" w:ascii="仿宋" w:hAnsi="仿宋" w:eastAsia="仿宋" w:cs="仿宋"/>
                <w:sz w:val="20"/>
                <w:szCs w:val="20"/>
                <w:lang w:val="en-US" w:eastAsia="zh-CN"/>
              </w:rPr>
              <w:t>100%。</w:t>
            </w:r>
            <w:r>
              <w:rPr>
                <w:rFonts w:hint="eastAsia" w:ascii="仿宋" w:hAnsi="仿宋" w:eastAsia="仿宋" w:cs="仿宋"/>
                <w:sz w:val="20"/>
                <w:szCs w:val="20"/>
              </w:rPr>
              <w:t>根据评分标准，该指标得</w:t>
            </w:r>
            <w:r>
              <w:rPr>
                <w:rFonts w:hint="eastAsia" w:ascii="仿宋" w:hAnsi="仿宋" w:eastAsia="仿宋" w:cs="仿宋"/>
                <w:sz w:val="20"/>
                <w:szCs w:val="20"/>
                <w:lang w:val="en-US" w:eastAsia="zh-CN"/>
              </w:rPr>
              <w:t>10</w:t>
            </w:r>
            <w:r>
              <w:rPr>
                <w:rFonts w:hint="eastAsia" w:ascii="仿宋" w:hAnsi="仿宋" w:eastAsia="仿宋" w:cs="仿宋"/>
                <w:sz w:val="20"/>
                <w:szCs w:val="20"/>
              </w:rPr>
              <w:t>分。</w:t>
            </w:r>
          </w:p>
        </w:tc>
        <w:tc>
          <w:tcPr>
            <w:tcW w:w="294" w:type="pct"/>
            <w:vAlign w:val="center"/>
          </w:tcPr>
          <w:p>
            <w:pPr>
              <w:adjustRightInd w:val="0"/>
              <w:snapToGrid w:val="0"/>
              <w:jc w:val="center"/>
              <w:rPr>
                <w:rFonts w:hint="default" w:ascii="仿宋" w:hAnsi="仿宋" w:eastAsia="仿宋" w:cs="仿宋"/>
                <w:sz w:val="20"/>
                <w:szCs w:val="20"/>
                <w:lang w:val="en-US" w:eastAsia="zh-CN"/>
              </w:rPr>
            </w:pPr>
            <w:r>
              <w:rPr>
                <w:rFonts w:hint="eastAsia" w:ascii="仿宋" w:hAnsi="仿宋" w:eastAsia="仿宋" w:cs="仿宋"/>
                <w:sz w:val="20"/>
                <w:szCs w:val="20"/>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45"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时效指标C3</w:t>
            </w:r>
          </w:p>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rPr>
              <w:t>（</w:t>
            </w:r>
            <w:r>
              <w:rPr>
                <w:rFonts w:hint="eastAsia" w:ascii="仿宋" w:hAnsi="仿宋" w:eastAsia="仿宋" w:cs="仿宋"/>
                <w:sz w:val="20"/>
                <w:szCs w:val="20"/>
                <w:lang w:val="en-US" w:eastAsia="zh-CN"/>
              </w:rPr>
              <w:t>10</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sz w:val="20"/>
                <w:szCs w:val="20"/>
                <w:lang w:eastAsia="zh-CN"/>
              </w:rPr>
            </w:pPr>
            <w:r>
              <w:rPr>
                <w:rFonts w:hint="eastAsia" w:ascii="仿宋" w:hAnsi="仿宋" w:eastAsia="仿宋" w:cs="仿宋"/>
                <w:sz w:val="20"/>
                <w:szCs w:val="20"/>
                <w:lang w:eastAsia="zh-CN"/>
              </w:rPr>
              <w:t>及时购买率</w:t>
            </w:r>
          </w:p>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rPr>
              <w:t>C31</w:t>
            </w:r>
          </w:p>
        </w:tc>
        <w:tc>
          <w:tcPr>
            <w:tcW w:w="332" w:type="pct"/>
            <w:vAlign w:val="center"/>
          </w:tcPr>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lang w:val="en-US" w:eastAsia="zh-CN"/>
              </w:rPr>
              <w:t>100</w:t>
            </w:r>
            <w:r>
              <w:rPr>
                <w:rFonts w:hint="eastAsia" w:ascii="仿宋" w:hAnsi="仿宋" w:eastAsia="仿宋" w:cs="仿宋"/>
                <w:sz w:val="20"/>
                <w:szCs w:val="20"/>
              </w:rPr>
              <w:t>%</w:t>
            </w:r>
          </w:p>
        </w:tc>
        <w:tc>
          <w:tcPr>
            <w:tcW w:w="231" w:type="pct"/>
            <w:vAlign w:val="center"/>
          </w:tcPr>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lang w:val="en-US" w:eastAsia="zh-CN"/>
              </w:rPr>
              <w:t>10</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lang w:val="en-US" w:eastAsia="zh-CN"/>
              </w:rPr>
            </w:pPr>
            <w:r>
              <w:rPr>
                <w:rFonts w:hint="eastAsia" w:ascii="仿宋" w:hAnsi="仿宋" w:eastAsia="仿宋" w:cs="仿宋"/>
                <w:sz w:val="20"/>
                <w:szCs w:val="20"/>
                <w:lang w:eastAsia="zh-CN"/>
              </w:rPr>
              <w:t>完成</w:t>
            </w:r>
            <w:r>
              <w:rPr>
                <w:rFonts w:hint="eastAsia" w:ascii="仿宋" w:hAnsi="仿宋" w:eastAsia="仿宋" w:cs="仿宋"/>
                <w:sz w:val="20"/>
                <w:szCs w:val="20"/>
                <w:lang w:val="en-US" w:eastAsia="zh-CN"/>
              </w:rPr>
              <w:t>100%的得满分，否则，不得分。</w:t>
            </w:r>
          </w:p>
          <w:p>
            <w:pPr>
              <w:adjustRightInd w:val="0"/>
              <w:snapToGrid w:val="0"/>
              <w:jc w:val="left"/>
              <w:rPr>
                <w:rFonts w:hint="eastAsia" w:ascii="仿宋" w:hAnsi="仿宋" w:eastAsia="仿宋" w:cs="仿宋"/>
                <w:kern w:val="0"/>
                <w:sz w:val="20"/>
                <w:szCs w:val="20"/>
                <w:lang w:val="en-US" w:eastAsia="zh-CN" w:bidi="ar-SA"/>
              </w:rPr>
            </w:pPr>
          </w:p>
        </w:tc>
        <w:tc>
          <w:tcPr>
            <w:tcW w:w="1531" w:type="pct"/>
            <w:vAlign w:val="center"/>
          </w:tcPr>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rPr>
              <w:t>根据</w:t>
            </w:r>
            <w:r>
              <w:rPr>
                <w:rFonts w:hint="eastAsia" w:ascii="仿宋" w:hAnsi="仿宋" w:eastAsia="仿宋" w:cs="仿宋"/>
                <w:sz w:val="20"/>
                <w:szCs w:val="20"/>
                <w:lang w:eastAsia="zh-CN"/>
              </w:rPr>
              <w:t>安阳县住房和城乡建设局</w:t>
            </w:r>
            <w:r>
              <w:rPr>
                <w:rFonts w:hint="eastAsia" w:ascii="仿宋" w:hAnsi="仿宋" w:eastAsia="仿宋" w:cs="仿宋"/>
                <w:sz w:val="20"/>
                <w:szCs w:val="20"/>
              </w:rPr>
              <w:t>提供的基础数据表、佐证材料等，经评价组核查：项目按期</w:t>
            </w:r>
            <w:r>
              <w:rPr>
                <w:rFonts w:hint="eastAsia" w:ascii="仿宋" w:hAnsi="仿宋" w:eastAsia="仿宋" w:cs="仿宋"/>
                <w:sz w:val="20"/>
                <w:szCs w:val="20"/>
                <w:lang w:eastAsia="zh-CN"/>
              </w:rPr>
              <w:t>实施，能及时地购买</w:t>
            </w:r>
            <w:r>
              <w:rPr>
                <w:rFonts w:hint="eastAsia" w:ascii="仿宋" w:hAnsi="仿宋" w:eastAsia="仿宋" w:cs="仿宋"/>
                <w:sz w:val="20"/>
                <w:szCs w:val="20"/>
              </w:rPr>
              <w:t>。综上，该指标得</w:t>
            </w:r>
            <w:r>
              <w:rPr>
                <w:rFonts w:hint="eastAsia" w:ascii="仿宋" w:hAnsi="仿宋" w:eastAsia="仿宋" w:cs="仿宋"/>
                <w:sz w:val="20"/>
                <w:szCs w:val="20"/>
                <w:lang w:val="en-US" w:eastAsia="zh-CN"/>
              </w:rPr>
              <w:t>10</w:t>
            </w:r>
            <w:r>
              <w:rPr>
                <w:rFonts w:hint="eastAsia" w:ascii="仿宋" w:hAnsi="仿宋" w:eastAsia="仿宋" w:cs="仿宋"/>
                <w:sz w:val="20"/>
                <w:szCs w:val="20"/>
              </w:rPr>
              <w:t>分。</w:t>
            </w:r>
          </w:p>
        </w:tc>
        <w:tc>
          <w:tcPr>
            <w:tcW w:w="294" w:type="pct"/>
            <w:vAlign w:val="center"/>
          </w:tcPr>
          <w:p>
            <w:pPr>
              <w:adjustRightInd w:val="0"/>
              <w:snapToGrid w:val="0"/>
              <w:jc w:val="center"/>
              <w:rPr>
                <w:rFonts w:hint="default" w:ascii="仿宋" w:hAnsi="仿宋" w:eastAsia="仿宋" w:cs="仿宋"/>
                <w:kern w:val="0"/>
                <w:sz w:val="20"/>
                <w:szCs w:val="20"/>
                <w:lang w:val="en-US" w:eastAsia="zh-CN" w:bidi="ar-SA"/>
              </w:rPr>
            </w:pPr>
            <w:r>
              <w:rPr>
                <w:rFonts w:hint="eastAsia" w:ascii="仿宋" w:hAnsi="仿宋" w:eastAsia="仿宋" w:cs="仿宋"/>
                <w:sz w:val="20"/>
                <w:szCs w:val="20"/>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39" w:hRule="atLeast"/>
          <w:jc w:val="center"/>
        </w:trPr>
        <w:tc>
          <w:tcPr>
            <w:tcW w:w="336" w:type="pct"/>
            <w:gridSpan w:val="2"/>
            <w:vMerge w:val="continue"/>
            <w:vAlign w:val="center"/>
          </w:tcPr>
          <w:p>
            <w:pPr>
              <w:adjustRightInd w:val="0"/>
              <w:snapToGrid w:val="0"/>
              <w:jc w:val="center"/>
              <w:rPr>
                <w:rFonts w:hint="eastAsia" w:ascii="仿宋" w:hAnsi="仿宋" w:eastAsia="仿宋" w:cs="仿宋"/>
                <w:sz w:val="20"/>
                <w:szCs w:val="20"/>
              </w:rPr>
            </w:pPr>
          </w:p>
        </w:tc>
        <w:tc>
          <w:tcPr>
            <w:tcW w:w="317"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eastAsia="zh-CN"/>
              </w:rPr>
              <w:t>成本指标</w:t>
            </w:r>
            <w:r>
              <w:rPr>
                <w:rFonts w:hint="eastAsia" w:ascii="仿宋" w:hAnsi="仿宋" w:eastAsia="仿宋" w:cs="仿宋"/>
                <w:sz w:val="20"/>
                <w:szCs w:val="20"/>
                <w:lang w:val="en-US" w:eastAsia="zh-CN"/>
              </w:rPr>
              <w:t>C4</w:t>
            </w:r>
          </w:p>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rPr>
              <w:t>（</w:t>
            </w:r>
            <w:r>
              <w:rPr>
                <w:rFonts w:hint="eastAsia" w:ascii="仿宋" w:hAnsi="仿宋" w:eastAsia="仿宋" w:cs="仿宋"/>
                <w:sz w:val="20"/>
                <w:szCs w:val="20"/>
                <w:lang w:val="en-US" w:eastAsia="zh-CN"/>
              </w:rPr>
              <w:t>10</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lang w:eastAsia="zh-CN"/>
              </w:rPr>
              <w:t>项目总成本</w:t>
            </w:r>
            <w:r>
              <w:rPr>
                <w:rFonts w:hint="eastAsia" w:ascii="仿宋" w:hAnsi="仿宋" w:eastAsia="仿宋" w:cs="仿宋"/>
                <w:sz w:val="20"/>
                <w:szCs w:val="20"/>
                <w:lang w:val="en-US" w:eastAsia="zh-CN"/>
              </w:rPr>
              <w:t>C41</w:t>
            </w:r>
          </w:p>
        </w:tc>
        <w:tc>
          <w:tcPr>
            <w:tcW w:w="332" w:type="pct"/>
            <w:vAlign w:val="center"/>
          </w:tcPr>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kern w:val="0"/>
                <w:sz w:val="20"/>
                <w:szCs w:val="20"/>
                <w:lang w:val="en-US" w:eastAsia="zh-CN" w:bidi="ar-SA"/>
              </w:rPr>
              <w:t>40.00万元</w:t>
            </w:r>
          </w:p>
        </w:tc>
        <w:tc>
          <w:tcPr>
            <w:tcW w:w="231" w:type="pct"/>
            <w:vAlign w:val="center"/>
          </w:tcPr>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lang w:val="en-US" w:eastAsia="zh-CN"/>
              </w:rPr>
              <w:t>10</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lang w:val="en-US" w:eastAsia="zh-CN"/>
              </w:rPr>
            </w:pPr>
            <w:r>
              <w:rPr>
                <w:rFonts w:hint="eastAsia" w:ascii="仿宋" w:hAnsi="仿宋" w:eastAsia="仿宋" w:cs="仿宋"/>
                <w:sz w:val="20"/>
                <w:szCs w:val="20"/>
                <w:lang w:eastAsia="zh-CN"/>
              </w:rPr>
              <w:t>完成</w:t>
            </w:r>
            <w:r>
              <w:rPr>
                <w:rFonts w:hint="eastAsia" w:ascii="仿宋" w:hAnsi="仿宋" w:eastAsia="仿宋" w:cs="仿宋"/>
                <w:sz w:val="20"/>
                <w:szCs w:val="20"/>
                <w:lang w:val="en-US" w:eastAsia="zh-CN"/>
              </w:rPr>
              <w:t>100%的得满分，完成率＜100%的，</w:t>
            </w:r>
            <w:r>
              <w:rPr>
                <w:rFonts w:hint="eastAsia" w:ascii="仿宋" w:hAnsi="仿宋" w:eastAsia="仿宋" w:cs="仿宋"/>
                <w:sz w:val="20"/>
                <w:szCs w:val="20"/>
                <w:lang w:eastAsia="zh-CN"/>
              </w:rPr>
              <w:t>得分=指标分值×完成率。</w:t>
            </w:r>
          </w:p>
          <w:p>
            <w:pPr>
              <w:adjustRightInd w:val="0"/>
              <w:snapToGrid w:val="0"/>
              <w:jc w:val="left"/>
              <w:rPr>
                <w:rFonts w:hint="eastAsia" w:ascii="仿宋" w:hAnsi="仿宋" w:eastAsia="仿宋" w:cs="仿宋"/>
                <w:kern w:val="0"/>
                <w:sz w:val="20"/>
                <w:szCs w:val="20"/>
                <w:lang w:val="en-US" w:eastAsia="zh-CN" w:bidi="ar-SA"/>
              </w:rPr>
            </w:pPr>
          </w:p>
        </w:tc>
        <w:tc>
          <w:tcPr>
            <w:tcW w:w="1531" w:type="pct"/>
            <w:vAlign w:val="center"/>
          </w:tcPr>
          <w:p>
            <w:pPr>
              <w:adjustRightInd w:val="0"/>
              <w:snapToGrid w:val="0"/>
              <w:jc w:val="center"/>
              <w:rPr>
                <w:rFonts w:hint="eastAsia" w:ascii="仿宋" w:hAnsi="仿宋" w:eastAsia="仿宋" w:cs="仿宋"/>
                <w:kern w:val="0"/>
                <w:sz w:val="20"/>
                <w:szCs w:val="20"/>
                <w:lang w:val="en-US" w:eastAsia="zh-CN" w:bidi="ar-SA"/>
              </w:rPr>
            </w:pPr>
            <w:r>
              <w:rPr>
                <w:rFonts w:hint="eastAsia" w:ascii="仿宋" w:hAnsi="仿宋" w:eastAsia="仿宋" w:cs="仿宋"/>
                <w:sz w:val="20"/>
                <w:szCs w:val="20"/>
              </w:rPr>
              <w:t>根据</w:t>
            </w:r>
            <w:r>
              <w:rPr>
                <w:rFonts w:hint="eastAsia" w:ascii="仿宋" w:hAnsi="仿宋" w:eastAsia="仿宋" w:cs="仿宋"/>
                <w:sz w:val="20"/>
                <w:szCs w:val="20"/>
                <w:lang w:eastAsia="zh-CN"/>
              </w:rPr>
              <w:t>安阳县住房和城乡建设局</w:t>
            </w:r>
            <w:r>
              <w:rPr>
                <w:rFonts w:hint="eastAsia" w:ascii="仿宋" w:hAnsi="仿宋" w:eastAsia="仿宋" w:cs="仿宋"/>
                <w:sz w:val="20"/>
                <w:szCs w:val="20"/>
              </w:rPr>
              <w:t>提供的基础数据表、佐证材料等，经评价组核查：</w:t>
            </w:r>
            <w:r>
              <w:rPr>
                <w:rFonts w:hint="eastAsia" w:ascii="仿宋" w:hAnsi="仿宋" w:eastAsia="仿宋" w:cs="仿宋"/>
                <w:sz w:val="20"/>
                <w:szCs w:val="20"/>
                <w:lang w:eastAsia="zh-CN"/>
              </w:rPr>
              <w:t>项目总成本</w:t>
            </w:r>
            <w:r>
              <w:rPr>
                <w:rFonts w:hint="eastAsia" w:ascii="仿宋" w:hAnsi="仿宋" w:eastAsia="仿宋" w:cs="仿宋"/>
                <w:sz w:val="20"/>
                <w:szCs w:val="20"/>
                <w:lang w:val="en-US" w:eastAsia="zh-CN"/>
              </w:rPr>
              <w:t>40.00</w:t>
            </w:r>
            <w:r>
              <w:rPr>
                <w:rFonts w:hint="eastAsia" w:ascii="仿宋" w:hAnsi="仿宋" w:eastAsia="仿宋" w:cs="仿宋"/>
                <w:sz w:val="20"/>
                <w:szCs w:val="20"/>
                <w:lang w:eastAsia="zh-CN"/>
              </w:rPr>
              <w:t>万元</w:t>
            </w:r>
            <w:r>
              <w:rPr>
                <w:rFonts w:hint="eastAsia" w:ascii="仿宋" w:hAnsi="仿宋" w:eastAsia="仿宋" w:cs="仿宋"/>
                <w:sz w:val="20"/>
                <w:szCs w:val="20"/>
                <w:lang w:val="en-US" w:eastAsia="zh-CN"/>
              </w:rPr>
              <w:t>,实际支出40.00万元，完成率100%。</w:t>
            </w:r>
            <w:r>
              <w:rPr>
                <w:rFonts w:hint="eastAsia" w:ascii="仿宋" w:hAnsi="仿宋" w:eastAsia="仿宋" w:cs="仿宋"/>
                <w:sz w:val="20"/>
                <w:szCs w:val="20"/>
              </w:rPr>
              <w:t>综上，该指标得</w:t>
            </w:r>
            <w:r>
              <w:rPr>
                <w:rFonts w:hint="eastAsia" w:ascii="仿宋" w:hAnsi="仿宋" w:eastAsia="仿宋" w:cs="仿宋"/>
                <w:sz w:val="20"/>
                <w:szCs w:val="20"/>
                <w:lang w:val="en-US" w:eastAsia="zh-CN"/>
              </w:rPr>
              <w:t>10</w:t>
            </w:r>
            <w:r>
              <w:rPr>
                <w:rFonts w:hint="eastAsia" w:ascii="仿宋" w:hAnsi="仿宋" w:eastAsia="仿宋" w:cs="仿宋"/>
                <w:sz w:val="20"/>
                <w:szCs w:val="20"/>
              </w:rPr>
              <w:t>分。</w:t>
            </w:r>
          </w:p>
        </w:tc>
        <w:tc>
          <w:tcPr>
            <w:tcW w:w="294" w:type="pct"/>
            <w:vAlign w:val="center"/>
          </w:tcPr>
          <w:p>
            <w:pPr>
              <w:adjustRightInd w:val="0"/>
              <w:snapToGrid w:val="0"/>
              <w:jc w:val="center"/>
              <w:rPr>
                <w:rFonts w:hint="default" w:ascii="仿宋" w:hAnsi="仿宋" w:eastAsia="仿宋" w:cs="仿宋"/>
                <w:kern w:val="0"/>
                <w:sz w:val="20"/>
                <w:szCs w:val="20"/>
                <w:lang w:val="en-US" w:eastAsia="zh-CN" w:bidi="ar-SA"/>
              </w:rPr>
            </w:pPr>
            <w:r>
              <w:rPr>
                <w:rFonts w:hint="eastAsia" w:ascii="仿宋" w:hAnsi="仿宋" w:eastAsia="仿宋" w:cs="仿宋"/>
                <w:sz w:val="20"/>
                <w:szCs w:val="20"/>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 w:type="pct"/>
          <w:cantSplit/>
          <w:trHeight w:val="1448" w:hRule="atLeast"/>
          <w:jc w:val="center"/>
        </w:trPr>
        <w:tc>
          <w:tcPr>
            <w:tcW w:w="334" w:type="pct"/>
            <w:vMerge w:val="restart"/>
            <w:vAlign w:val="center"/>
          </w:tcPr>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项目效益D</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24</w:t>
            </w:r>
            <w:r>
              <w:rPr>
                <w:rFonts w:hint="eastAsia" w:ascii="仿宋" w:hAnsi="仿宋" w:eastAsia="仿宋" w:cs="仿宋"/>
                <w:sz w:val="20"/>
                <w:szCs w:val="20"/>
              </w:rPr>
              <w:t>分）</w:t>
            </w:r>
          </w:p>
          <w:p>
            <w:pPr>
              <w:adjustRightInd w:val="0"/>
              <w:snapToGrid w:val="0"/>
              <w:jc w:val="center"/>
              <w:rPr>
                <w:rFonts w:hint="eastAsia" w:ascii="仿宋" w:hAnsi="仿宋" w:eastAsia="仿宋" w:cs="仿宋"/>
                <w:sz w:val="20"/>
                <w:szCs w:val="20"/>
              </w:rPr>
            </w:pPr>
          </w:p>
        </w:tc>
        <w:tc>
          <w:tcPr>
            <w:tcW w:w="317"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经济效益D1</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8</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 xml:space="preserve">项目是否具有明显的 </w:t>
            </w:r>
            <w:r>
              <w:rPr>
                <w:rFonts w:hint="eastAsia" w:ascii="仿宋" w:hAnsi="仿宋" w:eastAsia="仿宋" w:cs="仿宋"/>
                <w:sz w:val="20"/>
                <w:szCs w:val="20"/>
                <w:lang w:eastAsia="zh-CN"/>
              </w:rPr>
              <w:t>经济</w:t>
            </w:r>
            <w:r>
              <w:rPr>
                <w:rFonts w:hint="eastAsia" w:ascii="仿宋" w:hAnsi="仿宋" w:eastAsia="仿宋" w:cs="仿宋"/>
                <w:sz w:val="20"/>
                <w:szCs w:val="20"/>
              </w:rPr>
              <w:t>效益</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D11</w:t>
            </w:r>
          </w:p>
        </w:tc>
        <w:tc>
          <w:tcPr>
            <w:tcW w:w="332" w:type="pct"/>
            <w:vAlign w:val="center"/>
          </w:tcPr>
          <w:p>
            <w:pPr>
              <w:adjustRightInd w:val="0"/>
              <w:snapToGrid w:val="0"/>
              <w:jc w:val="center"/>
              <w:rPr>
                <w:rFonts w:hint="eastAsia" w:ascii="仿宋" w:hAnsi="仿宋" w:eastAsia="仿宋" w:cs="仿宋"/>
                <w:sz w:val="20"/>
                <w:szCs w:val="20"/>
                <w:lang w:eastAsia="zh-CN"/>
              </w:rPr>
            </w:pPr>
            <w:r>
              <w:rPr>
                <w:rFonts w:hint="eastAsia" w:ascii="仿宋" w:hAnsi="仿宋" w:eastAsia="仿宋" w:cs="仿宋"/>
                <w:sz w:val="20"/>
                <w:szCs w:val="20"/>
                <w:lang w:eastAsia="zh-CN"/>
              </w:rPr>
              <w:t>明显</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8</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项目是否具有明显的</w:t>
            </w:r>
            <w:r>
              <w:rPr>
                <w:rFonts w:hint="eastAsia" w:ascii="仿宋" w:hAnsi="仿宋" w:eastAsia="仿宋" w:cs="仿宋"/>
                <w:sz w:val="20"/>
                <w:szCs w:val="20"/>
                <w:lang w:eastAsia="zh-CN"/>
              </w:rPr>
              <w:t>经济</w:t>
            </w:r>
            <w:r>
              <w:rPr>
                <w:rFonts w:hint="eastAsia" w:ascii="仿宋" w:hAnsi="仿宋" w:eastAsia="仿宋" w:cs="仿宋"/>
                <w:sz w:val="20"/>
                <w:szCs w:val="20"/>
              </w:rPr>
              <w:t>效益。</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lang w:eastAsia="zh-CN"/>
              </w:rPr>
              <w:t>项目实施后，能够有效地应对汛期强降水，保障人民群众的财产安全，减轻财产损失。</w:t>
            </w:r>
            <w:r>
              <w:rPr>
                <w:rFonts w:hint="eastAsia" w:ascii="仿宋" w:hAnsi="仿宋" w:eastAsia="仿宋" w:cs="仿宋"/>
                <w:sz w:val="20"/>
                <w:szCs w:val="20"/>
              </w:rPr>
              <w:t>依据评分标准</w:t>
            </w:r>
            <w:r>
              <w:rPr>
                <w:rFonts w:hint="eastAsia" w:ascii="仿宋" w:hAnsi="仿宋" w:eastAsia="仿宋" w:cs="仿宋"/>
                <w:sz w:val="20"/>
                <w:szCs w:val="20"/>
                <w:lang w:eastAsia="zh-CN"/>
              </w:rPr>
              <w:t>，</w:t>
            </w:r>
            <w:r>
              <w:rPr>
                <w:rFonts w:hint="eastAsia" w:ascii="仿宋" w:hAnsi="仿宋" w:eastAsia="仿宋" w:cs="仿宋"/>
                <w:sz w:val="20"/>
                <w:szCs w:val="20"/>
              </w:rPr>
              <w:t>该指标得</w:t>
            </w:r>
            <w:r>
              <w:rPr>
                <w:rFonts w:hint="eastAsia" w:ascii="仿宋" w:hAnsi="仿宋" w:eastAsia="仿宋" w:cs="仿宋"/>
                <w:sz w:val="20"/>
                <w:szCs w:val="20"/>
                <w:lang w:val="en-US" w:eastAsia="zh-CN"/>
              </w:rPr>
              <w:t>7</w:t>
            </w:r>
            <w:r>
              <w:rPr>
                <w:rFonts w:hint="eastAsia" w:ascii="仿宋" w:hAnsi="仿宋" w:eastAsia="仿宋" w:cs="仿宋"/>
                <w:sz w:val="20"/>
                <w:szCs w:val="20"/>
              </w:rPr>
              <w:t>分。</w:t>
            </w:r>
          </w:p>
        </w:tc>
        <w:tc>
          <w:tcPr>
            <w:tcW w:w="294" w:type="pct"/>
            <w:vAlign w:val="center"/>
          </w:tcPr>
          <w:p>
            <w:pPr>
              <w:adjustRightInd w:val="0"/>
              <w:snapToGrid w:val="0"/>
              <w:jc w:val="center"/>
              <w:rPr>
                <w:rFonts w:hint="eastAsia" w:ascii="仿宋" w:hAnsi="仿宋" w:eastAsia="仿宋" w:cs="仿宋"/>
                <w:sz w:val="20"/>
                <w:szCs w:val="20"/>
                <w:lang w:eastAsia="zh-CN"/>
              </w:rPr>
            </w:pPr>
            <w:r>
              <w:rPr>
                <w:rFonts w:hint="eastAsia" w:ascii="仿宋" w:hAnsi="仿宋" w:eastAsia="仿宋" w:cs="仿宋"/>
                <w:sz w:val="20"/>
                <w:szCs w:val="20"/>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 w:type="pct"/>
          <w:cantSplit/>
          <w:trHeight w:val="1614" w:hRule="atLeast"/>
          <w:jc w:val="center"/>
        </w:trPr>
        <w:tc>
          <w:tcPr>
            <w:tcW w:w="334" w:type="pct"/>
            <w:vMerge w:val="continue"/>
            <w:vAlign w:val="center"/>
          </w:tcPr>
          <w:p>
            <w:pPr>
              <w:adjustRightInd w:val="0"/>
              <w:snapToGrid w:val="0"/>
              <w:jc w:val="center"/>
              <w:rPr>
                <w:rFonts w:hint="eastAsia" w:ascii="仿宋" w:hAnsi="仿宋" w:eastAsia="仿宋" w:cs="仿宋"/>
                <w:sz w:val="20"/>
                <w:szCs w:val="20"/>
              </w:rPr>
            </w:pPr>
          </w:p>
        </w:tc>
        <w:tc>
          <w:tcPr>
            <w:tcW w:w="317"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社会效益D2</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8</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项目是否具有明显的 社会效益</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D21</w:t>
            </w:r>
          </w:p>
        </w:tc>
        <w:tc>
          <w:tcPr>
            <w:tcW w:w="332" w:type="pct"/>
            <w:vAlign w:val="center"/>
          </w:tcPr>
          <w:p>
            <w:pPr>
              <w:adjustRightInd w:val="0"/>
              <w:snapToGrid w:val="0"/>
              <w:jc w:val="center"/>
              <w:rPr>
                <w:rFonts w:hint="eastAsia" w:ascii="仿宋" w:hAnsi="仿宋" w:eastAsia="仿宋" w:cs="仿宋"/>
                <w:sz w:val="20"/>
                <w:szCs w:val="20"/>
                <w:lang w:eastAsia="zh-CN"/>
              </w:rPr>
            </w:pPr>
            <w:r>
              <w:rPr>
                <w:rFonts w:hint="eastAsia" w:ascii="仿宋" w:hAnsi="仿宋" w:eastAsia="仿宋" w:cs="仿宋"/>
                <w:sz w:val="20"/>
                <w:szCs w:val="20"/>
                <w:lang w:eastAsia="zh-CN"/>
              </w:rPr>
              <w:t>具有</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8</w:t>
            </w:r>
          </w:p>
        </w:tc>
        <w:tc>
          <w:tcPr>
            <w:tcW w:w="1620" w:type="pct"/>
            <w:vAlign w:val="center"/>
          </w:tcPr>
          <w:p>
            <w:pPr>
              <w:adjustRightInd w:val="0"/>
              <w:snapToGrid w:val="0"/>
              <w:jc w:val="left"/>
              <w:rPr>
                <w:rFonts w:hint="eastAsia" w:ascii="仿宋" w:hAnsi="仿宋" w:eastAsia="仿宋" w:cs="仿宋"/>
                <w:sz w:val="20"/>
                <w:szCs w:val="20"/>
              </w:rPr>
            </w:pP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lang w:val="en-US" w:eastAsia="zh-CN"/>
              </w:rPr>
            </w:pPr>
            <w:r>
              <w:rPr>
                <w:rFonts w:hint="eastAsia" w:ascii="仿宋" w:hAnsi="仿宋" w:eastAsia="仿宋" w:cs="仿宋"/>
                <w:sz w:val="20"/>
                <w:szCs w:val="20"/>
              </w:rPr>
              <w:t>项目是否具有明显的社会效益</w:t>
            </w:r>
          </w:p>
          <w:p>
            <w:pPr>
              <w:adjustRightInd w:val="0"/>
              <w:snapToGrid w:val="0"/>
              <w:jc w:val="left"/>
              <w:rPr>
                <w:rFonts w:hint="eastAsia" w:ascii="仿宋" w:hAnsi="仿宋" w:eastAsia="仿宋" w:cs="仿宋"/>
                <w:sz w:val="20"/>
                <w:szCs w:val="20"/>
              </w:rPr>
            </w:pPr>
          </w:p>
          <w:p>
            <w:pPr>
              <w:adjustRightInd w:val="0"/>
              <w:snapToGrid w:val="0"/>
              <w:jc w:val="left"/>
              <w:rPr>
                <w:rFonts w:hint="eastAsia" w:ascii="仿宋" w:hAnsi="仿宋" w:eastAsia="仿宋" w:cs="仿宋"/>
                <w:sz w:val="20"/>
                <w:szCs w:val="20"/>
              </w:rPr>
            </w:pP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lang w:eastAsia="zh-CN"/>
              </w:rPr>
              <w:t>项目实施</w:t>
            </w:r>
            <w:r>
              <w:rPr>
                <w:rFonts w:hint="eastAsia" w:ascii="仿宋" w:hAnsi="仿宋" w:eastAsia="仿宋" w:cs="仿宋"/>
                <w:sz w:val="20"/>
                <w:szCs w:val="20"/>
              </w:rPr>
              <w:t>后，能够有效提高防洪能力，保证</w:t>
            </w:r>
            <w:r>
              <w:rPr>
                <w:rFonts w:hint="eastAsia" w:ascii="仿宋" w:hAnsi="仿宋" w:eastAsia="仿宋" w:cs="仿宋"/>
                <w:sz w:val="20"/>
                <w:szCs w:val="20"/>
                <w:lang w:eastAsia="zh-CN"/>
              </w:rPr>
              <w:t>汛期安全，消除安全隐患</w:t>
            </w:r>
            <w:r>
              <w:rPr>
                <w:rFonts w:hint="eastAsia" w:ascii="仿宋" w:hAnsi="仿宋" w:eastAsia="仿宋" w:cs="仿宋"/>
                <w:sz w:val="20"/>
                <w:szCs w:val="20"/>
              </w:rPr>
              <w:t>，确保各项生产、生活的正常进行</w:t>
            </w:r>
            <w:r>
              <w:rPr>
                <w:rFonts w:hint="eastAsia" w:ascii="仿宋" w:hAnsi="仿宋" w:eastAsia="仿宋" w:cs="仿宋"/>
                <w:sz w:val="20"/>
                <w:szCs w:val="20"/>
                <w:lang w:eastAsia="zh-CN"/>
              </w:rPr>
              <w:t>。</w:t>
            </w:r>
            <w:r>
              <w:rPr>
                <w:rFonts w:hint="eastAsia" w:ascii="仿宋" w:hAnsi="仿宋" w:eastAsia="仿宋" w:cs="仿宋"/>
                <w:sz w:val="20"/>
                <w:szCs w:val="20"/>
              </w:rPr>
              <w:t>依据评分标准</w:t>
            </w:r>
            <w:r>
              <w:rPr>
                <w:rFonts w:hint="eastAsia" w:ascii="仿宋" w:hAnsi="仿宋" w:eastAsia="仿宋" w:cs="仿宋"/>
                <w:sz w:val="20"/>
                <w:szCs w:val="20"/>
                <w:lang w:eastAsia="zh-CN"/>
              </w:rPr>
              <w:t>，</w:t>
            </w:r>
            <w:r>
              <w:rPr>
                <w:rFonts w:hint="eastAsia" w:ascii="仿宋" w:hAnsi="仿宋" w:eastAsia="仿宋" w:cs="仿宋"/>
                <w:sz w:val="20"/>
                <w:szCs w:val="20"/>
              </w:rPr>
              <w:t>该指标得</w:t>
            </w:r>
            <w:r>
              <w:rPr>
                <w:rFonts w:hint="eastAsia" w:ascii="仿宋" w:hAnsi="仿宋" w:eastAsia="仿宋" w:cs="仿宋"/>
                <w:sz w:val="20"/>
                <w:szCs w:val="20"/>
                <w:lang w:val="en-US" w:eastAsia="zh-CN"/>
              </w:rPr>
              <w:t>7</w:t>
            </w:r>
            <w:r>
              <w:rPr>
                <w:rFonts w:hint="eastAsia" w:ascii="仿宋" w:hAnsi="仿宋" w:eastAsia="仿宋" w:cs="仿宋"/>
                <w:sz w:val="20"/>
                <w:szCs w:val="20"/>
              </w:rPr>
              <w:t>分</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 w:type="pct"/>
          <w:cantSplit/>
          <w:trHeight w:val="1626" w:hRule="atLeast"/>
          <w:jc w:val="center"/>
        </w:trPr>
        <w:tc>
          <w:tcPr>
            <w:tcW w:w="334" w:type="pct"/>
            <w:vMerge w:val="continue"/>
            <w:vAlign w:val="center"/>
          </w:tcPr>
          <w:p>
            <w:pPr>
              <w:adjustRightInd w:val="0"/>
              <w:snapToGrid w:val="0"/>
              <w:jc w:val="center"/>
              <w:rPr>
                <w:rFonts w:hint="eastAsia" w:ascii="仿宋" w:hAnsi="仿宋" w:eastAsia="仿宋" w:cs="仿宋"/>
                <w:sz w:val="20"/>
                <w:szCs w:val="20"/>
              </w:rPr>
            </w:pPr>
          </w:p>
        </w:tc>
        <w:tc>
          <w:tcPr>
            <w:tcW w:w="317"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满意度D4</w:t>
            </w:r>
          </w:p>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r>
              <w:rPr>
                <w:rFonts w:hint="eastAsia" w:ascii="仿宋" w:hAnsi="仿宋" w:eastAsia="仿宋" w:cs="仿宋"/>
                <w:sz w:val="20"/>
                <w:szCs w:val="20"/>
                <w:lang w:val="en-US" w:eastAsia="zh-CN"/>
              </w:rPr>
              <w:t>8</w:t>
            </w:r>
            <w:r>
              <w:rPr>
                <w:rFonts w:hint="eastAsia" w:ascii="仿宋" w:hAnsi="仿宋" w:eastAsia="仿宋" w:cs="仿宋"/>
                <w:sz w:val="20"/>
                <w:szCs w:val="20"/>
              </w:rPr>
              <w:t>分）</w:t>
            </w:r>
          </w:p>
        </w:tc>
        <w:tc>
          <w:tcPr>
            <w:tcW w:w="336"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服务对象满意度D41</w:t>
            </w:r>
          </w:p>
        </w:tc>
        <w:tc>
          <w:tcPr>
            <w:tcW w:w="332"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≥9</w:t>
            </w:r>
            <w:r>
              <w:rPr>
                <w:rFonts w:hint="eastAsia" w:ascii="仿宋" w:hAnsi="仿宋" w:eastAsia="仿宋" w:cs="仿宋"/>
                <w:sz w:val="20"/>
                <w:szCs w:val="20"/>
                <w:lang w:val="en-US" w:eastAsia="zh-CN"/>
              </w:rPr>
              <w:t>5</w:t>
            </w:r>
            <w:r>
              <w:rPr>
                <w:rFonts w:hint="eastAsia" w:ascii="仿宋" w:hAnsi="仿宋" w:eastAsia="仿宋" w:cs="仿宋"/>
                <w:sz w:val="20"/>
                <w:szCs w:val="20"/>
              </w:rPr>
              <w:t>%</w:t>
            </w:r>
          </w:p>
        </w:tc>
        <w:tc>
          <w:tcPr>
            <w:tcW w:w="231"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8</w:t>
            </w:r>
          </w:p>
        </w:tc>
        <w:tc>
          <w:tcPr>
            <w:tcW w:w="1620" w:type="pct"/>
            <w:vAlign w:val="center"/>
          </w:tcPr>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评价要点：</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根据满意度测评结果进行评分。</w:t>
            </w: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满意度≥9</w:t>
            </w:r>
            <w:r>
              <w:rPr>
                <w:rFonts w:hint="eastAsia" w:ascii="仿宋" w:hAnsi="仿宋" w:eastAsia="仿宋" w:cs="仿宋"/>
                <w:sz w:val="20"/>
                <w:szCs w:val="20"/>
                <w:lang w:val="en-US" w:eastAsia="zh-CN"/>
              </w:rPr>
              <w:t>5</w:t>
            </w:r>
            <w:r>
              <w:rPr>
                <w:rFonts w:hint="eastAsia" w:ascii="仿宋" w:hAnsi="仿宋" w:eastAsia="仿宋" w:cs="仿宋"/>
                <w:sz w:val="20"/>
                <w:szCs w:val="20"/>
              </w:rPr>
              <w:t>%得满分，若0＜满意度＜9</w:t>
            </w:r>
            <w:r>
              <w:rPr>
                <w:rFonts w:hint="eastAsia" w:ascii="仿宋" w:hAnsi="仿宋" w:eastAsia="仿宋" w:cs="仿宋"/>
                <w:sz w:val="20"/>
                <w:szCs w:val="20"/>
                <w:lang w:val="en-US" w:eastAsia="zh-CN"/>
              </w:rPr>
              <w:t>5</w:t>
            </w:r>
            <w:r>
              <w:rPr>
                <w:rFonts w:hint="eastAsia" w:ascii="仿宋" w:hAnsi="仿宋" w:eastAsia="仿宋" w:cs="仿宋"/>
                <w:sz w:val="20"/>
                <w:szCs w:val="20"/>
              </w:rPr>
              <w:t>%，得分按实际提升率计算，满意度＜0，该项不得分。</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根据</w:t>
            </w:r>
            <w:r>
              <w:rPr>
                <w:rFonts w:hint="eastAsia" w:ascii="仿宋" w:hAnsi="仿宋" w:eastAsia="仿宋" w:cs="仿宋"/>
                <w:sz w:val="20"/>
                <w:szCs w:val="20"/>
                <w:highlight w:val="none"/>
              </w:rPr>
              <w:t>问卷调查结果，经评价组核查：</w:t>
            </w:r>
            <w:r>
              <w:rPr>
                <w:rFonts w:hint="eastAsia" w:ascii="仿宋" w:hAnsi="仿宋" w:eastAsia="仿宋" w:cs="仿宋"/>
                <w:sz w:val="20"/>
                <w:szCs w:val="20"/>
                <w:highlight w:val="none"/>
                <w:lang w:eastAsia="zh-CN"/>
              </w:rPr>
              <w:t>该项目</w:t>
            </w:r>
            <w:r>
              <w:rPr>
                <w:rFonts w:hint="eastAsia" w:ascii="仿宋" w:hAnsi="仿宋" w:eastAsia="仿宋" w:cs="仿宋"/>
                <w:sz w:val="20"/>
                <w:szCs w:val="20"/>
                <w:highlight w:val="none"/>
              </w:rPr>
              <w:t>共回收问卷</w:t>
            </w:r>
            <w:r>
              <w:rPr>
                <w:rFonts w:hint="eastAsia" w:ascii="仿宋" w:hAnsi="仿宋" w:eastAsia="仿宋" w:cs="仿宋"/>
                <w:sz w:val="20"/>
                <w:szCs w:val="20"/>
                <w:highlight w:val="none"/>
                <w:lang w:val="en-US" w:eastAsia="zh-CN"/>
              </w:rPr>
              <w:t>30</w:t>
            </w:r>
            <w:r>
              <w:rPr>
                <w:rFonts w:hint="eastAsia" w:ascii="仿宋" w:hAnsi="仿宋" w:eastAsia="仿宋" w:cs="仿宋"/>
                <w:sz w:val="20"/>
                <w:szCs w:val="20"/>
                <w:highlight w:val="none"/>
              </w:rPr>
              <w:t>份，</w:t>
            </w:r>
            <w:r>
              <w:rPr>
                <w:rFonts w:hint="eastAsia" w:ascii="仿宋" w:hAnsi="仿宋" w:eastAsia="仿宋" w:cs="仿宋"/>
                <w:sz w:val="20"/>
                <w:szCs w:val="20"/>
                <w:highlight w:val="none"/>
                <w:lang w:eastAsia="zh-CN"/>
              </w:rPr>
              <w:t>有效问卷</w:t>
            </w:r>
            <w:r>
              <w:rPr>
                <w:rFonts w:hint="eastAsia" w:ascii="仿宋" w:hAnsi="仿宋" w:eastAsia="仿宋" w:cs="仿宋"/>
                <w:sz w:val="20"/>
                <w:szCs w:val="20"/>
                <w:highlight w:val="none"/>
                <w:lang w:val="en-US" w:eastAsia="zh-CN"/>
              </w:rPr>
              <w:t>28份，</w:t>
            </w:r>
            <w:r>
              <w:rPr>
                <w:rFonts w:hint="eastAsia" w:ascii="仿宋" w:hAnsi="仿宋" w:eastAsia="仿宋" w:cs="仿宋"/>
                <w:sz w:val="20"/>
                <w:szCs w:val="20"/>
                <w:highlight w:val="none"/>
                <w:lang w:eastAsia="zh-CN"/>
              </w:rPr>
              <w:t>群众满意度达到</w:t>
            </w:r>
            <w:r>
              <w:rPr>
                <w:rFonts w:hint="eastAsia" w:ascii="仿宋" w:hAnsi="仿宋" w:eastAsia="仿宋" w:cs="仿宋"/>
                <w:sz w:val="20"/>
                <w:szCs w:val="20"/>
                <w:highlight w:val="none"/>
              </w:rPr>
              <w:t>9</w:t>
            </w:r>
            <w:r>
              <w:rPr>
                <w:rFonts w:hint="eastAsia" w:ascii="仿宋" w:hAnsi="仿宋" w:eastAsia="仿宋" w:cs="仿宋"/>
                <w:sz w:val="20"/>
                <w:szCs w:val="20"/>
                <w:highlight w:val="none"/>
                <w:lang w:val="en-US" w:eastAsia="zh-CN"/>
              </w:rPr>
              <w:t>3</w:t>
            </w:r>
            <w:r>
              <w:rPr>
                <w:rFonts w:hint="eastAsia" w:ascii="仿宋" w:hAnsi="仿宋" w:eastAsia="仿宋" w:cs="仿宋"/>
                <w:sz w:val="20"/>
                <w:szCs w:val="20"/>
                <w:highlight w:val="none"/>
              </w:rPr>
              <w:t>%的满意。综上，根据评价标准，该指标得</w:t>
            </w:r>
            <w:r>
              <w:rPr>
                <w:rFonts w:hint="eastAsia" w:ascii="仿宋" w:hAnsi="仿宋" w:eastAsia="仿宋" w:cs="仿宋"/>
                <w:sz w:val="20"/>
                <w:szCs w:val="20"/>
                <w:highlight w:val="none"/>
                <w:lang w:val="en-US" w:eastAsia="zh-CN"/>
              </w:rPr>
              <w:t>7.5</w:t>
            </w:r>
            <w:r>
              <w:rPr>
                <w:rFonts w:hint="eastAsia" w:ascii="仿宋" w:hAnsi="仿宋" w:eastAsia="仿宋" w:cs="仿宋"/>
                <w:sz w:val="20"/>
                <w:szCs w:val="20"/>
                <w:highlight w:val="none"/>
              </w:rPr>
              <w:t>分。</w:t>
            </w:r>
          </w:p>
        </w:tc>
        <w:tc>
          <w:tcPr>
            <w:tcW w:w="294" w:type="pct"/>
            <w:vAlign w:val="center"/>
          </w:tcPr>
          <w:p>
            <w:pPr>
              <w:adjustRightInd w:val="0"/>
              <w:snapToGrid w:val="0"/>
              <w:jc w:val="center"/>
              <w:rPr>
                <w:rFonts w:hint="eastAsia" w:ascii="仿宋" w:hAnsi="仿宋" w:eastAsia="仿宋" w:cs="仿宋"/>
                <w:sz w:val="20"/>
                <w:szCs w:val="20"/>
                <w:lang w:val="en-US" w:eastAsia="zh-CN"/>
              </w:rPr>
            </w:pPr>
            <w:r>
              <w:rPr>
                <w:rFonts w:hint="eastAsia" w:ascii="仿宋" w:hAnsi="仿宋" w:eastAsia="仿宋" w:cs="仿宋"/>
                <w:sz w:val="20"/>
                <w:szCs w:val="20"/>
                <w:lang w:val="en-US" w:eastAsia="zh-CN"/>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 w:type="pct"/>
          <w:cantSplit/>
          <w:trHeight w:val="614" w:hRule="atLeast"/>
          <w:jc w:val="center"/>
        </w:trPr>
        <w:tc>
          <w:tcPr>
            <w:tcW w:w="1321" w:type="pct"/>
            <w:gridSpan w:val="4"/>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总分</w:t>
            </w:r>
          </w:p>
        </w:tc>
        <w:tc>
          <w:tcPr>
            <w:tcW w:w="2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100</w:t>
            </w:r>
          </w:p>
        </w:tc>
        <w:tc>
          <w:tcPr>
            <w:tcW w:w="1620" w:type="pct"/>
            <w:vAlign w:val="center"/>
          </w:tcPr>
          <w:p>
            <w:pPr>
              <w:adjustRightInd w:val="0"/>
              <w:snapToGrid w:val="0"/>
              <w:jc w:val="left"/>
              <w:rPr>
                <w:rFonts w:hint="eastAsia" w:ascii="仿宋" w:hAnsi="仿宋" w:eastAsia="仿宋" w:cs="仿宋"/>
                <w:sz w:val="20"/>
                <w:szCs w:val="20"/>
              </w:rPr>
            </w:pPr>
          </w:p>
          <w:p>
            <w:pPr>
              <w:adjustRightInd w:val="0"/>
              <w:snapToGrid w:val="0"/>
              <w:jc w:val="left"/>
              <w:rPr>
                <w:rFonts w:hint="eastAsia" w:ascii="仿宋" w:hAnsi="仿宋" w:eastAsia="仿宋" w:cs="仿宋"/>
                <w:sz w:val="20"/>
                <w:szCs w:val="20"/>
              </w:rPr>
            </w:pPr>
          </w:p>
          <w:p>
            <w:pPr>
              <w:adjustRightInd w:val="0"/>
              <w:snapToGrid w:val="0"/>
              <w:jc w:val="left"/>
              <w:rPr>
                <w:rFonts w:hint="eastAsia" w:ascii="仿宋" w:hAnsi="仿宋" w:eastAsia="仿宋" w:cs="仿宋"/>
                <w:sz w:val="20"/>
                <w:szCs w:val="20"/>
              </w:rPr>
            </w:pPr>
            <w:r>
              <w:rPr>
                <w:rFonts w:hint="eastAsia" w:ascii="仿宋" w:hAnsi="仿宋" w:eastAsia="仿宋" w:cs="仿宋"/>
                <w:sz w:val="20"/>
                <w:szCs w:val="20"/>
              </w:rPr>
              <w:t>--</w:t>
            </w:r>
          </w:p>
        </w:tc>
        <w:tc>
          <w:tcPr>
            <w:tcW w:w="1531" w:type="pct"/>
            <w:vAlign w:val="center"/>
          </w:tcPr>
          <w:p>
            <w:pPr>
              <w:adjustRightInd w:val="0"/>
              <w:snapToGrid w:val="0"/>
              <w:jc w:val="center"/>
              <w:rPr>
                <w:rFonts w:hint="eastAsia" w:ascii="仿宋" w:hAnsi="仿宋" w:eastAsia="仿宋" w:cs="仿宋"/>
                <w:sz w:val="20"/>
                <w:szCs w:val="20"/>
              </w:rPr>
            </w:pPr>
            <w:r>
              <w:rPr>
                <w:rFonts w:hint="eastAsia" w:ascii="仿宋" w:hAnsi="仿宋" w:eastAsia="仿宋" w:cs="仿宋"/>
                <w:sz w:val="20"/>
                <w:szCs w:val="20"/>
              </w:rPr>
              <w:t>--</w:t>
            </w:r>
          </w:p>
        </w:tc>
        <w:tc>
          <w:tcPr>
            <w:tcW w:w="294" w:type="pct"/>
            <w:vAlign w:val="center"/>
          </w:tcPr>
          <w:p>
            <w:pPr>
              <w:adjustRightInd w:val="0"/>
              <w:snapToGrid w:val="0"/>
              <w:jc w:val="center"/>
              <w:rPr>
                <w:rFonts w:hint="default" w:ascii="仿宋" w:hAnsi="仿宋" w:eastAsia="仿宋" w:cs="仿宋"/>
                <w:sz w:val="20"/>
                <w:szCs w:val="20"/>
                <w:lang w:val="en-US" w:eastAsia="zh-CN"/>
              </w:rPr>
            </w:pPr>
            <w:r>
              <w:rPr>
                <w:rFonts w:hint="eastAsia" w:ascii="仿宋" w:hAnsi="仿宋" w:eastAsia="仿宋" w:cs="仿宋"/>
                <w:sz w:val="20"/>
                <w:szCs w:val="20"/>
                <w:lang w:val="en-US" w:eastAsia="zh-CN"/>
              </w:rPr>
              <w:t>93.5</w:t>
            </w:r>
          </w:p>
        </w:tc>
      </w:tr>
    </w:tbl>
    <w:p>
      <w:pPr>
        <w:widowControl w:val="0"/>
        <w:adjustRightInd w:val="0"/>
        <w:snapToGrid w:val="0"/>
        <w:jc w:val="both"/>
        <w:rPr>
          <w:rFonts w:hint="eastAsia" w:ascii="仿宋_GB2312" w:hAnsi="仿宋_GB2312" w:eastAsia="仿宋_GB2312" w:cs="仿宋_GB2312"/>
          <w:kern w:val="2"/>
        </w:rPr>
      </w:pPr>
    </w:p>
    <w:sectPr>
      <w:headerReference r:id="rId12" w:type="default"/>
      <w:footerReference r:id="rId13" w:type="default"/>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00007A87" w:usb1="80000000" w:usb2="00000008" w:usb3="00000000" w:csb0="400001FF" w:csb1="FFFF0000"/>
  </w:font>
  <w:font w:name="宋体">
    <w:panose1 w:val="02010600030101010101"/>
    <w:charset w:val="7A"/>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Lucida Sans"/>
    <w:panose1 w:val="020F0502020204030204"/>
    <w:charset w:val="00"/>
    <w:family w:val="swiss"/>
    <w:pitch w:val="default"/>
    <w:sig w:usb0="00000000" w:usb1="00000000" w:usb2="00000001" w:usb3="00000000" w:csb0="0000019F" w:csb1="00000000"/>
  </w:font>
  <w:font w:name="等线">
    <w:altName w:val="宋体"/>
    <w:panose1 w:val="00000000000000000000"/>
    <w:charset w:val="86"/>
    <w:family w:val="auto"/>
    <w:pitch w:val="default"/>
    <w:sig w:usb0="00000000" w:usb1="00000000" w:usb2="00000010" w:usb3="00000000" w:csb0="00040000" w:csb1="00000000"/>
  </w:font>
  <w:font w:name="等线 Light">
    <w:altName w:val="宋体"/>
    <w:panose1 w:val="00000000000000000000"/>
    <w:charset w:val="86"/>
    <w:family w:val="auto"/>
    <w:pitch w:val="default"/>
    <w:sig w:usb0="00000000" w:usb1="00000000" w:usb2="00000010" w:usb3="00000000" w:csb0="00040000" w:csb1="00000000"/>
  </w:font>
  <w:font w:name="仿宋">
    <w:altName w:val="宋体"/>
    <w:panose1 w:val="02010609060101010101"/>
    <w:charset w:val="86"/>
    <w:family w:val="modern"/>
    <w:pitch w:val="default"/>
    <w:sig w:usb0="00000000" w:usb1="00000000"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Lucida Sans">
    <w:panose1 w:val="020B0602030504020204"/>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right"/>
      <w:rPr>
        <w:rFonts w:ascii="宋体" w:hAnsi="宋体" w:eastAsia="宋体"/>
        <w:sz w:val="28"/>
        <w:szCs w:val="28"/>
      </w:rPr>
    </w:pPr>
    <w:r>
      <mc:AlternateContent>
        <mc:Choice Requires="wps">
          <w:drawing>
            <wp:anchor distT="0" distB="0" distL="114300" distR="114300" simplePos="0" relativeHeight="251660288" behindDoc="0" locked="0" layoutInCell="1" allowOverlap="1">
              <wp:simplePos x="0" y="0"/>
              <wp:positionH relativeFrom="margin">
                <wp:posOffset>2459355</wp:posOffset>
              </wp:positionH>
              <wp:positionV relativeFrom="paragraph">
                <wp:posOffset>-1905</wp:posOffset>
              </wp:positionV>
              <wp:extent cx="504825" cy="230505"/>
              <wp:effectExtent l="0" t="0" r="0" b="0"/>
              <wp:wrapNone/>
              <wp:docPr id="1" name="Text Box 1"/>
              <wp:cNvGraphicFramePr/>
              <a:graphic xmlns:a="http://schemas.openxmlformats.org/drawingml/2006/main">
                <a:graphicData uri="http://schemas.microsoft.com/office/word/2010/wordprocessingShape">
                  <wps:wsp>
                    <wps:cNvSpPr txBox="1"/>
                    <wps:spPr>
                      <a:xfrm>
                        <a:off x="0" y="0"/>
                        <a:ext cx="504825" cy="230505"/>
                      </a:xfrm>
                      <a:prstGeom prst="rect">
                        <a:avLst/>
                      </a:prstGeom>
                      <a:noFill/>
                      <a:ln>
                        <a:noFill/>
                      </a:ln>
                    </wps:spPr>
                    <wps:txbx>
                      <w:txbxContent>
                        <w:p>
                          <w:pPr>
                            <w:pStyle w:val="11"/>
                            <w:ind w:right="140"/>
                            <w:jc w:val="right"/>
                          </w:pPr>
                          <w:r>
                            <w:rPr>
                              <w:rFonts w:ascii="宋体" w:hAnsi="宋体" w:eastAsia="宋体"/>
                              <w:sz w:val="28"/>
                              <w:szCs w:val="28"/>
                            </w:rPr>
                            <w:t>-</w:t>
                          </w:r>
                          <w:r>
                            <w:rPr>
                              <w:rFonts w:ascii="宋体" w:hAnsi="宋体" w:eastAsia="宋体"/>
                              <w:sz w:val="28"/>
                              <w:szCs w:val="28"/>
                            </w:rPr>
                            <w:fldChar w:fldCharType="begin"/>
                          </w:r>
                          <w:r>
                            <w:rPr>
                              <w:rFonts w:ascii="宋体" w:hAnsi="宋体" w:eastAsia="宋体"/>
                              <w:sz w:val="28"/>
                              <w:szCs w:val="28"/>
                            </w:rPr>
                            <w:instrText xml:space="preserve">PAGE   \* MERGEFORMAT</w:instrText>
                          </w:r>
                          <w:r>
                            <w:rPr>
                              <w:rFonts w:ascii="宋体" w:hAnsi="宋体" w:eastAsia="宋体"/>
                              <w:sz w:val="28"/>
                              <w:szCs w:val="28"/>
                            </w:rPr>
                            <w:fldChar w:fldCharType="separate"/>
                          </w:r>
                          <w:r>
                            <w:rPr>
                              <w:rFonts w:ascii="宋体" w:hAnsi="宋体" w:eastAsia="宋体"/>
                              <w:sz w:val="28"/>
                              <w:szCs w:val="28"/>
                              <w:lang w:val="zh-CN"/>
                            </w:rPr>
                            <w:t>14</w:t>
                          </w:r>
                          <w:r>
                            <w:rPr>
                              <w:rFonts w:ascii="宋体" w:hAnsi="宋体" w:eastAsia="宋体"/>
                              <w:sz w:val="28"/>
                              <w:szCs w:val="28"/>
                            </w:rPr>
                            <w:fldChar w:fldCharType="end"/>
                          </w:r>
                          <w:r>
                            <w:rPr>
                              <w:rFonts w:ascii="宋体" w:hAnsi="宋体" w:eastAsia="宋体"/>
                              <w:sz w:val="28"/>
                              <w:szCs w:val="28"/>
                            </w:rPr>
                            <w:t>-</w:t>
                          </w:r>
                        </w:p>
                      </w:txbxContent>
                    </wps:txbx>
                    <wps:bodyPr lIns="0" tIns="0" rIns="0" bIns="0" upright="1">
                      <a:spAutoFit/>
                    </wps:bodyPr>
                  </wps:wsp>
                </a:graphicData>
              </a:graphic>
            </wp:anchor>
          </w:drawing>
        </mc:Choice>
        <mc:Fallback>
          <w:pict>
            <v:shape id="Text Box 1" o:spid="_x0000_s1026" o:spt="202" type="#_x0000_t202" style="position:absolute;left:0pt;margin-left:193.65pt;margin-top:-0.15pt;height:18.15pt;width:39.75pt;mso-position-horizontal-relative:margin;z-index:251660288;mso-width-relative:page;mso-height-relative:page;" filled="f" stroked="f" coordsize="21600,21600" o:gfxdata="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R90ybdUAAAAIAQAADwAAAAAAAAABACAAAAAiAAAAZHJzL2Rvd25yZXYueG1sUEsBAhQAFAAAAAgA&#10;h07iQKRcNuq2AQAAigMAAA4AAAAAAAAAAQAgAAAAJAEAAGRycy9lMm9Eb2MueG1sUEsFBgAAAAAG&#10;AAYAWQEAAEwFAAAAAA==&#10;">
              <v:fill on="f" focussize="0,0"/>
              <v:stroke on="f"/>
              <v:imagedata o:title=""/>
              <o:lock v:ext="edit" aspectratio="f"/>
              <v:textbox inset="0mm,0mm,0mm,0mm" style="mso-fit-shape-to-text:t;">
                <w:txbxContent>
                  <w:p>
                    <w:pPr>
                      <w:pStyle w:val="11"/>
                      <w:ind w:right="140"/>
                      <w:jc w:val="right"/>
                    </w:pPr>
                    <w:r>
                      <w:rPr>
                        <w:rFonts w:ascii="宋体" w:hAnsi="宋体" w:eastAsia="宋体"/>
                        <w:sz w:val="28"/>
                        <w:szCs w:val="28"/>
                      </w:rPr>
                      <w:t>-</w:t>
                    </w:r>
                    <w:r>
                      <w:rPr>
                        <w:rFonts w:ascii="宋体" w:hAnsi="宋体" w:eastAsia="宋体"/>
                        <w:sz w:val="28"/>
                        <w:szCs w:val="28"/>
                      </w:rPr>
                      <w:fldChar w:fldCharType="begin"/>
                    </w:r>
                    <w:r>
                      <w:rPr>
                        <w:rFonts w:ascii="宋体" w:hAnsi="宋体" w:eastAsia="宋体"/>
                        <w:sz w:val="28"/>
                        <w:szCs w:val="28"/>
                      </w:rPr>
                      <w:instrText xml:space="preserve">PAGE   \* MERGEFORMAT</w:instrText>
                    </w:r>
                    <w:r>
                      <w:rPr>
                        <w:rFonts w:ascii="宋体" w:hAnsi="宋体" w:eastAsia="宋体"/>
                        <w:sz w:val="28"/>
                        <w:szCs w:val="28"/>
                      </w:rPr>
                      <w:fldChar w:fldCharType="separate"/>
                    </w:r>
                    <w:r>
                      <w:rPr>
                        <w:rFonts w:ascii="宋体" w:hAnsi="宋体" w:eastAsia="宋体"/>
                        <w:sz w:val="28"/>
                        <w:szCs w:val="28"/>
                        <w:lang w:val="zh-CN"/>
                      </w:rPr>
                      <w:t>14</w:t>
                    </w:r>
                    <w:r>
                      <w:rPr>
                        <w:rFonts w:ascii="宋体" w:hAnsi="宋体" w:eastAsia="宋体"/>
                        <w:sz w:val="28"/>
                        <w:szCs w:val="28"/>
                      </w:rPr>
                      <w:fldChar w:fldCharType="end"/>
                    </w:r>
                    <w:r>
                      <w:rPr>
                        <w:rFonts w:ascii="宋体" w:hAnsi="宋体" w:eastAsia="宋体"/>
                        <w:sz w:val="28"/>
                        <w:szCs w:val="28"/>
                      </w:rPr>
                      <w:t>-</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ascii="宋体" w:hAnsi="宋体" w:eastAsia="宋体"/>
        <w:sz w:val="28"/>
        <w:szCs w:val="28"/>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11"/>
                          </w:pPr>
                          <w:r>
                            <w:rPr>
                              <w:rFonts w:ascii="宋体" w:hAnsi="宋体" w:eastAsia="宋体"/>
                              <w:sz w:val="28"/>
                              <w:szCs w:val="28"/>
                            </w:rPr>
                            <w:t>-</w:t>
                          </w:r>
                          <w:r>
                            <w:rPr>
                              <w:rFonts w:ascii="宋体" w:hAnsi="宋体" w:eastAsia="宋体"/>
                              <w:sz w:val="28"/>
                              <w:szCs w:val="28"/>
                            </w:rPr>
                            <w:fldChar w:fldCharType="begin"/>
                          </w:r>
                          <w:r>
                            <w:rPr>
                              <w:rFonts w:ascii="宋体" w:hAnsi="宋体" w:eastAsia="宋体"/>
                              <w:sz w:val="28"/>
                              <w:szCs w:val="28"/>
                            </w:rPr>
                            <w:instrText xml:space="preserve">PAGE   \* MERGEFORMAT</w:instrText>
                          </w:r>
                          <w:r>
                            <w:rPr>
                              <w:rFonts w:ascii="宋体" w:hAnsi="宋体" w:eastAsia="宋体"/>
                              <w:sz w:val="28"/>
                              <w:szCs w:val="28"/>
                            </w:rPr>
                            <w:fldChar w:fldCharType="separate"/>
                          </w:r>
                          <w:r>
                            <w:rPr>
                              <w:rFonts w:ascii="宋体" w:hAnsi="宋体" w:eastAsia="宋体"/>
                              <w:sz w:val="28"/>
                              <w:szCs w:val="28"/>
                              <w:lang w:val="zh-CN"/>
                            </w:rPr>
                            <w:t>14</w:t>
                          </w:r>
                          <w:r>
                            <w:rPr>
                              <w:rFonts w:ascii="宋体" w:hAnsi="宋体" w:eastAsia="宋体"/>
                              <w:sz w:val="28"/>
                              <w:szCs w:val="28"/>
                            </w:rPr>
                            <w:fldChar w:fldCharType="end"/>
                          </w:r>
                          <w:r>
                            <w:rPr>
                              <w:rFonts w:ascii="宋体" w:hAnsi="宋体" w:eastAsia="宋体"/>
                              <w:sz w:val="28"/>
                              <w:szCs w:val="28"/>
                            </w:rPr>
                            <w:t>-</w:t>
                          </w:r>
                        </w:p>
                      </w:txbxContent>
                    </wps:txbx>
                    <wps:bodyPr wrap="none" lIns="0" tIns="0" rIns="0" bIns="0" upright="1">
                      <a:spAutoFit/>
                    </wps:bodyPr>
                  </wps:wsp>
                </a:graphicData>
              </a:graphic>
            </wp:anchor>
          </w:drawing>
        </mc:Choice>
        <mc:Fallback>
          <w:pict>
            <v:shape id="Text Box 2"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DOqXm5&#10;zwAAAAUBAAAPAAAAAAAAAAEAIAAAACIAAABkcnMvZG93bnJldi54bWxQSwECFAAUAAAACACHTuJA&#10;v1VNbbgBAACYAwAADgAAAAAAAAABACAAAAAeAQAAZHJzL2Uyb0RvYy54bWxQSwUGAAAAAAYABgBZ&#10;AQAASAUAAAAA&#10;">
              <v:fill on="f" focussize="0,0"/>
              <v:stroke on="f"/>
              <v:imagedata o:title=""/>
              <o:lock v:ext="edit" aspectratio="f"/>
              <v:textbox inset="0mm,0mm,0mm,0mm" style="mso-fit-shape-to-text:t;">
                <w:txbxContent>
                  <w:p>
                    <w:pPr>
                      <w:pStyle w:val="11"/>
                    </w:pPr>
                    <w:r>
                      <w:rPr>
                        <w:rFonts w:ascii="宋体" w:hAnsi="宋体" w:eastAsia="宋体"/>
                        <w:sz w:val="28"/>
                        <w:szCs w:val="28"/>
                      </w:rPr>
                      <w:t>-</w:t>
                    </w:r>
                    <w:r>
                      <w:rPr>
                        <w:rFonts w:ascii="宋体" w:hAnsi="宋体" w:eastAsia="宋体"/>
                        <w:sz w:val="28"/>
                        <w:szCs w:val="28"/>
                      </w:rPr>
                      <w:fldChar w:fldCharType="begin"/>
                    </w:r>
                    <w:r>
                      <w:rPr>
                        <w:rFonts w:ascii="宋体" w:hAnsi="宋体" w:eastAsia="宋体"/>
                        <w:sz w:val="28"/>
                        <w:szCs w:val="28"/>
                      </w:rPr>
                      <w:instrText xml:space="preserve">PAGE   \* MERGEFORMAT</w:instrText>
                    </w:r>
                    <w:r>
                      <w:rPr>
                        <w:rFonts w:ascii="宋体" w:hAnsi="宋体" w:eastAsia="宋体"/>
                        <w:sz w:val="28"/>
                        <w:szCs w:val="28"/>
                      </w:rPr>
                      <w:fldChar w:fldCharType="separate"/>
                    </w:r>
                    <w:r>
                      <w:rPr>
                        <w:rFonts w:ascii="宋体" w:hAnsi="宋体" w:eastAsia="宋体"/>
                        <w:sz w:val="28"/>
                        <w:szCs w:val="28"/>
                        <w:lang w:val="zh-CN"/>
                      </w:rPr>
                      <w:t>14</w:t>
                    </w:r>
                    <w:r>
                      <w:rPr>
                        <w:rFonts w:ascii="宋体" w:hAnsi="宋体" w:eastAsia="宋体"/>
                        <w:sz w:val="28"/>
                        <w:szCs w:val="28"/>
                      </w:rPr>
                      <w:fldChar w:fldCharType="end"/>
                    </w:r>
                    <w:r>
                      <w:rPr>
                        <w:rFonts w:ascii="宋体" w:hAnsi="宋体" w:eastAsia="宋体"/>
                        <w:sz w:val="28"/>
                        <w:szCs w:val="28"/>
                      </w:rPr>
                      <w:t>-</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right"/>
      <w:rPr>
        <w:rFonts w:ascii="宋体" w:hAnsi="宋体" w:eastAsia="宋体"/>
        <w:sz w:val="28"/>
        <w:szCs w:val="28"/>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356235" cy="230505"/>
              <wp:effectExtent l="0" t="0" r="0" b="0"/>
              <wp:wrapNone/>
              <wp:docPr id="3" name="Text Box 3"/>
              <wp:cNvGraphicFramePr/>
              <a:graphic xmlns:a="http://schemas.openxmlformats.org/drawingml/2006/main">
                <a:graphicData uri="http://schemas.microsoft.com/office/word/2010/wordprocessingShape">
                  <wps:wsp>
                    <wps:cNvSpPr txBox="1"/>
                    <wps:spPr>
                      <a:xfrm>
                        <a:off x="0" y="0"/>
                        <a:ext cx="356235" cy="230505"/>
                      </a:xfrm>
                      <a:prstGeom prst="rect">
                        <a:avLst/>
                      </a:prstGeom>
                      <a:noFill/>
                      <a:ln>
                        <a:noFill/>
                      </a:ln>
                    </wps:spPr>
                    <wps:txbx>
                      <w:txbxContent>
                        <w:p>
                          <w:pPr>
                            <w:pStyle w:val="11"/>
                            <w:jc w:val="right"/>
                          </w:pPr>
                          <w:r>
                            <w:rPr>
                              <w:rFonts w:ascii="宋体" w:hAnsi="宋体" w:eastAsia="宋体"/>
                              <w:sz w:val="28"/>
                              <w:szCs w:val="28"/>
                            </w:rPr>
                            <w:t>-</w:t>
                          </w:r>
                          <w:r>
                            <w:rPr>
                              <w:rFonts w:ascii="宋体" w:hAnsi="宋体" w:eastAsia="宋体"/>
                              <w:sz w:val="28"/>
                              <w:szCs w:val="28"/>
                            </w:rPr>
                            <w:fldChar w:fldCharType="begin"/>
                          </w:r>
                          <w:r>
                            <w:rPr>
                              <w:rFonts w:ascii="宋体" w:hAnsi="宋体" w:eastAsia="宋体"/>
                              <w:sz w:val="28"/>
                              <w:szCs w:val="28"/>
                            </w:rPr>
                            <w:instrText xml:space="preserve">PAGE   \* MERGEFORMAT</w:instrText>
                          </w:r>
                          <w:r>
                            <w:rPr>
                              <w:rFonts w:ascii="宋体" w:hAnsi="宋体" w:eastAsia="宋体"/>
                              <w:sz w:val="28"/>
                              <w:szCs w:val="28"/>
                            </w:rPr>
                            <w:fldChar w:fldCharType="separate"/>
                          </w:r>
                          <w:r>
                            <w:rPr>
                              <w:rFonts w:ascii="宋体" w:hAnsi="宋体" w:eastAsia="宋体"/>
                              <w:sz w:val="28"/>
                              <w:szCs w:val="28"/>
                              <w:lang w:val="zh-CN"/>
                            </w:rPr>
                            <w:t>29</w:t>
                          </w:r>
                          <w:r>
                            <w:rPr>
                              <w:rFonts w:ascii="宋体" w:hAnsi="宋体" w:eastAsia="宋体"/>
                              <w:sz w:val="28"/>
                              <w:szCs w:val="28"/>
                            </w:rPr>
                            <w:fldChar w:fldCharType="end"/>
                          </w:r>
                          <w:r>
                            <w:rPr>
                              <w:rFonts w:ascii="宋体" w:hAnsi="宋体" w:eastAsia="宋体"/>
                              <w:sz w:val="28"/>
                              <w:szCs w:val="28"/>
                            </w:rPr>
                            <w:t>-</w:t>
                          </w:r>
                        </w:p>
                      </w:txbxContent>
                    </wps:txbx>
                    <wps:bodyPr wrap="none" lIns="0" tIns="0" rIns="0" bIns="0" upright="1">
                      <a:spAutoFit/>
                    </wps:bodyPr>
                  </wps:wsp>
                </a:graphicData>
              </a:graphic>
            </wp:anchor>
          </w:drawing>
        </mc:Choice>
        <mc:Fallback>
          <w:pict>
            <v:shape id="Text Box 3" o:spid="_x0000_s1026" o:spt="202" type="#_x0000_t202" style="position:absolute;left:0pt;margin-top:0pt;height:18.15pt;width:28.05pt;mso-position-horizontal:center;mso-position-horizontal-relative:margin;mso-wrap-style:none;z-index:251661312;mso-width-relative:page;mso-height-relative:page;" filled="f" stroked="f" coordsize="21600,21600" o:gfxdata="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nXKS5NEAAAADAQAADwAAAAAAAAABACAAAAAiAAAAZHJzL2Rvd25yZXYueG1sUEsBAhQAFAAA&#10;AAgAh07iQFxxguG9AQAAlgMAAA4AAAAAAAAAAQAgAAAAIAEAAGRycy9lMm9Eb2MueG1sUEsFBgAA&#10;AAAGAAYAWQEAAE8FAAAAAA==&#10;">
              <v:fill on="f" focussize="0,0"/>
              <v:stroke on="f"/>
              <v:imagedata o:title=""/>
              <o:lock v:ext="edit" aspectratio="f"/>
              <v:textbox inset="0mm,0mm,0mm,0mm" style="mso-fit-shape-to-text:t;">
                <w:txbxContent>
                  <w:p>
                    <w:pPr>
                      <w:pStyle w:val="11"/>
                      <w:jc w:val="right"/>
                    </w:pPr>
                    <w:r>
                      <w:rPr>
                        <w:rFonts w:ascii="宋体" w:hAnsi="宋体" w:eastAsia="宋体"/>
                        <w:sz w:val="28"/>
                        <w:szCs w:val="28"/>
                      </w:rPr>
                      <w:t>-</w:t>
                    </w:r>
                    <w:r>
                      <w:rPr>
                        <w:rFonts w:ascii="宋体" w:hAnsi="宋体" w:eastAsia="宋体"/>
                        <w:sz w:val="28"/>
                        <w:szCs w:val="28"/>
                      </w:rPr>
                      <w:fldChar w:fldCharType="begin"/>
                    </w:r>
                    <w:r>
                      <w:rPr>
                        <w:rFonts w:ascii="宋体" w:hAnsi="宋体" w:eastAsia="宋体"/>
                        <w:sz w:val="28"/>
                        <w:szCs w:val="28"/>
                      </w:rPr>
                      <w:instrText xml:space="preserve">PAGE   \* MERGEFORMAT</w:instrText>
                    </w:r>
                    <w:r>
                      <w:rPr>
                        <w:rFonts w:ascii="宋体" w:hAnsi="宋体" w:eastAsia="宋体"/>
                        <w:sz w:val="28"/>
                        <w:szCs w:val="28"/>
                      </w:rPr>
                      <w:fldChar w:fldCharType="separate"/>
                    </w:r>
                    <w:r>
                      <w:rPr>
                        <w:rFonts w:ascii="宋体" w:hAnsi="宋体" w:eastAsia="宋体"/>
                        <w:sz w:val="28"/>
                        <w:szCs w:val="28"/>
                        <w:lang w:val="zh-CN"/>
                      </w:rPr>
                      <w:t>29</w:t>
                    </w:r>
                    <w:r>
                      <w:rPr>
                        <w:rFonts w:ascii="宋体" w:hAnsi="宋体" w:eastAsia="宋体"/>
                        <w:sz w:val="28"/>
                        <w:szCs w:val="28"/>
                      </w:rPr>
                      <w:fldChar w:fldCharType="end"/>
                    </w:r>
                    <w:r>
                      <w:rPr>
                        <w:rFonts w:ascii="宋体" w:hAnsi="宋体" w:eastAsia="宋体"/>
                        <w:sz w:val="28"/>
                        <w:szCs w:val="28"/>
                      </w:rPr>
                      <w:t>-</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21E1240"/>
    <w:multiLevelType w:val="singleLevel"/>
    <w:tmpl w:val="E21E1240"/>
    <w:lvl w:ilvl="0" w:tentative="0">
      <w:start w:val="4"/>
      <w:numFmt w:val="chineseCounting"/>
      <w:suff w:val="nothing"/>
      <w:lvlText w:val="（%1）"/>
      <w:lvlJc w:val="left"/>
      <w:rPr>
        <w:rFonts w:hint="eastAsia"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YxNjljMGVmZDk3MTY3NzE3M2QxYTA4NmQyYmU1OWQifQ=="/>
  </w:docVars>
  <w:rsids>
    <w:rsidRoot w:val="00505014"/>
    <w:rsid w:val="00001759"/>
    <w:rsid w:val="00002780"/>
    <w:rsid w:val="000071EC"/>
    <w:rsid w:val="00007D73"/>
    <w:rsid w:val="00011050"/>
    <w:rsid w:val="00011D50"/>
    <w:rsid w:val="00012387"/>
    <w:rsid w:val="0001304B"/>
    <w:rsid w:val="00013ECC"/>
    <w:rsid w:val="00014525"/>
    <w:rsid w:val="00014B13"/>
    <w:rsid w:val="00016275"/>
    <w:rsid w:val="00024559"/>
    <w:rsid w:val="00024A7B"/>
    <w:rsid w:val="00025186"/>
    <w:rsid w:val="00025E2E"/>
    <w:rsid w:val="000261B2"/>
    <w:rsid w:val="00030DA1"/>
    <w:rsid w:val="00031256"/>
    <w:rsid w:val="00033171"/>
    <w:rsid w:val="00036378"/>
    <w:rsid w:val="00036C96"/>
    <w:rsid w:val="00036DB7"/>
    <w:rsid w:val="0004039F"/>
    <w:rsid w:val="00040A7C"/>
    <w:rsid w:val="00041DA9"/>
    <w:rsid w:val="00043022"/>
    <w:rsid w:val="00044870"/>
    <w:rsid w:val="0004504F"/>
    <w:rsid w:val="00045702"/>
    <w:rsid w:val="00045791"/>
    <w:rsid w:val="000530D0"/>
    <w:rsid w:val="00053F04"/>
    <w:rsid w:val="00056255"/>
    <w:rsid w:val="00065B33"/>
    <w:rsid w:val="00065BEE"/>
    <w:rsid w:val="0007023D"/>
    <w:rsid w:val="00071684"/>
    <w:rsid w:val="00072FDD"/>
    <w:rsid w:val="0007359B"/>
    <w:rsid w:val="00074DCD"/>
    <w:rsid w:val="0007563B"/>
    <w:rsid w:val="00075E5B"/>
    <w:rsid w:val="00077035"/>
    <w:rsid w:val="000771D1"/>
    <w:rsid w:val="00077C2B"/>
    <w:rsid w:val="000803DA"/>
    <w:rsid w:val="00080963"/>
    <w:rsid w:val="00082185"/>
    <w:rsid w:val="00083833"/>
    <w:rsid w:val="00083E07"/>
    <w:rsid w:val="00084D5E"/>
    <w:rsid w:val="00084DBC"/>
    <w:rsid w:val="000852BA"/>
    <w:rsid w:val="00085E7B"/>
    <w:rsid w:val="00091024"/>
    <w:rsid w:val="00092166"/>
    <w:rsid w:val="0009445B"/>
    <w:rsid w:val="000946CB"/>
    <w:rsid w:val="00094BC9"/>
    <w:rsid w:val="0009506B"/>
    <w:rsid w:val="00095108"/>
    <w:rsid w:val="00096E51"/>
    <w:rsid w:val="000A0165"/>
    <w:rsid w:val="000A1C92"/>
    <w:rsid w:val="000A2586"/>
    <w:rsid w:val="000A28C3"/>
    <w:rsid w:val="000A46F5"/>
    <w:rsid w:val="000A4EC3"/>
    <w:rsid w:val="000A5DB1"/>
    <w:rsid w:val="000A78FD"/>
    <w:rsid w:val="000B082D"/>
    <w:rsid w:val="000B1B30"/>
    <w:rsid w:val="000B7046"/>
    <w:rsid w:val="000B7052"/>
    <w:rsid w:val="000C29C6"/>
    <w:rsid w:val="000C3345"/>
    <w:rsid w:val="000C7D83"/>
    <w:rsid w:val="000D024E"/>
    <w:rsid w:val="000D140C"/>
    <w:rsid w:val="000D1A27"/>
    <w:rsid w:val="000D2A9F"/>
    <w:rsid w:val="000D445A"/>
    <w:rsid w:val="000D57B0"/>
    <w:rsid w:val="000D5838"/>
    <w:rsid w:val="000D755C"/>
    <w:rsid w:val="000E0BCA"/>
    <w:rsid w:val="000E1909"/>
    <w:rsid w:val="000E2EB3"/>
    <w:rsid w:val="000E553E"/>
    <w:rsid w:val="000E76B0"/>
    <w:rsid w:val="000F00E6"/>
    <w:rsid w:val="000F015A"/>
    <w:rsid w:val="000F12FB"/>
    <w:rsid w:val="000F3957"/>
    <w:rsid w:val="000F7FC0"/>
    <w:rsid w:val="00105D7D"/>
    <w:rsid w:val="001073B5"/>
    <w:rsid w:val="001075A8"/>
    <w:rsid w:val="00110231"/>
    <w:rsid w:val="00110801"/>
    <w:rsid w:val="00111016"/>
    <w:rsid w:val="00111820"/>
    <w:rsid w:val="00112015"/>
    <w:rsid w:val="00112404"/>
    <w:rsid w:val="00112754"/>
    <w:rsid w:val="001146C5"/>
    <w:rsid w:val="0011514F"/>
    <w:rsid w:val="0011524D"/>
    <w:rsid w:val="0011541B"/>
    <w:rsid w:val="0011675D"/>
    <w:rsid w:val="0012020A"/>
    <w:rsid w:val="001208FE"/>
    <w:rsid w:val="00121AFA"/>
    <w:rsid w:val="00126621"/>
    <w:rsid w:val="00133A57"/>
    <w:rsid w:val="00136B0A"/>
    <w:rsid w:val="0013711A"/>
    <w:rsid w:val="00142235"/>
    <w:rsid w:val="0014272A"/>
    <w:rsid w:val="00142B82"/>
    <w:rsid w:val="001460C3"/>
    <w:rsid w:val="00147262"/>
    <w:rsid w:val="00153F31"/>
    <w:rsid w:val="00163D4D"/>
    <w:rsid w:val="001654B0"/>
    <w:rsid w:val="0017033E"/>
    <w:rsid w:val="00170942"/>
    <w:rsid w:val="001725B5"/>
    <w:rsid w:val="00176652"/>
    <w:rsid w:val="0018103C"/>
    <w:rsid w:val="00181A04"/>
    <w:rsid w:val="001825CC"/>
    <w:rsid w:val="001854CB"/>
    <w:rsid w:val="00186F45"/>
    <w:rsid w:val="001876EE"/>
    <w:rsid w:val="001926B6"/>
    <w:rsid w:val="00197396"/>
    <w:rsid w:val="001A011A"/>
    <w:rsid w:val="001A0736"/>
    <w:rsid w:val="001A246C"/>
    <w:rsid w:val="001A6A8D"/>
    <w:rsid w:val="001B0305"/>
    <w:rsid w:val="001B0ED2"/>
    <w:rsid w:val="001B1FAC"/>
    <w:rsid w:val="001B26FF"/>
    <w:rsid w:val="001B2F56"/>
    <w:rsid w:val="001B48F8"/>
    <w:rsid w:val="001B52D1"/>
    <w:rsid w:val="001B6AD7"/>
    <w:rsid w:val="001B6CDC"/>
    <w:rsid w:val="001C7286"/>
    <w:rsid w:val="001C7C50"/>
    <w:rsid w:val="001C7E97"/>
    <w:rsid w:val="001D2401"/>
    <w:rsid w:val="001D5993"/>
    <w:rsid w:val="001D5EEE"/>
    <w:rsid w:val="001D6D69"/>
    <w:rsid w:val="001E2F34"/>
    <w:rsid w:val="001E396C"/>
    <w:rsid w:val="001F359E"/>
    <w:rsid w:val="001F35DC"/>
    <w:rsid w:val="001F5EA9"/>
    <w:rsid w:val="001F6761"/>
    <w:rsid w:val="001F6882"/>
    <w:rsid w:val="00200E0A"/>
    <w:rsid w:val="002022A9"/>
    <w:rsid w:val="00203D38"/>
    <w:rsid w:val="00204B7B"/>
    <w:rsid w:val="00211918"/>
    <w:rsid w:val="00212088"/>
    <w:rsid w:val="00214B91"/>
    <w:rsid w:val="00214BAF"/>
    <w:rsid w:val="00217196"/>
    <w:rsid w:val="00217A50"/>
    <w:rsid w:val="002200DF"/>
    <w:rsid w:val="00220D76"/>
    <w:rsid w:val="002211B2"/>
    <w:rsid w:val="002217A8"/>
    <w:rsid w:val="00221BD2"/>
    <w:rsid w:val="00223A76"/>
    <w:rsid w:val="00224E5C"/>
    <w:rsid w:val="002256B3"/>
    <w:rsid w:val="00225E33"/>
    <w:rsid w:val="0022749C"/>
    <w:rsid w:val="00230D8D"/>
    <w:rsid w:val="00230EEE"/>
    <w:rsid w:val="00232F1F"/>
    <w:rsid w:val="002338FA"/>
    <w:rsid w:val="00234B74"/>
    <w:rsid w:val="00236B62"/>
    <w:rsid w:val="0023719A"/>
    <w:rsid w:val="00237269"/>
    <w:rsid w:val="0023767E"/>
    <w:rsid w:val="00240189"/>
    <w:rsid w:val="00243077"/>
    <w:rsid w:val="0024440D"/>
    <w:rsid w:val="002458B6"/>
    <w:rsid w:val="00245B78"/>
    <w:rsid w:val="00250D72"/>
    <w:rsid w:val="00253003"/>
    <w:rsid w:val="00256A28"/>
    <w:rsid w:val="00257E07"/>
    <w:rsid w:val="00264402"/>
    <w:rsid w:val="002661F3"/>
    <w:rsid w:val="0027424E"/>
    <w:rsid w:val="00275952"/>
    <w:rsid w:val="00275F85"/>
    <w:rsid w:val="00276240"/>
    <w:rsid w:val="00277007"/>
    <w:rsid w:val="002812E7"/>
    <w:rsid w:val="00281568"/>
    <w:rsid w:val="002827CA"/>
    <w:rsid w:val="00284CF4"/>
    <w:rsid w:val="00285C5D"/>
    <w:rsid w:val="002875C6"/>
    <w:rsid w:val="002906D3"/>
    <w:rsid w:val="0029424C"/>
    <w:rsid w:val="002945A3"/>
    <w:rsid w:val="00294C02"/>
    <w:rsid w:val="00294C26"/>
    <w:rsid w:val="00294CA9"/>
    <w:rsid w:val="002A2C6F"/>
    <w:rsid w:val="002A3B56"/>
    <w:rsid w:val="002B0491"/>
    <w:rsid w:val="002B14D2"/>
    <w:rsid w:val="002B23E7"/>
    <w:rsid w:val="002B5897"/>
    <w:rsid w:val="002B6106"/>
    <w:rsid w:val="002B64FC"/>
    <w:rsid w:val="002C300F"/>
    <w:rsid w:val="002C362F"/>
    <w:rsid w:val="002C3C53"/>
    <w:rsid w:val="002C4CFD"/>
    <w:rsid w:val="002C62B5"/>
    <w:rsid w:val="002D07B9"/>
    <w:rsid w:val="002D1025"/>
    <w:rsid w:val="002D22BB"/>
    <w:rsid w:val="002D612B"/>
    <w:rsid w:val="002D69AE"/>
    <w:rsid w:val="002D6ABF"/>
    <w:rsid w:val="002E01FA"/>
    <w:rsid w:val="002E0620"/>
    <w:rsid w:val="002E0BC2"/>
    <w:rsid w:val="002E1A72"/>
    <w:rsid w:val="002E4EA8"/>
    <w:rsid w:val="002E6A94"/>
    <w:rsid w:val="002E6DA3"/>
    <w:rsid w:val="002E76DB"/>
    <w:rsid w:val="002E77C3"/>
    <w:rsid w:val="002E7EBE"/>
    <w:rsid w:val="002F07DC"/>
    <w:rsid w:val="002F0C5D"/>
    <w:rsid w:val="002F23D8"/>
    <w:rsid w:val="002F3583"/>
    <w:rsid w:val="002F4291"/>
    <w:rsid w:val="002F5E05"/>
    <w:rsid w:val="002F6695"/>
    <w:rsid w:val="0030022F"/>
    <w:rsid w:val="003010CC"/>
    <w:rsid w:val="0030161F"/>
    <w:rsid w:val="00301DE3"/>
    <w:rsid w:val="00301FB2"/>
    <w:rsid w:val="00302BB7"/>
    <w:rsid w:val="00302C43"/>
    <w:rsid w:val="00304150"/>
    <w:rsid w:val="0030627D"/>
    <w:rsid w:val="0030665B"/>
    <w:rsid w:val="00306C4D"/>
    <w:rsid w:val="0030723A"/>
    <w:rsid w:val="00313E50"/>
    <w:rsid w:val="00315561"/>
    <w:rsid w:val="00315ED5"/>
    <w:rsid w:val="00323637"/>
    <w:rsid w:val="00324F4C"/>
    <w:rsid w:val="003301E1"/>
    <w:rsid w:val="0033128C"/>
    <w:rsid w:val="003334AE"/>
    <w:rsid w:val="00334812"/>
    <w:rsid w:val="00335CDB"/>
    <w:rsid w:val="003366DF"/>
    <w:rsid w:val="00343166"/>
    <w:rsid w:val="00343AEF"/>
    <w:rsid w:val="00346088"/>
    <w:rsid w:val="003468D5"/>
    <w:rsid w:val="00347831"/>
    <w:rsid w:val="0035061E"/>
    <w:rsid w:val="00353F29"/>
    <w:rsid w:val="00355054"/>
    <w:rsid w:val="0035509C"/>
    <w:rsid w:val="003554FA"/>
    <w:rsid w:val="00355A1C"/>
    <w:rsid w:val="00355EBF"/>
    <w:rsid w:val="00361FE0"/>
    <w:rsid w:val="00365D57"/>
    <w:rsid w:val="00372FC1"/>
    <w:rsid w:val="003743BE"/>
    <w:rsid w:val="003751F9"/>
    <w:rsid w:val="003767D2"/>
    <w:rsid w:val="00380727"/>
    <w:rsid w:val="003810AD"/>
    <w:rsid w:val="0038220A"/>
    <w:rsid w:val="0039122E"/>
    <w:rsid w:val="003956C4"/>
    <w:rsid w:val="0039771B"/>
    <w:rsid w:val="00397F7A"/>
    <w:rsid w:val="003A02CB"/>
    <w:rsid w:val="003A35CC"/>
    <w:rsid w:val="003A4DB9"/>
    <w:rsid w:val="003A68DC"/>
    <w:rsid w:val="003B2190"/>
    <w:rsid w:val="003B444B"/>
    <w:rsid w:val="003B52FF"/>
    <w:rsid w:val="003B6566"/>
    <w:rsid w:val="003C2003"/>
    <w:rsid w:val="003C2B72"/>
    <w:rsid w:val="003C799D"/>
    <w:rsid w:val="003D0D62"/>
    <w:rsid w:val="003D20E9"/>
    <w:rsid w:val="003D6193"/>
    <w:rsid w:val="003D7101"/>
    <w:rsid w:val="003D7D9C"/>
    <w:rsid w:val="003E1603"/>
    <w:rsid w:val="003E4ACA"/>
    <w:rsid w:val="003E5A0B"/>
    <w:rsid w:val="003E7D9A"/>
    <w:rsid w:val="003F0377"/>
    <w:rsid w:val="003F1EF1"/>
    <w:rsid w:val="003F3389"/>
    <w:rsid w:val="003F4058"/>
    <w:rsid w:val="003F4760"/>
    <w:rsid w:val="003F4E95"/>
    <w:rsid w:val="003F6FEC"/>
    <w:rsid w:val="003F7509"/>
    <w:rsid w:val="003F77A1"/>
    <w:rsid w:val="003F7DB6"/>
    <w:rsid w:val="00401AAE"/>
    <w:rsid w:val="00403374"/>
    <w:rsid w:val="00405184"/>
    <w:rsid w:val="00406704"/>
    <w:rsid w:val="0041349E"/>
    <w:rsid w:val="0041374F"/>
    <w:rsid w:val="00414315"/>
    <w:rsid w:val="00414383"/>
    <w:rsid w:val="004143D6"/>
    <w:rsid w:val="0041638E"/>
    <w:rsid w:val="00416456"/>
    <w:rsid w:val="00420F8A"/>
    <w:rsid w:val="00421CF5"/>
    <w:rsid w:val="004254E5"/>
    <w:rsid w:val="00426F07"/>
    <w:rsid w:val="004303AA"/>
    <w:rsid w:val="00430BE8"/>
    <w:rsid w:val="004345B0"/>
    <w:rsid w:val="00434FED"/>
    <w:rsid w:val="00436743"/>
    <w:rsid w:val="00437779"/>
    <w:rsid w:val="00440B80"/>
    <w:rsid w:val="00442707"/>
    <w:rsid w:val="00442C45"/>
    <w:rsid w:val="0044304F"/>
    <w:rsid w:val="004432F9"/>
    <w:rsid w:val="00445C5C"/>
    <w:rsid w:val="00447127"/>
    <w:rsid w:val="00447F3C"/>
    <w:rsid w:val="0045030D"/>
    <w:rsid w:val="004516A7"/>
    <w:rsid w:val="00455A12"/>
    <w:rsid w:val="00455D5E"/>
    <w:rsid w:val="00463D4F"/>
    <w:rsid w:val="00464C84"/>
    <w:rsid w:val="004678E3"/>
    <w:rsid w:val="0047143A"/>
    <w:rsid w:val="0047192C"/>
    <w:rsid w:val="004742F2"/>
    <w:rsid w:val="00475B7F"/>
    <w:rsid w:val="00475F39"/>
    <w:rsid w:val="004771B6"/>
    <w:rsid w:val="00481B5D"/>
    <w:rsid w:val="00482199"/>
    <w:rsid w:val="0048364B"/>
    <w:rsid w:val="00486762"/>
    <w:rsid w:val="00486A75"/>
    <w:rsid w:val="00486D3B"/>
    <w:rsid w:val="00486E68"/>
    <w:rsid w:val="004919E9"/>
    <w:rsid w:val="004945BB"/>
    <w:rsid w:val="00495C30"/>
    <w:rsid w:val="004A17C4"/>
    <w:rsid w:val="004A3A47"/>
    <w:rsid w:val="004A75AB"/>
    <w:rsid w:val="004A7C7B"/>
    <w:rsid w:val="004B0549"/>
    <w:rsid w:val="004B2C06"/>
    <w:rsid w:val="004B37C6"/>
    <w:rsid w:val="004B5474"/>
    <w:rsid w:val="004C352F"/>
    <w:rsid w:val="004C6495"/>
    <w:rsid w:val="004C6A35"/>
    <w:rsid w:val="004D00BA"/>
    <w:rsid w:val="004D0379"/>
    <w:rsid w:val="004D0F4D"/>
    <w:rsid w:val="004D5749"/>
    <w:rsid w:val="004D6B7E"/>
    <w:rsid w:val="004D6C1A"/>
    <w:rsid w:val="004F0879"/>
    <w:rsid w:val="004F1CD4"/>
    <w:rsid w:val="004F1E3C"/>
    <w:rsid w:val="004F2D09"/>
    <w:rsid w:val="004F3B6E"/>
    <w:rsid w:val="004F5269"/>
    <w:rsid w:val="004F54C9"/>
    <w:rsid w:val="004F5D8A"/>
    <w:rsid w:val="004F7081"/>
    <w:rsid w:val="005005CB"/>
    <w:rsid w:val="0050074F"/>
    <w:rsid w:val="005022D5"/>
    <w:rsid w:val="0050232E"/>
    <w:rsid w:val="00505014"/>
    <w:rsid w:val="00510108"/>
    <w:rsid w:val="00511574"/>
    <w:rsid w:val="00511ED2"/>
    <w:rsid w:val="00513870"/>
    <w:rsid w:val="00515351"/>
    <w:rsid w:val="00520085"/>
    <w:rsid w:val="00520107"/>
    <w:rsid w:val="00522A16"/>
    <w:rsid w:val="00523399"/>
    <w:rsid w:val="00523A68"/>
    <w:rsid w:val="0052518C"/>
    <w:rsid w:val="0052680C"/>
    <w:rsid w:val="00527EBF"/>
    <w:rsid w:val="00536560"/>
    <w:rsid w:val="005409A6"/>
    <w:rsid w:val="0054415B"/>
    <w:rsid w:val="00545EA6"/>
    <w:rsid w:val="005460E0"/>
    <w:rsid w:val="00550D5F"/>
    <w:rsid w:val="00550EE3"/>
    <w:rsid w:val="00551332"/>
    <w:rsid w:val="0055373A"/>
    <w:rsid w:val="00554E60"/>
    <w:rsid w:val="005604F0"/>
    <w:rsid w:val="00562DF4"/>
    <w:rsid w:val="00562FE0"/>
    <w:rsid w:val="005648FD"/>
    <w:rsid w:val="0056510A"/>
    <w:rsid w:val="00572DD5"/>
    <w:rsid w:val="00575949"/>
    <w:rsid w:val="00577422"/>
    <w:rsid w:val="0058229D"/>
    <w:rsid w:val="005833EE"/>
    <w:rsid w:val="0058617A"/>
    <w:rsid w:val="005865FA"/>
    <w:rsid w:val="0058673A"/>
    <w:rsid w:val="005914C1"/>
    <w:rsid w:val="00592A05"/>
    <w:rsid w:val="005942F4"/>
    <w:rsid w:val="00594F2B"/>
    <w:rsid w:val="005969FD"/>
    <w:rsid w:val="005A2F41"/>
    <w:rsid w:val="005A3C04"/>
    <w:rsid w:val="005A6D98"/>
    <w:rsid w:val="005B45F1"/>
    <w:rsid w:val="005B49B8"/>
    <w:rsid w:val="005B537C"/>
    <w:rsid w:val="005B708D"/>
    <w:rsid w:val="005C136E"/>
    <w:rsid w:val="005C3A25"/>
    <w:rsid w:val="005C6327"/>
    <w:rsid w:val="005C64E8"/>
    <w:rsid w:val="005C6668"/>
    <w:rsid w:val="005D06BC"/>
    <w:rsid w:val="005D0E49"/>
    <w:rsid w:val="005D3441"/>
    <w:rsid w:val="005D6907"/>
    <w:rsid w:val="005D6C1C"/>
    <w:rsid w:val="005E0356"/>
    <w:rsid w:val="005E04DB"/>
    <w:rsid w:val="005E30A1"/>
    <w:rsid w:val="005E62C3"/>
    <w:rsid w:val="005E6690"/>
    <w:rsid w:val="005F2995"/>
    <w:rsid w:val="005F5E53"/>
    <w:rsid w:val="005F67FA"/>
    <w:rsid w:val="005F7660"/>
    <w:rsid w:val="006004F3"/>
    <w:rsid w:val="0060229A"/>
    <w:rsid w:val="00602A1F"/>
    <w:rsid w:val="00603469"/>
    <w:rsid w:val="00604D58"/>
    <w:rsid w:val="006059E7"/>
    <w:rsid w:val="006122EB"/>
    <w:rsid w:val="00613E8D"/>
    <w:rsid w:val="006140F3"/>
    <w:rsid w:val="00614E96"/>
    <w:rsid w:val="00617E25"/>
    <w:rsid w:val="00617F13"/>
    <w:rsid w:val="0062282E"/>
    <w:rsid w:val="00624EA6"/>
    <w:rsid w:val="00631EC0"/>
    <w:rsid w:val="0063209D"/>
    <w:rsid w:val="006331B9"/>
    <w:rsid w:val="00633DF4"/>
    <w:rsid w:val="0063657D"/>
    <w:rsid w:val="00636E7E"/>
    <w:rsid w:val="00637E52"/>
    <w:rsid w:val="00644648"/>
    <w:rsid w:val="0064658F"/>
    <w:rsid w:val="006478D4"/>
    <w:rsid w:val="0065148F"/>
    <w:rsid w:val="0065268B"/>
    <w:rsid w:val="0065596F"/>
    <w:rsid w:val="00656B6A"/>
    <w:rsid w:val="006579BC"/>
    <w:rsid w:val="006633D2"/>
    <w:rsid w:val="00665FC1"/>
    <w:rsid w:val="00666424"/>
    <w:rsid w:val="00666DA2"/>
    <w:rsid w:val="00670289"/>
    <w:rsid w:val="00671E4B"/>
    <w:rsid w:val="00672627"/>
    <w:rsid w:val="00675FA5"/>
    <w:rsid w:val="00677B07"/>
    <w:rsid w:val="00680656"/>
    <w:rsid w:val="0068082D"/>
    <w:rsid w:val="006820C2"/>
    <w:rsid w:val="00684F5D"/>
    <w:rsid w:val="00685ED7"/>
    <w:rsid w:val="006912EE"/>
    <w:rsid w:val="006955F3"/>
    <w:rsid w:val="00697084"/>
    <w:rsid w:val="0069744B"/>
    <w:rsid w:val="006A067B"/>
    <w:rsid w:val="006A0906"/>
    <w:rsid w:val="006A1250"/>
    <w:rsid w:val="006A2B77"/>
    <w:rsid w:val="006B42B7"/>
    <w:rsid w:val="006C29F3"/>
    <w:rsid w:val="006C2FB4"/>
    <w:rsid w:val="006C4812"/>
    <w:rsid w:val="006C6172"/>
    <w:rsid w:val="006D087F"/>
    <w:rsid w:val="006D1467"/>
    <w:rsid w:val="006D159B"/>
    <w:rsid w:val="006D163D"/>
    <w:rsid w:val="006D3FB4"/>
    <w:rsid w:val="006E0929"/>
    <w:rsid w:val="006E2E96"/>
    <w:rsid w:val="006E50DE"/>
    <w:rsid w:val="006E5612"/>
    <w:rsid w:val="006E6FC6"/>
    <w:rsid w:val="006F41BC"/>
    <w:rsid w:val="006F4741"/>
    <w:rsid w:val="006F74CD"/>
    <w:rsid w:val="006F789D"/>
    <w:rsid w:val="00700B1D"/>
    <w:rsid w:val="00702588"/>
    <w:rsid w:val="007028DF"/>
    <w:rsid w:val="00703298"/>
    <w:rsid w:val="0070378A"/>
    <w:rsid w:val="0070498C"/>
    <w:rsid w:val="00704AE0"/>
    <w:rsid w:val="00705D3A"/>
    <w:rsid w:val="00711329"/>
    <w:rsid w:val="007152E8"/>
    <w:rsid w:val="00717BA3"/>
    <w:rsid w:val="00721877"/>
    <w:rsid w:val="007235E7"/>
    <w:rsid w:val="00723E09"/>
    <w:rsid w:val="00724ADD"/>
    <w:rsid w:val="00727259"/>
    <w:rsid w:val="00727AA8"/>
    <w:rsid w:val="00732164"/>
    <w:rsid w:val="0073361E"/>
    <w:rsid w:val="00733BAD"/>
    <w:rsid w:val="007346A4"/>
    <w:rsid w:val="007376E7"/>
    <w:rsid w:val="0074028F"/>
    <w:rsid w:val="00741C5D"/>
    <w:rsid w:val="00742D1C"/>
    <w:rsid w:val="007512FE"/>
    <w:rsid w:val="00755F76"/>
    <w:rsid w:val="00756724"/>
    <w:rsid w:val="00763817"/>
    <w:rsid w:val="00764051"/>
    <w:rsid w:val="0076418D"/>
    <w:rsid w:val="00765A49"/>
    <w:rsid w:val="00770130"/>
    <w:rsid w:val="0077050E"/>
    <w:rsid w:val="00774017"/>
    <w:rsid w:val="00777F45"/>
    <w:rsid w:val="00780D60"/>
    <w:rsid w:val="00782AD0"/>
    <w:rsid w:val="007836D9"/>
    <w:rsid w:val="0078588E"/>
    <w:rsid w:val="00790758"/>
    <w:rsid w:val="00794AAA"/>
    <w:rsid w:val="00795544"/>
    <w:rsid w:val="007A1887"/>
    <w:rsid w:val="007A4636"/>
    <w:rsid w:val="007A4972"/>
    <w:rsid w:val="007A4A92"/>
    <w:rsid w:val="007A6E16"/>
    <w:rsid w:val="007A7808"/>
    <w:rsid w:val="007B022C"/>
    <w:rsid w:val="007B026E"/>
    <w:rsid w:val="007B14CD"/>
    <w:rsid w:val="007B3FE4"/>
    <w:rsid w:val="007B4679"/>
    <w:rsid w:val="007B7EDD"/>
    <w:rsid w:val="007C4E3C"/>
    <w:rsid w:val="007C54A2"/>
    <w:rsid w:val="007D0747"/>
    <w:rsid w:val="007D0BE9"/>
    <w:rsid w:val="007D1B2B"/>
    <w:rsid w:val="007D43FE"/>
    <w:rsid w:val="007D5792"/>
    <w:rsid w:val="007D6B2B"/>
    <w:rsid w:val="007D7216"/>
    <w:rsid w:val="007D7749"/>
    <w:rsid w:val="007E3863"/>
    <w:rsid w:val="007E7E2B"/>
    <w:rsid w:val="007F156E"/>
    <w:rsid w:val="007F16A5"/>
    <w:rsid w:val="007F3ECC"/>
    <w:rsid w:val="007F4CC4"/>
    <w:rsid w:val="007F52B3"/>
    <w:rsid w:val="007F7100"/>
    <w:rsid w:val="00800605"/>
    <w:rsid w:val="00802C2D"/>
    <w:rsid w:val="00802E36"/>
    <w:rsid w:val="00805B4E"/>
    <w:rsid w:val="00807842"/>
    <w:rsid w:val="008107F1"/>
    <w:rsid w:val="00810E84"/>
    <w:rsid w:val="00811022"/>
    <w:rsid w:val="00813D19"/>
    <w:rsid w:val="008176F7"/>
    <w:rsid w:val="00820944"/>
    <w:rsid w:val="008217BD"/>
    <w:rsid w:val="00822BD2"/>
    <w:rsid w:val="00822E23"/>
    <w:rsid w:val="00823517"/>
    <w:rsid w:val="00824C69"/>
    <w:rsid w:val="00825AA6"/>
    <w:rsid w:val="00825C3E"/>
    <w:rsid w:val="00826A03"/>
    <w:rsid w:val="00826F8C"/>
    <w:rsid w:val="00830315"/>
    <w:rsid w:val="00835FCC"/>
    <w:rsid w:val="00836E1A"/>
    <w:rsid w:val="00841B30"/>
    <w:rsid w:val="00843D90"/>
    <w:rsid w:val="00844090"/>
    <w:rsid w:val="0084531F"/>
    <w:rsid w:val="0084642A"/>
    <w:rsid w:val="00847D9B"/>
    <w:rsid w:val="00853D0C"/>
    <w:rsid w:val="008548D9"/>
    <w:rsid w:val="00855411"/>
    <w:rsid w:val="008575D7"/>
    <w:rsid w:val="00861FA1"/>
    <w:rsid w:val="0086249E"/>
    <w:rsid w:val="008624D3"/>
    <w:rsid w:val="0086435E"/>
    <w:rsid w:val="00864403"/>
    <w:rsid w:val="00865999"/>
    <w:rsid w:val="00866F66"/>
    <w:rsid w:val="0086704E"/>
    <w:rsid w:val="008743C8"/>
    <w:rsid w:val="00874D0F"/>
    <w:rsid w:val="0088206E"/>
    <w:rsid w:val="00882BF5"/>
    <w:rsid w:val="00886C90"/>
    <w:rsid w:val="00887255"/>
    <w:rsid w:val="00890C33"/>
    <w:rsid w:val="00890D43"/>
    <w:rsid w:val="00891A77"/>
    <w:rsid w:val="00894309"/>
    <w:rsid w:val="008948E4"/>
    <w:rsid w:val="00896368"/>
    <w:rsid w:val="008A2B05"/>
    <w:rsid w:val="008A4D7A"/>
    <w:rsid w:val="008A7DFE"/>
    <w:rsid w:val="008B0612"/>
    <w:rsid w:val="008B18BF"/>
    <w:rsid w:val="008B6308"/>
    <w:rsid w:val="008B73B3"/>
    <w:rsid w:val="008B7D7B"/>
    <w:rsid w:val="008C1F42"/>
    <w:rsid w:val="008C4E7E"/>
    <w:rsid w:val="008C6A7A"/>
    <w:rsid w:val="008C6B67"/>
    <w:rsid w:val="008D0238"/>
    <w:rsid w:val="008D08CC"/>
    <w:rsid w:val="008D3412"/>
    <w:rsid w:val="008D4D57"/>
    <w:rsid w:val="008D67F3"/>
    <w:rsid w:val="008D729B"/>
    <w:rsid w:val="008D79E9"/>
    <w:rsid w:val="008E0126"/>
    <w:rsid w:val="008E2616"/>
    <w:rsid w:val="008E2ABA"/>
    <w:rsid w:val="008E2DD4"/>
    <w:rsid w:val="008F0A5D"/>
    <w:rsid w:val="008F55D3"/>
    <w:rsid w:val="008F5950"/>
    <w:rsid w:val="008F5A1B"/>
    <w:rsid w:val="008F6151"/>
    <w:rsid w:val="008F6F1D"/>
    <w:rsid w:val="0090680A"/>
    <w:rsid w:val="009079A8"/>
    <w:rsid w:val="00907CDE"/>
    <w:rsid w:val="00910315"/>
    <w:rsid w:val="00911391"/>
    <w:rsid w:val="00911A35"/>
    <w:rsid w:val="009129AB"/>
    <w:rsid w:val="00914C9C"/>
    <w:rsid w:val="00915837"/>
    <w:rsid w:val="00920E82"/>
    <w:rsid w:val="00923414"/>
    <w:rsid w:val="009237A1"/>
    <w:rsid w:val="00923960"/>
    <w:rsid w:val="00923A98"/>
    <w:rsid w:val="00925698"/>
    <w:rsid w:val="00926A06"/>
    <w:rsid w:val="009274A0"/>
    <w:rsid w:val="00930B82"/>
    <w:rsid w:val="00934D28"/>
    <w:rsid w:val="00934F2E"/>
    <w:rsid w:val="009366CF"/>
    <w:rsid w:val="0093678D"/>
    <w:rsid w:val="00936C51"/>
    <w:rsid w:val="009377F4"/>
    <w:rsid w:val="00940166"/>
    <w:rsid w:val="00940276"/>
    <w:rsid w:val="00941D4D"/>
    <w:rsid w:val="00943717"/>
    <w:rsid w:val="00943CC9"/>
    <w:rsid w:val="00943D5A"/>
    <w:rsid w:val="00944284"/>
    <w:rsid w:val="009462B4"/>
    <w:rsid w:val="0095039A"/>
    <w:rsid w:val="00951164"/>
    <w:rsid w:val="00952135"/>
    <w:rsid w:val="00953887"/>
    <w:rsid w:val="00953E35"/>
    <w:rsid w:val="0095594B"/>
    <w:rsid w:val="00956131"/>
    <w:rsid w:val="00956C92"/>
    <w:rsid w:val="0095794D"/>
    <w:rsid w:val="00960638"/>
    <w:rsid w:val="00960C15"/>
    <w:rsid w:val="00963468"/>
    <w:rsid w:val="00963791"/>
    <w:rsid w:val="009650DC"/>
    <w:rsid w:val="009711BE"/>
    <w:rsid w:val="00971625"/>
    <w:rsid w:val="009723E7"/>
    <w:rsid w:val="00972F85"/>
    <w:rsid w:val="009774E2"/>
    <w:rsid w:val="009834BD"/>
    <w:rsid w:val="00983861"/>
    <w:rsid w:val="00985120"/>
    <w:rsid w:val="0098558F"/>
    <w:rsid w:val="009869BA"/>
    <w:rsid w:val="00986CC0"/>
    <w:rsid w:val="0098794A"/>
    <w:rsid w:val="00990CDD"/>
    <w:rsid w:val="0099693B"/>
    <w:rsid w:val="009A0035"/>
    <w:rsid w:val="009A6B62"/>
    <w:rsid w:val="009B00E3"/>
    <w:rsid w:val="009B2A69"/>
    <w:rsid w:val="009B351D"/>
    <w:rsid w:val="009B3E14"/>
    <w:rsid w:val="009B4DEB"/>
    <w:rsid w:val="009B64CA"/>
    <w:rsid w:val="009B6B6E"/>
    <w:rsid w:val="009B7B37"/>
    <w:rsid w:val="009C1FEE"/>
    <w:rsid w:val="009C2E40"/>
    <w:rsid w:val="009C4014"/>
    <w:rsid w:val="009D0B7C"/>
    <w:rsid w:val="009D4C31"/>
    <w:rsid w:val="009D544D"/>
    <w:rsid w:val="009E1C8A"/>
    <w:rsid w:val="009F2216"/>
    <w:rsid w:val="009F5C39"/>
    <w:rsid w:val="009F6032"/>
    <w:rsid w:val="009F685C"/>
    <w:rsid w:val="009F712F"/>
    <w:rsid w:val="00A10100"/>
    <w:rsid w:val="00A1292D"/>
    <w:rsid w:val="00A1367C"/>
    <w:rsid w:val="00A14FC6"/>
    <w:rsid w:val="00A153EF"/>
    <w:rsid w:val="00A155A6"/>
    <w:rsid w:val="00A158FC"/>
    <w:rsid w:val="00A16BE4"/>
    <w:rsid w:val="00A1704A"/>
    <w:rsid w:val="00A20501"/>
    <w:rsid w:val="00A22757"/>
    <w:rsid w:val="00A2361F"/>
    <w:rsid w:val="00A23C6C"/>
    <w:rsid w:val="00A23FAE"/>
    <w:rsid w:val="00A24AA3"/>
    <w:rsid w:val="00A2624F"/>
    <w:rsid w:val="00A26990"/>
    <w:rsid w:val="00A27666"/>
    <w:rsid w:val="00A30353"/>
    <w:rsid w:val="00A31504"/>
    <w:rsid w:val="00A365D2"/>
    <w:rsid w:val="00A37938"/>
    <w:rsid w:val="00A40FD6"/>
    <w:rsid w:val="00A4108D"/>
    <w:rsid w:val="00A4210E"/>
    <w:rsid w:val="00A424A5"/>
    <w:rsid w:val="00A435CF"/>
    <w:rsid w:val="00A438E5"/>
    <w:rsid w:val="00A43F32"/>
    <w:rsid w:val="00A447CC"/>
    <w:rsid w:val="00A45F6D"/>
    <w:rsid w:val="00A46C4B"/>
    <w:rsid w:val="00A47939"/>
    <w:rsid w:val="00A5058D"/>
    <w:rsid w:val="00A506C2"/>
    <w:rsid w:val="00A50B94"/>
    <w:rsid w:val="00A50DAA"/>
    <w:rsid w:val="00A52FD0"/>
    <w:rsid w:val="00A55722"/>
    <w:rsid w:val="00A55B1A"/>
    <w:rsid w:val="00A56676"/>
    <w:rsid w:val="00A61CA1"/>
    <w:rsid w:val="00A62A3A"/>
    <w:rsid w:val="00A63772"/>
    <w:rsid w:val="00A647C0"/>
    <w:rsid w:val="00A650EC"/>
    <w:rsid w:val="00A6528F"/>
    <w:rsid w:val="00A654E3"/>
    <w:rsid w:val="00A663F7"/>
    <w:rsid w:val="00A677C7"/>
    <w:rsid w:val="00A70D2E"/>
    <w:rsid w:val="00A71390"/>
    <w:rsid w:val="00A837B3"/>
    <w:rsid w:val="00A87303"/>
    <w:rsid w:val="00A91F2C"/>
    <w:rsid w:val="00A95043"/>
    <w:rsid w:val="00A960A5"/>
    <w:rsid w:val="00A9713A"/>
    <w:rsid w:val="00AA25C0"/>
    <w:rsid w:val="00AA27EE"/>
    <w:rsid w:val="00AA361F"/>
    <w:rsid w:val="00AA6EC5"/>
    <w:rsid w:val="00AA7A0C"/>
    <w:rsid w:val="00AB230B"/>
    <w:rsid w:val="00AB3174"/>
    <w:rsid w:val="00AB781C"/>
    <w:rsid w:val="00AC12B8"/>
    <w:rsid w:val="00AC1511"/>
    <w:rsid w:val="00AC1FFB"/>
    <w:rsid w:val="00AC3B6C"/>
    <w:rsid w:val="00AC5215"/>
    <w:rsid w:val="00AC6E38"/>
    <w:rsid w:val="00AC749F"/>
    <w:rsid w:val="00AD1E10"/>
    <w:rsid w:val="00AD3590"/>
    <w:rsid w:val="00AD4ED3"/>
    <w:rsid w:val="00AD6220"/>
    <w:rsid w:val="00AD7FDB"/>
    <w:rsid w:val="00AE2719"/>
    <w:rsid w:val="00AE2ACE"/>
    <w:rsid w:val="00AE2ECB"/>
    <w:rsid w:val="00AE316B"/>
    <w:rsid w:val="00AE589F"/>
    <w:rsid w:val="00AE6F8A"/>
    <w:rsid w:val="00AE748D"/>
    <w:rsid w:val="00AE7599"/>
    <w:rsid w:val="00AE774C"/>
    <w:rsid w:val="00AE7B7E"/>
    <w:rsid w:val="00AF012B"/>
    <w:rsid w:val="00AF06CD"/>
    <w:rsid w:val="00AF1302"/>
    <w:rsid w:val="00AF4E85"/>
    <w:rsid w:val="00AF53DD"/>
    <w:rsid w:val="00AF60E0"/>
    <w:rsid w:val="00B00D85"/>
    <w:rsid w:val="00B02360"/>
    <w:rsid w:val="00B02EA0"/>
    <w:rsid w:val="00B079F6"/>
    <w:rsid w:val="00B12A5F"/>
    <w:rsid w:val="00B14AE1"/>
    <w:rsid w:val="00B15A4D"/>
    <w:rsid w:val="00B15F67"/>
    <w:rsid w:val="00B17F53"/>
    <w:rsid w:val="00B206B1"/>
    <w:rsid w:val="00B21630"/>
    <w:rsid w:val="00B22FA2"/>
    <w:rsid w:val="00B24B18"/>
    <w:rsid w:val="00B300BF"/>
    <w:rsid w:val="00B36A9D"/>
    <w:rsid w:val="00B419C4"/>
    <w:rsid w:val="00B42938"/>
    <w:rsid w:val="00B439D2"/>
    <w:rsid w:val="00B440DC"/>
    <w:rsid w:val="00B4450B"/>
    <w:rsid w:val="00B448D0"/>
    <w:rsid w:val="00B44BBA"/>
    <w:rsid w:val="00B5142B"/>
    <w:rsid w:val="00B51827"/>
    <w:rsid w:val="00B52611"/>
    <w:rsid w:val="00B55375"/>
    <w:rsid w:val="00B61591"/>
    <w:rsid w:val="00B623F6"/>
    <w:rsid w:val="00B655FE"/>
    <w:rsid w:val="00B66DAD"/>
    <w:rsid w:val="00B704DD"/>
    <w:rsid w:val="00B71B89"/>
    <w:rsid w:val="00B74850"/>
    <w:rsid w:val="00B76347"/>
    <w:rsid w:val="00B76366"/>
    <w:rsid w:val="00B7658D"/>
    <w:rsid w:val="00B81A39"/>
    <w:rsid w:val="00B84547"/>
    <w:rsid w:val="00B84972"/>
    <w:rsid w:val="00B84FA6"/>
    <w:rsid w:val="00B91222"/>
    <w:rsid w:val="00B91DE8"/>
    <w:rsid w:val="00B95D71"/>
    <w:rsid w:val="00B9608C"/>
    <w:rsid w:val="00BA00BC"/>
    <w:rsid w:val="00BA22ED"/>
    <w:rsid w:val="00BA3268"/>
    <w:rsid w:val="00BA5ABB"/>
    <w:rsid w:val="00BA74ED"/>
    <w:rsid w:val="00BB0606"/>
    <w:rsid w:val="00BB2295"/>
    <w:rsid w:val="00BB5B8B"/>
    <w:rsid w:val="00BB7575"/>
    <w:rsid w:val="00BB7724"/>
    <w:rsid w:val="00BC01F3"/>
    <w:rsid w:val="00BC04F9"/>
    <w:rsid w:val="00BC3846"/>
    <w:rsid w:val="00BC604E"/>
    <w:rsid w:val="00BD1B01"/>
    <w:rsid w:val="00BD27A8"/>
    <w:rsid w:val="00BD5B8D"/>
    <w:rsid w:val="00BD6FC2"/>
    <w:rsid w:val="00BD7CE1"/>
    <w:rsid w:val="00BE2C37"/>
    <w:rsid w:val="00BE4610"/>
    <w:rsid w:val="00BE6446"/>
    <w:rsid w:val="00BF1B20"/>
    <w:rsid w:val="00BF1F1B"/>
    <w:rsid w:val="00BF210B"/>
    <w:rsid w:val="00BF25F5"/>
    <w:rsid w:val="00BF277C"/>
    <w:rsid w:val="00BF3701"/>
    <w:rsid w:val="00C021F9"/>
    <w:rsid w:val="00C03409"/>
    <w:rsid w:val="00C051FD"/>
    <w:rsid w:val="00C06CA1"/>
    <w:rsid w:val="00C162B1"/>
    <w:rsid w:val="00C22ED5"/>
    <w:rsid w:val="00C254C2"/>
    <w:rsid w:val="00C304EA"/>
    <w:rsid w:val="00C3187E"/>
    <w:rsid w:val="00C367DB"/>
    <w:rsid w:val="00C37458"/>
    <w:rsid w:val="00C4019F"/>
    <w:rsid w:val="00C503D8"/>
    <w:rsid w:val="00C50593"/>
    <w:rsid w:val="00C5242A"/>
    <w:rsid w:val="00C60717"/>
    <w:rsid w:val="00C6114D"/>
    <w:rsid w:val="00C630C5"/>
    <w:rsid w:val="00C63610"/>
    <w:rsid w:val="00C6414B"/>
    <w:rsid w:val="00C655AA"/>
    <w:rsid w:val="00C73348"/>
    <w:rsid w:val="00C73445"/>
    <w:rsid w:val="00C73AC7"/>
    <w:rsid w:val="00C8231D"/>
    <w:rsid w:val="00C82948"/>
    <w:rsid w:val="00C8298C"/>
    <w:rsid w:val="00C86D14"/>
    <w:rsid w:val="00C92CE2"/>
    <w:rsid w:val="00C93CF0"/>
    <w:rsid w:val="00C9695C"/>
    <w:rsid w:val="00C96EAB"/>
    <w:rsid w:val="00CA238B"/>
    <w:rsid w:val="00CA2B02"/>
    <w:rsid w:val="00CA386C"/>
    <w:rsid w:val="00CA545C"/>
    <w:rsid w:val="00CA6238"/>
    <w:rsid w:val="00CA698A"/>
    <w:rsid w:val="00CA799B"/>
    <w:rsid w:val="00CA7C1C"/>
    <w:rsid w:val="00CA7FF9"/>
    <w:rsid w:val="00CB0BDD"/>
    <w:rsid w:val="00CB158D"/>
    <w:rsid w:val="00CB169F"/>
    <w:rsid w:val="00CB1B30"/>
    <w:rsid w:val="00CB6191"/>
    <w:rsid w:val="00CB797F"/>
    <w:rsid w:val="00CC0ABD"/>
    <w:rsid w:val="00CC397A"/>
    <w:rsid w:val="00CC3FA8"/>
    <w:rsid w:val="00CC433B"/>
    <w:rsid w:val="00CC4FC8"/>
    <w:rsid w:val="00CC6575"/>
    <w:rsid w:val="00CC6C7E"/>
    <w:rsid w:val="00CD19C1"/>
    <w:rsid w:val="00CD22D6"/>
    <w:rsid w:val="00CD47AB"/>
    <w:rsid w:val="00CD551E"/>
    <w:rsid w:val="00CD66A3"/>
    <w:rsid w:val="00CD704C"/>
    <w:rsid w:val="00CE096A"/>
    <w:rsid w:val="00CE16A6"/>
    <w:rsid w:val="00CE2300"/>
    <w:rsid w:val="00CE44C6"/>
    <w:rsid w:val="00CE5606"/>
    <w:rsid w:val="00CE6B10"/>
    <w:rsid w:val="00CF19FA"/>
    <w:rsid w:val="00CF1C72"/>
    <w:rsid w:val="00CF217A"/>
    <w:rsid w:val="00CF2705"/>
    <w:rsid w:val="00CF68F3"/>
    <w:rsid w:val="00D00C3F"/>
    <w:rsid w:val="00D049D6"/>
    <w:rsid w:val="00D04CE9"/>
    <w:rsid w:val="00D05AA4"/>
    <w:rsid w:val="00D133E8"/>
    <w:rsid w:val="00D14848"/>
    <w:rsid w:val="00D14A9C"/>
    <w:rsid w:val="00D15E0A"/>
    <w:rsid w:val="00D15EE7"/>
    <w:rsid w:val="00D1634F"/>
    <w:rsid w:val="00D40BB0"/>
    <w:rsid w:val="00D41D02"/>
    <w:rsid w:val="00D44F21"/>
    <w:rsid w:val="00D47B6B"/>
    <w:rsid w:val="00D50AAF"/>
    <w:rsid w:val="00D52454"/>
    <w:rsid w:val="00D5611C"/>
    <w:rsid w:val="00D62288"/>
    <w:rsid w:val="00D63D33"/>
    <w:rsid w:val="00D6746D"/>
    <w:rsid w:val="00D7054A"/>
    <w:rsid w:val="00D70FE7"/>
    <w:rsid w:val="00D73A55"/>
    <w:rsid w:val="00D74684"/>
    <w:rsid w:val="00D75669"/>
    <w:rsid w:val="00D75EC7"/>
    <w:rsid w:val="00D76AC1"/>
    <w:rsid w:val="00D76CFE"/>
    <w:rsid w:val="00D82F52"/>
    <w:rsid w:val="00D8363F"/>
    <w:rsid w:val="00D848D9"/>
    <w:rsid w:val="00D84FDD"/>
    <w:rsid w:val="00D8540C"/>
    <w:rsid w:val="00D85C7C"/>
    <w:rsid w:val="00D87944"/>
    <w:rsid w:val="00D9012D"/>
    <w:rsid w:val="00D972F7"/>
    <w:rsid w:val="00D97A92"/>
    <w:rsid w:val="00DA259C"/>
    <w:rsid w:val="00DA5A1D"/>
    <w:rsid w:val="00DB2F4B"/>
    <w:rsid w:val="00DB5413"/>
    <w:rsid w:val="00DB54FF"/>
    <w:rsid w:val="00DB5793"/>
    <w:rsid w:val="00DB68AD"/>
    <w:rsid w:val="00DB6AA8"/>
    <w:rsid w:val="00DC2541"/>
    <w:rsid w:val="00DC63CA"/>
    <w:rsid w:val="00DC6C48"/>
    <w:rsid w:val="00DC720D"/>
    <w:rsid w:val="00DC7384"/>
    <w:rsid w:val="00DC7385"/>
    <w:rsid w:val="00DC75D6"/>
    <w:rsid w:val="00DC7D91"/>
    <w:rsid w:val="00DD1E46"/>
    <w:rsid w:val="00DD2678"/>
    <w:rsid w:val="00DD2F7A"/>
    <w:rsid w:val="00DD3A6B"/>
    <w:rsid w:val="00DD3CE3"/>
    <w:rsid w:val="00DD3EC1"/>
    <w:rsid w:val="00DD3EE9"/>
    <w:rsid w:val="00DD4C4E"/>
    <w:rsid w:val="00DD577F"/>
    <w:rsid w:val="00DD620E"/>
    <w:rsid w:val="00DD760B"/>
    <w:rsid w:val="00DE045B"/>
    <w:rsid w:val="00DE135D"/>
    <w:rsid w:val="00DE3929"/>
    <w:rsid w:val="00DF1A19"/>
    <w:rsid w:val="00DF2DD7"/>
    <w:rsid w:val="00DF50C5"/>
    <w:rsid w:val="00E0001D"/>
    <w:rsid w:val="00E00EB2"/>
    <w:rsid w:val="00E02710"/>
    <w:rsid w:val="00E027FE"/>
    <w:rsid w:val="00E030E7"/>
    <w:rsid w:val="00E034E9"/>
    <w:rsid w:val="00E053E7"/>
    <w:rsid w:val="00E12D77"/>
    <w:rsid w:val="00E13C19"/>
    <w:rsid w:val="00E13F24"/>
    <w:rsid w:val="00E14A33"/>
    <w:rsid w:val="00E15DFE"/>
    <w:rsid w:val="00E22991"/>
    <w:rsid w:val="00E24926"/>
    <w:rsid w:val="00E25D15"/>
    <w:rsid w:val="00E27C82"/>
    <w:rsid w:val="00E31190"/>
    <w:rsid w:val="00E368DA"/>
    <w:rsid w:val="00E3799F"/>
    <w:rsid w:val="00E442AF"/>
    <w:rsid w:val="00E44D47"/>
    <w:rsid w:val="00E467A4"/>
    <w:rsid w:val="00E46CCA"/>
    <w:rsid w:val="00E474B8"/>
    <w:rsid w:val="00E479AE"/>
    <w:rsid w:val="00E47D54"/>
    <w:rsid w:val="00E5100E"/>
    <w:rsid w:val="00E51489"/>
    <w:rsid w:val="00E51F90"/>
    <w:rsid w:val="00E52643"/>
    <w:rsid w:val="00E52AD4"/>
    <w:rsid w:val="00E53C47"/>
    <w:rsid w:val="00E56902"/>
    <w:rsid w:val="00E60CB3"/>
    <w:rsid w:val="00E61F30"/>
    <w:rsid w:val="00E6437F"/>
    <w:rsid w:val="00E6617E"/>
    <w:rsid w:val="00E7113E"/>
    <w:rsid w:val="00E714F6"/>
    <w:rsid w:val="00E718F5"/>
    <w:rsid w:val="00E71C63"/>
    <w:rsid w:val="00E759F6"/>
    <w:rsid w:val="00E75BB4"/>
    <w:rsid w:val="00E8187F"/>
    <w:rsid w:val="00E82103"/>
    <w:rsid w:val="00E83F26"/>
    <w:rsid w:val="00E84F88"/>
    <w:rsid w:val="00E87057"/>
    <w:rsid w:val="00E900A1"/>
    <w:rsid w:val="00E90F29"/>
    <w:rsid w:val="00E90F94"/>
    <w:rsid w:val="00E9198B"/>
    <w:rsid w:val="00E91EC1"/>
    <w:rsid w:val="00E92847"/>
    <w:rsid w:val="00E9679E"/>
    <w:rsid w:val="00E979A4"/>
    <w:rsid w:val="00EA229D"/>
    <w:rsid w:val="00EA25D7"/>
    <w:rsid w:val="00EA3252"/>
    <w:rsid w:val="00EB342F"/>
    <w:rsid w:val="00EB49B2"/>
    <w:rsid w:val="00EB5AA7"/>
    <w:rsid w:val="00EC246D"/>
    <w:rsid w:val="00EC46A2"/>
    <w:rsid w:val="00EC4B3F"/>
    <w:rsid w:val="00EC513F"/>
    <w:rsid w:val="00EC5598"/>
    <w:rsid w:val="00ED054B"/>
    <w:rsid w:val="00ED2A0D"/>
    <w:rsid w:val="00ED62DB"/>
    <w:rsid w:val="00EE1C71"/>
    <w:rsid w:val="00EE23F9"/>
    <w:rsid w:val="00EE373A"/>
    <w:rsid w:val="00EF12A9"/>
    <w:rsid w:val="00EF1AC9"/>
    <w:rsid w:val="00EF35D3"/>
    <w:rsid w:val="00EF3637"/>
    <w:rsid w:val="00EF466D"/>
    <w:rsid w:val="00EF77B0"/>
    <w:rsid w:val="00EF79AF"/>
    <w:rsid w:val="00F0639D"/>
    <w:rsid w:val="00F07A93"/>
    <w:rsid w:val="00F11DAD"/>
    <w:rsid w:val="00F13773"/>
    <w:rsid w:val="00F1483A"/>
    <w:rsid w:val="00F1677C"/>
    <w:rsid w:val="00F16C0D"/>
    <w:rsid w:val="00F20B18"/>
    <w:rsid w:val="00F212D5"/>
    <w:rsid w:val="00F234FC"/>
    <w:rsid w:val="00F30A5A"/>
    <w:rsid w:val="00F337AE"/>
    <w:rsid w:val="00F379B2"/>
    <w:rsid w:val="00F4058C"/>
    <w:rsid w:val="00F40B21"/>
    <w:rsid w:val="00F41A5F"/>
    <w:rsid w:val="00F42864"/>
    <w:rsid w:val="00F439A0"/>
    <w:rsid w:val="00F46FB1"/>
    <w:rsid w:val="00F5171C"/>
    <w:rsid w:val="00F54CEC"/>
    <w:rsid w:val="00F56966"/>
    <w:rsid w:val="00F5740E"/>
    <w:rsid w:val="00F57D00"/>
    <w:rsid w:val="00F6364D"/>
    <w:rsid w:val="00F653C8"/>
    <w:rsid w:val="00F67895"/>
    <w:rsid w:val="00F71F18"/>
    <w:rsid w:val="00F728EE"/>
    <w:rsid w:val="00F72B02"/>
    <w:rsid w:val="00F73097"/>
    <w:rsid w:val="00F81852"/>
    <w:rsid w:val="00F83D9D"/>
    <w:rsid w:val="00F86D88"/>
    <w:rsid w:val="00F92F59"/>
    <w:rsid w:val="00F9358F"/>
    <w:rsid w:val="00F94BC2"/>
    <w:rsid w:val="00F96D67"/>
    <w:rsid w:val="00FA0EBE"/>
    <w:rsid w:val="00FA29D5"/>
    <w:rsid w:val="00FA7B4E"/>
    <w:rsid w:val="00FB1194"/>
    <w:rsid w:val="00FB319F"/>
    <w:rsid w:val="00FB36F9"/>
    <w:rsid w:val="00FB4077"/>
    <w:rsid w:val="00FB5106"/>
    <w:rsid w:val="00FB5625"/>
    <w:rsid w:val="00FB7331"/>
    <w:rsid w:val="00FB7646"/>
    <w:rsid w:val="00FB7782"/>
    <w:rsid w:val="00FC3081"/>
    <w:rsid w:val="00FC66A9"/>
    <w:rsid w:val="00FD2AAB"/>
    <w:rsid w:val="00FD300F"/>
    <w:rsid w:val="00FD341A"/>
    <w:rsid w:val="00FD43D5"/>
    <w:rsid w:val="00FD5746"/>
    <w:rsid w:val="00FD58CD"/>
    <w:rsid w:val="00FD7D1A"/>
    <w:rsid w:val="00FE268F"/>
    <w:rsid w:val="00FE3EA7"/>
    <w:rsid w:val="00FE5DC2"/>
    <w:rsid w:val="00FE634E"/>
    <w:rsid w:val="00FF232C"/>
    <w:rsid w:val="00FF2452"/>
    <w:rsid w:val="00FF2A0F"/>
    <w:rsid w:val="00FF4EDD"/>
    <w:rsid w:val="00FF63AD"/>
    <w:rsid w:val="00FF7028"/>
    <w:rsid w:val="010F1DA1"/>
    <w:rsid w:val="01435E9E"/>
    <w:rsid w:val="014632E9"/>
    <w:rsid w:val="01526B37"/>
    <w:rsid w:val="019D6B21"/>
    <w:rsid w:val="01A4259A"/>
    <w:rsid w:val="01B30C63"/>
    <w:rsid w:val="01B72C32"/>
    <w:rsid w:val="01BF5575"/>
    <w:rsid w:val="01DB7ED5"/>
    <w:rsid w:val="01EF572E"/>
    <w:rsid w:val="01FB0577"/>
    <w:rsid w:val="02247ACE"/>
    <w:rsid w:val="022655F4"/>
    <w:rsid w:val="02407AB4"/>
    <w:rsid w:val="024737BC"/>
    <w:rsid w:val="02775E4F"/>
    <w:rsid w:val="027F2F56"/>
    <w:rsid w:val="028B36A9"/>
    <w:rsid w:val="028B5457"/>
    <w:rsid w:val="02936B39"/>
    <w:rsid w:val="02950A37"/>
    <w:rsid w:val="029C7664"/>
    <w:rsid w:val="02A51DF2"/>
    <w:rsid w:val="02C52D45"/>
    <w:rsid w:val="02CD31D2"/>
    <w:rsid w:val="033160EB"/>
    <w:rsid w:val="03373831"/>
    <w:rsid w:val="033E071B"/>
    <w:rsid w:val="033F6241"/>
    <w:rsid w:val="034E4F3D"/>
    <w:rsid w:val="035E2B6B"/>
    <w:rsid w:val="03A5079A"/>
    <w:rsid w:val="03AF2E2F"/>
    <w:rsid w:val="03BB1D6C"/>
    <w:rsid w:val="03D472D2"/>
    <w:rsid w:val="03F4783B"/>
    <w:rsid w:val="041871BE"/>
    <w:rsid w:val="041956FC"/>
    <w:rsid w:val="042446F9"/>
    <w:rsid w:val="042751F8"/>
    <w:rsid w:val="04497378"/>
    <w:rsid w:val="0459308B"/>
    <w:rsid w:val="04675A50"/>
    <w:rsid w:val="046C12B8"/>
    <w:rsid w:val="04826D2E"/>
    <w:rsid w:val="04854128"/>
    <w:rsid w:val="049D3B67"/>
    <w:rsid w:val="04A10F62"/>
    <w:rsid w:val="04AD3DAA"/>
    <w:rsid w:val="04B213C1"/>
    <w:rsid w:val="04BC223F"/>
    <w:rsid w:val="04D72BD5"/>
    <w:rsid w:val="04D952CF"/>
    <w:rsid w:val="050E411D"/>
    <w:rsid w:val="052D4EEB"/>
    <w:rsid w:val="054B5371"/>
    <w:rsid w:val="056106F1"/>
    <w:rsid w:val="059565ED"/>
    <w:rsid w:val="05AE31EB"/>
    <w:rsid w:val="05AF76AE"/>
    <w:rsid w:val="05B9677F"/>
    <w:rsid w:val="05CF7D50"/>
    <w:rsid w:val="05D073C6"/>
    <w:rsid w:val="05D53C72"/>
    <w:rsid w:val="05D94D16"/>
    <w:rsid w:val="05F72E03"/>
    <w:rsid w:val="06756005"/>
    <w:rsid w:val="067D362E"/>
    <w:rsid w:val="06877615"/>
    <w:rsid w:val="069C49FD"/>
    <w:rsid w:val="06A27FAC"/>
    <w:rsid w:val="06AC4037"/>
    <w:rsid w:val="06B14245"/>
    <w:rsid w:val="06D73FCD"/>
    <w:rsid w:val="06E75C4D"/>
    <w:rsid w:val="0711497B"/>
    <w:rsid w:val="07142153"/>
    <w:rsid w:val="07267E44"/>
    <w:rsid w:val="07287718"/>
    <w:rsid w:val="074A3B33"/>
    <w:rsid w:val="07603356"/>
    <w:rsid w:val="07A07BF6"/>
    <w:rsid w:val="07AA637F"/>
    <w:rsid w:val="07BF5211"/>
    <w:rsid w:val="07EA2C20"/>
    <w:rsid w:val="07F41CF0"/>
    <w:rsid w:val="080F6B2A"/>
    <w:rsid w:val="0828574C"/>
    <w:rsid w:val="084D31AF"/>
    <w:rsid w:val="08514A4D"/>
    <w:rsid w:val="08743D27"/>
    <w:rsid w:val="08A74FB5"/>
    <w:rsid w:val="08BF5E5A"/>
    <w:rsid w:val="08CE609D"/>
    <w:rsid w:val="08EB4EA1"/>
    <w:rsid w:val="08FA77E7"/>
    <w:rsid w:val="090917CB"/>
    <w:rsid w:val="090E6DE2"/>
    <w:rsid w:val="09181A0E"/>
    <w:rsid w:val="095F1DB0"/>
    <w:rsid w:val="09620925"/>
    <w:rsid w:val="0972111F"/>
    <w:rsid w:val="097A7FD3"/>
    <w:rsid w:val="09954E0D"/>
    <w:rsid w:val="099E1BC2"/>
    <w:rsid w:val="099E1F14"/>
    <w:rsid w:val="09A80FE4"/>
    <w:rsid w:val="09BD72E2"/>
    <w:rsid w:val="09CA0F5B"/>
    <w:rsid w:val="09DF42DA"/>
    <w:rsid w:val="09E87633"/>
    <w:rsid w:val="09F91840"/>
    <w:rsid w:val="0A0855DF"/>
    <w:rsid w:val="0A2C72D2"/>
    <w:rsid w:val="0A4707FD"/>
    <w:rsid w:val="0A5E78F5"/>
    <w:rsid w:val="0A5F3317"/>
    <w:rsid w:val="0A7361E8"/>
    <w:rsid w:val="0A9C2F03"/>
    <w:rsid w:val="0AA9535F"/>
    <w:rsid w:val="0B04224A"/>
    <w:rsid w:val="0B141573"/>
    <w:rsid w:val="0B1D155E"/>
    <w:rsid w:val="0B3605EB"/>
    <w:rsid w:val="0B3A2110"/>
    <w:rsid w:val="0B513434"/>
    <w:rsid w:val="0B575137"/>
    <w:rsid w:val="0B7373D0"/>
    <w:rsid w:val="0B7C44D7"/>
    <w:rsid w:val="0B7E024F"/>
    <w:rsid w:val="0B830867"/>
    <w:rsid w:val="0B846A84"/>
    <w:rsid w:val="0B892750"/>
    <w:rsid w:val="0B8B64C8"/>
    <w:rsid w:val="0B9C2483"/>
    <w:rsid w:val="0BA37CB5"/>
    <w:rsid w:val="0BAF1556"/>
    <w:rsid w:val="0BB35E2B"/>
    <w:rsid w:val="0BC83278"/>
    <w:rsid w:val="0BED0F30"/>
    <w:rsid w:val="0C21076C"/>
    <w:rsid w:val="0C236700"/>
    <w:rsid w:val="0C27455C"/>
    <w:rsid w:val="0C5C1C12"/>
    <w:rsid w:val="0C720E4C"/>
    <w:rsid w:val="0C741652"/>
    <w:rsid w:val="0C8F023A"/>
    <w:rsid w:val="0C9654FE"/>
    <w:rsid w:val="0CBF33AD"/>
    <w:rsid w:val="0CC46FA3"/>
    <w:rsid w:val="0CFB767D"/>
    <w:rsid w:val="0D3037CB"/>
    <w:rsid w:val="0D30650C"/>
    <w:rsid w:val="0D444B80"/>
    <w:rsid w:val="0D4F196D"/>
    <w:rsid w:val="0D4F3069"/>
    <w:rsid w:val="0D533015"/>
    <w:rsid w:val="0D5D778E"/>
    <w:rsid w:val="0D7824DB"/>
    <w:rsid w:val="0D847672"/>
    <w:rsid w:val="0D987510"/>
    <w:rsid w:val="0DA25D4B"/>
    <w:rsid w:val="0DA55439"/>
    <w:rsid w:val="0DBF50EA"/>
    <w:rsid w:val="0DCB50F9"/>
    <w:rsid w:val="0DCF1345"/>
    <w:rsid w:val="0E0135C0"/>
    <w:rsid w:val="0E2E1694"/>
    <w:rsid w:val="0E3A06CD"/>
    <w:rsid w:val="0E406036"/>
    <w:rsid w:val="0E4D3F08"/>
    <w:rsid w:val="0E5E24AB"/>
    <w:rsid w:val="0E5E6115"/>
    <w:rsid w:val="0E784E12"/>
    <w:rsid w:val="0E8D2557"/>
    <w:rsid w:val="0E92384C"/>
    <w:rsid w:val="0EF12AE6"/>
    <w:rsid w:val="0F114F36"/>
    <w:rsid w:val="0F394AB4"/>
    <w:rsid w:val="0F3F300E"/>
    <w:rsid w:val="0F5337A0"/>
    <w:rsid w:val="0F704352"/>
    <w:rsid w:val="0F8C6CB2"/>
    <w:rsid w:val="0FC63F72"/>
    <w:rsid w:val="0FCC70AF"/>
    <w:rsid w:val="0FE4089C"/>
    <w:rsid w:val="0FFC1519"/>
    <w:rsid w:val="100F3B6B"/>
    <w:rsid w:val="1030763E"/>
    <w:rsid w:val="10685029"/>
    <w:rsid w:val="108E0327"/>
    <w:rsid w:val="10B44601"/>
    <w:rsid w:val="10C36704"/>
    <w:rsid w:val="10C55FD8"/>
    <w:rsid w:val="10D821AF"/>
    <w:rsid w:val="10DE709A"/>
    <w:rsid w:val="10EC17B7"/>
    <w:rsid w:val="10F3326E"/>
    <w:rsid w:val="112A22DF"/>
    <w:rsid w:val="113118BF"/>
    <w:rsid w:val="11360C84"/>
    <w:rsid w:val="11362B63"/>
    <w:rsid w:val="114A2981"/>
    <w:rsid w:val="114A41D7"/>
    <w:rsid w:val="114E421F"/>
    <w:rsid w:val="11586E4C"/>
    <w:rsid w:val="116022EE"/>
    <w:rsid w:val="11EA5308"/>
    <w:rsid w:val="1212349F"/>
    <w:rsid w:val="121323EB"/>
    <w:rsid w:val="121376E3"/>
    <w:rsid w:val="1218482D"/>
    <w:rsid w:val="12361B9E"/>
    <w:rsid w:val="123A0C48"/>
    <w:rsid w:val="12485112"/>
    <w:rsid w:val="126D6916"/>
    <w:rsid w:val="127E28E2"/>
    <w:rsid w:val="12AA12B5"/>
    <w:rsid w:val="12B207DE"/>
    <w:rsid w:val="130F79DE"/>
    <w:rsid w:val="13201BEB"/>
    <w:rsid w:val="133D7E08"/>
    <w:rsid w:val="137361BF"/>
    <w:rsid w:val="137B1518"/>
    <w:rsid w:val="138F0B1F"/>
    <w:rsid w:val="13BA5B9C"/>
    <w:rsid w:val="13C15241"/>
    <w:rsid w:val="13E76BAD"/>
    <w:rsid w:val="142D2812"/>
    <w:rsid w:val="142F0BEC"/>
    <w:rsid w:val="14357918"/>
    <w:rsid w:val="143F4D1B"/>
    <w:rsid w:val="14774392"/>
    <w:rsid w:val="14F7697C"/>
    <w:rsid w:val="153100E0"/>
    <w:rsid w:val="153B706E"/>
    <w:rsid w:val="154D0C92"/>
    <w:rsid w:val="15CE24A5"/>
    <w:rsid w:val="15F71716"/>
    <w:rsid w:val="15FA6724"/>
    <w:rsid w:val="16143C24"/>
    <w:rsid w:val="1615355E"/>
    <w:rsid w:val="161F06B0"/>
    <w:rsid w:val="162502C9"/>
    <w:rsid w:val="1641332A"/>
    <w:rsid w:val="165C73DE"/>
    <w:rsid w:val="16610551"/>
    <w:rsid w:val="16646293"/>
    <w:rsid w:val="167209B0"/>
    <w:rsid w:val="1676615B"/>
    <w:rsid w:val="16803014"/>
    <w:rsid w:val="169E1486"/>
    <w:rsid w:val="169F551D"/>
    <w:rsid w:val="16A158F3"/>
    <w:rsid w:val="16B754B6"/>
    <w:rsid w:val="16BC60CF"/>
    <w:rsid w:val="16C831A6"/>
    <w:rsid w:val="16CD711D"/>
    <w:rsid w:val="16CF5E02"/>
    <w:rsid w:val="16E66CA8"/>
    <w:rsid w:val="17190E2C"/>
    <w:rsid w:val="17285513"/>
    <w:rsid w:val="17343EB7"/>
    <w:rsid w:val="17571954"/>
    <w:rsid w:val="175E7186"/>
    <w:rsid w:val="17742506"/>
    <w:rsid w:val="17806D11"/>
    <w:rsid w:val="178A3A30"/>
    <w:rsid w:val="17AC7CCF"/>
    <w:rsid w:val="17C23271"/>
    <w:rsid w:val="17CB1111"/>
    <w:rsid w:val="17CC38C7"/>
    <w:rsid w:val="17DE55A1"/>
    <w:rsid w:val="17E72CD8"/>
    <w:rsid w:val="17EC37B1"/>
    <w:rsid w:val="17F23AAF"/>
    <w:rsid w:val="18015566"/>
    <w:rsid w:val="18090EA0"/>
    <w:rsid w:val="180E4708"/>
    <w:rsid w:val="180F79F0"/>
    <w:rsid w:val="18251A52"/>
    <w:rsid w:val="1836315B"/>
    <w:rsid w:val="18716A45"/>
    <w:rsid w:val="187E08C6"/>
    <w:rsid w:val="18950986"/>
    <w:rsid w:val="18AA6B24"/>
    <w:rsid w:val="18CA0730"/>
    <w:rsid w:val="18D47700"/>
    <w:rsid w:val="190241D6"/>
    <w:rsid w:val="19033B41"/>
    <w:rsid w:val="190A3122"/>
    <w:rsid w:val="19102702"/>
    <w:rsid w:val="19263CD4"/>
    <w:rsid w:val="19353F17"/>
    <w:rsid w:val="19481E9C"/>
    <w:rsid w:val="195425EF"/>
    <w:rsid w:val="195A572B"/>
    <w:rsid w:val="196842EC"/>
    <w:rsid w:val="196F567B"/>
    <w:rsid w:val="197D274C"/>
    <w:rsid w:val="197D7D98"/>
    <w:rsid w:val="19806C86"/>
    <w:rsid w:val="198527A8"/>
    <w:rsid w:val="199E37A1"/>
    <w:rsid w:val="19A277FE"/>
    <w:rsid w:val="19A67683"/>
    <w:rsid w:val="19B80DD0"/>
    <w:rsid w:val="19B968F6"/>
    <w:rsid w:val="19C86D79"/>
    <w:rsid w:val="19DB686C"/>
    <w:rsid w:val="19E62A47"/>
    <w:rsid w:val="19F4792E"/>
    <w:rsid w:val="19FB727A"/>
    <w:rsid w:val="1A0062D3"/>
    <w:rsid w:val="1A016035"/>
    <w:rsid w:val="1A0F193E"/>
    <w:rsid w:val="1A0F29BA"/>
    <w:rsid w:val="1A3B788E"/>
    <w:rsid w:val="1A4E294D"/>
    <w:rsid w:val="1A613215"/>
    <w:rsid w:val="1A712159"/>
    <w:rsid w:val="1A7F7C23"/>
    <w:rsid w:val="1A8C6C9A"/>
    <w:rsid w:val="1A8E38DF"/>
    <w:rsid w:val="1AB43765"/>
    <w:rsid w:val="1ACB68E1"/>
    <w:rsid w:val="1ADE7BE6"/>
    <w:rsid w:val="1AE856E5"/>
    <w:rsid w:val="1AFF47DC"/>
    <w:rsid w:val="1B0167A6"/>
    <w:rsid w:val="1B122762"/>
    <w:rsid w:val="1B2B104C"/>
    <w:rsid w:val="1B717004"/>
    <w:rsid w:val="1B886580"/>
    <w:rsid w:val="1BC7354C"/>
    <w:rsid w:val="1BCA6B98"/>
    <w:rsid w:val="1BE7774A"/>
    <w:rsid w:val="1BEC2524"/>
    <w:rsid w:val="1BF9712D"/>
    <w:rsid w:val="1C006F16"/>
    <w:rsid w:val="1C0D4CD7"/>
    <w:rsid w:val="1C2E35CB"/>
    <w:rsid w:val="1C35495A"/>
    <w:rsid w:val="1C406E5A"/>
    <w:rsid w:val="1C4A202F"/>
    <w:rsid w:val="1C4E5A1B"/>
    <w:rsid w:val="1C527A49"/>
    <w:rsid w:val="1C5365F7"/>
    <w:rsid w:val="1C580648"/>
    <w:rsid w:val="1C651DCF"/>
    <w:rsid w:val="1C8036FB"/>
    <w:rsid w:val="1C876837"/>
    <w:rsid w:val="1C8F0EDF"/>
    <w:rsid w:val="1C961170"/>
    <w:rsid w:val="1C9A2A0F"/>
    <w:rsid w:val="1C9C36AC"/>
    <w:rsid w:val="1CBF4914"/>
    <w:rsid w:val="1CC22144"/>
    <w:rsid w:val="1CC57360"/>
    <w:rsid w:val="1CCC0CBE"/>
    <w:rsid w:val="1CEB326A"/>
    <w:rsid w:val="1CFB2D49"/>
    <w:rsid w:val="1D2A5330"/>
    <w:rsid w:val="1D2D5631"/>
    <w:rsid w:val="1D3101C4"/>
    <w:rsid w:val="1D352737"/>
    <w:rsid w:val="1D385D84"/>
    <w:rsid w:val="1D44297A"/>
    <w:rsid w:val="1D507571"/>
    <w:rsid w:val="1D5A3F4C"/>
    <w:rsid w:val="1D6152DA"/>
    <w:rsid w:val="1D6649CE"/>
    <w:rsid w:val="1D6938D1"/>
    <w:rsid w:val="1D8B7972"/>
    <w:rsid w:val="1DBC69B5"/>
    <w:rsid w:val="1DC1221D"/>
    <w:rsid w:val="1E196046"/>
    <w:rsid w:val="1E366767"/>
    <w:rsid w:val="1E4B69B6"/>
    <w:rsid w:val="1E51534F"/>
    <w:rsid w:val="1E5348E9"/>
    <w:rsid w:val="1E5A048F"/>
    <w:rsid w:val="1E6C3F37"/>
    <w:rsid w:val="1E977643"/>
    <w:rsid w:val="1EA45087"/>
    <w:rsid w:val="1EBA7398"/>
    <w:rsid w:val="1EE44415"/>
    <w:rsid w:val="1EF93C1B"/>
    <w:rsid w:val="1F071EB1"/>
    <w:rsid w:val="1F0D7CBA"/>
    <w:rsid w:val="1F100D66"/>
    <w:rsid w:val="1F134CFA"/>
    <w:rsid w:val="1F184345"/>
    <w:rsid w:val="1F7A63C7"/>
    <w:rsid w:val="1F7E6617"/>
    <w:rsid w:val="1FEA15B7"/>
    <w:rsid w:val="20006B05"/>
    <w:rsid w:val="2020322B"/>
    <w:rsid w:val="20495B8C"/>
    <w:rsid w:val="20591670"/>
    <w:rsid w:val="2063580D"/>
    <w:rsid w:val="20641C15"/>
    <w:rsid w:val="20CC33B3"/>
    <w:rsid w:val="20CC6F0F"/>
    <w:rsid w:val="20DB7AF0"/>
    <w:rsid w:val="20E57FD0"/>
    <w:rsid w:val="20EC135F"/>
    <w:rsid w:val="21221238"/>
    <w:rsid w:val="21336F8E"/>
    <w:rsid w:val="214B2529"/>
    <w:rsid w:val="21921F06"/>
    <w:rsid w:val="219D08AB"/>
    <w:rsid w:val="21A34113"/>
    <w:rsid w:val="21AB746C"/>
    <w:rsid w:val="21B207FA"/>
    <w:rsid w:val="21BF6A73"/>
    <w:rsid w:val="21CB4925"/>
    <w:rsid w:val="21E87D78"/>
    <w:rsid w:val="2219530B"/>
    <w:rsid w:val="222B5EB7"/>
    <w:rsid w:val="22433DDE"/>
    <w:rsid w:val="22473782"/>
    <w:rsid w:val="22584BC3"/>
    <w:rsid w:val="225D349A"/>
    <w:rsid w:val="22665141"/>
    <w:rsid w:val="22857CBD"/>
    <w:rsid w:val="228C2678"/>
    <w:rsid w:val="22A939AB"/>
    <w:rsid w:val="22C5170B"/>
    <w:rsid w:val="22D7693C"/>
    <w:rsid w:val="22EF5136"/>
    <w:rsid w:val="22F34C27"/>
    <w:rsid w:val="23151041"/>
    <w:rsid w:val="2318286D"/>
    <w:rsid w:val="234611FA"/>
    <w:rsid w:val="23640DBF"/>
    <w:rsid w:val="23696ABF"/>
    <w:rsid w:val="237044C9"/>
    <w:rsid w:val="237613B4"/>
    <w:rsid w:val="23CE28D8"/>
    <w:rsid w:val="23D305B4"/>
    <w:rsid w:val="23DE58D7"/>
    <w:rsid w:val="23F74318"/>
    <w:rsid w:val="23F80F79"/>
    <w:rsid w:val="244A4D1A"/>
    <w:rsid w:val="244D0366"/>
    <w:rsid w:val="245E2574"/>
    <w:rsid w:val="24620035"/>
    <w:rsid w:val="247C6E9E"/>
    <w:rsid w:val="24896681"/>
    <w:rsid w:val="249146F7"/>
    <w:rsid w:val="24A81A41"/>
    <w:rsid w:val="24B823E9"/>
    <w:rsid w:val="24DA5D3D"/>
    <w:rsid w:val="24DB5972"/>
    <w:rsid w:val="24E24F53"/>
    <w:rsid w:val="24F05D07"/>
    <w:rsid w:val="24F5112A"/>
    <w:rsid w:val="2500187D"/>
    <w:rsid w:val="25336AFF"/>
    <w:rsid w:val="255120D8"/>
    <w:rsid w:val="256406CB"/>
    <w:rsid w:val="25697422"/>
    <w:rsid w:val="25AD37B3"/>
    <w:rsid w:val="25AE74E7"/>
    <w:rsid w:val="25FE400E"/>
    <w:rsid w:val="2624159B"/>
    <w:rsid w:val="264164B5"/>
    <w:rsid w:val="264A1001"/>
    <w:rsid w:val="265118FC"/>
    <w:rsid w:val="265A320F"/>
    <w:rsid w:val="2661634B"/>
    <w:rsid w:val="267442D0"/>
    <w:rsid w:val="267E2452"/>
    <w:rsid w:val="268169ED"/>
    <w:rsid w:val="268E2B8F"/>
    <w:rsid w:val="2693320D"/>
    <w:rsid w:val="269404CF"/>
    <w:rsid w:val="26991969"/>
    <w:rsid w:val="26C32B62"/>
    <w:rsid w:val="26E8081A"/>
    <w:rsid w:val="26F45411"/>
    <w:rsid w:val="270D4A7E"/>
    <w:rsid w:val="27550294"/>
    <w:rsid w:val="276500BD"/>
    <w:rsid w:val="2769195B"/>
    <w:rsid w:val="27806CA5"/>
    <w:rsid w:val="27822A1D"/>
    <w:rsid w:val="278A3704"/>
    <w:rsid w:val="279A1463"/>
    <w:rsid w:val="27BF3329"/>
    <w:rsid w:val="27C70430"/>
    <w:rsid w:val="27CB0983"/>
    <w:rsid w:val="27CC3C98"/>
    <w:rsid w:val="27CE7A10"/>
    <w:rsid w:val="27D01E16"/>
    <w:rsid w:val="27D060BF"/>
    <w:rsid w:val="27D112AE"/>
    <w:rsid w:val="27EC7E96"/>
    <w:rsid w:val="281573ED"/>
    <w:rsid w:val="281713B7"/>
    <w:rsid w:val="28305FD5"/>
    <w:rsid w:val="284B1061"/>
    <w:rsid w:val="284E7BB4"/>
    <w:rsid w:val="28506677"/>
    <w:rsid w:val="286F7C9A"/>
    <w:rsid w:val="28805396"/>
    <w:rsid w:val="28863197"/>
    <w:rsid w:val="28AC5FA3"/>
    <w:rsid w:val="28C52BC1"/>
    <w:rsid w:val="28C81457"/>
    <w:rsid w:val="28E56790"/>
    <w:rsid w:val="28EB0F55"/>
    <w:rsid w:val="29115E06"/>
    <w:rsid w:val="291C3D7C"/>
    <w:rsid w:val="293164A9"/>
    <w:rsid w:val="294F0C22"/>
    <w:rsid w:val="295201CD"/>
    <w:rsid w:val="295F55E0"/>
    <w:rsid w:val="297312C8"/>
    <w:rsid w:val="29A22F02"/>
    <w:rsid w:val="29DA6B40"/>
    <w:rsid w:val="29EC23D0"/>
    <w:rsid w:val="29FF02EB"/>
    <w:rsid w:val="29FF2103"/>
    <w:rsid w:val="2A181417"/>
    <w:rsid w:val="2A3829B1"/>
    <w:rsid w:val="2A3F46F3"/>
    <w:rsid w:val="2A895E70"/>
    <w:rsid w:val="2A8A2314"/>
    <w:rsid w:val="2A91593E"/>
    <w:rsid w:val="2AAD1B5F"/>
    <w:rsid w:val="2AAF1A65"/>
    <w:rsid w:val="2AB51923"/>
    <w:rsid w:val="2AD4533E"/>
    <w:rsid w:val="2AF849C9"/>
    <w:rsid w:val="2AFB6D6E"/>
    <w:rsid w:val="2B0379D1"/>
    <w:rsid w:val="2B1020EE"/>
    <w:rsid w:val="2B1B2F6C"/>
    <w:rsid w:val="2B342280"/>
    <w:rsid w:val="2B3D2BD4"/>
    <w:rsid w:val="2B40299A"/>
    <w:rsid w:val="2B795DEE"/>
    <w:rsid w:val="2BD17ACF"/>
    <w:rsid w:val="2BEB6DE3"/>
    <w:rsid w:val="2BEE3514"/>
    <w:rsid w:val="2C0734F1"/>
    <w:rsid w:val="2C1520B2"/>
    <w:rsid w:val="2C3818FC"/>
    <w:rsid w:val="2C622E1D"/>
    <w:rsid w:val="2C640943"/>
    <w:rsid w:val="2C734E47"/>
    <w:rsid w:val="2C7C3EDF"/>
    <w:rsid w:val="2CA72B35"/>
    <w:rsid w:val="2CB35427"/>
    <w:rsid w:val="2CD21D51"/>
    <w:rsid w:val="2CDB4EBB"/>
    <w:rsid w:val="2CDC65BC"/>
    <w:rsid w:val="2CF9552F"/>
    <w:rsid w:val="2D17374A"/>
    <w:rsid w:val="2D1F71EF"/>
    <w:rsid w:val="2D3A26F8"/>
    <w:rsid w:val="2D4349FC"/>
    <w:rsid w:val="2D55050F"/>
    <w:rsid w:val="2D7626DC"/>
    <w:rsid w:val="2D891041"/>
    <w:rsid w:val="2D9B65E7"/>
    <w:rsid w:val="2DCE1065"/>
    <w:rsid w:val="2DDD275B"/>
    <w:rsid w:val="2DF2439E"/>
    <w:rsid w:val="2E076BE8"/>
    <w:rsid w:val="2E0C4DEE"/>
    <w:rsid w:val="2E2E353D"/>
    <w:rsid w:val="2E3B3926"/>
    <w:rsid w:val="2E4F2F2D"/>
    <w:rsid w:val="2E5073D1"/>
    <w:rsid w:val="2E57163E"/>
    <w:rsid w:val="2E5C19DC"/>
    <w:rsid w:val="2E5E430F"/>
    <w:rsid w:val="2E9A689E"/>
    <w:rsid w:val="2EA74B17"/>
    <w:rsid w:val="2EAE5EA6"/>
    <w:rsid w:val="2EF7784D"/>
    <w:rsid w:val="2F17396B"/>
    <w:rsid w:val="2F1C72B3"/>
    <w:rsid w:val="2F326AD7"/>
    <w:rsid w:val="2F3738F6"/>
    <w:rsid w:val="2F561E0E"/>
    <w:rsid w:val="2F691389"/>
    <w:rsid w:val="2F907FDD"/>
    <w:rsid w:val="2F950E14"/>
    <w:rsid w:val="2F9A04D8"/>
    <w:rsid w:val="2FCB09DB"/>
    <w:rsid w:val="2FF635B8"/>
    <w:rsid w:val="2FFD70E5"/>
    <w:rsid w:val="30134B5A"/>
    <w:rsid w:val="30171AF5"/>
    <w:rsid w:val="30640F12"/>
    <w:rsid w:val="307C6264"/>
    <w:rsid w:val="309733E0"/>
    <w:rsid w:val="30AC301F"/>
    <w:rsid w:val="30AF6D8F"/>
    <w:rsid w:val="30C3032E"/>
    <w:rsid w:val="30C53AB5"/>
    <w:rsid w:val="30C976F9"/>
    <w:rsid w:val="30D1550A"/>
    <w:rsid w:val="30E56588"/>
    <w:rsid w:val="30FB1EEF"/>
    <w:rsid w:val="310C3CE5"/>
    <w:rsid w:val="314A45AB"/>
    <w:rsid w:val="315D0B73"/>
    <w:rsid w:val="31660CB9"/>
    <w:rsid w:val="31692558"/>
    <w:rsid w:val="317C228B"/>
    <w:rsid w:val="318850D4"/>
    <w:rsid w:val="31B41A25"/>
    <w:rsid w:val="31BE0AF5"/>
    <w:rsid w:val="31CB4544"/>
    <w:rsid w:val="31D200FD"/>
    <w:rsid w:val="31D40319"/>
    <w:rsid w:val="32024E86"/>
    <w:rsid w:val="321A1B4F"/>
    <w:rsid w:val="32333292"/>
    <w:rsid w:val="3240150B"/>
    <w:rsid w:val="32475A13"/>
    <w:rsid w:val="32537490"/>
    <w:rsid w:val="32544FB6"/>
    <w:rsid w:val="325675ED"/>
    <w:rsid w:val="328904C5"/>
    <w:rsid w:val="32917FB8"/>
    <w:rsid w:val="32B53CA7"/>
    <w:rsid w:val="32CB171C"/>
    <w:rsid w:val="32D52EA8"/>
    <w:rsid w:val="32EB76C8"/>
    <w:rsid w:val="32F91631"/>
    <w:rsid w:val="33035B9E"/>
    <w:rsid w:val="33044C2E"/>
    <w:rsid w:val="330462BA"/>
    <w:rsid w:val="3312040E"/>
    <w:rsid w:val="333252F7"/>
    <w:rsid w:val="337771AE"/>
    <w:rsid w:val="33997124"/>
    <w:rsid w:val="33A87367"/>
    <w:rsid w:val="33B43F5E"/>
    <w:rsid w:val="33DE0FDB"/>
    <w:rsid w:val="34525525"/>
    <w:rsid w:val="34525D78"/>
    <w:rsid w:val="34684D49"/>
    <w:rsid w:val="3490142D"/>
    <w:rsid w:val="34A75871"/>
    <w:rsid w:val="34AD40D4"/>
    <w:rsid w:val="34BD5094"/>
    <w:rsid w:val="34E73EBF"/>
    <w:rsid w:val="34E9405A"/>
    <w:rsid w:val="34EC597A"/>
    <w:rsid w:val="353549C2"/>
    <w:rsid w:val="357D4824"/>
    <w:rsid w:val="3589141A"/>
    <w:rsid w:val="35C10BB4"/>
    <w:rsid w:val="35F8427D"/>
    <w:rsid w:val="35FD77AD"/>
    <w:rsid w:val="360B1E2F"/>
    <w:rsid w:val="36371722"/>
    <w:rsid w:val="36407D2B"/>
    <w:rsid w:val="3652180C"/>
    <w:rsid w:val="36900CA6"/>
    <w:rsid w:val="36944F6F"/>
    <w:rsid w:val="3695425E"/>
    <w:rsid w:val="36AE738B"/>
    <w:rsid w:val="36BA5D2F"/>
    <w:rsid w:val="36BB5604"/>
    <w:rsid w:val="36CA1CEB"/>
    <w:rsid w:val="36EB110B"/>
    <w:rsid w:val="36EF5381"/>
    <w:rsid w:val="36F823B4"/>
    <w:rsid w:val="370E607B"/>
    <w:rsid w:val="371C328C"/>
    <w:rsid w:val="37204D9A"/>
    <w:rsid w:val="37425D25"/>
    <w:rsid w:val="374B653A"/>
    <w:rsid w:val="376E08C8"/>
    <w:rsid w:val="37732540"/>
    <w:rsid w:val="37A662B4"/>
    <w:rsid w:val="37E85BD2"/>
    <w:rsid w:val="37F92887"/>
    <w:rsid w:val="38170F5F"/>
    <w:rsid w:val="384B13D2"/>
    <w:rsid w:val="38620F68"/>
    <w:rsid w:val="386817BB"/>
    <w:rsid w:val="387B14EE"/>
    <w:rsid w:val="387E2D8D"/>
    <w:rsid w:val="38A26A7B"/>
    <w:rsid w:val="38B43A85"/>
    <w:rsid w:val="38C727A6"/>
    <w:rsid w:val="38F86D77"/>
    <w:rsid w:val="38FD0155"/>
    <w:rsid w:val="390414E4"/>
    <w:rsid w:val="39083C99"/>
    <w:rsid w:val="390D4877"/>
    <w:rsid w:val="39202096"/>
    <w:rsid w:val="39262BB4"/>
    <w:rsid w:val="392C63BA"/>
    <w:rsid w:val="395319E5"/>
    <w:rsid w:val="396D0F2E"/>
    <w:rsid w:val="39864AF8"/>
    <w:rsid w:val="39894E7E"/>
    <w:rsid w:val="399A1E48"/>
    <w:rsid w:val="39A700C1"/>
    <w:rsid w:val="39A71860"/>
    <w:rsid w:val="39C11A3E"/>
    <w:rsid w:val="39E92488"/>
    <w:rsid w:val="3A0379ED"/>
    <w:rsid w:val="3A0472C2"/>
    <w:rsid w:val="3A0478ED"/>
    <w:rsid w:val="3A0E7BEE"/>
    <w:rsid w:val="3A296D28"/>
    <w:rsid w:val="3A3951BD"/>
    <w:rsid w:val="3A441396"/>
    <w:rsid w:val="3A4818A4"/>
    <w:rsid w:val="3A485400"/>
    <w:rsid w:val="3A5336F2"/>
    <w:rsid w:val="3A5D6DD9"/>
    <w:rsid w:val="3AA53E6D"/>
    <w:rsid w:val="3AA54601"/>
    <w:rsid w:val="3ABE72F3"/>
    <w:rsid w:val="3AF86E26"/>
    <w:rsid w:val="3AFE350C"/>
    <w:rsid w:val="3B0112DE"/>
    <w:rsid w:val="3B027CA5"/>
    <w:rsid w:val="3B1B06F7"/>
    <w:rsid w:val="3B211730"/>
    <w:rsid w:val="3B2C6AD0"/>
    <w:rsid w:val="3B304812"/>
    <w:rsid w:val="3B40403F"/>
    <w:rsid w:val="3B491430"/>
    <w:rsid w:val="3B517BE8"/>
    <w:rsid w:val="3B560E30"/>
    <w:rsid w:val="3B675D5A"/>
    <w:rsid w:val="3B7E7663"/>
    <w:rsid w:val="3B8A4A7A"/>
    <w:rsid w:val="3B934DA1"/>
    <w:rsid w:val="3BA842A7"/>
    <w:rsid w:val="3C1F6635"/>
    <w:rsid w:val="3C2D6FA3"/>
    <w:rsid w:val="3C395948"/>
    <w:rsid w:val="3C76021B"/>
    <w:rsid w:val="3C793F97"/>
    <w:rsid w:val="3CE638AB"/>
    <w:rsid w:val="3CFB2E32"/>
    <w:rsid w:val="3D0C4E0B"/>
    <w:rsid w:val="3D247ADD"/>
    <w:rsid w:val="3D4D0C83"/>
    <w:rsid w:val="3D5642D8"/>
    <w:rsid w:val="3D672041"/>
    <w:rsid w:val="3D673DEF"/>
    <w:rsid w:val="3D6A38DF"/>
    <w:rsid w:val="3D990D6A"/>
    <w:rsid w:val="3D9916CC"/>
    <w:rsid w:val="3DB72FC9"/>
    <w:rsid w:val="3DC05072"/>
    <w:rsid w:val="3DD82F3F"/>
    <w:rsid w:val="3E104487"/>
    <w:rsid w:val="3E3455C5"/>
    <w:rsid w:val="3E3F72C8"/>
    <w:rsid w:val="3E506F79"/>
    <w:rsid w:val="3E554590"/>
    <w:rsid w:val="3E6D3399"/>
    <w:rsid w:val="3E6D3687"/>
    <w:rsid w:val="3E75253C"/>
    <w:rsid w:val="3E80523B"/>
    <w:rsid w:val="3E9C21BE"/>
    <w:rsid w:val="3EB53DB8"/>
    <w:rsid w:val="3EDC25BB"/>
    <w:rsid w:val="3EE26F73"/>
    <w:rsid w:val="3F2D0BCF"/>
    <w:rsid w:val="3F327A47"/>
    <w:rsid w:val="3F485313"/>
    <w:rsid w:val="3F512FA9"/>
    <w:rsid w:val="3F552F97"/>
    <w:rsid w:val="3F566811"/>
    <w:rsid w:val="3F5C54AA"/>
    <w:rsid w:val="3F6251B6"/>
    <w:rsid w:val="3F6456BF"/>
    <w:rsid w:val="3F724CCD"/>
    <w:rsid w:val="3F8B74A4"/>
    <w:rsid w:val="3F9557C2"/>
    <w:rsid w:val="3FAC6431"/>
    <w:rsid w:val="3FC76DC7"/>
    <w:rsid w:val="3FCC6AD3"/>
    <w:rsid w:val="3FD61700"/>
    <w:rsid w:val="3FD85478"/>
    <w:rsid w:val="400B3158"/>
    <w:rsid w:val="40112738"/>
    <w:rsid w:val="402B42A6"/>
    <w:rsid w:val="405F5EB3"/>
    <w:rsid w:val="40662A84"/>
    <w:rsid w:val="407C4056"/>
    <w:rsid w:val="40B573D4"/>
    <w:rsid w:val="40BA4B7E"/>
    <w:rsid w:val="40C1415E"/>
    <w:rsid w:val="40FE2CBD"/>
    <w:rsid w:val="410A42CF"/>
    <w:rsid w:val="410C362B"/>
    <w:rsid w:val="410D4CAE"/>
    <w:rsid w:val="41263DF8"/>
    <w:rsid w:val="412A1D04"/>
    <w:rsid w:val="41315907"/>
    <w:rsid w:val="41391F47"/>
    <w:rsid w:val="413E755D"/>
    <w:rsid w:val="41547ED1"/>
    <w:rsid w:val="4159130B"/>
    <w:rsid w:val="416074D3"/>
    <w:rsid w:val="416F7716"/>
    <w:rsid w:val="41BF069E"/>
    <w:rsid w:val="420626EA"/>
    <w:rsid w:val="42083B1B"/>
    <w:rsid w:val="42117225"/>
    <w:rsid w:val="42134882"/>
    <w:rsid w:val="422732F2"/>
    <w:rsid w:val="422875BA"/>
    <w:rsid w:val="424010B3"/>
    <w:rsid w:val="426A3C06"/>
    <w:rsid w:val="427B6BE4"/>
    <w:rsid w:val="429C453B"/>
    <w:rsid w:val="42AD499A"/>
    <w:rsid w:val="42BC4BDD"/>
    <w:rsid w:val="42D00689"/>
    <w:rsid w:val="42FC322C"/>
    <w:rsid w:val="430B7913"/>
    <w:rsid w:val="43100A85"/>
    <w:rsid w:val="43413334"/>
    <w:rsid w:val="43496BE1"/>
    <w:rsid w:val="43643AB0"/>
    <w:rsid w:val="43663D51"/>
    <w:rsid w:val="43931DE2"/>
    <w:rsid w:val="43AC6A00"/>
    <w:rsid w:val="43C73BDB"/>
    <w:rsid w:val="43DE2931"/>
    <w:rsid w:val="43E75C8A"/>
    <w:rsid w:val="43F3462F"/>
    <w:rsid w:val="440747E2"/>
    <w:rsid w:val="440F51E1"/>
    <w:rsid w:val="4413082D"/>
    <w:rsid w:val="442C7B41"/>
    <w:rsid w:val="443A04B0"/>
    <w:rsid w:val="44775260"/>
    <w:rsid w:val="44D22496"/>
    <w:rsid w:val="44D3620E"/>
    <w:rsid w:val="44D5107B"/>
    <w:rsid w:val="44E421C9"/>
    <w:rsid w:val="4505499C"/>
    <w:rsid w:val="450D7972"/>
    <w:rsid w:val="455530C7"/>
    <w:rsid w:val="456450B8"/>
    <w:rsid w:val="45A32084"/>
    <w:rsid w:val="45CA13BF"/>
    <w:rsid w:val="45E55ABB"/>
    <w:rsid w:val="461104A1"/>
    <w:rsid w:val="46462D05"/>
    <w:rsid w:val="46873754"/>
    <w:rsid w:val="4691012F"/>
    <w:rsid w:val="46FB2AC1"/>
    <w:rsid w:val="47046B53"/>
    <w:rsid w:val="47047DD0"/>
    <w:rsid w:val="470C4C67"/>
    <w:rsid w:val="470E1780"/>
    <w:rsid w:val="471C0962"/>
    <w:rsid w:val="472116D5"/>
    <w:rsid w:val="476E08C4"/>
    <w:rsid w:val="477912EF"/>
    <w:rsid w:val="477C07C1"/>
    <w:rsid w:val="477E09F4"/>
    <w:rsid w:val="478005D2"/>
    <w:rsid w:val="479779C7"/>
    <w:rsid w:val="47BE2337"/>
    <w:rsid w:val="47C34360"/>
    <w:rsid w:val="47CC58C3"/>
    <w:rsid w:val="47E50964"/>
    <w:rsid w:val="47F2289B"/>
    <w:rsid w:val="47F6293F"/>
    <w:rsid w:val="48026F58"/>
    <w:rsid w:val="482E20D9"/>
    <w:rsid w:val="48433362"/>
    <w:rsid w:val="484933FC"/>
    <w:rsid w:val="484A124D"/>
    <w:rsid w:val="484C6A03"/>
    <w:rsid w:val="485C23FD"/>
    <w:rsid w:val="48855A71"/>
    <w:rsid w:val="4893018E"/>
    <w:rsid w:val="48D03190"/>
    <w:rsid w:val="48D91CA7"/>
    <w:rsid w:val="48DA400F"/>
    <w:rsid w:val="48F36E7F"/>
    <w:rsid w:val="4904108C"/>
    <w:rsid w:val="49064E04"/>
    <w:rsid w:val="49155047"/>
    <w:rsid w:val="49156DF5"/>
    <w:rsid w:val="49180694"/>
    <w:rsid w:val="491F1A22"/>
    <w:rsid w:val="49441489"/>
    <w:rsid w:val="494616A5"/>
    <w:rsid w:val="494B26E8"/>
    <w:rsid w:val="495D2158"/>
    <w:rsid w:val="495F2915"/>
    <w:rsid w:val="49627B61"/>
    <w:rsid w:val="496D4E83"/>
    <w:rsid w:val="499A72FA"/>
    <w:rsid w:val="49A85EBB"/>
    <w:rsid w:val="49B605D8"/>
    <w:rsid w:val="49E04914"/>
    <w:rsid w:val="4A1E7F2C"/>
    <w:rsid w:val="4A205A52"/>
    <w:rsid w:val="4A4060F4"/>
    <w:rsid w:val="4A735A25"/>
    <w:rsid w:val="4A77763C"/>
    <w:rsid w:val="4A91110C"/>
    <w:rsid w:val="4A9621B8"/>
    <w:rsid w:val="4ABA1D88"/>
    <w:rsid w:val="4AEE3DA2"/>
    <w:rsid w:val="4AFA4B39"/>
    <w:rsid w:val="4B005D50"/>
    <w:rsid w:val="4B35377F"/>
    <w:rsid w:val="4B7D0C82"/>
    <w:rsid w:val="4B8B508A"/>
    <w:rsid w:val="4B8E2E8F"/>
    <w:rsid w:val="4BCD7E5B"/>
    <w:rsid w:val="4BD44D46"/>
    <w:rsid w:val="4BF058F8"/>
    <w:rsid w:val="4C041850"/>
    <w:rsid w:val="4C0F3FD0"/>
    <w:rsid w:val="4C143394"/>
    <w:rsid w:val="4C286E40"/>
    <w:rsid w:val="4C2B6930"/>
    <w:rsid w:val="4C46376A"/>
    <w:rsid w:val="4C7622A1"/>
    <w:rsid w:val="4C7D53DD"/>
    <w:rsid w:val="4C8C2F4B"/>
    <w:rsid w:val="4C8F6EBF"/>
    <w:rsid w:val="4C995F8F"/>
    <w:rsid w:val="4CBA03DF"/>
    <w:rsid w:val="4CC26B60"/>
    <w:rsid w:val="4CC51444"/>
    <w:rsid w:val="4CC63842"/>
    <w:rsid w:val="4CF5766A"/>
    <w:rsid w:val="4CFF2296"/>
    <w:rsid w:val="4D295043"/>
    <w:rsid w:val="4D357A66"/>
    <w:rsid w:val="4D3B0DF4"/>
    <w:rsid w:val="4D5A6798"/>
    <w:rsid w:val="4D617968"/>
    <w:rsid w:val="4D7B0CD9"/>
    <w:rsid w:val="4D7C3D77"/>
    <w:rsid w:val="4D7F33D7"/>
    <w:rsid w:val="4D9F6625"/>
    <w:rsid w:val="4DAA5676"/>
    <w:rsid w:val="4DB37090"/>
    <w:rsid w:val="4DCE0FF5"/>
    <w:rsid w:val="4DDC00F8"/>
    <w:rsid w:val="4DF25957"/>
    <w:rsid w:val="4DF53699"/>
    <w:rsid w:val="4E1F4272"/>
    <w:rsid w:val="4E2D342F"/>
    <w:rsid w:val="4E4E286F"/>
    <w:rsid w:val="4E500E4D"/>
    <w:rsid w:val="4E531A99"/>
    <w:rsid w:val="4E600B13"/>
    <w:rsid w:val="4E964534"/>
    <w:rsid w:val="4E971F39"/>
    <w:rsid w:val="4EB86BA1"/>
    <w:rsid w:val="4EB87862"/>
    <w:rsid w:val="4EC175CC"/>
    <w:rsid w:val="4EC44363"/>
    <w:rsid w:val="4EEE37DC"/>
    <w:rsid w:val="4F0C2A48"/>
    <w:rsid w:val="4F1B342E"/>
    <w:rsid w:val="4F1F09CE"/>
    <w:rsid w:val="4F2002A2"/>
    <w:rsid w:val="4F320D11"/>
    <w:rsid w:val="4F343D4D"/>
    <w:rsid w:val="4F3F4BCC"/>
    <w:rsid w:val="4F4F2935"/>
    <w:rsid w:val="4F5A37B4"/>
    <w:rsid w:val="4F5F303B"/>
    <w:rsid w:val="4F7A20A8"/>
    <w:rsid w:val="4FB355BA"/>
    <w:rsid w:val="4FE34F30"/>
    <w:rsid w:val="4FE66E49"/>
    <w:rsid w:val="4FFA6D45"/>
    <w:rsid w:val="500E459E"/>
    <w:rsid w:val="502B6EFE"/>
    <w:rsid w:val="503C739D"/>
    <w:rsid w:val="5049110A"/>
    <w:rsid w:val="50603B73"/>
    <w:rsid w:val="50724B2D"/>
    <w:rsid w:val="50A53155"/>
    <w:rsid w:val="50B05655"/>
    <w:rsid w:val="50B26176"/>
    <w:rsid w:val="50E61390"/>
    <w:rsid w:val="50EF3A8F"/>
    <w:rsid w:val="50F73284"/>
    <w:rsid w:val="50FC089B"/>
    <w:rsid w:val="510019A2"/>
    <w:rsid w:val="51273B6A"/>
    <w:rsid w:val="51450494"/>
    <w:rsid w:val="51616E44"/>
    <w:rsid w:val="516939FB"/>
    <w:rsid w:val="51776A24"/>
    <w:rsid w:val="517B555A"/>
    <w:rsid w:val="519805C3"/>
    <w:rsid w:val="51C12734"/>
    <w:rsid w:val="51C25640"/>
    <w:rsid w:val="51D50DD6"/>
    <w:rsid w:val="51D67C84"/>
    <w:rsid w:val="51DC62B7"/>
    <w:rsid w:val="51DD691E"/>
    <w:rsid w:val="51DE34AA"/>
    <w:rsid w:val="51EE28D9"/>
    <w:rsid w:val="51FE136D"/>
    <w:rsid w:val="524845FC"/>
    <w:rsid w:val="526A0452"/>
    <w:rsid w:val="52854FEC"/>
    <w:rsid w:val="52927709"/>
    <w:rsid w:val="5322283B"/>
    <w:rsid w:val="53560736"/>
    <w:rsid w:val="535E7D50"/>
    <w:rsid w:val="536525AD"/>
    <w:rsid w:val="5382152B"/>
    <w:rsid w:val="5386726D"/>
    <w:rsid w:val="53AC47FA"/>
    <w:rsid w:val="53DC50DF"/>
    <w:rsid w:val="53E775E0"/>
    <w:rsid w:val="53E86827"/>
    <w:rsid w:val="53EB5322"/>
    <w:rsid w:val="53ED0594"/>
    <w:rsid w:val="5428027A"/>
    <w:rsid w:val="542F7A11"/>
    <w:rsid w:val="545033D7"/>
    <w:rsid w:val="5458228C"/>
    <w:rsid w:val="54814F3D"/>
    <w:rsid w:val="54A23691"/>
    <w:rsid w:val="54C13E4A"/>
    <w:rsid w:val="54C811C0"/>
    <w:rsid w:val="54CB0CB0"/>
    <w:rsid w:val="54EF2BF0"/>
    <w:rsid w:val="54F14BBA"/>
    <w:rsid w:val="55387A47"/>
    <w:rsid w:val="554518EE"/>
    <w:rsid w:val="5552317F"/>
    <w:rsid w:val="55766CF9"/>
    <w:rsid w:val="558C7F55"/>
    <w:rsid w:val="559425D1"/>
    <w:rsid w:val="55B1434A"/>
    <w:rsid w:val="55D6790C"/>
    <w:rsid w:val="56044479"/>
    <w:rsid w:val="561B7187"/>
    <w:rsid w:val="56350AD7"/>
    <w:rsid w:val="56725887"/>
    <w:rsid w:val="56941CA1"/>
    <w:rsid w:val="56BE0ACC"/>
    <w:rsid w:val="56D71B8E"/>
    <w:rsid w:val="56DD5CC1"/>
    <w:rsid w:val="56F269C8"/>
    <w:rsid w:val="56F76F36"/>
    <w:rsid w:val="56FF6912"/>
    <w:rsid w:val="5702376B"/>
    <w:rsid w:val="572C3252"/>
    <w:rsid w:val="57340D8E"/>
    <w:rsid w:val="576F626A"/>
    <w:rsid w:val="57873A2D"/>
    <w:rsid w:val="57BB500C"/>
    <w:rsid w:val="57E24C8E"/>
    <w:rsid w:val="57E37633"/>
    <w:rsid w:val="57EC655A"/>
    <w:rsid w:val="58005114"/>
    <w:rsid w:val="5805272B"/>
    <w:rsid w:val="580C394F"/>
    <w:rsid w:val="582E3A30"/>
    <w:rsid w:val="58332132"/>
    <w:rsid w:val="58382B00"/>
    <w:rsid w:val="583A0626"/>
    <w:rsid w:val="585C4CB9"/>
    <w:rsid w:val="587020E4"/>
    <w:rsid w:val="58A92235"/>
    <w:rsid w:val="58AC4CBD"/>
    <w:rsid w:val="58B251EC"/>
    <w:rsid w:val="58BE3005"/>
    <w:rsid w:val="58BF0B2C"/>
    <w:rsid w:val="58BF12E6"/>
    <w:rsid w:val="58C61EBA"/>
    <w:rsid w:val="58D81600"/>
    <w:rsid w:val="58F67150"/>
    <w:rsid w:val="5943175D"/>
    <w:rsid w:val="594F7185"/>
    <w:rsid w:val="59535AB9"/>
    <w:rsid w:val="595B6AA6"/>
    <w:rsid w:val="59603AB5"/>
    <w:rsid w:val="59723DF0"/>
    <w:rsid w:val="597C6A1D"/>
    <w:rsid w:val="59821704"/>
    <w:rsid w:val="59866ADE"/>
    <w:rsid w:val="5999137D"/>
    <w:rsid w:val="59B47F65"/>
    <w:rsid w:val="5A0C0D95"/>
    <w:rsid w:val="5A160282"/>
    <w:rsid w:val="5A32205B"/>
    <w:rsid w:val="5A39634B"/>
    <w:rsid w:val="5A407A4A"/>
    <w:rsid w:val="5A7C4F26"/>
    <w:rsid w:val="5A8550FA"/>
    <w:rsid w:val="5A9E48C1"/>
    <w:rsid w:val="5AC00150"/>
    <w:rsid w:val="5AC876C0"/>
    <w:rsid w:val="5ADC38B9"/>
    <w:rsid w:val="5AE605F2"/>
    <w:rsid w:val="5AE969BB"/>
    <w:rsid w:val="5AF26F96"/>
    <w:rsid w:val="5AF30F60"/>
    <w:rsid w:val="5B067684"/>
    <w:rsid w:val="5B101B12"/>
    <w:rsid w:val="5B266C40"/>
    <w:rsid w:val="5B417B08"/>
    <w:rsid w:val="5B43290D"/>
    <w:rsid w:val="5B500161"/>
    <w:rsid w:val="5B58089C"/>
    <w:rsid w:val="5B836AC8"/>
    <w:rsid w:val="5BCA7F13"/>
    <w:rsid w:val="5BE56AFB"/>
    <w:rsid w:val="5BE70178"/>
    <w:rsid w:val="5C050310"/>
    <w:rsid w:val="5C147195"/>
    <w:rsid w:val="5C292E8C"/>
    <w:rsid w:val="5C2A2760"/>
    <w:rsid w:val="5C441A74"/>
    <w:rsid w:val="5C4A4BB0"/>
    <w:rsid w:val="5C62014C"/>
    <w:rsid w:val="5C6519EA"/>
    <w:rsid w:val="5C7A36E7"/>
    <w:rsid w:val="5C814A76"/>
    <w:rsid w:val="5C987C18"/>
    <w:rsid w:val="5CA50038"/>
    <w:rsid w:val="5CBC7198"/>
    <w:rsid w:val="5CBF10FA"/>
    <w:rsid w:val="5CE77D3C"/>
    <w:rsid w:val="5D1E0517"/>
    <w:rsid w:val="5D3F223B"/>
    <w:rsid w:val="5D417D61"/>
    <w:rsid w:val="5D5950FC"/>
    <w:rsid w:val="5D64647F"/>
    <w:rsid w:val="5D9D1469"/>
    <w:rsid w:val="5DAE6832"/>
    <w:rsid w:val="5DB85D73"/>
    <w:rsid w:val="5DC15346"/>
    <w:rsid w:val="5DD12DA4"/>
    <w:rsid w:val="5DED2F6F"/>
    <w:rsid w:val="5DFF04E8"/>
    <w:rsid w:val="5E196220"/>
    <w:rsid w:val="5E227B93"/>
    <w:rsid w:val="5E6324D6"/>
    <w:rsid w:val="5E641D4A"/>
    <w:rsid w:val="5E714AFD"/>
    <w:rsid w:val="5E7B3747"/>
    <w:rsid w:val="5E861E55"/>
    <w:rsid w:val="5E9D3BBE"/>
    <w:rsid w:val="5EB34C8F"/>
    <w:rsid w:val="5EC4727E"/>
    <w:rsid w:val="5F372B2D"/>
    <w:rsid w:val="5F4D50E3"/>
    <w:rsid w:val="5F681F1D"/>
    <w:rsid w:val="5F93686E"/>
    <w:rsid w:val="5F993E84"/>
    <w:rsid w:val="5FAB005C"/>
    <w:rsid w:val="5FAC4B78"/>
    <w:rsid w:val="5FB92779"/>
    <w:rsid w:val="5FC07E13"/>
    <w:rsid w:val="5FCF66BD"/>
    <w:rsid w:val="5FD4310E"/>
    <w:rsid w:val="6005776C"/>
    <w:rsid w:val="60593614"/>
    <w:rsid w:val="60624BBE"/>
    <w:rsid w:val="60681AA9"/>
    <w:rsid w:val="6085124A"/>
    <w:rsid w:val="60CF38D6"/>
    <w:rsid w:val="60EA1839"/>
    <w:rsid w:val="6129666D"/>
    <w:rsid w:val="612F6A32"/>
    <w:rsid w:val="61412A26"/>
    <w:rsid w:val="61573FF7"/>
    <w:rsid w:val="61A27402"/>
    <w:rsid w:val="61FF668E"/>
    <w:rsid w:val="620405AE"/>
    <w:rsid w:val="620A72BB"/>
    <w:rsid w:val="623205C0"/>
    <w:rsid w:val="623E51B7"/>
    <w:rsid w:val="624D53FA"/>
    <w:rsid w:val="62571DD5"/>
    <w:rsid w:val="625D412A"/>
    <w:rsid w:val="625E7607"/>
    <w:rsid w:val="627110E9"/>
    <w:rsid w:val="62A22A16"/>
    <w:rsid w:val="62EC6305"/>
    <w:rsid w:val="6320666B"/>
    <w:rsid w:val="632117EE"/>
    <w:rsid w:val="63251ED3"/>
    <w:rsid w:val="635B58F5"/>
    <w:rsid w:val="635D78BF"/>
    <w:rsid w:val="63650E7B"/>
    <w:rsid w:val="639037F0"/>
    <w:rsid w:val="63927568"/>
    <w:rsid w:val="63957059"/>
    <w:rsid w:val="639C0C65"/>
    <w:rsid w:val="63AE3C76"/>
    <w:rsid w:val="63B03E93"/>
    <w:rsid w:val="63BA086D"/>
    <w:rsid w:val="63E17BF6"/>
    <w:rsid w:val="63E458EA"/>
    <w:rsid w:val="640B10C9"/>
    <w:rsid w:val="64144421"/>
    <w:rsid w:val="6417181C"/>
    <w:rsid w:val="644D348F"/>
    <w:rsid w:val="646003B3"/>
    <w:rsid w:val="64771E53"/>
    <w:rsid w:val="64833355"/>
    <w:rsid w:val="64962150"/>
    <w:rsid w:val="64A77044"/>
    <w:rsid w:val="64CC5391"/>
    <w:rsid w:val="64D81264"/>
    <w:rsid w:val="64E36803"/>
    <w:rsid w:val="65090005"/>
    <w:rsid w:val="655A2308"/>
    <w:rsid w:val="655D22A1"/>
    <w:rsid w:val="65624D19"/>
    <w:rsid w:val="656D2417"/>
    <w:rsid w:val="657B5DDA"/>
    <w:rsid w:val="65895139"/>
    <w:rsid w:val="658B0713"/>
    <w:rsid w:val="658C6239"/>
    <w:rsid w:val="65901886"/>
    <w:rsid w:val="659770B8"/>
    <w:rsid w:val="65A73484"/>
    <w:rsid w:val="65C23A09"/>
    <w:rsid w:val="65C6174B"/>
    <w:rsid w:val="65C85C1B"/>
    <w:rsid w:val="65D26342"/>
    <w:rsid w:val="65D379C4"/>
    <w:rsid w:val="65D54C1A"/>
    <w:rsid w:val="65DE504C"/>
    <w:rsid w:val="66067D9A"/>
    <w:rsid w:val="66287D10"/>
    <w:rsid w:val="66636F9A"/>
    <w:rsid w:val="669015B7"/>
    <w:rsid w:val="66B83869"/>
    <w:rsid w:val="66CE21EB"/>
    <w:rsid w:val="66D427BF"/>
    <w:rsid w:val="66D81D68"/>
    <w:rsid w:val="66EC6F90"/>
    <w:rsid w:val="66FC332E"/>
    <w:rsid w:val="670E33AA"/>
    <w:rsid w:val="6716381C"/>
    <w:rsid w:val="67166A3D"/>
    <w:rsid w:val="6735666F"/>
    <w:rsid w:val="67457059"/>
    <w:rsid w:val="674F1B70"/>
    <w:rsid w:val="67672599"/>
    <w:rsid w:val="67853B69"/>
    <w:rsid w:val="67881D7C"/>
    <w:rsid w:val="67933BF7"/>
    <w:rsid w:val="6796351C"/>
    <w:rsid w:val="67A6089D"/>
    <w:rsid w:val="67DF08A2"/>
    <w:rsid w:val="67E265E5"/>
    <w:rsid w:val="67FA1B80"/>
    <w:rsid w:val="68071BA7"/>
    <w:rsid w:val="68112A26"/>
    <w:rsid w:val="68272BD0"/>
    <w:rsid w:val="684E5A28"/>
    <w:rsid w:val="686C71AF"/>
    <w:rsid w:val="688B0A2A"/>
    <w:rsid w:val="68A37B22"/>
    <w:rsid w:val="68B7181F"/>
    <w:rsid w:val="68D2550C"/>
    <w:rsid w:val="68FB3A5C"/>
    <w:rsid w:val="68FC5484"/>
    <w:rsid w:val="68FF1DE9"/>
    <w:rsid w:val="69111A9D"/>
    <w:rsid w:val="692D19E3"/>
    <w:rsid w:val="694D4018"/>
    <w:rsid w:val="694F3806"/>
    <w:rsid w:val="69817558"/>
    <w:rsid w:val="69855479"/>
    <w:rsid w:val="69894F6A"/>
    <w:rsid w:val="699A3A56"/>
    <w:rsid w:val="69C94CCA"/>
    <w:rsid w:val="69D23E98"/>
    <w:rsid w:val="69DF102E"/>
    <w:rsid w:val="69E00902"/>
    <w:rsid w:val="6A1D1B56"/>
    <w:rsid w:val="6A372C18"/>
    <w:rsid w:val="6A3C1FDC"/>
    <w:rsid w:val="6A5C61DA"/>
    <w:rsid w:val="6A777174"/>
    <w:rsid w:val="6A815C41"/>
    <w:rsid w:val="6A933BC6"/>
    <w:rsid w:val="6AA97D60"/>
    <w:rsid w:val="6AAA2146"/>
    <w:rsid w:val="6AB4441A"/>
    <w:rsid w:val="6AE12B83"/>
    <w:rsid w:val="6AE21ACF"/>
    <w:rsid w:val="6AF71B02"/>
    <w:rsid w:val="6AFC79BD"/>
    <w:rsid w:val="6AFF7040"/>
    <w:rsid w:val="6B0A20DA"/>
    <w:rsid w:val="6B250CC2"/>
    <w:rsid w:val="6B34152F"/>
    <w:rsid w:val="6B43739A"/>
    <w:rsid w:val="6B4B624F"/>
    <w:rsid w:val="6B581098"/>
    <w:rsid w:val="6B6537B4"/>
    <w:rsid w:val="6B6F5DFC"/>
    <w:rsid w:val="6B7B4D86"/>
    <w:rsid w:val="6B8D6867"/>
    <w:rsid w:val="6B8E2D0B"/>
    <w:rsid w:val="6BC93D43"/>
    <w:rsid w:val="6BF01A4B"/>
    <w:rsid w:val="6BFF59B7"/>
    <w:rsid w:val="6C2B2308"/>
    <w:rsid w:val="6C2C7E2E"/>
    <w:rsid w:val="6C3F1329"/>
    <w:rsid w:val="6C537AB1"/>
    <w:rsid w:val="6C664BF1"/>
    <w:rsid w:val="6C89702F"/>
    <w:rsid w:val="6CB73B9C"/>
    <w:rsid w:val="6CC60283"/>
    <w:rsid w:val="6CCE613F"/>
    <w:rsid w:val="6D192AA9"/>
    <w:rsid w:val="6D2B6338"/>
    <w:rsid w:val="6D3A23B8"/>
    <w:rsid w:val="6D3E250F"/>
    <w:rsid w:val="6D527D69"/>
    <w:rsid w:val="6D635AD2"/>
    <w:rsid w:val="6D6D06FE"/>
    <w:rsid w:val="6D706FB4"/>
    <w:rsid w:val="6D763A57"/>
    <w:rsid w:val="6D9130D4"/>
    <w:rsid w:val="6D967C55"/>
    <w:rsid w:val="6DCB3730"/>
    <w:rsid w:val="6E531FEA"/>
    <w:rsid w:val="6E623FDB"/>
    <w:rsid w:val="6E751F61"/>
    <w:rsid w:val="6E8977BA"/>
    <w:rsid w:val="6EAA5C48"/>
    <w:rsid w:val="6EC57363"/>
    <w:rsid w:val="6ED547AD"/>
    <w:rsid w:val="6EDC5B3C"/>
    <w:rsid w:val="6EF36ECC"/>
    <w:rsid w:val="6EF530A1"/>
    <w:rsid w:val="6EF6723D"/>
    <w:rsid w:val="6F2526DA"/>
    <w:rsid w:val="6F4D4C8B"/>
    <w:rsid w:val="6F59718C"/>
    <w:rsid w:val="6F663D66"/>
    <w:rsid w:val="6F6D49E6"/>
    <w:rsid w:val="6F9043F8"/>
    <w:rsid w:val="6F906926"/>
    <w:rsid w:val="6F951282"/>
    <w:rsid w:val="6F991C7F"/>
    <w:rsid w:val="6F9D22B8"/>
    <w:rsid w:val="6FD11419"/>
    <w:rsid w:val="6FED5B27"/>
    <w:rsid w:val="700452F0"/>
    <w:rsid w:val="70097584"/>
    <w:rsid w:val="70221C74"/>
    <w:rsid w:val="7040659E"/>
    <w:rsid w:val="70514307"/>
    <w:rsid w:val="708A4FD7"/>
    <w:rsid w:val="709A3F00"/>
    <w:rsid w:val="70B4151F"/>
    <w:rsid w:val="70E8744D"/>
    <w:rsid w:val="71015D2D"/>
    <w:rsid w:val="713E2ADE"/>
    <w:rsid w:val="713F23B2"/>
    <w:rsid w:val="7148395C"/>
    <w:rsid w:val="715B4B20"/>
    <w:rsid w:val="717B788E"/>
    <w:rsid w:val="718B55F7"/>
    <w:rsid w:val="71AD37BF"/>
    <w:rsid w:val="71C644E1"/>
    <w:rsid w:val="71F118FE"/>
    <w:rsid w:val="720A29C0"/>
    <w:rsid w:val="721B4BCD"/>
    <w:rsid w:val="72253C9E"/>
    <w:rsid w:val="72255A4C"/>
    <w:rsid w:val="723A6C6C"/>
    <w:rsid w:val="724C3D1A"/>
    <w:rsid w:val="72536115"/>
    <w:rsid w:val="72640B79"/>
    <w:rsid w:val="726447C6"/>
    <w:rsid w:val="72667F0A"/>
    <w:rsid w:val="726C5429"/>
    <w:rsid w:val="72757BBD"/>
    <w:rsid w:val="728704B4"/>
    <w:rsid w:val="72A20E4A"/>
    <w:rsid w:val="72C54B39"/>
    <w:rsid w:val="72E2393D"/>
    <w:rsid w:val="72EA668A"/>
    <w:rsid w:val="730833A3"/>
    <w:rsid w:val="735008A6"/>
    <w:rsid w:val="735C36EF"/>
    <w:rsid w:val="737C5738"/>
    <w:rsid w:val="73931CF9"/>
    <w:rsid w:val="739B4217"/>
    <w:rsid w:val="73B928EF"/>
    <w:rsid w:val="73BC6D60"/>
    <w:rsid w:val="73F25E01"/>
    <w:rsid w:val="73FE47A6"/>
    <w:rsid w:val="74221DD8"/>
    <w:rsid w:val="742739B5"/>
    <w:rsid w:val="745F3497"/>
    <w:rsid w:val="746D098F"/>
    <w:rsid w:val="747F58E7"/>
    <w:rsid w:val="74C01A5C"/>
    <w:rsid w:val="74E63744"/>
    <w:rsid w:val="750E0A19"/>
    <w:rsid w:val="75204114"/>
    <w:rsid w:val="752124FA"/>
    <w:rsid w:val="752E2421"/>
    <w:rsid w:val="75334EC3"/>
    <w:rsid w:val="7552141E"/>
    <w:rsid w:val="75587EE6"/>
    <w:rsid w:val="756454D6"/>
    <w:rsid w:val="7581053B"/>
    <w:rsid w:val="75840008"/>
    <w:rsid w:val="7589009F"/>
    <w:rsid w:val="75BF3AC1"/>
    <w:rsid w:val="75CF01A8"/>
    <w:rsid w:val="75E8126A"/>
    <w:rsid w:val="75F93B96"/>
    <w:rsid w:val="76045978"/>
    <w:rsid w:val="76085468"/>
    <w:rsid w:val="762033BD"/>
    <w:rsid w:val="765718E0"/>
    <w:rsid w:val="76A038F3"/>
    <w:rsid w:val="76A81485"/>
    <w:rsid w:val="76C33714"/>
    <w:rsid w:val="76C427A3"/>
    <w:rsid w:val="76CA4E14"/>
    <w:rsid w:val="76E41A31"/>
    <w:rsid w:val="76E42E91"/>
    <w:rsid w:val="77021206"/>
    <w:rsid w:val="771340C5"/>
    <w:rsid w:val="771A1486"/>
    <w:rsid w:val="77300283"/>
    <w:rsid w:val="7778661E"/>
    <w:rsid w:val="778B00FF"/>
    <w:rsid w:val="778C10EB"/>
    <w:rsid w:val="77A86F03"/>
    <w:rsid w:val="77BD61E6"/>
    <w:rsid w:val="77CD482C"/>
    <w:rsid w:val="77CF26E1"/>
    <w:rsid w:val="77D9530E"/>
    <w:rsid w:val="782F4F2E"/>
    <w:rsid w:val="78346E7D"/>
    <w:rsid w:val="78351855"/>
    <w:rsid w:val="78393482"/>
    <w:rsid w:val="786170B2"/>
    <w:rsid w:val="78755B75"/>
    <w:rsid w:val="78A551F0"/>
    <w:rsid w:val="78E57CE3"/>
    <w:rsid w:val="78F56F8E"/>
    <w:rsid w:val="78FA71CA"/>
    <w:rsid w:val="790068CB"/>
    <w:rsid w:val="791365FE"/>
    <w:rsid w:val="791800B8"/>
    <w:rsid w:val="793D367B"/>
    <w:rsid w:val="797A7F7B"/>
    <w:rsid w:val="79D73ACF"/>
    <w:rsid w:val="79DB71FB"/>
    <w:rsid w:val="79E166FC"/>
    <w:rsid w:val="79E306C6"/>
    <w:rsid w:val="79ED6E4F"/>
    <w:rsid w:val="79F12AC3"/>
    <w:rsid w:val="79F44681"/>
    <w:rsid w:val="7A0B19CB"/>
    <w:rsid w:val="7A100D8F"/>
    <w:rsid w:val="7A221477"/>
    <w:rsid w:val="7A3E58FC"/>
    <w:rsid w:val="7A6D7F90"/>
    <w:rsid w:val="7A8377B3"/>
    <w:rsid w:val="7A8D1A63"/>
    <w:rsid w:val="7A902877"/>
    <w:rsid w:val="7AA43BE6"/>
    <w:rsid w:val="7AA81A3C"/>
    <w:rsid w:val="7AC027B5"/>
    <w:rsid w:val="7AC82CCE"/>
    <w:rsid w:val="7ACF4BC8"/>
    <w:rsid w:val="7ADB139D"/>
    <w:rsid w:val="7B0F1047"/>
    <w:rsid w:val="7B217965"/>
    <w:rsid w:val="7B3311D9"/>
    <w:rsid w:val="7B566C76"/>
    <w:rsid w:val="7B661371"/>
    <w:rsid w:val="7B670E83"/>
    <w:rsid w:val="7B6C46EB"/>
    <w:rsid w:val="7B863D0D"/>
    <w:rsid w:val="7B902188"/>
    <w:rsid w:val="7B9D6653"/>
    <w:rsid w:val="7BA14395"/>
    <w:rsid w:val="7BA23C69"/>
    <w:rsid w:val="7BA479E1"/>
    <w:rsid w:val="7BA93249"/>
    <w:rsid w:val="7BAE6AB2"/>
    <w:rsid w:val="7BB045D8"/>
    <w:rsid w:val="7BEE6EAE"/>
    <w:rsid w:val="7BFA3AA5"/>
    <w:rsid w:val="7C044924"/>
    <w:rsid w:val="7C176405"/>
    <w:rsid w:val="7C23124E"/>
    <w:rsid w:val="7C2743B0"/>
    <w:rsid w:val="7C2C6908"/>
    <w:rsid w:val="7C4961FD"/>
    <w:rsid w:val="7C4D62CB"/>
    <w:rsid w:val="7C5F2015"/>
    <w:rsid w:val="7C7168D2"/>
    <w:rsid w:val="7C9F7900"/>
    <w:rsid w:val="7CAA7279"/>
    <w:rsid w:val="7CCB71F0"/>
    <w:rsid w:val="7CD97B5E"/>
    <w:rsid w:val="7CE11BB3"/>
    <w:rsid w:val="7CEA58C8"/>
    <w:rsid w:val="7D0F2B85"/>
    <w:rsid w:val="7D424CD4"/>
    <w:rsid w:val="7D7A30EF"/>
    <w:rsid w:val="7DA3499E"/>
    <w:rsid w:val="7DB11D69"/>
    <w:rsid w:val="7DB5287D"/>
    <w:rsid w:val="7DB77B6C"/>
    <w:rsid w:val="7DC10AF4"/>
    <w:rsid w:val="7DC4490E"/>
    <w:rsid w:val="7DF13E64"/>
    <w:rsid w:val="7DF54291"/>
    <w:rsid w:val="7DFD103A"/>
    <w:rsid w:val="7E1150D6"/>
    <w:rsid w:val="7E200105"/>
    <w:rsid w:val="7E260B81"/>
    <w:rsid w:val="7E427991"/>
    <w:rsid w:val="7E436204"/>
    <w:rsid w:val="7E9F0EEE"/>
    <w:rsid w:val="7EAF501B"/>
    <w:rsid w:val="7EEA7E01"/>
    <w:rsid w:val="7F016EF9"/>
    <w:rsid w:val="7F08472B"/>
    <w:rsid w:val="7F17496E"/>
    <w:rsid w:val="7F7C755D"/>
    <w:rsid w:val="7F8853F6"/>
    <w:rsid w:val="7F8A3392"/>
    <w:rsid w:val="7FAB5685"/>
    <w:rsid w:val="7FC83E64"/>
    <w:rsid w:val="7FE95434"/>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semiHidden="0" w:name="toc 1"/>
    <w:lsdException w:qFormat="1" w:unhideWhenUsed="0" w:uiPriority="99" w:semiHidden="0" w:name="toc 2"/>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qFormat="1" w:unhideWhenUsed="0" w:uiPriority="99" w:semiHidden="0" w:name="Normal Indent"/>
    <w:lsdException w:qFormat="1" w:unhideWhenUsed="0" w:uiPriority="99" w:name="footnote text"/>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ocked="1"/>
    <w:lsdException w:qFormat="1" w:uiPriority="35" w:name="caption" w:locked="1"/>
    <w:lsdException w:uiPriority="99" w:name="table of figures" w:locked="1"/>
    <w:lsdException w:uiPriority="99" w:name="envelope address" w:locked="1"/>
    <w:lsdException w:uiPriority="99" w:name="envelope return" w:locked="1"/>
    <w:lsdException w:qFormat="1" w:unhideWhenUsed="0" w:uiPriority="99" w:name="footnote reference"/>
    <w:lsdException w:uiPriority="99" w:name="annotation reference" w:locked="1"/>
    <w:lsdException w:uiPriority="99" w:name="line number" w:locked="1"/>
    <w:lsdException w:uiPriority="99" w:name="page number" w:locked="1"/>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qFormat="1" w:unhideWhenUsed="0" w:uiPriority="99" w:name="Default Paragraph Font"/>
    <w:lsdException w:qFormat="1" w:uiPriority="99" w:semiHidden="0" w:name="Body Text" w:locked="1"/>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qFormat="1" w:unhideWhenUsed="0" w:uiPriority="99" w:name="Date"/>
    <w:lsdException w:qFormat="1" w:uiPriority="99" w:semiHidden="0" w:name="Body Text First Indent" w:locked="1"/>
    <w:lsdException w:uiPriority="99" w:name="Body Text First Indent 2" w:locked="1"/>
    <w:lsdException w:uiPriority="99" w:name="Note Heading" w:locked="1"/>
    <w:lsdException w:uiPriority="99" w:name="Body Text 2" w:locked="1"/>
    <w:lsdException w:uiPriority="99" w:name="Body Text 3" w:locked="1"/>
    <w:lsdException w:uiPriority="99" w:name="Body Text Indent 2" w:locked="1"/>
    <w:lsdException w:uiPriority="99" w:name="Body Text Indent 3" w:locked="1"/>
    <w:lsdException w:uiPriority="99" w:name="Block Text" w:locked="1"/>
    <w:lsdException w:qFormat="1" w:unhideWhenUsed="0" w:uiPriority="99" w:semiHidden="0" w:name="Hyperlink"/>
    <w:lsdException w:uiPriority="99" w:name="FollowedHyperlink" w:locked="1"/>
    <w:lsdException w:qFormat="1" w:unhideWhenUsed="0" w:uiPriority="22" w:semiHidden="0" w:name="Strong" w:locked="1"/>
    <w:lsdException w:qFormat="1" w:unhideWhenUsed="0" w:uiPriority="20" w:semiHidden="0" w:name="Emphasis" w:locked="1"/>
    <w:lsdException w:uiPriority="99" w:name="Document Map" w:locked="1"/>
    <w:lsdException w:uiPriority="99" w:name="Plain Text" w:locked="1"/>
    <w:lsdException w:uiPriority="99" w:name="E-mail Signature" w:locked="1"/>
    <w:lsdException w:qFormat="1" w:unhideWhenUsed="0" w:uiPriority="0" w:semiHidden="0" w:name="Normal (Web)" w:locked="1"/>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宋体" w:hAnsi="宋体" w:eastAsia="宋体" w:cs="宋体"/>
      <w:kern w:val="0"/>
      <w:sz w:val="24"/>
      <w:szCs w:val="24"/>
      <w:lang w:val="en-US" w:eastAsia="zh-CN" w:bidi="ar-SA"/>
    </w:rPr>
  </w:style>
  <w:style w:type="paragraph" w:styleId="3">
    <w:name w:val="heading 1"/>
    <w:basedOn w:val="1"/>
    <w:next w:val="1"/>
    <w:link w:val="23"/>
    <w:qFormat/>
    <w:uiPriority w:val="99"/>
    <w:pPr>
      <w:keepNext/>
      <w:keepLines/>
      <w:widowControl w:val="0"/>
      <w:spacing w:before="340" w:after="330" w:line="578" w:lineRule="auto"/>
      <w:jc w:val="both"/>
      <w:outlineLvl w:val="0"/>
    </w:pPr>
    <w:rPr>
      <w:rFonts w:ascii="等线" w:hAnsi="等线" w:eastAsia="等线" w:cs="Times New Roman"/>
      <w:b/>
      <w:bCs/>
      <w:kern w:val="44"/>
      <w:sz w:val="44"/>
      <w:szCs w:val="44"/>
    </w:rPr>
  </w:style>
  <w:style w:type="paragraph" w:styleId="4">
    <w:name w:val="heading 2"/>
    <w:basedOn w:val="1"/>
    <w:next w:val="1"/>
    <w:link w:val="24"/>
    <w:qFormat/>
    <w:uiPriority w:val="99"/>
    <w:pPr>
      <w:keepNext/>
      <w:keepLines/>
      <w:widowControl w:val="0"/>
      <w:spacing w:before="260" w:after="260" w:line="416" w:lineRule="auto"/>
      <w:jc w:val="both"/>
      <w:outlineLvl w:val="1"/>
    </w:pPr>
    <w:rPr>
      <w:rFonts w:ascii="等线 Light" w:hAnsi="等线 Light" w:eastAsia="等线 Light" w:cs="Times New Roman"/>
      <w:b/>
      <w:bCs/>
      <w:kern w:val="2"/>
      <w:sz w:val="32"/>
      <w:szCs w:val="32"/>
    </w:rPr>
  </w:style>
  <w:style w:type="paragraph" w:styleId="5">
    <w:name w:val="heading 3"/>
    <w:basedOn w:val="1"/>
    <w:next w:val="1"/>
    <w:link w:val="25"/>
    <w:qFormat/>
    <w:uiPriority w:val="99"/>
    <w:pPr>
      <w:keepNext/>
      <w:keepLines/>
      <w:widowControl w:val="0"/>
      <w:spacing w:before="260" w:after="260" w:line="416" w:lineRule="auto"/>
      <w:jc w:val="both"/>
      <w:outlineLvl w:val="2"/>
    </w:pPr>
    <w:rPr>
      <w:rFonts w:ascii="等线" w:hAnsi="等线" w:eastAsia="仿宋" w:cs="Times New Roman"/>
      <w:b/>
      <w:bCs/>
      <w:kern w:val="2"/>
      <w:sz w:val="32"/>
      <w:szCs w:val="32"/>
    </w:rPr>
  </w:style>
  <w:style w:type="paragraph" w:styleId="2">
    <w:name w:val="heading 4"/>
    <w:basedOn w:val="1"/>
    <w:next w:val="1"/>
    <w:link w:val="26"/>
    <w:qFormat/>
    <w:uiPriority w:val="99"/>
    <w:pPr>
      <w:keepNext/>
      <w:keepLines/>
      <w:spacing w:before="280" w:after="290" w:line="376" w:lineRule="auto"/>
      <w:outlineLvl w:val="3"/>
    </w:pPr>
    <w:rPr>
      <w:rFonts w:ascii="等线 Light" w:hAnsi="等线 Light" w:eastAsia="等线 Light" w:cs="Times New Roman"/>
      <w:b/>
      <w:bCs/>
      <w:sz w:val="28"/>
      <w:szCs w:val="28"/>
    </w:rPr>
  </w:style>
  <w:style w:type="character" w:default="1" w:styleId="20">
    <w:name w:val="Default Paragraph Font"/>
    <w:semiHidden/>
    <w:qFormat/>
    <w:uiPriority w:val="99"/>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6">
    <w:name w:val="Normal Indent"/>
    <w:basedOn w:val="1"/>
    <w:next w:val="1"/>
    <w:qFormat/>
    <w:uiPriority w:val="99"/>
    <w:pPr>
      <w:spacing w:line="590" w:lineRule="exact"/>
    </w:pPr>
    <w:rPr>
      <w:rFonts w:cs="仿宋_GB2312"/>
      <w:szCs w:val="22"/>
    </w:rPr>
  </w:style>
  <w:style w:type="paragraph" w:styleId="7">
    <w:name w:val="annotation text"/>
    <w:basedOn w:val="1"/>
    <w:link w:val="27"/>
    <w:semiHidden/>
    <w:qFormat/>
    <w:uiPriority w:val="99"/>
  </w:style>
  <w:style w:type="paragraph" w:styleId="8">
    <w:name w:val="Body Text"/>
    <w:basedOn w:val="1"/>
    <w:unhideWhenUsed/>
    <w:qFormat/>
    <w:locked/>
    <w:uiPriority w:val="99"/>
    <w:pPr>
      <w:spacing w:after="120"/>
    </w:pPr>
  </w:style>
  <w:style w:type="paragraph" w:styleId="9">
    <w:name w:val="Date"/>
    <w:basedOn w:val="1"/>
    <w:next w:val="1"/>
    <w:link w:val="28"/>
    <w:semiHidden/>
    <w:qFormat/>
    <w:uiPriority w:val="99"/>
    <w:pPr>
      <w:widowControl w:val="0"/>
      <w:ind w:left="100" w:leftChars="2500"/>
      <w:jc w:val="both"/>
    </w:pPr>
    <w:rPr>
      <w:rFonts w:ascii="等线" w:hAnsi="等线" w:eastAsia="等线" w:cs="Times New Roman"/>
      <w:kern w:val="2"/>
      <w:sz w:val="21"/>
      <w:szCs w:val="22"/>
    </w:rPr>
  </w:style>
  <w:style w:type="paragraph" w:styleId="10">
    <w:name w:val="Balloon Text"/>
    <w:basedOn w:val="1"/>
    <w:link w:val="29"/>
    <w:semiHidden/>
    <w:qFormat/>
    <w:uiPriority w:val="99"/>
    <w:pPr>
      <w:widowControl w:val="0"/>
      <w:jc w:val="both"/>
    </w:pPr>
    <w:rPr>
      <w:rFonts w:ascii="等线" w:hAnsi="等线" w:eastAsia="仿宋" w:cs="Times New Roman"/>
      <w:kern w:val="2"/>
      <w:sz w:val="18"/>
      <w:szCs w:val="18"/>
    </w:rPr>
  </w:style>
  <w:style w:type="paragraph" w:styleId="11">
    <w:name w:val="footer"/>
    <w:basedOn w:val="1"/>
    <w:link w:val="30"/>
    <w:qFormat/>
    <w:uiPriority w:val="99"/>
    <w:pPr>
      <w:widowControl w:val="0"/>
      <w:tabs>
        <w:tab w:val="center" w:pos="4153"/>
        <w:tab w:val="right" w:pos="8306"/>
      </w:tabs>
      <w:snapToGrid w:val="0"/>
    </w:pPr>
    <w:rPr>
      <w:rFonts w:ascii="等线" w:hAnsi="等线" w:eastAsia="等线" w:cs="Times New Roman"/>
      <w:kern w:val="2"/>
      <w:sz w:val="18"/>
      <w:szCs w:val="18"/>
    </w:rPr>
  </w:style>
  <w:style w:type="paragraph" w:styleId="12">
    <w:name w:val="header"/>
    <w:basedOn w:val="1"/>
    <w:link w:val="31"/>
    <w:qFormat/>
    <w:uiPriority w:val="99"/>
    <w:pPr>
      <w:widowControl w:val="0"/>
      <w:pBdr>
        <w:bottom w:val="single" w:color="auto" w:sz="6" w:space="1"/>
      </w:pBdr>
      <w:tabs>
        <w:tab w:val="center" w:pos="4153"/>
        <w:tab w:val="right" w:pos="8306"/>
      </w:tabs>
      <w:snapToGrid w:val="0"/>
      <w:jc w:val="center"/>
    </w:pPr>
    <w:rPr>
      <w:rFonts w:ascii="等线" w:hAnsi="等线" w:eastAsia="等线" w:cs="Times New Roman"/>
      <w:kern w:val="2"/>
      <w:sz w:val="18"/>
      <w:szCs w:val="18"/>
    </w:rPr>
  </w:style>
  <w:style w:type="paragraph" w:styleId="13">
    <w:name w:val="toc 1"/>
    <w:basedOn w:val="1"/>
    <w:next w:val="1"/>
    <w:qFormat/>
    <w:uiPriority w:val="99"/>
    <w:pPr>
      <w:widowControl w:val="0"/>
      <w:tabs>
        <w:tab w:val="right" w:leader="dot" w:pos="8296"/>
      </w:tabs>
      <w:kinsoku w:val="0"/>
      <w:overflowPunct w:val="0"/>
      <w:autoSpaceDE w:val="0"/>
      <w:autoSpaceDN w:val="0"/>
      <w:adjustRightInd w:val="0"/>
      <w:snapToGrid w:val="0"/>
      <w:spacing w:line="600" w:lineRule="atLeast"/>
      <w:jc w:val="center"/>
    </w:pPr>
    <w:rPr>
      <w:rFonts w:ascii="等线" w:hAnsi="等线" w:eastAsia="等线" w:cs="Times New Roman"/>
      <w:kern w:val="2"/>
      <w:sz w:val="21"/>
      <w:szCs w:val="22"/>
    </w:rPr>
  </w:style>
  <w:style w:type="paragraph" w:styleId="14">
    <w:name w:val="footnote text"/>
    <w:basedOn w:val="1"/>
    <w:link w:val="32"/>
    <w:semiHidden/>
    <w:qFormat/>
    <w:uiPriority w:val="99"/>
    <w:pPr>
      <w:snapToGrid w:val="0"/>
    </w:pPr>
    <w:rPr>
      <w:sz w:val="18"/>
      <w:szCs w:val="18"/>
    </w:rPr>
  </w:style>
  <w:style w:type="paragraph" w:styleId="15">
    <w:name w:val="toc 2"/>
    <w:basedOn w:val="1"/>
    <w:next w:val="1"/>
    <w:qFormat/>
    <w:uiPriority w:val="99"/>
    <w:pPr>
      <w:widowControl w:val="0"/>
      <w:tabs>
        <w:tab w:val="right" w:leader="dot" w:pos="8296"/>
      </w:tabs>
      <w:spacing w:line="600" w:lineRule="exact"/>
      <w:ind w:left="480" w:leftChars="200"/>
      <w:jc w:val="both"/>
    </w:pPr>
    <w:rPr>
      <w:rFonts w:ascii="Times New Roman" w:hAnsi="Times New Roman" w:eastAsia="楷体_GB2312" w:cs="Times New Roman"/>
      <w:kern w:val="2"/>
      <w:szCs w:val="22"/>
    </w:rPr>
  </w:style>
  <w:style w:type="paragraph" w:styleId="16">
    <w:name w:val="Normal (Web)"/>
    <w:basedOn w:val="1"/>
    <w:qFormat/>
    <w:locked/>
    <w:uiPriority w:val="0"/>
    <w:pPr>
      <w:spacing w:before="0" w:beforeAutospacing="1" w:after="0" w:afterAutospacing="1"/>
      <w:ind w:left="0" w:right="0"/>
      <w:jc w:val="left"/>
    </w:pPr>
    <w:rPr>
      <w:kern w:val="0"/>
      <w:sz w:val="24"/>
      <w:lang w:val="en-US" w:eastAsia="zh-CN" w:bidi="ar"/>
    </w:rPr>
  </w:style>
  <w:style w:type="paragraph" w:styleId="17">
    <w:name w:val="Body Text First Indent"/>
    <w:basedOn w:val="8"/>
    <w:unhideWhenUsed/>
    <w:qFormat/>
    <w:locked/>
    <w:uiPriority w:val="99"/>
    <w:pPr>
      <w:spacing w:after="0" w:line="600" w:lineRule="exact"/>
      <w:ind w:firstLine="420"/>
    </w:pPr>
    <w:rPr>
      <w:sz w:val="30"/>
      <w:szCs w:val="30"/>
    </w:rPr>
  </w:style>
  <w:style w:type="table" w:styleId="19">
    <w:name w:val="Table Grid"/>
    <w:basedOn w:val="18"/>
    <w:qFormat/>
    <w:uiPriority w:val="9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Hyperlink"/>
    <w:basedOn w:val="20"/>
    <w:qFormat/>
    <w:uiPriority w:val="99"/>
    <w:rPr>
      <w:rFonts w:cs="Times New Roman"/>
      <w:color w:val="0563C1"/>
      <w:u w:val="single"/>
    </w:rPr>
  </w:style>
  <w:style w:type="character" w:styleId="22">
    <w:name w:val="footnote reference"/>
    <w:basedOn w:val="20"/>
    <w:semiHidden/>
    <w:qFormat/>
    <w:uiPriority w:val="99"/>
    <w:rPr>
      <w:rFonts w:cs="Times New Roman"/>
      <w:vertAlign w:val="superscript"/>
    </w:rPr>
  </w:style>
  <w:style w:type="character" w:customStyle="1" w:styleId="23">
    <w:name w:val="Heading 1 Char"/>
    <w:basedOn w:val="20"/>
    <w:link w:val="3"/>
    <w:qFormat/>
    <w:locked/>
    <w:uiPriority w:val="99"/>
    <w:rPr>
      <w:rFonts w:cs="Times New Roman"/>
      <w:b/>
      <w:bCs/>
      <w:kern w:val="44"/>
      <w:sz w:val="44"/>
      <w:szCs w:val="44"/>
    </w:rPr>
  </w:style>
  <w:style w:type="character" w:customStyle="1" w:styleId="24">
    <w:name w:val="Heading 2 Char"/>
    <w:basedOn w:val="20"/>
    <w:link w:val="4"/>
    <w:qFormat/>
    <w:locked/>
    <w:uiPriority w:val="99"/>
    <w:rPr>
      <w:rFonts w:ascii="等线 Light" w:hAnsi="等线 Light" w:eastAsia="等线 Light" w:cs="Times New Roman"/>
      <w:b/>
      <w:bCs/>
      <w:sz w:val="32"/>
      <w:szCs w:val="32"/>
    </w:rPr>
  </w:style>
  <w:style w:type="character" w:customStyle="1" w:styleId="25">
    <w:name w:val="Heading 3 Char"/>
    <w:basedOn w:val="20"/>
    <w:link w:val="5"/>
    <w:semiHidden/>
    <w:qFormat/>
    <w:locked/>
    <w:uiPriority w:val="99"/>
    <w:rPr>
      <w:rFonts w:eastAsia="仿宋" w:cs="Times New Roman"/>
      <w:b/>
      <w:bCs/>
      <w:sz w:val="32"/>
      <w:szCs w:val="32"/>
    </w:rPr>
  </w:style>
  <w:style w:type="character" w:customStyle="1" w:styleId="26">
    <w:name w:val="Heading 4 Char"/>
    <w:basedOn w:val="20"/>
    <w:link w:val="2"/>
    <w:qFormat/>
    <w:locked/>
    <w:uiPriority w:val="99"/>
    <w:rPr>
      <w:rFonts w:ascii="等线 Light" w:hAnsi="等线 Light" w:eastAsia="等线 Light" w:cs="Times New Roman"/>
      <w:b/>
      <w:bCs/>
      <w:kern w:val="0"/>
      <w:sz w:val="28"/>
      <w:szCs w:val="28"/>
    </w:rPr>
  </w:style>
  <w:style w:type="character" w:customStyle="1" w:styleId="27">
    <w:name w:val="Comment Text Char"/>
    <w:basedOn w:val="20"/>
    <w:link w:val="7"/>
    <w:semiHidden/>
    <w:qFormat/>
    <w:locked/>
    <w:uiPriority w:val="99"/>
    <w:rPr>
      <w:rFonts w:ascii="宋体" w:eastAsia="宋体" w:cs="宋体"/>
      <w:kern w:val="0"/>
      <w:sz w:val="24"/>
      <w:szCs w:val="24"/>
    </w:rPr>
  </w:style>
  <w:style w:type="character" w:customStyle="1" w:styleId="28">
    <w:name w:val="Date Char"/>
    <w:basedOn w:val="20"/>
    <w:link w:val="9"/>
    <w:semiHidden/>
    <w:qFormat/>
    <w:locked/>
    <w:uiPriority w:val="99"/>
    <w:rPr>
      <w:rFonts w:cs="Times New Roman"/>
    </w:rPr>
  </w:style>
  <w:style w:type="character" w:customStyle="1" w:styleId="29">
    <w:name w:val="Balloon Text Char"/>
    <w:basedOn w:val="20"/>
    <w:link w:val="10"/>
    <w:semiHidden/>
    <w:qFormat/>
    <w:locked/>
    <w:uiPriority w:val="99"/>
    <w:rPr>
      <w:rFonts w:eastAsia="仿宋" w:cs="Times New Roman"/>
      <w:sz w:val="18"/>
      <w:szCs w:val="18"/>
    </w:rPr>
  </w:style>
  <w:style w:type="character" w:customStyle="1" w:styleId="30">
    <w:name w:val="Footer Char"/>
    <w:basedOn w:val="20"/>
    <w:link w:val="11"/>
    <w:qFormat/>
    <w:locked/>
    <w:uiPriority w:val="99"/>
    <w:rPr>
      <w:rFonts w:cs="Times New Roman"/>
      <w:sz w:val="18"/>
      <w:szCs w:val="18"/>
    </w:rPr>
  </w:style>
  <w:style w:type="character" w:customStyle="1" w:styleId="31">
    <w:name w:val="Header Char"/>
    <w:basedOn w:val="20"/>
    <w:link w:val="12"/>
    <w:qFormat/>
    <w:locked/>
    <w:uiPriority w:val="99"/>
    <w:rPr>
      <w:rFonts w:cs="Times New Roman"/>
      <w:sz w:val="18"/>
      <w:szCs w:val="18"/>
    </w:rPr>
  </w:style>
  <w:style w:type="character" w:customStyle="1" w:styleId="32">
    <w:name w:val="Footnote Text Char"/>
    <w:basedOn w:val="20"/>
    <w:link w:val="14"/>
    <w:semiHidden/>
    <w:qFormat/>
    <w:locked/>
    <w:uiPriority w:val="99"/>
    <w:rPr>
      <w:rFonts w:ascii="宋体" w:hAnsi="宋体" w:eastAsia="宋体" w:cs="宋体"/>
      <w:kern w:val="0"/>
      <w:sz w:val="18"/>
      <w:szCs w:val="18"/>
    </w:rPr>
  </w:style>
  <w:style w:type="paragraph" w:customStyle="1" w:styleId="33">
    <w:name w:val="TOC 标题1"/>
    <w:basedOn w:val="3"/>
    <w:next w:val="1"/>
    <w:qFormat/>
    <w:uiPriority w:val="99"/>
    <w:pPr>
      <w:widowControl/>
      <w:spacing w:before="240" w:after="0" w:line="259" w:lineRule="auto"/>
      <w:jc w:val="left"/>
      <w:outlineLvl w:val="9"/>
    </w:pPr>
    <w:rPr>
      <w:rFonts w:ascii="等线 Light" w:hAnsi="等线 Light" w:eastAsia="等线 Light"/>
      <w:b w:val="0"/>
      <w:bCs w:val="0"/>
      <w:color w:val="2F5496"/>
      <w:kern w:val="0"/>
      <w:sz w:val="32"/>
      <w:szCs w:val="32"/>
    </w:rPr>
  </w:style>
  <w:style w:type="paragraph" w:styleId="34">
    <w:name w:val="No Spacing"/>
    <w:qFormat/>
    <w:uiPriority w:val="99"/>
    <w:rPr>
      <w:rFonts w:ascii="宋体" w:hAnsi="宋体" w:eastAsia="宋体" w:cs="宋体"/>
      <w:kern w:val="0"/>
      <w:sz w:val="24"/>
      <w:szCs w:val="24"/>
      <w:lang w:val="en-US" w:eastAsia="zh-CN" w:bidi="ar-SA"/>
    </w:rPr>
  </w:style>
  <w:style w:type="character" w:customStyle="1" w:styleId="35">
    <w:name w:val="font21"/>
    <w:basedOn w:val="20"/>
    <w:qFormat/>
    <w:uiPriority w:val="99"/>
    <w:rPr>
      <w:rFonts w:ascii="Calibri" w:hAnsi="Calibri" w:cs="Calibri"/>
      <w:color w:val="000000"/>
      <w:sz w:val="16"/>
      <w:szCs w:val="16"/>
      <w:u w:val="none"/>
    </w:rPr>
  </w:style>
  <w:style w:type="character" w:customStyle="1" w:styleId="36">
    <w:name w:val="font11"/>
    <w:basedOn w:val="20"/>
    <w:qFormat/>
    <w:uiPriority w:val="99"/>
    <w:rPr>
      <w:rFonts w:ascii="宋体" w:hAnsi="宋体" w:eastAsia="宋体" w:cs="宋体"/>
      <w:color w:val="000000"/>
      <w:sz w:val="16"/>
      <w:szCs w:val="16"/>
      <w:u w:val="none"/>
    </w:rPr>
  </w:style>
  <w:style w:type="character" w:customStyle="1" w:styleId="37">
    <w:name w:val="未处理的提及1"/>
    <w:basedOn w:val="20"/>
    <w:semiHidden/>
    <w:qFormat/>
    <w:uiPriority w:val="99"/>
    <w:rPr>
      <w:rFonts w:cs="Times New Roman"/>
      <w:color w:val="605E5C"/>
      <w:shd w:val="clear" w:color="auto" w:fill="E1DFDD"/>
    </w:rPr>
  </w:style>
  <w:style w:type="paragraph" w:styleId="38">
    <w:name w:val="List Paragraph"/>
    <w:basedOn w:val="1"/>
    <w:qFormat/>
    <w:uiPriority w:val="99"/>
    <w:pPr>
      <w:ind w:firstLine="420" w:firstLineChars="200"/>
    </w:pPr>
  </w:style>
  <w:style w:type="character" w:customStyle="1" w:styleId="39">
    <w:name w:val="批注框文本 字符1"/>
    <w:basedOn w:val="20"/>
    <w:semiHidden/>
    <w:qFormat/>
    <w:uiPriority w:val="99"/>
    <w:rPr>
      <w:rFonts w:ascii="宋体" w:hAnsi="宋体" w:eastAsia="宋体" w:cs="宋体"/>
      <w:kern w:val="0"/>
      <w:sz w:val="18"/>
      <w:szCs w:val="18"/>
    </w:rPr>
  </w:style>
  <w:style w:type="paragraph" w:customStyle="1" w:styleId="40">
    <w:name w:val="正文1"/>
    <w:basedOn w:val="1"/>
    <w:qFormat/>
    <w:uiPriority w:val="99"/>
    <w:pPr>
      <w:widowControl w:val="0"/>
      <w:spacing w:line="500" w:lineRule="exact"/>
      <w:ind w:firstLine="560" w:firstLineChars="200"/>
      <w:jc w:val="both"/>
    </w:pPr>
    <w:rPr>
      <w:rFonts w:ascii="Times New Roman" w:hAnsi="Times New Roman" w:eastAsia="仿宋_GB2312" w:cs="Times New Roman"/>
      <w:sz w:val="28"/>
      <w:szCs w:val="28"/>
    </w:rPr>
  </w:style>
  <w:style w:type="paragraph" w:customStyle="1" w:styleId="41">
    <w:name w:val="Table Paragraph"/>
    <w:basedOn w:val="1"/>
    <w:qFormat/>
    <w:uiPriority w:val="99"/>
    <w:pPr>
      <w:widowControl w:val="0"/>
      <w:jc w:val="both"/>
    </w:pPr>
    <w:rPr>
      <w:rFonts w:ascii="等线" w:hAnsi="等线" w:eastAsia="仿宋" w:cs="Times New Roman"/>
      <w:kern w:val="2"/>
      <w:sz w:val="32"/>
      <w:szCs w:val="22"/>
    </w:rPr>
  </w:style>
  <w:style w:type="paragraph" w:customStyle="1" w:styleId="42">
    <w:name w:val="闻政标题4"/>
    <w:basedOn w:val="4"/>
    <w:qFormat/>
    <w:uiPriority w:val="99"/>
    <w:pPr>
      <w:spacing w:before="120" w:after="60" w:line="500" w:lineRule="exact"/>
      <w:ind w:firstLine="200" w:firstLineChars="200"/>
      <w:jc w:val="left"/>
    </w:pPr>
    <w:rPr>
      <w:rFonts w:ascii="Times New Roman" w:hAnsi="Times New Roman" w:eastAsia="仿宋_GB2312"/>
      <w:kern w:val="0"/>
      <w:sz w:val="28"/>
    </w:rPr>
  </w:style>
  <w:style w:type="paragraph" w:customStyle="1" w:styleId="43">
    <w:name w:val="TOC 标题11"/>
    <w:basedOn w:val="3"/>
    <w:next w:val="1"/>
    <w:qFormat/>
    <w:uiPriority w:val="99"/>
    <w:pPr>
      <w:widowControl/>
      <w:spacing w:before="240" w:after="0" w:line="259" w:lineRule="auto"/>
      <w:jc w:val="left"/>
      <w:outlineLvl w:val="9"/>
    </w:pPr>
    <w:rPr>
      <w:rFonts w:ascii="等线 Light" w:hAnsi="等线 Light" w:eastAsia="等线 Light"/>
      <w:b w:val="0"/>
      <w:bCs w:val="0"/>
      <w:color w:val="2F5496"/>
      <w:kern w:val="0"/>
      <w:sz w:val="32"/>
      <w:szCs w:val="32"/>
    </w:rPr>
  </w:style>
  <w:style w:type="paragraph" w:customStyle="1" w:styleId="44">
    <w:name w:val="C图标注"/>
    <w:basedOn w:val="1"/>
    <w:qFormat/>
    <w:uiPriority w:val="99"/>
    <w:pPr>
      <w:widowControl w:val="0"/>
      <w:adjustRightInd w:val="0"/>
      <w:snapToGrid w:val="0"/>
      <w:spacing w:line="480" w:lineRule="exact"/>
      <w:jc w:val="center"/>
    </w:pPr>
    <w:rPr>
      <w:rFonts w:ascii="仿宋" w:hAnsi="仿宋" w:eastAsia="仿宋" w:cs="Times New Roman"/>
      <w:b/>
      <w:spacing w:val="4"/>
      <w:sz w:val="21"/>
    </w:rPr>
  </w:style>
  <w:style w:type="table" w:customStyle="1" w:styleId="45">
    <w:name w:val="网格型14"/>
    <w:qFormat/>
    <w:uiPriority w:val="99"/>
    <w:rPr>
      <w:rFonts w:ascii="Times New Roman" w:hAnsi="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46">
    <w:name w:val="WPSOffice手动目录 1"/>
    <w:qFormat/>
    <w:uiPriority w:val="0"/>
    <w:pPr>
      <w:ind w:leftChars="0"/>
    </w:pPr>
    <w:rPr>
      <w:rFonts w:ascii="Times New Roman" w:hAnsi="Times New Roman" w:eastAsia="宋体" w:cs="Times New Roman"/>
      <w:sz w:val="20"/>
      <w:szCs w:val="20"/>
    </w:rPr>
  </w:style>
  <w:style w:type="paragraph" w:customStyle="1" w:styleId="47">
    <w:name w:val="WPSOffice手动目录 2"/>
    <w:qFormat/>
    <w:uiPriority w:val="0"/>
    <w:pPr>
      <w:ind w:leftChars="200"/>
    </w:pPr>
    <w:rPr>
      <w:rFonts w:ascii="Times New Roman" w:hAnsi="Times New Roman" w:eastAsia="宋体" w:cs="Times New Roman"/>
      <w:sz w:val="20"/>
      <w:szCs w:val="20"/>
    </w:rPr>
  </w:style>
  <w:style w:type="paragraph" w:customStyle="1" w:styleId="48">
    <w:name w:val="BodyText"/>
    <w:qFormat/>
    <w:uiPriority w:val="0"/>
    <w:pPr>
      <w:widowControl w:val="0"/>
      <w:spacing w:line="360" w:lineRule="auto"/>
      <w:ind w:firstLine="972" w:firstLineChars="200"/>
    </w:pPr>
    <w:rPr>
      <w:rFonts w:ascii="仿宋_GB2312" w:hAnsi="仿宋_GB2312" w:eastAsia="仿宋_GB2312" w:cs="Arial"/>
      <w:b/>
      <w:kern w:val="2"/>
      <w:sz w:val="44"/>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P R C</Company>
  <Pages>24</Pages>
  <Words>9417</Words>
  <Characters>10742</Characters>
  <Lines>0</Lines>
  <Paragraphs>0</Paragraphs>
  <TotalTime>2</TotalTime>
  <ScaleCrop>false</ScaleCrop>
  <LinksUpToDate>false</LinksUpToDate>
  <CharactersWithSpaces>10817</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2021-06-27T05:21:00Z</dcterms:created>
  <dc:creator>he jingbin</dc:creator>
  <cp:lastModifiedBy>Administrator</cp:lastModifiedBy>
  <cp:lastPrinted>2022-07-21T10:52:00Z</cp:lastPrinted>
  <dcterms:modified xsi:type="dcterms:W3CDTF">2023-09-07T01:22:25Z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FB8206FD7A34460EB48D9061CC0D3BEA</vt:lpwstr>
  </property>
</Properties>
</file>