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</w:pPr>
      <w:r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  <w:t>质   监   动  态</w:t>
      </w:r>
    </w:p>
    <w:p>
      <w:pPr>
        <w:spacing w:line="220" w:lineRule="atLeast"/>
        <w:ind w:firstLine="320" w:firstLineChars="100"/>
        <w:jc w:val="both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第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期                     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年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月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日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>
      <w:pPr>
        <w:numPr>
          <w:ilvl w:val="0"/>
          <w:numId w:val="0"/>
        </w:numPr>
        <w:spacing w:after="0" w:line="220" w:lineRule="atLeast"/>
        <w:ind w:firstLine="642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一、加强房屋建筑工程监督抽查力度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本周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各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监督组分别对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双创中心建设工程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3#技术研发中心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、肿瘤医院新院区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1#医疗综合楼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、高铁交通枢纽工程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1#新建外扩站房、鼎盛银河湾三区8#楼等项目的各个关键部位隐蔽验收情况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进行了监督检查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。针对检查中出现的问题，监督人员已现场告知施工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单位立即整改并下发整改通知书，由建设、监理单位现场监督整改，整改完成后及时回复质监站。对整改情况较差的项目，将列入差异化管理名单进行重点监管。</w:t>
      </w:r>
    </w:p>
    <w:p>
      <w:pPr>
        <w:spacing w:after="0" w:line="240" w:lineRule="atLeast"/>
        <w:ind w:firstLine="642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保持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市政、道桥工程质量监督力度不减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质监站保持对市政道路工程的不定时巡查和关键节点监督检查：本周分别对亚龙湾路（瓦亭北路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-黄河大道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1#墩西侧盖梁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钢筋隐蔽工程进行了现场监督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after="0" w:line="240" w:lineRule="atLeast"/>
        <w:ind w:firstLine="642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三、严格完成消防验收工作。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质监站对北务一标段一期安置房消防预验收，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场核查了消防工程施工质量控制资料，并对建设工程进行了现场评定，提前发现问题，提高验收通过率。对桂语江南一期项目进行了消防验收，现场核查了消防工程施工质量控制资料，并对建设工程进行了现场评定。各参建单位项目负责人均按要求参加了验收，验收过程全程录像、认真严谨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四、加强业务学习。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本周质监站集中学习了《建筑装饰装修工程质量验收标准》（GB 50210-2018）中第四章抹灰工程相关条文，提高业务水平并严格执行标准，力争缩减我县项目交房后的相关质量问题投诉数量。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（质监站办公室）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Reference Specialty">
    <w:altName w:val="C059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青云简">
    <w:altName w:val="华文中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4309"/>
    <w:rsid w:val="03B93E01"/>
    <w:rsid w:val="047D0FBD"/>
    <w:rsid w:val="05187075"/>
    <w:rsid w:val="07175141"/>
    <w:rsid w:val="084F1A67"/>
    <w:rsid w:val="084F28E4"/>
    <w:rsid w:val="0B486CF0"/>
    <w:rsid w:val="0CB06737"/>
    <w:rsid w:val="0CD854BE"/>
    <w:rsid w:val="0DB12743"/>
    <w:rsid w:val="111061B6"/>
    <w:rsid w:val="126A55DA"/>
    <w:rsid w:val="13707B8D"/>
    <w:rsid w:val="1FC32047"/>
    <w:rsid w:val="20B71D5A"/>
    <w:rsid w:val="21ED18C9"/>
    <w:rsid w:val="23F14C41"/>
    <w:rsid w:val="26CD5D93"/>
    <w:rsid w:val="27B77447"/>
    <w:rsid w:val="28DD0266"/>
    <w:rsid w:val="2A5614A2"/>
    <w:rsid w:val="2AFF6A73"/>
    <w:rsid w:val="2E0942C8"/>
    <w:rsid w:val="33EE6795"/>
    <w:rsid w:val="37583C33"/>
    <w:rsid w:val="388A3E59"/>
    <w:rsid w:val="41D74D06"/>
    <w:rsid w:val="42A15FF3"/>
    <w:rsid w:val="44FA5660"/>
    <w:rsid w:val="475C7133"/>
    <w:rsid w:val="4916394C"/>
    <w:rsid w:val="4B78775F"/>
    <w:rsid w:val="50580A96"/>
    <w:rsid w:val="51982602"/>
    <w:rsid w:val="57841904"/>
    <w:rsid w:val="5B04243D"/>
    <w:rsid w:val="5DAD6714"/>
    <w:rsid w:val="5EBB75BB"/>
    <w:rsid w:val="66D96E8B"/>
    <w:rsid w:val="66DD2CDA"/>
    <w:rsid w:val="699E4380"/>
    <w:rsid w:val="6FD91ABD"/>
    <w:rsid w:val="701C65A6"/>
    <w:rsid w:val="75B92F03"/>
    <w:rsid w:val="7FFB24EE"/>
    <w:rsid w:val="ABD717D3"/>
    <w:rsid w:val="B5EBEAD4"/>
    <w:rsid w:val="EEFCECC2"/>
    <w:rsid w:val="FF77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cp:lastPrinted>2020-04-26T09:56:00Z</cp:lastPrinted>
  <dcterms:modified xsi:type="dcterms:W3CDTF">2024-05-11T17:38:46Z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SaveFontToCloudKey">
    <vt:lpwstr>415784970_cloud</vt:lpwstr>
  </property>
  <property fmtid="{D5CDD505-2E9C-101B-9397-08002B2CF9AE}" pid="4" name="ICV">
    <vt:lpwstr>BF8769C4554C18EEA63C3F669ADADB18</vt:lpwstr>
  </property>
</Properties>
</file>