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宋体" w:eastAsia="微软雅黑" w:cs="宋体"/>
          <w:color w:val="A60000"/>
          <w:kern w:val="0"/>
          <w:sz w:val="38"/>
          <w:szCs w:val="38"/>
        </w:rPr>
      </w:pPr>
      <w:r>
        <w:rPr>
          <w:rFonts w:hint="eastAsia" w:ascii="微软雅黑" w:hAnsi="宋体" w:eastAsia="微软雅黑" w:cs="宋体"/>
          <w:color w:val="A60000"/>
          <w:kern w:val="0"/>
          <w:sz w:val="38"/>
          <w:szCs w:val="38"/>
        </w:rPr>
        <w:t>安阳县财政局2024年会计信息质量检查查前公示</w:t>
      </w:r>
    </w:p>
    <w:p>
      <w:pPr>
        <w:widowControl/>
        <w:spacing w:after="225" w:line="525" w:lineRule="atLeast"/>
        <w:jc w:val="center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</w:p>
    <w:p>
      <w:pPr>
        <w:widowControl/>
        <w:spacing w:after="120" w:line="495" w:lineRule="atLeast"/>
        <w:ind w:firstLine="480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为深入贯彻《中央办公厅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  <w:shd w:val="clear" w:color="auto" w:fill="FFFFFF"/>
        </w:rPr>
        <w:t>  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国务院办公厅〈关于进一步加强财会监督工作的意见〉的通知》，切实履行财政部门财会监督主责，进一步规范单位财务管理、提高单位会计信息质量，强化预算绩效管理，提升财会监督工作的公开透明度，依据《中华人民共和国会计法》，按照《河南省财政厅关于组织市县财政部门开展2024年度会计信息质量检查工作的通知》（豫财监〔2024〕42号）的要求，现将2024年会计信息质量检查工作公示如下：</w:t>
      </w:r>
    </w:p>
    <w:p>
      <w:pPr>
        <w:widowControl/>
        <w:spacing w:after="120" w:line="495" w:lineRule="atLeas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一、检查目的</w:t>
      </w:r>
    </w:p>
    <w:p>
      <w:pPr>
        <w:spacing w:line="58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通过检查，全面了解被检查单位遵守会计法律法规、政府会计准则、政府会计制度、企业会计准则、内部控制规范以及国家财税政策等有关情况，以及“三公”经费、国有资产管理中存在的相关问题。推动政府会计准则制度，规范行政、企事业单位及各类社会团体组织财务管理，提高会计信息质量和严肃财经纪律。</w:t>
      </w:r>
    </w:p>
    <w:p>
      <w:pPr>
        <w:widowControl/>
        <w:spacing w:after="120" w:line="495" w:lineRule="atLeas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二、检查对象和范围</w:t>
      </w:r>
    </w:p>
    <w:p>
      <w:pPr>
        <w:widowControl/>
        <w:shd w:val="clear" w:color="auto" w:fill="FFFFFF"/>
        <w:spacing w:after="120" w:line="495" w:lineRule="atLeast"/>
        <w:ind w:firstLine="480"/>
        <w:jc w:val="lef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（一）检查对象：</w:t>
      </w:r>
    </w:p>
    <w:p>
      <w:pPr>
        <w:spacing w:line="580" w:lineRule="exact"/>
        <w:ind w:firstLine="480" w:firstLineChars="200"/>
        <w:rPr>
          <w:rFonts w:hint="default" w:ascii="微软雅黑" w:hAnsi="宋体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1.安阳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  <w:lang w:val="en-US" w:eastAsia="zh-CN"/>
        </w:rPr>
        <w:t>县政务服务和大数据管理局</w:t>
      </w:r>
    </w:p>
    <w:p>
      <w:pPr>
        <w:spacing w:line="580" w:lineRule="exact"/>
        <w:ind w:firstLine="480" w:firstLineChars="200"/>
        <w:rPr>
          <w:rFonts w:hint="default" w:ascii="微软雅黑" w:hAnsi="宋体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2.安阳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  <w:lang w:val="en-US" w:eastAsia="zh-CN"/>
        </w:rPr>
        <w:t>县融媒体中心</w:t>
      </w:r>
    </w:p>
    <w:p>
      <w:pPr>
        <w:spacing w:line="580" w:lineRule="exact"/>
        <w:ind w:firstLine="48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3.安阳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  <w:lang w:val="en-US" w:eastAsia="zh-CN"/>
        </w:rPr>
        <w:t>县国益建设发展集团有限公司</w:t>
      </w:r>
    </w:p>
    <w:p>
      <w:pPr>
        <w:widowControl/>
        <w:shd w:val="clear" w:color="auto" w:fill="FFFFFF"/>
        <w:spacing w:after="120" w:line="495" w:lineRule="atLeast"/>
        <w:ind w:firstLine="480"/>
        <w:jc w:val="lef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（二）检查范围：2023年度的会计信息质量情况，必要时可追溯到以前年度、可延伸检查二级机构及相关单位。</w:t>
      </w:r>
    </w:p>
    <w:p>
      <w:pPr>
        <w:widowControl/>
        <w:spacing w:after="120" w:line="495" w:lineRule="atLeas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三、检查的主要内容</w:t>
      </w:r>
    </w:p>
    <w:p>
      <w:pPr>
        <w:spacing w:line="580" w:lineRule="exact"/>
        <w:ind w:firstLine="480" w:firstLineChars="200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行政机关单位检查主要内容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是单位会计核算、预决算管理等。具体内容包括资产、负债、净资产、收入、支出费用、预决算管理、会计基础新旧制度衔接等。</w:t>
      </w:r>
    </w:p>
    <w:p>
      <w:pPr>
        <w:spacing w:line="580" w:lineRule="exact"/>
        <w:ind w:firstLine="480" w:firstLineChars="200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国有企业检查主要内容是重点关注收入、资产减值、金融工具、合并财务报表等企业会计准则的执行，内部控制制度的建立和执行等情况。</w:t>
      </w:r>
    </w:p>
    <w:p>
      <w:pPr>
        <w:widowControl/>
        <w:spacing w:after="120" w:line="495" w:lineRule="atLeas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四、检查依据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本次检查的主要依据：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1.《中华人民共和国会计法》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2.《中华人民共和国预算法》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3</w:t>
      </w: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.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《政府会计准则制度》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4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.《行政单位财务规则》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5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.《事业单位会计准则》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6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.《事业单位财务规则》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7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.《企业会计制度》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8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.《中华人民共和国预算法实施条例》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9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.《行政事业单位内部控制规范(试行)》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10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.《河南省财政监督办法》（省政府第135号令）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1</w:t>
      </w: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1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.《财政违法行为处罚处分条例》</w:t>
      </w:r>
    </w:p>
    <w:p>
      <w:pPr>
        <w:spacing w:line="540" w:lineRule="exact"/>
        <w:ind w:firstLine="470" w:firstLineChars="196"/>
        <w:rPr>
          <w:rFonts w:ascii="微软雅黑" w:hAnsi="宋体" w:eastAsia="微软雅黑" w:cs="宋体"/>
          <w:color w:val="535353"/>
          <w:kern w:val="0"/>
          <w:sz w:val="24"/>
          <w:szCs w:val="24"/>
        </w:rPr>
      </w:pPr>
      <w:r>
        <w:rPr>
          <w:rFonts w:ascii="微软雅黑" w:hAnsi="宋体" w:eastAsia="微软雅黑" w:cs="宋体"/>
          <w:color w:val="535353"/>
          <w:kern w:val="0"/>
          <w:sz w:val="24"/>
          <w:szCs w:val="24"/>
        </w:rPr>
        <w:t>12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.其他制度规定</w:t>
      </w:r>
    </w:p>
    <w:p>
      <w:pPr>
        <w:widowControl/>
        <w:spacing w:after="120" w:line="495" w:lineRule="atLeast"/>
        <w:ind w:firstLine="480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五、组织实施及时间安排</w:t>
      </w:r>
    </w:p>
    <w:p>
      <w:pPr>
        <w:widowControl/>
        <w:spacing w:after="120" w:line="495" w:lineRule="atLeast"/>
        <w:ind w:firstLine="480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 xml:space="preserve">本次检查工作由安阳县财政局组织实施，采取现场检查和调账检查相结合的方式进行。自2024年 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 xml:space="preserve">月 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  <w:lang w:val="en-US" w:eastAsia="zh-CN"/>
        </w:rPr>
        <w:t>18</w:t>
      </w:r>
      <w:r>
        <w:rPr>
          <w:rFonts w:hint="eastAsia" w:ascii="微软雅黑" w:hAnsi="宋体" w:eastAsia="微软雅黑" w:cs="宋体"/>
          <w:color w:val="535353"/>
          <w:kern w:val="0"/>
          <w:sz w:val="24"/>
          <w:szCs w:val="24"/>
        </w:rPr>
        <w:t>日开始，2024年9月15日结束。 </w:t>
      </w:r>
    </w:p>
    <w:p>
      <w:pPr>
        <w:widowControl/>
        <w:shd w:val="clear" w:color="auto" w:fill="FFFFFF"/>
        <w:spacing w:after="120" w:line="495" w:lineRule="atLeast"/>
        <w:ind w:firstLine="480"/>
        <w:jc w:val="lef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after="120" w:line="495" w:lineRule="atLeast"/>
        <w:ind w:firstLine="480"/>
        <w:jc w:val="lef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after="450" w:line="495" w:lineRule="atLeast"/>
        <w:jc w:val="righ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 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         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        安阳县财政局</w:t>
      </w:r>
    </w:p>
    <w:p>
      <w:pPr>
        <w:widowControl/>
        <w:shd w:val="clear" w:color="auto" w:fill="FFFFFF"/>
        <w:wordWrap w:val="0"/>
        <w:spacing w:after="450" w:line="495" w:lineRule="atLeast"/>
        <w:jc w:val="right"/>
        <w:rPr>
          <w:rFonts w:ascii="微软雅黑" w:hAnsi="宋体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2024年 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月</w:t>
      </w: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after="450" w:line="495" w:lineRule="atLeast"/>
        <w:jc w:val="right"/>
        <w:rPr>
          <w:rFonts w:hint="eastAsia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  <w:szCs w:val="24"/>
        </w:rPr>
        <w:t>        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76"/>
    <w:rsid w:val="00016A93"/>
    <w:rsid w:val="00075F00"/>
    <w:rsid w:val="00154EA5"/>
    <w:rsid w:val="004E412E"/>
    <w:rsid w:val="005327C1"/>
    <w:rsid w:val="00572291"/>
    <w:rsid w:val="007A0AEA"/>
    <w:rsid w:val="00857FFA"/>
    <w:rsid w:val="009022E2"/>
    <w:rsid w:val="00B61414"/>
    <w:rsid w:val="00BE7476"/>
    <w:rsid w:val="00C859C0"/>
    <w:rsid w:val="00D051EA"/>
    <w:rsid w:val="00D2541D"/>
    <w:rsid w:val="07CB6BD4"/>
    <w:rsid w:val="41CF6647"/>
    <w:rsid w:val="45382B69"/>
    <w:rsid w:val="49636641"/>
    <w:rsid w:val="601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onlyusetovoi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822</Characters>
  <Lines>6</Lines>
  <Paragraphs>1</Paragraphs>
  <TotalTime>2</TotalTime>
  <ScaleCrop>false</ScaleCrop>
  <LinksUpToDate>false</LinksUpToDate>
  <CharactersWithSpaces>965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2024-07-10T02:21:00Z</dcterms:created>
  <dc:creator>dreamsummit</dc:creator>
  <cp:lastModifiedBy>Administrator</cp:lastModifiedBy>
  <cp:lastPrinted>2024-07-10T06:55:00Z</cp:lastPrinted>
  <dcterms:modified xsi:type="dcterms:W3CDTF">2024-07-17T01:20:19Z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