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872" w:firstLineChars="200"/>
        <w:jc w:val="center"/>
        <w:rPr>
          <w:rFonts w:hint="eastAsia" w:ascii="方正小标宋简体" w:hAnsi="仿宋" w:eastAsia="方正小标宋简体"/>
          <w:color w:val="000000"/>
          <w:sz w:val="44"/>
          <w:szCs w:val="44"/>
        </w:rPr>
      </w:pPr>
      <w:bookmarkStart w:id="1" w:name="_GoBack"/>
      <w:bookmarkEnd w:id="1"/>
      <w:bookmarkStart w:id="0" w:name="zhengwen"/>
      <w:r>
        <w:rPr>
          <w:rFonts w:hint="eastAsia" w:ascii="方正小标宋简体" w:hAnsi="仿宋" w:eastAsia="方正小标宋简体"/>
          <w:color w:val="000000"/>
          <w:sz w:val="44"/>
          <w:szCs w:val="44"/>
          <w:lang w:val="en-US" w:eastAsia="zh-CN"/>
        </w:rPr>
        <w:t>安阳县</w:t>
      </w:r>
      <w:r>
        <w:rPr>
          <w:rFonts w:hint="eastAsia" w:ascii="方正小标宋简体" w:hAnsi="仿宋" w:eastAsia="方正小标宋简体"/>
          <w:color w:val="000000"/>
          <w:sz w:val="44"/>
          <w:szCs w:val="44"/>
        </w:rPr>
        <w:t>烟草制品零售点合理布局规划</w:t>
      </w:r>
    </w:p>
    <w:p>
      <w:pPr>
        <w:keepNext w:val="0"/>
        <w:keepLines w:val="0"/>
        <w:pageBreakBefore w:val="0"/>
        <w:widowControl/>
        <w:kinsoku/>
        <w:wordWrap/>
        <w:overflowPunct/>
        <w:topLinePunct w:val="0"/>
        <w:autoSpaceDE/>
        <w:autoSpaceDN/>
        <w:bidi w:val="0"/>
        <w:adjustRightInd/>
        <w:snapToGrid/>
        <w:spacing w:line="560" w:lineRule="exact"/>
        <w:ind w:firstLine="872" w:firstLineChars="200"/>
        <w:jc w:val="center"/>
        <w:rPr>
          <w:rFonts w:hint="eastAsia" w:ascii="黑体" w:hAnsi="黑体" w:eastAsia="黑体" w:cs="黑体"/>
          <w:b/>
          <w:bCs/>
          <w:color w:val="000000"/>
          <w:sz w:val="44"/>
          <w:szCs w:val="44"/>
          <w:lang w:val="en-US" w:eastAsia="zh-CN"/>
        </w:rPr>
      </w:pPr>
      <w:r>
        <w:rPr>
          <w:rFonts w:hint="eastAsia" w:ascii="黑体" w:hAnsi="黑体" w:eastAsia="黑体" w:cs="黑体"/>
          <w:b/>
          <w:bCs/>
          <w:color w:val="000000"/>
          <w:sz w:val="44"/>
          <w:szCs w:val="44"/>
          <w:lang w:val="en-US" w:eastAsia="zh-CN"/>
        </w:rPr>
        <w:t>（草案）</w:t>
      </w:r>
    </w:p>
    <w:p>
      <w:pPr>
        <w:keepNext w:val="0"/>
        <w:keepLines w:val="0"/>
        <w:pageBreakBefore w:val="0"/>
        <w:kinsoku/>
        <w:wordWrap/>
        <w:overflowPunct/>
        <w:topLinePunct w:val="0"/>
        <w:autoSpaceDE/>
        <w:autoSpaceDN/>
        <w:bidi w:val="0"/>
        <w:adjustRightInd/>
        <w:snapToGrid/>
        <w:spacing w:line="560" w:lineRule="exact"/>
        <w:ind w:firstLine="632" w:firstLineChars="200"/>
        <w:jc w:val="center"/>
        <w:rPr>
          <w:rFonts w:ascii="仿宋_GB2312" w:hAnsi="仿宋" w:eastAsia="仿宋_GB2312" w:cs="楷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第一章  总  则</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楷体" w:hAnsi="楷体" w:eastAsia="楷体" w:cs="黑体"/>
          <w:bCs/>
          <w:color w:val="000000"/>
          <w:kern w:val="0"/>
          <w:sz w:val="32"/>
          <w:szCs w:val="32"/>
          <w:shd w:val="clear" w:color="auto" w:fill="FFFFFF"/>
        </w:rPr>
        <w:t>第一条</w:t>
      </w:r>
      <w:r>
        <w:rPr>
          <w:rFonts w:ascii="仿宋" w:hAnsi="仿宋" w:eastAsia="仿宋" w:cs="黑体"/>
          <w:bCs/>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为规范烟草制品零售市场经营秩序，维护国家利益、消费者利益和消费者的合法权益，加强烟草专卖零售许可证的管理，促进烟草市场健康发展，保护未成年人权益，根据《中华人民共和国烟草专卖法》《中华人民共和国行政许可法》《中华人民共和国未成年人保护法》《中华人民共和国烟草专卖法实施条例》《烟草专卖许可证管理办法》《烟草专卖许可证管理办法实施细则》等法律、法规、规章和规范性文件的规定，结合本辖区实际，制订本规划。</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ascii="仿宋" w:hAnsi="仿宋" w:eastAsia="仿宋" w:cs="仿宋"/>
          <w:color w:val="000000"/>
          <w:kern w:val="0"/>
          <w:sz w:val="32"/>
          <w:szCs w:val="32"/>
          <w:shd w:val="clear" w:color="auto" w:fill="FFFFFF"/>
        </w:rPr>
      </w:pPr>
      <w:r>
        <w:rPr>
          <w:rFonts w:hint="eastAsia" w:ascii="楷体" w:hAnsi="楷体" w:eastAsia="楷体" w:cs="黑体"/>
          <w:bCs/>
          <w:color w:val="000000"/>
          <w:kern w:val="0"/>
          <w:sz w:val="32"/>
          <w:szCs w:val="32"/>
          <w:shd w:val="clear" w:color="auto" w:fill="FFFFFF"/>
        </w:rPr>
        <w:t>第二条</w:t>
      </w:r>
      <w:r>
        <w:rPr>
          <w:rFonts w:ascii="仿宋" w:hAnsi="仿宋" w:eastAsia="仿宋" w:cs="黑体"/>
          <w:bCs/>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本规划适用于</w:t>
      </w:r>
      <w:r>
        <w:rPr>
          <w:rFonts w:hint="eastAsia" w:ascii="仿宋" w:hAnsi="仿宋" w:eastAsia="仿宋" w:cs="仿宋"/>
          <w:color w:val="000000"/>
          <w:kern w:val="0"/>
          <w:sz w:val="32"/>
          <w:szCs w:val="32"/>
          <w:shd w:val="clear" w:color="auto" w:fill="FFFFFF"/>
          <w:lang w:val="en-US" w:eastAsia="zh-CN"/>
        </w:rPr>
        <w:t>安阳县</w:t>
      </w:r>
      <w:r>
        <w:rPr>
          <w:rFonts w:hint="eastAsia" w:ascii="仿宋" w:hAnsi="仿宋" w:eastAsia="仿宋" w:cs="仿宋"/>
          <w:color w:val="000000"/>
          <w:kern w:val="0"/>
          <w:sz w:val="32"/>
          <w:szCs w:val="32"/>
          <w:shd w:val="clear" w:color="auto" w:fill="FFFFFF"/>
        </w:rPr>
        <w:t>行政区域范围内烟草制品零售点的设置与管理。</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kern w:val="0"/>
          <w:sz w:val="32"/>
          <w:szCs w:val="32"/>
          <w:shd w:val="clear" w:color="auto" w:fill="FFFFFF"/>
        </w:rPr>
      </w:pPr>
      <w:r>
        <w:rPr>
          <w:rFonts w:hint="eastAsia" w:ascii="楷体" w:hAnsi="楷体" w:eastAsia="楷体" w:cs="黑体"/>
          <w:bCs/>
          <w:color w:val="000000"/>
          <w:kern w:val="0"/>
          <w:sz w:val="32"/>
          <w:szCs w:val="32"/>
          <w:shd w:val="clear" w:color="auto" w:fill="FFFFFF"/>
        </w:rPr>
        <w:t>第三条</w:t>
      </w:r>
      <w:r>
        <w:rPr>
          <w:rFonts w:ascii="仿宋" w:hAnsi="仿宋" w:eastAsia="仿宋" w:cs="仿宋"/>
          <w:color w:val="000000"/>
          <w:kern w:val="0"/>
          <w:sz w:val="32"/>
          <w:szCs w:val="32"/>
          <w:shd w:val="clear" w:color="auto" w:fill="FFFFFF"/>
        </w:rPr>
        <w:t xml:space="preserve">  </w:t>
      </w:r>
      <w:r>
        <w:rPr>
          <w:rFonts w:hint="eastAsia" w:ascii="仿宋_GB2312" w:hAnsi="仿宋" w:eastAsia="仿宋_GB2312" w:cs="仿宋"/>
          <w:color w:val="000000"/>
          <w:kern w:val="0"/>
          <w:sz w:val="32"/>
          <w:szCs w:val="32"/>
          <w:shd w:val="clear" w:color="auto" w:fill="FFFFFF"/>
        </w:rPr>
        <w:t>烟草制品零售点（以下简称“零售点”）是指依法取得烟草专卖零售许可证从事烟草制品零售业务的公民、法人及其他组织开展烟草制品零售业务的与住所相独立</w:t>
      </w:r>
      <w:r>
        <w:rPr>
          <w:rFonts w:hint="eastAsia" w:ascii="仿宋_GB2312" w:hAnsi="仿宋" w:eastAsia="仿宋_GB2312" w:cs="仿宋"/>
          <w:color w:val="000000"/>
          <w:kern w:val="0"/>
          <w:sz w:val="32"/>
          <w:szCs w:val="32"/>
          <w:shd w:val="clear" w:color="auto" w:fill="FFFFFF"/>
          <w:lang w:eastAsia="zh-CN"/>
        </w:rPr>
        <w:t>的</w:t>
      </w:r>
      <w:r>
        <w:rPr>
          <w:rFonts w:hint="eastAsia" w:ascii="仿宋_GB2312" w:hAnsi="仿宋" w:eastAsia="仿宋_GB2312" w:cs="仿宋"/>
          <w:color w:val="000000"/>
          <w:kern w:val="0"/>
          <w:sz w:val="32"/>
          <w:szCs w:val="32"/>
          <w:shd w:val="clear" w:color="auto" w:fill="FFFFFF"/>
        </w:rPr>
        <w:t>经营场所，且经营场所应具备满足最低经营需求的基本设施条件，形成初步的经营业态。</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ascii="仿宋" w:hAnsi="仿宋" w:eastAsia="仿宋" w:cs="仿宋"/>
          <w:color w:val="000000"/>
          <w:kern w:val="0"/>
          <w:sz w:val="32"/>
          <w:szCs w:val="32"/>
          <w:shd w:val="clear" w:color="auto" w:fill="FFFFFF"/>
        </w:rPr>
      </w:pPr>
      <w:r>
        <w:rPr>
          <w:rFonts w:hint="eastAsia" w:ascii="楷体" w:hAnsi="楷体" w:eastAsia="楷体" w:cs="黑体"/>
          <w:bCs/>
          <w:color w:val="000000"/>
          <w:kern w:val="0"/>
          <w:sz w:val="32"/>
          <w:szCs w:val="32"/>
          <w:shd w:val="clear" w:color="auto" w:fill="FFFFFF"/>
        </w:rPr>
        <w:t>第四条</w:t>
      </w:r>
      <w:r>
        <w:rPr>
          <w:rFonts w:ascii="仿宋" w:hAnsi="仿宋" w:eastAsia="仿宋" w:cs="黑体"/>
          <w:bCs/>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烟草制品零售点合理布局以市场为导向，遵循依法行政、科学规划、服务社会、均衡发展的原则。</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楷体" w:hAnsi="楷体" w:eastAsia="楷体" w:cs="黑体"/>
          <w:bCs/>
          <w:color w:val="000000"/>
          <w:kern w:val="0"/>
          <w:sz w:val="32"/>
          <w:szCs w:val="32"/>
          <w:shd w:val="clear" w:color="auto" w:fill="FFFFFF"/>
        </w:rPr>
        <w:t>第五条</w:t>
      </w:r>
      <w:r>
        <w:rPr>
          <w:rFonts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安阳县</w:t>
      </w:r>
      <w:r>
        <w:rPr>
          <w:rFonts w:hint="eastAsia" w:ascii="仿宋" w:hAnsi="仿宋" w:eastAsia="仿宋" w:cs="仿宋"/>
          <w:color w:val="000000"/>
          <w:sz w:val="32"/>
          <w:szCs w:val="32"/>
        </w:rPr>
        <w:t>烟草专卖局综合考虑零售点存量、人口数量、交通状况、经济发展水平、消费能力等因素，</w:t>
      </w:r>
      <w:r>
        <w:rPr>
          <w:rFonts w:hint="eastAsia" w:ascii="仿宋_GB2312" w:hAnsi="仿宋_GB2312" w:eastAsia="仿宋_GB2312" w:cs="仿宋_GB2312"/>
          <w:color w:val="000000"/>
          <w:kern w:val="0"/>
          <w:sz w:val="32"/>
          <w:szCs w:val="32"/>
          <w:lang w:bidi="ar"/>
        </w:rPr>
        <w:t>将辖区划分若干市场单元，并</w:t>
      </w:r>
      <w:r>
        <w:rPr>
          <w:rFonts w:hint="eastAsia" w:ascii="仿宋" w:hAnsi="仿宋" w:eastAsia="仿宋" w:cs="仿宋"/>
          <w:color w:val="000000"/>
          <w:sz w:val="32"/>
          <w:szCs w:val="32"/>
        </w:rPr>
        <w:t>确定市场单元零售点的指导数。</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hint="eastAsia" w:ascii="仿宋" w:hAnsi="仿宋" w:eastAsia="仿宋" w:cs="仿宋"/>
          <w:color w:val="000000"/>
          <w:kern w:val="0"/>
          <w:sz w:val="32"/>
          <w:szCs w:val="32"/>
          <w:shd w:val="clear" w:color="auto" w:fill="FFFFFF"/>
        </w:rPr>
      </w:pPr>
      <w:r>
        <w:rPr>
          <w:rFonts w:hint="eastAsia" w:ascii="楷体" w:hAnsi="楷体" w:eastAsia="楷体" w:cs="黑体"/>
          <w:bCs/>
          <w:color w:val="000000"/>
          <w:kern w:val="0"/>
          <w:sz w:val="32"/>
          <w:szCs w:val="32"/>
          <w:shd w:val="clear" w:color="auto" w:fill="FFFFFF"/>
        </w:rPr>
        <w:t>第六条</w:t>
      </w:r>
      <w:r>
        <w:rPr>
          <w:rFonts w:ascii="仿宋" w:hAnsi="仿宋" w:eastAsia="仿宋" w:cs="黑体"/>
          <w:bCs/>
          <w:color w:val="000000"/>
          <w:kern w:val="0"/>
          <w:sz w:val="32"/>
          <w:szCs w:val="32"/>
          <w:shd w:val="clear" w:color="auto" w:fill="FFFFFF"/>
        </w:rPr>
        <w:t xml:space="preserve">  </w:t>
      </w:r>
      <w:r>
        <w:rPr>
          <w:rFonts w:hint="eastAsia" w:ascii="仿宋" w:hAnsi="仿宋" w:eastAsia="仿宋"/>
          <w:color w:val="000000"/>
          <w:sz w:val="32"/>
          <w:szCs w:val="32"/>
          <w:shd w:val="clear" w:color="auto" w:fill="FFFFFF"/>
        </w:rPr>
        <w:t>为了合理满足消费需求、防止无序竞争、落实控烟履约要求，对</w:t>
      </w:r>
      <w:r>
        <w:rPr>
          <w:rFonts w:hint="eastAsia" w:ascii="仿宋" w:hAnsi="仿宋" w:eastAsia="仿宋"/>
          <w:color w:val="000000"/>
          <w:sz w:val="32"/>
          <w:szCs w:val="32"/>
          <w:shd w:val="clear" w:color="auto" w:fill="FFFFFF"/>
          <w:lang w:eastAsia="zh-CN"/>
        </w:rPr>
        <w:t>安阳县</w:t>
      </w:r>
      <w:r>
        <w:rPr>
          <w:rFonts w:hint="eastAsia" w:ascii="仿宋" w:hAnsi="仿宋" w:eastAsia="仿宋"/>
          <w:color w:val="000000"/>
          <w:sz w:val="32"/>
          <w:szCs w:val="32"/>
          <w:shd w:val="clear" w:color="auto" w:fill="FFFFFF"/>
        </w:rPr>
        <w:t>辖区的市场单元和市场单元内的烟草制品零售点合理布局进行动态调整，以发布为准。根据辖区内的人口数量、交通状况、经济发展水平、消费能力、烟草制品零售点数量、盈利水平、诚信等级等因素，科学设定市场单元内的烟草制品零售点数量布局。零售点数量布局设置以指导数为基本参照，一定时期内根据实际动态把握和调整，在已经满足市场消费需求的情况下，按照“退一进一”原则，根据排队轮候顺序依法受理。</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color w:val="000000"/>
        </w:rPr>
      </w:pPr>
      <w:r>
        <w:rPr>
          <w:rFonts w:hint="eastAsia" w:ascii="楷体" w:hAnsi="楷体" w:eastAsia="楷体" w:cs="黑体"/>
          <w:bCs/>
          <w:color w:val="000000"/>
          <w:kern w:val="0"/>
          <w:sz w:val="32"/>
          <w:szCs w:val="32"/>
          <w:shd w:val="clear" w:color="auto" w:fill="FFFFFF"/>
        </w:rPr>
        <w:t>第七条</w:t>
      </w:r>
      <w:r>
        <w:rPr>
          <w:rFonts w:ascii="仿宋" w:hAnsi="仿宋" w:eastAsia="仿宋" w:cs="黑体"/>
          <w:bCs/>
          <w:color w:val="000000"/>
          <w:kern w:val="0"/>
          <w:sz w:val="32"/>
          <w:szCs w:val="32"/>
          <w:shd w:val="clear" w:color="auto" w:fill="FFFFFF"/>
        </w:rPr>
        <w:t xml:space="preserve">  </w:t>
      </w:r>
      <w:r>
        <w:rPr>
          <w:rFonts w:hint="eastAsia" w:ascii="仿宋" w:hAnsi="仿宋" w:eastAsia="仿宋" w:cs="仿宋"/>
          <w:color w:val="000000"/>
          <w:sz w:val="32"/>
          <w:szCs w:val="32"/>
        </w:rPr>
        <w:t>零售点合理布局规划应向社会公示。</w:t>
      </w:r>
    </w:p>
    <w:p>
      <w:pPr>
        <w:keepNext w:val="0"/>
        <w:keepLines w:val="0"/>
        <w:pageBreakBefore w:val="0"/>
        <w:kinsoku/>
        <w:wordWrap/>
        <w:overflowPunct/>
        <w:topLinePunct w:val="0"/>
        <w:autoSpaceDE/>
        <w:autoSpaceDN/>
        <w:bidi w:val="0"/>
        <w:adjustRightInd/>
        <w:snapToGrid/>
        <w:spacing w:line="560" w:lineRule="exact"/>
        <w:ind w:firstLine="632" w:firstLineChars="200"/>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第二章  零售点总体布局规划</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本辖区内烟草制品零售点的总体布局规划实行：“距离+总量+限制性条款”组合模式。</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楷体" w:hAnsi="楷体" w:eastAsia="楷体" w:cs="黑体"/>
          <w:bCs/>
          <w:color w:val="000000"/>
          <w:kern w:val="0"/>
          <w:sz w:val="32"/>
          <w:szCs w:val="32"/>
          <w:shd w:val="clear" w:color="auto" w:fill="FFFFFF"/>
          <w:lang w:val="en-US" w:eastAsia="zh-CN"/>
        </w:rPr>
      </w:pPr>
      <w:r>
        <w:rPr>
          <w:rFonts w:hint="eastAsia" w:ascii="楷体" w:hAnsi="楷体" w:eastAsia="楷体" w:cs="黑体"/>
          <w:bCs/>
          <w:color w:val="000000"/>
          <w:kern w:val="0"/>
          <w:sz w:val="32"/>
          <w:szCs w:val="32"/>
          <w:shd w:val="clear" w:color="auto" w:fill="FFFFFF"/>
          <w:lang w:val="en-US" w:eastAsia="zh-CN"/>
        </w:rPr>
        <w:t>第八条  距离限制模式</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kern w:val="2"/>
          <w:sz w:val="32"/>
          <w:szCs w:val="32"/>
          <w:lang w:val="en-US" w:eastAsia="zh-CN" w:bidi="ar-SA"/>
        </w:rPr>
        <w:t>在市场单元格数量调控模式基础上，各单元格新设零售点应</w:t>
      </w:r>
      <w:r>
        <w:rPr>
          <w:rFonts w:hint="eastAsia" w:ascii="仿宋_GB2312" w:hAnsi="仿宋_GB2312" w:eastAsia="仿宋_GB2312" w:cs="仿宋_GB2312"/>
          <w:color w:val="000000"/>
          <w:kern w:val="0"/>
          <w:sz w:val="32"/>
          <w:szCs w:val="32"/>
          <w:lang w:bidi="ar"/>
        </w:rPr>
        <w:t>同时满足</w:t>
      </w:r>
      <w:r>
        <w:rPr>
          <w:rFonts w:hint="eastAsia" w:ascii="仿宋_GB2312" w:hAnsi="仿宋_GB2312" w:eastAsia="仿宋_GB2312" w:cs="仿宋_GB2312"/>
          <w:color w:val="000000"/>
          <w:kern w:val="0"/>
          <w:sz w:val="32"/>
          <w:szCs w:val="32"/>
          <w:highlight w:val="none"/>
          <w:lang w:bidi="ar"/>
        </w:rPr>
        <w:t>间距控制标准，</w:t>
      </w:r>
      <w:r>
        <w:rPr>
          <w:rFonts w:hint="eastAsia" w:ascii="仿宋" w:hAnsi="仿宋" w:eastAsia="仿宋" w:cs="仿宋"/>
          <w:color w:val="000000"/>
          <w:sz w:val="32"/>
          <w:szCs w:val="32"/>
          <w:highlight w:val="none"/>
          <w:shd w:val="clear" w:color="auto" w:fill="FFFFFF"/>
        </w:rPr>
        <w:t>本辖区内的烟草制品零售点，两个零售点间距不低于</w:t>
      </w:r>
      <w:r>
        <w:rPr>
          <w:rFonts w:hint="eastAsia" w:ascii="仿宋" w:hAnsi="仿宋" w:eastAsia="仿宋" w:cs="仿宋"/>
          <w:color w:val="000000"/>
          <w:sz w:val="32"/>
          <w:szCs w:val="32"/>
          <w:highlight w:val="none"/>
          <w:shd w:val="clear" w:color="auto" w:fill="FFFFFF"/>
          <w:lang w:val="en-US" w:eastAsia="zh-CN"/>
        </w:rPr>
        <w:t>30</w:t>
      </w:r>
      <w:r>
        <w:rPr>
          <w:rFonts w:hint="eastAsia" w:ascii="仿宋" w:hAnsi="仿宋" w:eastAsia="仿宋" w:cs="仿宋"/>
          <w:color w:val="000000"/>
          <w:sz w:val="32"/>
          <w:szCs w:val="32"/>
          <w:highlight w:val="none"/>
          <w:shd w:val="clear" w:color="auto" w:fill="FFFFFF"/>
        </w:rPr>
        <w:t>米（不受距离限制及放宽情形的除外）。</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楷体" w:hAnsi="楷体" w:eastAsia="楷体" w:cs="黑体"/>
          <w:bCs/>
          <w:color w:val="000000"/>
          <w:kern w:val="0"/>
          <w:sz w:val="32"/>
          <w:szCs w:val="32"/>
          <w:highlight w:val="none"/>
          <w:shd w:val="clear" w:color="auto" w:fill="FFFFFF"/>
          <w:lang w:val="en-US" w:eastAsia="zh-CN"/>
        </w:rPr>
      </w:pPr>
      <w:r>
        <w:rPr>
          <w:rFonts w:hint="eastAsia" w:ascii="楷体" w:hAnsi="楷体" w:eastAsia="楷体" w:cs="黑体"/>
          <w:bCs/>
          <w:color w:val="000000"/>
          <w:kern w:val="0"/>
          <w:sz w:val="32"/>
          <w:szCs w:val="32"/>
          <w:highlight w:val="none"/>
          <w:shd w:val="clear" w:color="auto" w:fill="FFFFFF"/>
          <w:lang w:val="en-US" w:eastAsia="zh-CN"/>
        </w:rPr>
        <w:t>第九条  总量限制模式</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default"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（一）有下列情形之一的，不受本规划第八条限制，受所属市场单元指导数和总量限制。</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1.实行物业管理小区内部：每800户（以套房数量计算）设置1个零售点。</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2.特殊场所的零售点设置：</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ascii="仿宋" w:hAnsi="仿宋" w:eastAsia="仿宋" w:cs="仿宋"/>
          <w:color w:val="000000"/>
          <w:kern w:val="0"/>
          <w:sz w:val="32"/>
          <w:szCs w:val="32"/>
          <w:shd w:val="clear" w:color="auto" w:fill="FFFFFF"/>
        </w:rPr>
      </w:pPr>
      <w:r>
        <w:rPr>
          <w:rFonts w:hint="eastAsia" w:ascii="仿宋" w:hAnsi="仿宋" w:eastAsia="仿宋"/>
          <w:color w:val="000000"/>
          <w:sz w:val="32"/>
          <w:szCs w:val="32"/>
        </w:rPr>
        <w:t>（1）汽车站、火车站、高铁站候车厅内，每个候车厅内可设置</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个零售点</w:t>
      </w:r>
      <w:r>
        <w:rPr>
          <w:rFonts w:hint="eastAsia" w:ascii="仿宋" w:hAnsi="仿宋" w:eastAsia="仿宋"/>
          <w:color w:val="000000"/>
          <w:sz w:val="32"/>
          <w:szCs w:val="32"/>
          <w:lang w:eastAsia="zh-CN"/>
        </w:rPr>
        <w:t>，最多不超过</w:t>
      </w:r>
      <w:r>
        <w:rPr>
          <w:rFonts w:hint="eastAsia" w:ascii="仿宋" w:hAnsi="仿宋" w:eastAsia="仿宋"/>
          <w:color w:val="000000"/>
          <w:sz w:val="32"/>
          <w:szCs w:val="32"/>
          <w:lang w:val="en-US" w:eastAsia="zh-CN"/>
        </w:rPr>
        <w:t>5个</w:t>
      </w:r>
      <w:r>
        <w:rPr>
          <w:rFonts w:hint="eastAsia" w:ascii="仿宋" w:hAnsi="仿宋" w:eastAsia="仿宋" w:cs="仿宋"/>
          <w:color w:val="000000"/>
          <w:kern w:val="0"/>
          <w:sz w:val="32"/>
          <w:szCs w:val="32"/>
          <w:shd w:val="clear" w:color="auto" w:fill="FFFFFF"/>
        </w:rPr>
        <w:t>。</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ascii="仿宋" w:hAnsi="仿宋" w:eastAsia="仿宋"/>
          <w:color w:val="000000"/>
          <w:sz w:val="32"/>
          <w:szCs w:val="32"/>
        </w:rPr>
      </w:pPr>
      <w:r>
        <w:rPr>
          <w:rFonts w:hint="eastAsia" w:ascii="仿宋" w:hAnsi="仿宋" w:eastAsia="仿宋" w:cs="仿宋"/>
          <w:color w:val="000000"/>
          <w:kern w:val="0"/>
          <w:sz w:val="32"/>
          <w:szCs w:val="32"/>
          <w:shd w:val="clear" w:color="auto" w:fill="FFFFFF"/>
        </w:rPr>
        <w:t>（2）综合性市场、专业市场内，每</w:t>
      </w:r>
      <w:r>
        <w:rPr>
          <w:rFonts w:hint="eastAsia" w:ascii="仿宋" w:hAnsi="仿宋" w:eastAsia="仿宋" w:cs="仿宋"/>
          <w:color w:val="000000"/>
          <w:kern w:val="0"/>
          <w:sz w:val="32"/>
          <w:szCs w:val="32"/>
          <w:shd w:val="clear" w:color="auto" w:fill="FFFFFF"/>
          <w:lang w:val="en-US" w:eastAsia="zh-CN"/>
        </w:rPr>
        <w:t>20</w:t>
      </w:r>
      <w:r>
        <w:rPr>
          <w:rFonts w:hint="eastAsia" w:ascii="仿宋" w:hAnsi="仿宋" w:eastAsia="仿宋" w:cs="仿宋"/>
          <w:color w:val="000000"/>
          <w:kern w:val="0"/>
          <w:sz w:val="32"/>
          <w:szCs w:val="32"/>
          <w:shd w:val="clear" w:color="auto" w:fill="FFFFFF"/>
        </w:rPr>
        <w:t>间门店设置1个零售点</w:t>
      </w:r>
      <w:r>
        <w:rPr>
          <w:rFonts w:hint="eastAsia" w:ascii="仿宋" w:hAnsi="仿宋" w:eastAsia="仿宋" w:cs="仿宋"/>
          <w:color w:val="000000"/>
          <w:kern w:val="0"/>
          <w:sz w:val="32"/>
          <w:szCs w:val="32"/>
          <w:shd w:val="clear" w:color="auto" w:fill="FFFFFF"/>
          <w:lang w:eastAsia="zh-CN"/>
        </w:rPr>
        <w:t>，最多不超过</w:t>
      </w:r>
      <w:r>
        <w:rPr>
          <w:rFonts w:hint="eastAsia" w:ascii="仿宋" w:hAnsi="仿宋" w:eastAsia="仿宋" w:cs="仿宋"/>
          <w:color w:val="000000"/>
          <w:kern w:val="0"/>
          <w:sz w:val="32"/>
          <w:szCs w:val="32"/>
          <w:shd w:val="clear" w:color="auto" w:fill="FFFFFF"/>
          <w:lang w:val="en-US" w:eastAsia="zh-CN"/>
        </w:rPr>
        <w:t>5个</w:t>
      </w:r>
      <w:r>
        <w:rPr>
          <w:rFonts w:hint="eastAsia" w:ascii="仿宋" w:hAnsi="仿宋" w:eastAsia="仿宋" w:cs="仿宋"/>
          <w:color w:val="000000"/>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olor w:val="000000"/>
          <w:sz w:val="32"/>
          <w:szCs w:val="32"/>
        </w:rPr>
        <w:t>（3）</w:t>
      </w:r>
      <w:r>
        <w:rPr>
          <w:rFonts w:hint="eastAsia" w:ascii="仿宋" w:hAnsi="仿宋" w:eastAsia="仿宋" w:cs="仿宋"/>
          <w:color w:val="000000"/>
          <w:kern w:val="0"/>
          <w:sz w:val="32"/>
          <w:szCs w:val="32"/>
          <w:shd w:val="clear" w:color="auto" w:fill="FFFFFF"/>
        </w:rPr>
        <w:t>达到</w:t>
      </w:r>
      <w:r>
        <w:rPr>
          <w:rFonts w:hint="eastAsia" w:ascii="仿宋" w:hAnsi="仿宋" w:eastAsia="仿宋" w:cs="仿宋"/>
          <w:color w:val="000000"/>
          <w:kern w:val="0"/>
          <w:sz w:val="32"/>
          <w:szCs w:val="32"/>
          <w:shd w:val="clear" w:color="auto" w:fill="FFFFFF"/>
          <w:lang w:val="en-US" w:eastAsia="zh-CN"/>
        </w:rPr>
        <w:t>1000</w:t>
      </w:r>
      <w:r>
        <w:rPr>
          <w:rFonts w:hint="eastAsia" w:ascii="仿宋" w:hAnsi="仿宋" w:eastAsia="仿宋" w:cs="仿宋"/>
          <w:color w:val="000000"/>
          <w:kern w:val="0"/>
          <w:sz w:val="32"/>
          <w:szCs w:val="32"/>
          <w:shd w:val="clear" w:color="auto" w:fill="FFFFFF"/>
        </w:rPr>
        <w:t>人以上规模的高等院校内（同一校区）可设置1个零售点，每增加</w:t>
      </w:r>
      <w:r>
        <w:rPr>
          <w:rFonts w:hint="eastAsia" w:ascii="仿宋" w:hAnsi="仿宋" w:eastAsia="仿宋" w:cs="仿宋"/>
          <w:color w:val="000000"/>
          <w:kern w:val="0"/>
          <w:sz w:val="32"/>
          <w:szCs w:val="32"/>
          <w:shd w:val="clear" w:color="auto" w:fill="FFFFFF"/>
          <w:lang w:val="en-US" w:eastAsia="zh-CN"/>
        </w:rPr>
        <w:t>1000</w:t>
      </w:r>
      <w:r>
        <w:rPr>
          <w:rFonts w:hint="eastAsia" w:ascii="仿宋" w:hAnsi="仿宋" w:eastAsia="仿宋" w:cs="仿宋"/>
          <w:color w:val="000000"/>
          <w:kern w:val="0"/>
          <w:sz w:val="32"/>
          <w:szCs w:val="32"/>
          <w:shd w:val="clear" w:color="auto" w:fill="FFFFFF"/>
        </w:rPr>
        <w:t>人可以增设1个零售点</w:t>
      </w:r>
      <w:r>
        <w:rPr>
          <w:rFonts w:hint="eastAsia" w:ascii="仿宋" w:hAnsi="仿宋" w:eastAsia="仿宋" w:cs="仿宋"/>
          <w:color w:val="000000"/>
          <w:kern w:val="0"/>
          <w:sz w:val="32"/>
          <w:szCs w:val="32"/>
          <w:shd w:val="clear" w:color="auto" w:fill="FFFFFF"/>
          <w:lang w:eastAsia="zh-CN"/>
        </w:rPr>
        <w:t>，最多不超过</w:t>
      </w:r>
      <w:r>
        <w:rPr>
          <w:rFonts w:hint="eastAsia" w:ascii="仿宋" w:hAnsi="仿宋" w:eastAsia="仿宋" w:cs="仿宋"/>
          <w:color w:val="000000"/>
          <w:kern w:val="0"/>
          <w:sz w:val="32"/>
          <w:szCs w:val="32"/>
          <w:shd w:val="clear" w:color="auto" w:fill="FFFFFF"/>
          <w:lang w:val="en-US" w:eastAsia="zh-CN"/>
        </w:rPr>
        <w:t>2个</w:t>
      </w:r>
      <w:r>
        <w:rPr>
          <w:rFonts w:hint="eastAsia" w:ascii="仿宋" w:hAnsi="仿宋" w:eastAsia="仿宋" w:cs="仿宋"/>
          <w:color w:val="000000"/>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w:t>
      </w:r>
      <w:r>
        <w:rPr>
          <w:rFonts w:hint="eastAsia" w:ascii="仿宋" w:hAnsi="仿宋" w:eastAsia="仿宋" w:cs="仿宋"/>
          <w:color w:val="000000"/>
          <w:sz w:val="32"/>
          <w:szCs w:val="32"/>
          <w:shd w:val="clear" w:color="auto" w:fill="FFFFFF"/>
        </w:rPr>
        <w:t>客房达到</w:t>
      </w:r>
      <w:r>
        <w:rPr>
          <w:rFonts w:hint="eastAsia" w:ascii="仿宋" w:hAnsi="仿宋" w:eastAsia="仿宋" w:cs="仿宋"/>
          <w:color w:val="000000"/>
          <w:sz w:val="32"/>
          <w:szCs w:val="32"/>
          <w:shd w:val="clear" w:color="auto" w:fill="FFFFFF"/>
          <w:lang w:val="en-US" w:eastAsia="zh-CN"/>
        </w:rPr>
        <w:t>500</w:t>
      </w:r>
      <w:r>
        <w:rPr>
          <w:rFonts w:hint="eastAsia" w:ascii="仿宋" w:hAnsi="仿宋" w:eastAsia="仿宋" w:cs="仿宋"/>
          <w:color w:val="000000"/>
          <w:sz w:val="32"/>
          <w:szCs w:val="32"/>
          <w:shd w:val="clear" w:color="auto" w:fill="FFFFFF"/>
        </w:rPr>
        <w:t>间以上的宾馆酒店，</w:t>
      </w:r>
      <w:r>
        <w:rPr>
          <w:rFonts w:hint="eastAsia" w:ascii="仿宋" w:hAnsi="仿宋" w:eastAsia="仿宋" w:cs="仿宋"/>
          <w:color w:val="000000"/>
          <w:kern w:val="0"/>
          <w:sz w:val="32"/>
          <w:szCs w:val="32"/>
          <w:shd w:val="clear" w:color="auto" w:fill="FFFFFF"/>
        </w:rPr>
        <w:t>可设置1个零售点。</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kern w:val="0"/>
          <w:sz w:val="32"/>
          <w:szCs w:val="32"/>
          <w:shd w:val="clear" w:color="auto" w:fill="FFFFFF"/>
        </w:rPr>
        <w:t>（5）</w:t>
      </w:r>
      <w:r>
        <w:rPr>
          <w:rFonts w:hint="eastAsia" w:ascii="仿宋" w:hAnsi="仿宋" w:eastAsia="仿宋" w:cs="仿宋"/>
          <w:color w:val="000000"/>
          <w:sz w:val="32"/>
          <w:szCs w:val="32"/>
          <w:shd w:val="clear" w:color="auto" w:fill="FFFFFF"/>
        </w:rPr>
        <w:t>封闭式旅游景区、度假村以满足停留在设施内特定顾客消费的经营场所，</w:t>
      </w:r>
      <w:r>
        <w:rPr>
          <w:rFonts w:hint="eastAsia" w:ascii="仿宋" w:hAnsi="仿宋" w:eastAsia="仿宋" w:cs="仿宋"/>
          <w:color w:val="000000"/>
          <w:sz w:val="32"/>
          <w:szCs w:val="32"/>
        </w:rPr>
        <w:t>高速公路服务区（休息区）单侧，</w:t>
      </w:r>
      <w:r>
        <w:rPr>
          <w:rFonts w:hint="eastAsia" w:ascii="仿宋" w:hAnsi="仿宋" w:eastAsia="仿宋" w:cs="仿宋"/>
          <w:color w:val="000000"/>
          <w:sz w:val="32"/>
          <w:szCs w:val="32"/>
          <w:shd w:val="clear" w:color="auto" w:fill="FFFFFF"/>
        </w:rPr>
        <w:t>按照一址一证的原则办理。</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6</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物流园区、大型建筑工地、厂矿企业内，区域单元内每1000平米设置1个零售点，每增加1000平米可以增设1个零售点，最多不超过5个。</w:t>
      </w:r>
    </w:p>
    <w:p>
      <w:pPr>
        <w:pStyle w:val="2"/>
        <w:keepNext w:val="0"/>
        <w:keepLines w:val="0"/>
        <w:pageBreakBefore w:val="0"/>
        <w:kinsoku/>
        <w:wordWrap/>
        <w:overflowPunct/>
        <w:topLinePunct w:val="0"/>
        <w:autoSpaceDE/>
        <w:autoSpaceDN/>
        <w:bidi w:val="0"/>
        <w:adjustRightInd/>
        <w:snapToGrid/>
        <w:spacing w:line="560" w:lineRule="exact"/>
        <w:ind w:firstLine="632" w:firstLineChars="200"/>
        <w:jc w:val="left"/>
        <w:rPr>
          <w:rFonts w:hint="default"/>
          <w:color w:val="000000"/>
          <w:lang w:val="en-US" w:eastAsia="zh-CN"/>
        </w:rPr>
      </w:pPr>
      <w:r>
        <w:rPr>
          <w:rFonts w:hint="eastAsia" w:ascii="仿宋" w:hAnsi="仿宋" w:eastAsia="仿宋" w:cs="仿宋"/>
          <w:color w:val="000000"/>
          <w:kern w:val="0"/>
          <w:sz w:val="32"/>
          <w:szCs w:val="32"/>
          <w:shd w:val="clear" w:color="auto" w:fill="FFFFFF"/>
          <w:lang w:val="en-US" w:eastAsia="zh-CN"/>
        </w:rPr>
        <w:t>（7）占地500亩以上的公园、市政广场等公共场所，可设置1个零售点，每增加500亩可增设1个零售点，最多不超过2个。</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color w:val="000000"/>
        </w:rPr>
      </w:pPr>
      <w:r>
        <w:rPr>
          <w:rFonts w:hint="eastAsia" w:ascii="仿宋" w:hAnsi="仿宋" w:eastAsia="仿宋" w:cs="仿宋"/>
          <w:color w:val="000000"/>
          <w:kern w:val="0"/>
          <w:sz w:val="32"/>
          <w:szCs w:val="32"/>
          <w:shd w:val="clear" w:color="auto" w:fill="FFFFFF"/>
        </w:rPr>
        <w:t>（二）与烟草制品零售业务没有直接或间接互补营销关系的经营场所（包括但不限于</w:t>
      </w:r>
      <w:r>
        <w:rPr>
          <w:rFonts w:hint="eastAsia" w:ascii="仿宋" w:hAnsi="仿宋" w:eastAsia="仿宋" w:cs="仿宋"/>
          <w:color w:val="000000"/>
          <w:kern w:val="0"/>
          <w:sz w:val="32"/>
          <w:szCs w:val="32"/>
          <w:shd w:val="clear" w:color="auto" w:fill="FFFFFF"/>
          <w:lang w:val="en-US" w:eastAsia="zh-CN"/>
        </w:rPr>
        <w:t>日化、箱包、彩票点、网吧、洗浴中心、台球厅、</w:t>
      </w:r>
      <w:r>
        <w:rPr>
          <w:rFonts w:hint="eastAsia" w:ascii="仿宋" w:hAnsi="仿宋" w:eastAsia="仿宋" w:cs="仿宋"/>
          <w:color w:val="000000"/>
          <w:kern w:val="0"/>
          <w:sz w:val="32"/>
          <w:szCs w:val="32"/>
          <w:shd w:val="clear" w:color="auto" w:fill="FFFFFF"/>
        </w:rPr>
        <w:t>五金电料、礼品</w:t>
      </w:r>
      <w:r>
        <w:rPr>
          <w:rFonts w:ascii="仿宋" w:hAnsi="仿宋" w:eastAsia="仿宋" w:cs="仿宋"/>
          <w:color w:val="000000"/>
          <w:kern w:val="0"/>
          <w:sz w:val="32"/>
          <w:szCs w:val="32"/>
          <w:shd w:val="clear" w:color="auto" w:fill="FFFFFF"/>
        </w:rPr>
        <w:t>回收、</w:t>
      </w:r>
      <w:r>
        <w:rPr>
          <w:rFonts w:hint="eastAsia" w:ascii="仿宋" w:hAnsi="仿宋" w:eastAsia="仿宋" w:cs="仿宋"/>
          <w:color w:val="000000"/>
          <w:kern w:val="0"/>
          <w:sz w:val="32"/>
          <w:szCs w:val="32"/>
          <w:shd w:val="clear" w:color="auto" w:fill="FFFFFF"/>
        </w:rPr>
        <w:t>童车、首饰店、按摩推拿、文化体育、音像制品、母婴用品、寄卖典当、汽车租赁、农畜养殖、床上用品、书店、渔具、水产、花卉、祭祀用品、通信器材、报亭、文玩、洗车、装修材料、快递点、药店、油库营业室、旅行社等），设置零售点不得超过本辖区持证商户的</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%，按照”退一进一”的原则办理。</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_GB2312" w:hAnsi="仿宋" w:eastAsia="仿宋_GB2312" w:cs="仿宋"/>
          <w:color w:val="000000"/>
          <w:kern w:val="0"/>
          <w:sz w:val="32"/>
          <w:szCs w:val="32"/>
          <w:highlight w:val="none"/>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32" w:firstLineChars="200"/>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第三章</w:t>
      </w:r>
      <w:r>
        <w:rPr>
          <w:rFonts w:hint="eastAsia" w:ascii="黑体" w:hAnsi="黑体" w:eastAsia="黑体" w:cs="黑体"/>
          <w:color w:val="000000"/>
          <w:kern w:val="0"/>
          <w:sz w:val="32"/>
          <w:szCs w:val="32"/>
          <w:shd w:val="clear" w:color="auto" w:fill="FFFFFF"/>
        </w:rPr>
        <w:t xml:space="preserve"> 放宽情形</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shd w:val="clear" w:color="auto" w:fill="FFFFFF"/>
        </w:rPr>
        <w:t>第</w:t>
      </w:r>
      <w:r>
        <w:rPr>
          <w:rFonts w:hint="eastAsia" w:ascii="楷体_GB2312" w:hAnsi="楷体_GB2312" w:eastAsia="楷体_GB2312" w:cs="楷体_GB2312"/>
          <w:color w:val="000000"/>
          <w:sz w:val="32"/>
          <w:szCs w:val="32"/>
          <w:shd w:val="clear" w:color="auto" w:fill="FFFFFF"/>
          <w:lang w:val="en-US" w:eastAsia="zh-CN"/>
        </w:rPr>
        <w:t>十</w:t>
      </w:r>
      <w:r>
        <w:rPr>
          <w:rFonts w:hint="eastAsia" w:ascii="楷体_GB2312" w:hAnsi="楷体_GB2312" w:eastAsia="楷体_GB2312" w:cs="楷体_GB2312"/>
          <w:color w:val="000000"/>
          <w:sz w:val="32"/>
          <w:szCs w:val="32"/>
          <w:shd w:val="clear" w:color="auto" w:fill="FFFFFF"/>
        </w:rPr>
        <w:t>条</w:t>
      </w:r>
      <w:r>
        <w:rPr>
          <w:rFonts w:hint="eastAsia"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rPr>
        <w:t>具有下列情形之一的，</w:t>
      </w:r>
      <w:r>
        <w:rPr>
          <w:rFonts w:hint="eastAsia" w:ascii="仿宋_GB2312" w:hAnsi="仿宋" w:eastAsia="仿宋_GB2312" w:cs="仿宋"/>
          <w:color w:val="000000"/>
          <w:sz w:val="32"/>
          <w:szCs w:val="32"/>
          <w:lang w:eastAsia="zh-CN"/>
        </w:rPr>
        <w:t>不受间距限制</w:t>
      </w:r>
      <w:r>
        <w:rPr>
          <w:rFonts w:hint="eastAsia" w:ascii="仿宋_GB2312" w:hAnsi="仿宋" w:eastAsia="仿宋_GB2312" w:cs="仿宋"/>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一</w:t>
      </w:r>
      <w:r>
        <w:rPr>
          <w:rFonts w:hint="eastAsia" w:ascii="仿宋_GB2312" w:hAnsi="仿宋" w:eastAsia="仿宋_GB2312" w:cs="仿宋"/>
          <w:color w:val="000000"/>
          <w:sz w:val="32"/>
          <w:szCs w:val="32"/>
        </w:rPr>
        <w:t>）具有完全民事行为能力的残疾人首次申领的</w:t>
      </w:r>
      <w:r>
        <w:rPr>
          <w:rFonts w:hint="eastAsia" w:ascii="仿宋_GB2312" w:hAnsi="仿宋" w:eastAsia="仿宋_GB2312"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二</w:t>
      </w:r>
      <w:r>
        <w:rPr>
          <w:rFonts w:hint="eastAsia" w:ascii="仿宋_GB2312" w:hAnsi="仿宋" w:eastAsia="仿宋_GB2312" w:cs="仿宋"/>
          <w:color w:val="000000"/>
          <w:sz w:val="32"/>
          <w:szCs w:val="32"/>
        </w:rPr>
        <w:t>）军烈属家庭</w:t>
      </w:r>
      <w:r>
        <w:rPr>
          <w:rFonts w:hint="eastAsia" w:ascii="仿宋_GB2312" w:hAnsi="仿宋" w:eastAsia="仿宋_GB2312" w:cs="仿宋"/>
          <w:color w:val="000000"/>
          <w:sz w:val="32"/>
          <w:szCs w:val="32"/>
          <w:lang w:eastAsia="zh-CN"/>
        </w:rPr>
        <w:t>成员（</w:t>
      </w:r>
      <w:r>
        <w:rPr>
          <w:rFonts w:hint="eastAsia" w:ascii="仿宋_GB2312" w:hAnsi="仿宋" w:eastAsia="仿宋_GB2312" w:cs="仿宋"/>
          <w:color w:val="000000"/>
          <w:sz w:val="32"/>
          <w:szCs w:val="32"/>
          <w:lang w:val="en-US" w:eastAsia="zh-CN"/>
        </w:rPr>
        <w:t>具有完全民事能力的父母、配偶和成年子女</w:t>
      </w:r>
      <w:r>
        <w:rPr>
          <w:rFonts w:hint="eastAsia" w:ascii="仿宋_GB2312" w:hAnsi="仿宋" w:eastAsia="仿宋_GB2312" w:cs="仿宋"/>
          <w:color w:val="000000"/>
          <w:sz w:val="32"/>
          <w:szCs w:val="32"/>
          <w:lang w:eastAsia="zh-CN"/>
        </w:rPr>
        <w:t>）范围内</w:t>
      </w:r>
      <w:r>
        <w:rPr>
          <w:rFonts w:hint="eastAsia" w:ascii="仿宋_GB2312" w:hAnsi="仿宋" w:eastAsia="仿宋_GB2312" w:cs="仿宋"/>
          <w:color w:val="000000"/>
          <w:sz w:val="32"/>
          <w:szCs w:val="32"/>
        </w:rPr>
        <w:t>首次申领的；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三</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在本辖区</w:t>
      </w:r>
      <w:r>
        <w:rPr>
          <w:rFonts w:hint="eastAsia" w:ascii="仿宋_GB2312" w:hAnsi="仿宋" w:eastAsia="仿宋_GB2312" w:cs="仿宋"/>
          <w:color w:val="000000"/>
          <w:sz w:val="32"/>
          <w:szCs w:val="32"/>
        </w:rPr>
        <w:t>内拥有30家以上的直营品牌连锁便利店；</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_GB2312" w:hAnsi="仿宋" w:eastAsia="仿宋_GB2312" w:cs="仿宋"/>
          <w:color w:val="000000"/>
          <w:sz w:val="32"/>
          <w:szCs w:val="32"/>
        </w:rPr>
      </w:pPr>
      <w:r>
        <w:rPr>
          <w:rFonts w:hint="eastAsia" w:ascii="仿宋_GB2312" w:hAnsi="楷体" w:eastAsia="仿宋_GB2312" w:cs="黑体"/>
          <w:bCs/>
          <w:color w:val="000000"/>
          <w:kern w:val="0"/>
          <w:sz w:val="32"/>
          <w:szCs w:val="32"/>
          <w:shd w:val="clear" w:color="auto" w:fill="FFFFFF"/>
        </w:rPr>
        <w:t>（</w:t>
      </w:r>
      <w:r>
        <w:rPr>
          <w:rFonts w:hint="eastAsia" w:ascii="仿宋_GB2312" w:hAnsi="楷体" w:eastAsia="仿宋_GB2312" w:cs="黑体"/>
          <w:bCs/>
          <w:color w:val="000000"/>
          <w:kern w:val="0"/>
          <w:sz w:val="32"/>
          <w:szCs w:val="32"/>
          <w:shd w:val="clear" w:color="auto" w:fill="FFFFFF"/>
          <w:lang w:val="en-US" w:eastAsia="zh-CN"/>
        </w:rPr>
        <w:t>四</w:t>
      </w:r>
      <w:r>
        <w:rPr>
          <w:rFonts w:hint="eastAsia" w:ascii="仿宋_GB2312" w:hAnsi="楷体" w:eastAsia="仿宋_GB2312" w:cs="黑体"/>
          <w:bCs/>
          <w:color w:val="000000"/>
          <w:kern w:val="0"/>
          <w:sz w:val="32"/>
          <w:szCs w:val="32"/>
          <w:shd w:val="clear" w:color="auto" w:fill="FFFFFF"/>
        </w:rPr>
        <w:t xml:space="preserve">） </w:t>
      </w:r>
      <w:r>
        <w:rPr>
          <w:rFonts w:hint="eastAsia" w:ascii="仿宋_GB2312" w:hAnsi="仿宋" w:eastAsia="仿宋_GB2312" w:cs="仿宋"/>
          <w:color w:val="000000"/>
          <w:sz w:val="32"/>
          <w:szCs w:val="32"/>
        </w:rPr>
        <w:t>实际营业面积在</w:t>
      </w: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00平方米以上的超市（</w:t>
      </w:r>
      <w:r>
        <w:rPr>
          <w:rFonts w:hint="eastAsia" w:ascii="仿宋_GB2312" w:hAnsi="仿宋" w:eastAsia="仿宋_GB2312" w:cs="仿宋"/>
          <w:color w:val="000000"/>
          <w:sz w:val="32"/>
          <w:szCs w:val="32"/>
          <w:lang w:eastAsia="zh-CN"/>
        </w:rPr>
        <w:t>单层</w:t>
      </w:r>
      <w:r>
        <w:rPr>
          <w:rFonts w:hint="eastAsia" w:ascii="仿宋_GB2312" w:hAnsi="仿宋" w:eastAsia="仿宋_GB2312" w:cs="仿宋"/>
          <w:color w:val="000000"/>
          <w:sz w:val="32"/>
          <w:szCs w:val="32"/>
        </w:rPr>
        <w:t>平层开放式，不含仓储、办公、楼梯等非营业性质面积）；</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五</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河南省退伍军人事务厅备案的</w:t>
      </w:r>
      <w:r>
        <w:rPr>
          <w:rFonts w:hint="eastAsia" w:ascii="仿宋_GB2312" w:hAnsi="仿宋" w:eastAsia="仿宋_GB2312" w:cs="仿宋"/>
          <w:color w:val="000000"/>
          <w:sz w:val="32"/>
          <w:szCs w:val="32"/>
        </w:rPr>
        <w:t>河南老兵驿站连锁超市有限公司门店。</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六</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因地方政府招商引资需要且营业面积在300平方米以上的门店。</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hint="default" w:ascii="楷体_GB2312" w:hAnsi="楷体" w:eastAsia="仿宋_GB2312" w:cs="黑体"/>
          <w:bCs/>
          <w:color w:val="000000"/>
          <w:kern w:val="0"/>
          <w:sz w:val="32"/>
          <w:szCs w:val="32"/>
          <w:shd w:val="clear" w:color="auto" w:fill="FFFFFF"/>
          <w:lang w:val="en-US" w:eastAsia="zh-CN"/>
        </w:rPr>
      </w:pPr>
      <w:r>
        <w:rPr>
          <w:rFonts w:hint="eastAsia" w:ascii="楷体_GB2312" w:hAnsi="楷体" w:eastAsia="楷体_GB2312" w:cs="黑体"/>
          <w:bCs/>
          <w:color w:val="000000"/>
          <w:kern w:val="0"/>
          <w:sz w:val="32"/>
          <w:szCs w:val="32"/>
          <w:shd w:val="clear" w:color="auto" w:fill="FFFFFF"/>
        </w:rPr>
        <w:t>第十</w:t>
      </w:r>
      <w:r>
        <w:rPr>
          <w:rFonts w:hint="eastAsia" w:ascii="楷体_GB2312" w:hAnsi="楷体" w:eastAsia="楷体_GB2312" w:cs="黑体"/>
          <w:bCs/>
          <w:color w:val="000000"/>
          <w:kern w:val="0"/>
          <w:sz w:val="32"/>
          <w:szCs w:val="32"/>
          <w:shd w:val="clear" w:color="auto" w:fill="FFFFFF"/>
          <w:lang w:eastAsia="zh-CN"/>
        </w:rPr>
        <w:t>一</w:t>
      </w:r>
      <w:r>
        <w:rPr>
          <w:rFonts w:hint="eastAsia" w:ascii="楷体_GB2312" w:hAnsi="楷体" w:eastAsia="楷体_GB2312" w:cs="黑体"/>
          <w:bCs/>
          <w:color w:val="000000"/>
          <w:kern w:val="0"/>
          <w:sz w:val="32"/>
          <w:szCs w:val="32"/>
          <w:shd w:val="clear" w:color="auto" w:fill="FFFFFF"/>
        </w:rPr>
        <w:t>条</w:t>
      </w:r>
      <w:r>
        <w:rPr>
          <w:rFonts w:hint="eastAsia" w:ascii="楷体_GB2312" w:hAnsi="楷体" w:eastAsia="楷体_GB2312" w:cs="黑体"/>
          <w:bCs/>
          <w:color w:val="000000"/>
          <w:kern w:val="0"/>
          <w:sz w:val="32"/>
          <w:szCs w:val="32"/>
          <w:shd w:val="clear" w:color="auto" w:fill="FFFFFF"/>
          <w:lang w:val="en-US" w:eastAsia="zh-CN"/>
        </w:rPr>
        <w:t xml:space="preserve"> </w:t>
      </w:r>
      <w:r>
        <w:rPr>
          <w:rFonts w:hint="eastAsia" w:ascii="仿宋_GB2312" w:hAnsi="仿宋" w:eastAsia="仿宋_GB2312" w:cs="仿宋"/>
          <w:color w:val="000000"/>
          <w:sz w:val="32"/>
          <w:szCs w:val="32"/>
        </w:rPr>
        <w:t>具有下列情形之一的，不受间距和</w:t>
      </w:r>
      <w:r>
        <w:rPr>
          <w:rFonts w:hint="eastAsia" w:ascii="仿宋_GB2312" w:hAnsi="仿宋" w:eastAsia="仿宋_GB2312" w:cs="仿宋"/>
          <w:color w:val="000000"/>
          <w:sz w:val="32"/>
          <w:szCs w:val="32"/>
          <w:lang w:val="en-US" w:eastAsia="zh-CN"/>
        </w:rPr>
        <w:t>所属市场单元指导数</w:t>
      </w:r>
      <w:r>
        <w:rPr>
          <w:rFonts w:hint="eastAsia" w:ascii="仿宋_GB2312" w:hAnsi="仿宋" w:eastAsia="仿宋_GB2312" w:cs="仿宋"/>
          <w:color w:val="000000"/>
          <w:sz w:val="32"/>
          <w:szCs w:val="32"/>
        </w:rPr>
        <w:t>的限</w:t>
      </w:r>
      <w:r>
        <w:rPr>
          <w:rFonts w:hint="eastAsia" w:ascii="仿宋_GB2312" w:hAnsi="仿宋" w:eastAsia="仿宋_GB2312" w:cs="仿宋"/>
          <w:color w:val="000000"/>
          <w:sz w:val="32"/>
          <w:szCs w:val="32"/>
          <w:highlight w:val="none"/>
        </w:rPr>
        <w:t>制</w:t>
      </w: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lang w:val="en-US" w:eastAsia="zh-CN"/>
        </w:rPr>
        <w:t>但受总量规定限制。</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（一）因道路规划、城市建设等客观原因造成无法在核定的经营地址经营的零售点，持证人提出变更申请到原发证机关辖区内其他地址</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需在其所在的乡镇市场单元内</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经营的；</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（二）</w:t>
      </w:r>
      <w:r>
        <w:rPr>
          <w:rFonts w:hint="eastAsia" w:ascii="仿宋_GB2312" w:hAnsi="仿宋" w:eastAsia="仿宋_GB2312" w:cs="仿宋"/>
          <w:color w:val="000000"/>
          <w:sz w:val="32"/>
          <w:szCs w:val="32"/>
        </w:rPr>
        <w:t>因中小学、幼儿园新建、改造导致的先店后校、先店后门等情况，以及合理布局标准修订等客观原因造成中小学、幼儿园周边零售点不符合相关要求，持证人提出变更申请到原发证机关辖区内其他地址经营</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需在其所在的乡镇市场单元内</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的。</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三</w:t>
      </w:r>
      <w:r>
        <w:rPr>
          <w:rFonts w:hint="eastAsia" w:ascii="仿宋_GB2312" w:hAnsi="仿宋" w:eastAsia="仿宋_GB2312" w:cs="仿宋"/>
          <w:color w:val="000000"/>
          <w:sz w:val="32"/>
          <w:szCs w:val="32"/>
          <w:lang w:eastAsia="zh-CN"/>
        </w:rPr>
        <w:t>）非家庭经营的持证个体户，因原持证人死亡或丧失民事行为能力，原持证人内部家庭成员（具有完全民事行为能力的父母、配偶或成年子女）需在原经营地址继续经营的，</w:t>
      </w:r>
      <w:r>
        <w:rPr>
          <w:rFonts w:hint="eastAsia" w:ascii="仿宋_GB2312" w:hAnsi="仿宋" w:eastAsia="仿宋_GB2312" w:cs="仿宋"/>
          <w:color w:val="000000"/>
          <w:sz w:val="32"/>
          <w:szCs w:val="32"/>
          <w:lang w:val="en-US" w:eastAsia="zh-CN"/>
        </w:rPr>
        <w:t>自其许可证被注销之日起3个月内提出新办申请的，无需重新排队轮候。</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hint="eastAsia" w:ascii="仿宋_GB2312" w:hAnsi="仿宋" w:eastAsia="仿宋_GB2312" w:cs="仿宋"/>
          <w:color w:val="000000"/>
          <w:sz w:val="32"/>
          <w:szCs w:val="32"/>
          <w:highlight w:val="none"/>
          <w:lang w:val="en-US" w:eastAsia="zh-CN"/>
        </w:rPr>
      </w:pPr>
      <w:r>
        <w:rPr>
          <w:rFonts w:hint="eastAsia"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lang w:val="en-US" w:eastAsia="zh-CN"/>
        </w:rPr>
        <w:t>四</w:t>
      </w:r>
      <w:r>
        <w:rPr>
          <w:rFonts w:hint="eastAsia"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lang w:val="en-US" w:eastAsia="zh-CN"/>
        </w:rPr>
        <w:t>申请许可范围仅有雪茄烟本店零售，且具备以下条件的：1、配备专用的储存及养护设施；2、设有面积在3平方米以上的专用储存库房；3、设有面积在10平方米以上的专用雪茄烟品鉴区域。</w:t>
      </w:r>
    </w:p>
    <w:p>
      <w:pPr>
        <w:pStyle w:val="2"/>
        <w:keepNext w:val="0"/>
        <w:keepLines w:val="0"/>
        <w:pageBreakBefore w:val="0"/>
        <w:kinsoku/>
        <w:wordWrap/>
        <w:overflowPunct/>
        <w:topLinePunct w:val="0"/>
        <w:autoSpaceDE/>
        <w:autoSpaceDN/>
        <w:bidi w:val="0"/>
        <w:adjustRightInd/>
        <w:snapToGrid/>
        <w:spacing w:after="0" w:line="560" w:lineRule="exact"/>
        <w:ind w:firstLine="632" w:firstLineChars="200"/>
        <w:jc w:val="left"/>
        <w:rPr>
          <w:rFonts w:hint="default" w:ascii="仿宋_GB2312" w:hAnsi="仿宋" w:eastAsia="仿宋_GB2312" w:cs="仿宋"/>
          <w:color w:val="000000"/>
          <w:sz w:val="32"/>
          <w:szCs w:val="32"/>
          <w:highlight w:val="none"/>
          <w:lang w:val="en-US" w:eastAsia="zh-CN"/>
        </w:rPr>
      </w:pPr>
      <w:r>
        <w:rPr>
          <w:rFonts w:hint="default" w:ascii="仿宋_GB2312" w:hAnsi="仿宋" w:eastAsia="仿宋_GB2312" w:cs="仿宋"/>
          <w:color w:val="000000"/>
          <w:sz w:val="32"/>
          <w:szCs w:val="32"/>
          <w:highlight w:val="none"/>
          <w:lang w:val="en-US" w:eastAsia="zh-CN"/>
        </w:rPr>
        <w:t>许可范围增加卷烟本店零售的，应当按照本规划规定的</w:t>
      </w:r>
      <w:r>
        <w:rPr>
          <w:rFonts w:hint="eastAsia" w:ascii="仿宋_GB2312" w:hAnsi="仿宋" w:eastAsia="仿宋_GB2312" w:cs="仿宋"/>
          <w:color w:val="000000"/>
          <w:sz w:val="32"/>
          <w:szCs w:val="32"/>
          <w:highlight w:val="none"/>
          <w:lang w:val="en-US" w:eastAsia="zh-CN"/>
        </w:rPr>
        <w:t>办理</w:t>
      </w:r>
      <w:r>
        <w:rPr>
          <w:rFonts w:hint="default" w:ascii="仿宋_GB2312" w:hAnsi="仿宋" w:eastAsia="仿宋_GB2312" w:cs="仿宋"/>
          <w:color w:val="000000"/>
          <w:sz w:val="32"/>
          <w:szCs w:val="32"/>
          <w:highlight w:val="none"/>
          <w:lang w:val="en-US" w:eastAsia="zh-CN"/>
        </w:rPr>
        <w:t>条件，提前申请</w:t>
      </w:r>
      <w:r>
        <w:rPr>
          <w:rFonts w:hint="eastAsia" w:ascii="仿宋_GB2312" w:hAnsi="仿宋" w:eastAsia="仿宋_GB2312" w:cs="仿宋"/>
          <w:color w:val="000000"/>
          <w:sz w:val="32"/>
          <w:szCs w:val="32"/>
          <w:highlight w:val="none"/>
          <w:lang w:val="en-US" w:eastAsia="zh-CN"/>
        </w:rPr>
        <w:t>增加</w:t>
      </w:r>
      <w:r>
        <w:rPr>
          <w:rFonts w:hint="default" w:ascii="仿宋_GB2312" w:hAnsi="仿宋" w:eastAsia="仿宋_GB2312" w:cs="仿宋"/>
          <w:color w:val="000000"/>
          <w:sz w:val="32"/>
          <w:szCs w:val="32"/>
          <w:highlight w:val="none"/>
          <w:lang w:val="en-US" w:eastAsia="zh-CN"/>
        </w:rPr>
        <w:t>许可证经营范围</w:t>
      </w:r>
      <w:r>
        <w:rPr>
          <w:rFonts w:hint="eastAsia" w:ascii="仿宋_GB2312" w:hAnsi="仿宋" w:eastAsia="仿宋_GB2312" w:cs="仿宋"/>
          <w:color w:val="000000"/>
          <w:sz w:val="32"/>
          <w:szCs w:val="32"/>
          <w:highlight w:val="none"/>
          <w:lang w:val="en-US" w:eastAsia="zh-CN"/>
        </w:rPr>
        <w:t>，并受间距和所属市场单元指导总数的限制</w:t>
      </w:r>
      <w:r>
        <w:rPr>
          <w:rFonts w:hint="default" w:ascii="仿宋_GB2312" w:hAnsi="仿宋" w:eastAsia="仿宋_GB2312" w:cs="仿宋"/>
          <w:color w:val="000000"/>
          <w:sz w:val="32"/>
          <w:szCs w:val="32"/>
          <w:highlight w:val="none"/>
          <w:lang w:val="en-US" w:eastAsia="zh-CN"/>
        </w:rPr>
        <w:t>。</w:t>
      </w:r>
    </w:p>
    <w:p>
      <w:pPr>
        <w:keepNext w:val="0"/>
        <w:keepLines w:val="0"/>
        <w:widowControl/>
        <w:numPr>
          <w:ilvl w:val="0"/>
          <w:numId w:val="0"/>
        </w:numPr>
        <w:suppressLineNumbers w:val="0"/>
        <w:ind w:firstLine="632" w:firstLineChars="200"/>
        <w:jc w:val="left"/>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val="en-US" w:eastAsia="zh-CN"/>
        </w:rPr>
        <w:t>（五）因不符合原《安阳县烟草制品零售点合理布局规定》（安县烟</w:t>
      </w:r>
      <w:r>
        <w:rPr>
          <w:rFonts w:ascii="仿宋" w:hAnsi="仿宋" w:eastAsia="仿宋" w:cs="仿宋"/>
          <w:color w:val="020000"/>
          <w:kern w:val="0"/>
          <w:sz w:val="31"/>
          <w:szCs w:val="31"/>
          <w:highlight w:val="none"/>
          <w:lang w:val="en-US" w:eastAsia="zh-CN" w:bidi="ar"/>
        </w:rPr>
        <w:t>〔2021〕24</w:t>
      </w:r>
      <w:r>
        <w:rPr>
          <w:rFonts w:hint="eastAsia" w:ascii="仿宋" w:hAnsi="仿宋" w:eastAsia="仿宋" w:cs="仿宋"/>
          <w:color w:val="020000"/>
          <w:kern w:val="0"/>
          <w:sz w:val="31"/>
          <w:szCs w:val="31"/>
          <w:highlight w:val="none"/>
          <w:lang w:val="en-US" w:eastAsia="zh-CN" w:bidi="ar"/>
        </w:rPr>
        <w:t>号</w:t>
      </w:r>
      <w:r>
        <w:rPr>
          <w:rFonts w:hint="eastAsia" w:ascii="仿宋_GB2312" w:hAnsi="仿宋" w:eastAsia="仿宋_GB2312" w:cs="仿宋"/>
          <w:color w:val="000000"/>
          <w:sz w:val="32"/>
          <w:szCs w:val="32"/>
          <w:highlight w:val="none"/>
          <w:lang w:val="en-US" w:eastAsia="zh-CN"/>
        </w:rPr>
        <w:t>）规定距离要求，从中小学、幼儿园周边搬迁变更到其他地址的正常经营商户，可以申请回迁到原经营地址一次。</w:t>
      </w:r>
    </w:p>
    <w:p>
      <w:pPr>
        <w:keepNext w:val="0"/>
        <w:keepLines w:val="0"/>
        <w:pageBreakBefore w:val="0"/>
        <w:kinsoku/>
        <w:wordWrap/>
        <w:overflowPunct/>
        <w:topLinePunct w:val="0"/>
        <w:autoSpaceDE/>
        <w:autoSpaceDN/>
        <w:bidi w:val="0"/>
        <w:adjustRightInd/>
        <w:snapToGrid/>
        <w:spacing w:line="560" w:lineRule="exact"/>
        <w:ind w:firstLine="632" w:firstLineChars="200"/>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第四章  不予延续情形</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楷体" w:hAnsi="楷体" w:eastAsia="楷体" w:cs="黑体"/>
          <w:bCs/>
          <w:color w:val="000000"/>
          <w:kern w:val="0"/>
          <w:sz w:val="32"/>
          <w:szCs w:val="32"/>
          <w:shd w:val="clear" w:color="auto" w:fill="FFFFFF"/>
        </w:rPr>
        <w:t xml:space="preserve">第十二条 </w:t>
      </w:r>
      <w:r>
        <w:rPr>
          <w:rFonts w:hint="eastAsia" w:ascii="仿宋" w:hAnsi="仿宋" w:eastAsia="仿宋" w:cs="仿宋"/>
          <w:color w:val="000000"/>
          <w:sz w:val="32"/>
          <w:szCs w:val="32"/>
        </w:rPr>
        <w:t>有下列情形之一的，烟草专卖零售许可证有效期届满后不予延续：</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（一）经营场所基于安全因素不适宜经营卷烟的；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（二）中小学、幼儿园周围；</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（三）经营主体发生变化的；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（四）不再具备固定经营场所的；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（五）经营场所不再与住所相独立的；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（六）经营场所条件发生变化导致其既不符合取得许可时也不符合申请延续时的烟草制品零售点合理布局规划要求的； </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（七）非法生产经营烟草专卖品数额在5万元以上或者违法所得数额在2万元以上或者非法经营卷烟20万支以上，未被追究刑事责任的；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（八）因非法生产经营烟草专卖品被追究刑事责任的；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（九）买卖、出租、出借或者以其他形式非法转让烟草专卖许可证的；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（十）被市场监管部门吊销营业执照的；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color w:val="000000"/>
        </w:rPr>
      </w:pPr>
      <w:r>
        <w:rPr>
          <w:rFonts w:hint="eastAsia" w:ascii="仿宋" w:hAnsi="仿宋" w:eastAsia="仿宋" w:cs="仿宋"/>
          <w:color w:val="000000"/>
          <w:sz w:val="32"/>
          <w:szCs w:val="32"/>
        </w:rPr>
        <w:t>（十一）其他严重违法行为的。</w:t>
      </w:r>
    </w:p>
    <w:p>
      <w:pPr>
        <w:keepNext w:val="0"/>
        <w:keepLines w:val="0"/>
        <w:pageBreakBefore w:val="0"/>
        <w:kinsoku/>
        <w:wordWrap/>
        <w:overflowPunct/>
        <w:topLinePunct w:val="0"/>
        <w:autoSpaceDE/>
        <w:autoSpaceDN/>
        <w:bidi w:val="0"/>
        <w:adjustRightInd/>
        <w:snapToGrid/>
        <w:spacing w:line="560" w:lineRule="exact"/>
        <w:ind w:firstLine="632" w:firstLineChars="200"/>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第五章  不予设置情形</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楷体" w:hAnsi="楷体" w:eastAsia="楷体" w:cs="楷体"/>
          <w:color w:val="000000"/>
          <w:sz w:val="32"/>
          <w:szCs w:val="32"/>
        </w:rPr>
        <w:t>第十三条</w:t>
      </w:r>
      <w:r>
        <w:rPr>
          <w:rFonts w:hint="eastAsia" w:ascii="仿宋" w:hAnsi="仿宋" w:eastAsia="仿宋" w:cs="仿宋"/>
          <w:color w:val="000000"/>
          <w:sz w:val="32"/>
          <w:szCs w:val="32"/>
        </w:rPr>
        <w:t xml:space="preserve"> 有下列情形之一的，不予设置烟草制品零售点:</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（一）申请人无固定经营场所的；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（二）申请人不具备申请资格的；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（三）申请人的经营场所与住所不相独立的；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（四）取消从事烟草专卖业务资格不满三年的；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（五）因申请人隐瞒有关情况或者提供虚假材料的，申请人在一年内再次申请烟草专卖许可证的；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（六）因申请人以欺骗、贿赂等不正当手段取得的烟草专卖许可证被撤销后，申请人三年内再次提出申请的；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（七）未领取烟草专卖零售许可证经营烟草专卖品业务，并且一年内被执法机关处罚两次以上，在三年内申请领取烟草专卖零售许可证的；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（八）未领取烟草专卖零售许可证经营烟草专卖品业务被追究刑事责任，在三年内申请领取烟草专卖零售许可证的；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（九）经营场所基于安全因素不适宜经营卷烟，</w:t>
      </w:r>
      <w:r>
        <w:rPr>
          <w:rFonts w:hint="eastAsia" w:ascii="仿宋" w:hAnsi="仿宋" w:eastAsia="仿宋" w:cs="仿宋"/>
          <w:color w:val="000000"/>
          <w:sz w:val="32"/>
          <w:szCs w:val="32"/>
          <w:shd w:val="clear" w:color="auto" w:fill="FFFFFF"/>
        </w:rPr>
        <w:t>经消防等职能部门认定的安全隐患，生产、经营、储存有毒有害、易挥发类物质，不符合食品安全标准，容易造成卷烟污染的</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（十）中小学校依法可通行的出入口</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米以内不予设置零售点；幼儿园依法可通行的出入口</w:t>
      </w:r>
      <w:r>
        <w:rPr>
          <w:rFonts w:hint="eastAsia" w:ascii="仿宋" w:hAnsi="仿宋" w:eastAsia="仿宋" w:cs="仿宋"/>
          <w:color w:val="000000"/>
          <w:sz w:val="32"/>
          <w:szCs w:val="32"/>
          <w:lang w:val="en-US" w:eastAsia="zh-CN"/>
        </w:rPr>
        <w:t>50</w:t>
      </w:r>
      <w:r>
        <w:rPr>
          <w:rFonts w:hint="eastAsia" w:ascii="仿宋" w:hAnsi="仿宋" w:eastAsia="仿宋" w:cs="仿宋"/>
          <w:color w:val="000000"/>
          <w:sz w:val="32"/>
          <w:szCs w:val="32"/>
        </w:rPr>
        <w:t>米以内不予设置零售点；可向学校、幼儿园内销售卷烟的窗口、栅栏等情形的；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（十一）一个经营场所已经办理了烟草专卖零售许可证的；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（十二）外商投资的商业企业或者个体工商户不得从事烟草专卖品批发或者零售业务，以特许、吸纳加盟店及其他再投资等形式变相从事烟草专卖品经营业务的；</w:t>
      </w:r>
    </w:p>
    <w:p>
      <w:pPr>
        <w:pStyle w:val="3"/>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（十三）公民、法人或者其他组织利用自动售货机或者其他自动售货形式，销售或者变相销售烟草制品的。</w:t>
      </w:r>
    </w:p>
    <w:p>
      <w:pPr>
        <w:pStyle w:val="3"/>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（十四）除了取得烟草专卖生产企业许可证或者烟草专卖批发企业许可证的企业依法销售烟草专卖品外，任何公民、法人或者其他组织通过信息网络销售烟草专卖品的；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（十五） 申请人为无民事行为能力人或者限制行为能力人的；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（十六）经营场所位于国家机关、党政机关内部和医疗机构内部的；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color w:val="000000"/>
        </w:rPr>
      </w:pPr>
      <w:r>
        <w:rPr>
          <w:rFonts w:hint="eastAsia" w:ascii="仿宋" w:hAnsi="仿宋" w:eastAsia="仿宋" w:cs="仿宋"/>
          <w:color w:val="000000"/>
          <w:sz w:val="32"/>
          <w:szCs w:val="32"/>
        </w:rPr>
        <w:t>（十七）相关法律、法规、规章和烟草专卖行政主管部门及政府行政规范性文件规定的其它情形；</w:t>
      </w:r>
    </w:p>
    <w:p>
      <w:pPr>
        <w:keepNext w:val="0"/>
        <w:keepLines w:val="0"/>
        <w:pageBreakBefore w:val="0"/>
        <w:kinsoku/>
        <w:wordWrap/>
        <w:overflowPunct/>
        <w:topLinePunct w:val="0"/>
        <w:autoSpaceDE/>
        <w:autoSpaceDN/>
        <w:bidi w:val="0"/>
        <w:adjustRightInd/>
        <w:snapToGrid/>
        <w:spacing w:line="560" w:lineRule="exact"/>
        <w:ind w:firstLine="632" w:firstLineChars="200"/>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第六章  附  则</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楷体" w:hAnsi="楷体" w:eastAsia="楷体" w:cs="楷体"/>
          <w:color w:val="000000"/>
          <w:sz w:val="32"/>
          <w:szCs w:val="32"/>
        </w:rPr>
        <w:t>第十四条</w:t>
      </w:r>
      <w:r>
        <w:rPr>
          <w:rFonts w:hint="eastAsia" w:ascii="仿宋" w:hAnsi="仿宋" w:eastAsia="仿宋" w:cs="仿宋"/>
          <w:color w:val="000000"/>
          <w:sz w:val="32"/>
          <w:szCs w:val="32"/>
        </w:rPr>
        <w:t xml:space="preserve"> 本规划所称“经营场所”是指市场主体从事经营活动的营业场所，应当与经营范围相适应，依法取得使用权，具有合法的产权权属、使用功能及法定用途，不属于违法建设、危险建筑、被征收房屋等依法不能用作经营场所的房屋。</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楷体" w:hAnsi="楷体" w:eastAsia="楷体" w:cs="楷体"/>
          <w:color w:val="000000"/>
          <w:sz w:val="32"/>
          <w:szCs w:val="32"/>
        </w:rPr>
        <w:t xml:space="preserve">第十五条 </w:t>
      </w:r>
      <w:r>
        <w:rPr>
          <w:rFonts w:hint="eastAsia" w:ascii="仿宋" w:hAnsi="仿宋" w:eastAsia="仿宋" w:cs="仿宋"/>
          <w:color w:val="000000"/>
          <w:sz w:val="32"/>
          <w:szCs w:val="32"/>
        </w:rPr>
        <w:t>本规划所称“距离”是指拟从事烟草制品零售业务经营场所与参照零售点或中小学校、幼儿园之间的步行最短距离</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（距离测量时，以</w:t>
      </w:r>
      <w:r>
        <w:rPr>
          <w:rFonts w:hint="eastAsia" w:ascii="仿宋" w:hAnsi="仿宋" w:eastAsia="仿宋" w:cs="仿宋"/>
          <w:color w:val="000000"/>
          <w:kern w:val="0"/>
          <w:sz w:val="32"/>
          <w:szCs w:val="32"/>
        </w:rPr>
        <w:t>依法可通行的最短距离为标准，</w:t>
      </w:r>
      <w:r>
        <w:rPr>
          <w:rFonts w:hint="eastAsia" w:ascii="仿宋" w:hAnsi="仿宋" w:eastAsia="仿宋" w:cs="仿宋"/>
          <w:color w:val="000000"/>
          <w:sz w:val="32"/>
          <w:szCs w:val="32"/>
        </w:rPr>
        <w:t>按照</w:t>
      </w:r>
      <w:r>
        <w:rPr>
          <w:rFonts w:hint="eastAsia" w:ascii="仿宋" w:hAnsi="仿宋" w:eastAsia="仿宋" w:cs="仿宋"/>
          <w:color w:val="000000"/>
          <w:sz w:val="32"/>
          <w:szCs w:val="32"/>
          <w:shd w:val="clear" w:color="auto" w:fill="FFFFFF"/>
        </w:rPr>
        <w:t>两个参照点最近一侧的门沿进行测量，</w:t>
      </w:r>
      <w:r>
        <w:rPr>
          <w:rFonts w:hint="eastAsia" w:ascii="仿宋" w:hAnsi="仿宋" w:eastAsia="仿宋" w:cs="仿宋"/>
          <w:color w:val="000000"/>
          <w:sz w:val="32"/>
          <w:szCs w:val="32"/>
        </w:rPr>
        <w:t>不得穿越隔离护栏、护墙、花坛、花园、建筑物等设施或禁止性道路标线）。</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楷体" w:hAnsi="楷体" w:eastAsia="楷体" w:cs="楷体"/>
          <w:color w:val="000000"/>
          <w:sz w:val="32"/>
          <w:szCs w:val="32"/>
        </w:rPr>
        <w:t xml:space="preserve">第十六条 </w:t>
      </w:r>
      <w:r>
        <w:rPr>
          <w:rFonts w:hint="eastAsia" w:ascii="仿宋" w:hAnsi="仿宋" w:eastAsia="仿宋" w:cs="仿宋"/>
          <w:color w:val="000000"/>
          <w:sz w:val="32"/>
          <w:szCs w:val="32"/>
        </w:rPr>
        <w:t>本</w:t>
      </w:r>
      <w:r>
        <w:rPr>
          <w:rFonts w:hint="eastAsia" w:ascii="楷体" w:hAnsi="楷体" w:eastAsia="楷体" w:cs="楷体"/>
          <w:color w:val="000000"/>
          <w:sz w:val="32"/>
          <w:szCs w:val="32"/>
        </w:rPr>
        <w:t>规划</w:t>
      </w:r>
      <w:r>
        <w:rPr>
          <w:rFonts w:hint="eastAsia" w:ascii="仿宋" w:hAnsi="仿宋" w:eastAsia="仿宋" w:cs="仿宋"/>
          <w:color w:val="000000"/>
          <w:sz w:val="32"/>
          <w:szCs w:val="32"/>
        </w:rPr>
        <w:t>所称“中小学”引用《中华人民共和国未成年人保护法》的“学校”含义：指普通中小学、中等职业学校、特殊教育学校、专门学校。</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特殊教育学校”：特殊教育学校是指由政府、企业事业组织、社会团体、其他社会组织及公民个人依法举办的专门对残疾儿童、少年实施义务教育的机构。（见《特殊教育学校暂行规程》，中华人民共和国教育部令，1998年12月2日颁布）。</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专门学校”：国家加强专门学校建设，对有严重不良行为的未成年人进行专门教育。专门教育是国民教育体系的组成部分，是对有严重不良行为的未成年人进行教育和矫治的重要保护处分措施。（见《中华人民共和国预防未成年人犯罪法》，自2021年6月1日起施行）。</w:t>
      </w:r>
    </w:p>
    <w:p>
      <w:pPr>
        <w:pStyle w:val="2"/>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宾馆酒店客房数量以相关机构认定的客房数量为准。  </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rPr>
      </w:pPr>
      <w:r>
        <w:rPr>
          <w:rFonts w:hint="eastAsia" w:ascii="楷体" w:hAnsi="楷体" w:eastAsia="楷体" w:cs="楷体"/>
          <w:color w:val="000000"/>
          <w:sz w:val="32"/>
          <w:szCs w:val="32"/>
        </w:rPr>
        <w:t xml:space="preserve">第十七条 </w:t>
      </w:r>
      <w:r>
        <w:rPr>
          <w:rFonts w:hint="eastAsia" w:ascii="仿宋" w:hAnsi="仿宋" w:eastAsia="仿宋" w:cs="仿宋"/>
          <w:color w:val="000000"/>
          <w:sz w:val="32"/>
          <w:szCs w:val="32"/>
        </w:rPr>
        <w:t>本规划所称“幼儿园”指具有幼儿园性质的学前教育机构。</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hint="eastAsia" w:ascii="仿宋" w:hAnsi="仿宋" w:eastAsia="仿宋" w:cs="仿宋"/>
          <w:color w:val="000000"/>
          <w:sz w:val="32"/>
          <w:szCs w:val="32"/>
        </w:rPr>
      </w:pPr>
      <w:r>
        <w:rPr>
          <w:rFonts w:hint="eastAsia" w:ascii="楷体" w:hAnsi="楷体" w:eastAsia="楷体" w:cs="楷体"/>
          <w:color w:val="000000"/>
          <w:sz w:val="32"/>
          <w:szCs w:val="32"/>
        </w:rPr>
        <w:t>第十八条</w:t>
      </w:r>
      <w:r>
        <w:rPr>
          <w:rFonts w:hint="eastAsia" w:ascii="仿宋" w:hAnsi="仿宋" w:eastAsia="仿宋" w:cs="仿宋"/>
          <w:color w:val="000000"/>
          <w:sz w:val="32"/>
          <w:szCs w:val="32"/>
        </w:rPr>
        <w:t xml:space="preserve"> 本规划所称的“以内”、“以上”、“不低于”、“不得超过”均含本数。</w:t>
      </w:r>
    </w:p>
    <w:p>
      <w:pPr>
        <w:pStyle w:val="2"/>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highlight w:val="none"/>
          <w:lang w:val="en-US" w:eastAsia="zh-CN"/>
        </w:rPr>
        <w:t xml:space="preserve">  </w:t>
      </w:r>
      <w:r>
        <w:rPr>
          <w:rFonts w:hint="eastAsia" w:ascii="楷体" w:hAnsi="楷体" w:eastAsia="楷体" w:cs="楷体"/>
          <w:color w:val="000000"/>
          <w:kern w:val="2"/>
          <w:sz w:val="32"/>
          <w:szCs w:val="32"/>
          <w:highlight w:val="none"/>
          <w:lang w:val="en-US" w:eastAsia="zh-CN" w:bidi="ar-SA"/>
        </w:rPr>
        <w:t xml:space="preserve">第十九条 </w:t>
      </w:r>
      <w:r>
        <w:rPr>
          <w:rFonts w:hint="eastAsia" w:ascii="仿宋" w:hAnsi="仿宋" w:eastAsia="仿宋" w:cs="仿宋"/>
          <w:color w:val="000000"/>
          <w:kern w:val="2"/>
          <w:sz w:val="32"/>
          <w:szCs w:val="32"/>
          <w:highlight w:val="none"/>
          <w:lang w:val="en-US" w:eastAsia="zh-CN" w:bidi="ar-SA"/>
        </w:rPr>
        <w:t>为保证本规划实施后与原规定实现有效衔接过渡，</w:t>
      </w:r>
    </w:p>
    <w:p>
      <w:pPr>
        <w:pStyle w:val="2"/>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本规划实施前已有的持证商户延续许可证时，不受本规划第八条</w:t>
      </w:r>
    </w:p>
    <w:p>
      <w:pPr>
        <w:pStyle w:val="2"/>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所规定的零售点间距控制标准限制。</w:t>
      </w:r>
    </w:p>
    <w:p>
      <w:pPr>
        <w:pStyle w:val="2"/>
        <w:ind w:firstLine="632" w:firstLineChars="200"/>
        <w:rPr>
          <w:rFonts w:hint="default"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本规划实施前尚未取得烟草专卖零售许可证但已纳入新办证排队轮候名单的，两个零售点的间距按照排队当时的合理布局规定距离政策执行。</w:t>
      </w:r>
    </w:p>
    <w:p>
      <w:pPr>
        <w:pStyle w:val="2"/>
        <w:ind w:firstLine="632"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在本规划执行过程中出现的新老规划衔接过渡问题由安阳县烟草专卖局负责根据实际作出决定。</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highlight w:val="none"/>
        </w:rPr>
      </w:pPr>
      <w:r>
        <w:rPr>
          <w:rFonts w:hint="eastAsia" w:ascii="楷体" w:hAnsi="楷体" w:eastAsia="楷体" w:cs="楷体"/>
          <w:color w:val="000000"/>
          <w:sz w:val="32"/>
          <w:szCs w:val="32"/>
        </w:rPr>
        <w:t>第</w:t>
      </w:r>
      <w:r>
        <w:rPr>
          <w:rFonts w:hint="eastAsia" w:ascii="楷体" w:hAnsi="楷体" w:eastAsia="楷体" w:cs="楷体"/>
          <w:color w:val="000000"/>
          <w:sz w:val="32"/>
          <w:szCs w:val="32"/>
          <w:lang w:val="en-US" w:eastAsia="zh-CN"/>
        </w:rPr>
        <w:t>二十</w:t>
      </w:r>
      <w:r>
        <w:rPr>
          <w:rFonts w:hint="eastAsia" w:ascii="楷体" w:hAnsi="楷体" w:eastAsia="楷体" w:cs="楷体"/>
          <w:color w:val="000000"/>
          <w:sz w:val="32"/>
          <w:szCs w:val="32"/>
        </w:rPr>
        <w:t>条</w:t>
      </w:r>
      <w:r>
        <w:rPr>
          <w:rFonts w:hint="eastAsia" w:ascii="仿宋" w:hAnsi="仿宋" w:eastAsia="仿宋" w:cs="仿宋"/>
          <w:color w:val="000000"/>
          <w:sz w:val="32"/>
          <w:szCs w:val="32"/>
          <w:highlight w:val="none"/>
        </w:rPr>
        <w:t xml:space="preserve"> 本规划由</w:t>
      </w:r>
      <w:r>
        <w:rPr>
          <w:rFonts w:hint="eastAsia" w:ascii="仿宋" w:hAnsi="仿宋" w:eastAsia="仿宋" w:cs="仿宋"/>
          <w:color w:val="000000"/>
          <w:sz w:val="32"/>
          <w:szCs w:val="32"/>
          <w:highlight w:val="none"/>
          <w:lang w:val="en-US" w:eastAsia="zh-CN"/>
        </w:rPr>
        <w:t>安阳县</w:t>
      </w:r>
      <w:r>
        <w:rPr>
          <w:rFonts w:hint="eastAsia" w:ascii="仿宋" w:hAnsi="仿宋" w:eastAsia="仿宋" w:cs="仿宋"/>
          <w:color w:val="000000"/>
          <w:sz w:val="32"/>
          <w:szCs w:val="32"/>
          <w:highlight w:val="none"/>
        </w:rPr>
        <w:t>烟草专卖局负责解释。</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sz w:val="32"/>
          <w:szCs w:val="32"/>
          <w:highlight w:val="none"/>
        </w:rPr>
      </w:pPr>
      <w:r>
        <w:rPr>
          <w:rFonts w:hint="eastAsia" w:ascii="楷体" w:hAnsi="楷体" w:eastAsia="楷体" w:cs="楷体"/>
          <w:color w:val="000000"/>
          <w:sz w:val="32"/>
          <w:szCs w:val="32"/>
          <w:highlight w:val="none"/>
        </w:rPr>
        <w:t>第二十</w:t>
      </w:r>
      <w:r>
        <w:rPr>
          <w:rFonts w:hint="eastAsia" w:ascii="楷体" w:hAnsi="楷体" w:eastAsia="楷体" w:cs="楷体"/>
          <w:color w:val="000000"/>
          <w:sz w:val="32"/>
          <w:szCs w:val="32"/>
          <w:highlight w:val="none"/>
          <w:lang w:val="en-US" w:eastAsia="zh-CN"/>
        </w:rPr>
        <w:t>一</w:t>
      </w:r>
      <w:r>
        <w:rPr>
          <w:rFonts w:hint="eastAsia" w:ascii="楷体" w:hAnsi="楷体" w:eastAsia="楷体" w:cs="楷体"/>
          <w:color w:val="000000"/>
          <w:sz w:val="32"/>
          <w:szCs w:val="32"/>
          <w:highlight w:val="none"/>
        </w:rPr>
        <w:t>条</w:t>
      </w:r>
      <w:r>
        <w:rPr>
          <w:rFonts w:hint="eastAsia" w:ascii="仿宋" w:hAnsi="仿宋" w:eastAsia="仿宋" w:cs="仿宋"/>
          <w:color w:val="000000"/>
          <w:sz w:val="32"/>
          <w:szCs w:val="32"/>
          <w:highlight w:val="none"/>
        </w:rPr>
        <w:t xml:space="preserve"> 本规划自发布之日起实施</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原《安阳县烟草制品零售点合理布局规定》（安县烟〔2021〕24号）</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原《</w:t>
      </w:r>
      <w:r>
        <w:rPr>
          <w:rFonts w:hint="eastAsia" w:ascii="仿宋" w:hAnsi="仿宋" w:eastAsia="仿宋" w:cs="仿宋"/>
          <w:color w:val="000000"/>
          <w:sz w:val="32"/>
          <w:szCs w:val="32"/>
          <w:highlight w:val="none"/>
          <w:lang w:val="en-US" w:eastAsia="zh-CN"/>
        </w:rPr>
        <w:t>安阳县</w:t>
      </w:r>
      <w:r>
        <w:rPr>
          <w:rFonts w:hint="eastAsia" w:ascii="仿宋" w:hAnsi="仿宋" w:eastAsia="仿宋" w:cs="仿宋"/>
          <w:color w:val="000000"/>
          <w:sz w:val="32"/>
          <w:szCs w:val="32"/>
          <w:highlight w:val="none"/>
        </w:rPr>
        <w:t>烟草制品零售点合理布局</w:t>
      </w:r>
      <w:r>
        <w:rPr>
          <w:rFonts w:hint="eastAsia" w:ascii="仿宋" w:hAnsi="仿宋" w:eastAsia="仿宋" w:cs="仿宋"/>
          <w:color w:val="000000"/>
          <w:sz w:val="32"/>
          <w:szCs w:val="32"/>
          <w:highlight w:val="none"/>
          <w:lang w:val="en-US" w:eastAsia="zh-CN"/>
        </w:rPr>
        <w:t>规划</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安县</w:t>
      </w:r>
      <w:r>
        <w:rPr>
          <w:rFonts w:hint="eastAsia" w:ascii="仿宋_GB2312" w:eastAsia="仿宋_GB2312"/>
          <w:color w:val="000000"/>
          <w:sz w:val="32"/>
          <w:highlight w:val="none"/>
        </w:rPr>
        <w:t>烟〔20</w:t>
      </w:r>
      <w:r>
        <w:rPr>
          <w:rFonts w:hint="eastAsia" w:ascii="仿宋_GB2312" w:eastAsia="仿宋_GB2312"/>
          <w:color w:val="000000"/>
          <w:sz w:val="32"/>
          <w:highlight w:val="none"/>
          <w:lang w:val="en-US" w:eastAsia="zh-CN"/>
        </w:rPr>
        <w:t>24</w:t>
      </w:r>
      <w:r>
        <w:rPr>
          <w:rFonts w:hint="eastAsia" w:ascii="仿宋_GB2312" w:eastAsia="仿宋_GB2312"/>
          <w:color w:val="000000"/>
          <w:sz w:val="32"/>
          <w:highlight w:val="none"/>
        </w:rPr>
        <w:t>〕</w:t>
      </w:r>
      <w:r>
        <w:rPr>
          <w:rFonts w:hint="eastAsia" w:ascii="仿宋_GB2312" w:eastAsia="仿宋_GB2312"/>
          <w:color w:val="000000"/>
          <w:sz w:val="32"/>
          <w:highlight w:val="none"/>
          <w:lang w:val="en-US" w:eastAsia="zh-CN"/>
        </w:rPr>
        <w:t>8</w:t>
      </w:r>
      <w:r>
        <w:rPr>
          <w:rFonts w:hint="eastAsia" w:ascii="仿宋_GB2312" w:eastAsia="仿宋_GB2312"/>
          <w:color w:val="000000"/>
          <w:sz w:val="32"/>
          <w:highlight w:val="none"/>
        </w:rPr>
        <w:t>号</w:t>
      </w:r>
      <w:r>
        <w:rPr>
          <w:rFonts w:hint="eastAsia" w:ascii="仿宋" w:hAnsi="仿宋" w:eastAsia="仿宋" w:cs="仿宋"/>
          <w:color w:val="000000"/>
          <w:sz w:val="32"/>
          <w:szCs w:val="32"/>
          <w:highlight w:val="none"/>
        </w:rPr>
        <w:t>）同时废止。</w:t>
      </w:r>
    </w:p>
    <w:p>
      <w:pPr>
        <w:keepNext w:val="0"/>
        <w:keepLines w:val="0"/>
        <w:pageBreakBefore w:val="0"/>
        <w:kinsoku/>
        <w:wordWrap/>
        <w:overflowPunct/>
        <w:topLinePunct w:val="0"/>
        <w:autoSpaceDE/>
        <w:autoSpaceDN/>
        <w:bidi w:val="0"/>
        <w:adjustRightInd/>
        <w:snapToGrid/>
        <w:spacing w:line="560" w:lineRule="exact"/>
        <w:ind w:firstLine="632"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附件:1.</w:t>
      </w:r>
      <w:r>
        <w:rPr>
          <w:rFonts w:hint="eastAsia" w:ascii="仿宋" w:hAnsi="仿宋" w:eastAsia="仿宋" w:cs="仿宋"/>
          <w:color w:val="000000"/>
          <w:kern w:val="0"/>
          <w:sz w:val="32"/>
          <w:szCs w:val="32"/>
          <w:shd w:val="clear" w:color="auto" w:fill="FFFFFF"/>
          <w:lang w:val="en-US" w:eastAsia="zh-CN"/>
        </w:rPr>
        <w:t>安阳县</w:t>
      </w:r>
      <w:r>
        <w:rPr>
          <w:rFonts w:hint="eastAsia" w:ascii="仿宋" w:hAnsi="仿宋" w:eastAsia="仿宋" w:cs="仿宋"/>
          <w:color w:val="000000"/>
          <w:kern w:val="0"/>
          <w:sz w:val="32"/>
          <w:szCs w:val="32"/>
          <w:shd w:val="clear" w:color="auto" w:fill="FFFFFF"/>
        </w:rPr>
        <w:t>烟草制品零售点经营场所间距测量标准</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32"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Times New Roman"/>
          <w:color w:val="000000"/>
          <w:kern w:val="2"/>
          <w:sz w:val="32"/>
          <w:szCs w:val="32"/>
          <w:lang w:val="en-US" w:eastAsia="zh-CN" w:bidi="ar-SA"/>
        </w:rPr>
        <w:t>附件:2.</w:t>
      </w:r>
      <w:r>
        <w:rPr>
          <w:rFonts w:hint="eastAsia" w:ascii="仿宋" w:hAnsi="仿宋" w:eastAsia="仿宋" w:cs="仿宋"/>
          <w:color w:val="000000"/>
          <w:kern w:val="0"/>
          <w:sz w:val="32"/>
          <w:szCs w:val="32"/>
          <w:shd w:val="clear" w:color="auto" w:fill="FFFFFF"/>
          <w:lang w:val="en-US" w:eastAsia="zh-CN"/>
        </w:rPr>
        <w:t>安阳县</w:t>
      </w:r>
      <w:r>
        <w:rPr>
          <w:rFonts w:hint="eastAsia" w:ascii="仿宋" w:hAnsi="仿宋" w:eastAsia="仿宋" w:cs="仿宋"/>
          <w:color w:val="000000"/>
          <w:kern w:val="0"/>
          <w:sz w:val="32"/>
          <w:szCs w:val="32"/>
          <w:shd w:val="clear" w:color="auto" w:fill="FFFFFF"/>
        </w:rPr>
        <w:t>市场单元布局信息目录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rPr>
          <w:rFonts w:hint="eastAsia" w:ascii="仿宋" w:hAnsi="仿宋" w:eastAsia="仿宋" w:cs="仿宋"/>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安阳县烟草制品零售点</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经营场所间距测量标准</w:t>
      </w:r>
    </w:p>
    <w:p>
      <w:pPr>
        <w:keepNext w:val="0"/>
        <w:keepLines w:val="0"/>
        <w:pageBreakBefore w:val="0"/>
        <w:kinsoku/>
        <w:wordWrap/>
        <w:overflowPunct/>
        <w:topLinePunct w:val="0"/>
        <w:autoSpaceDE/>
        <w:autoSpaceDN/>
        <w:bidi w:val="0"/>
        <w:adjustRightInd/>
        <w:snapToGrid/>
        <w:spacing w:line="360" w:lineRule="auto"/>
        <w:ind w:left="640"/>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规划》中“距离、间距”指新申请方与测量参照物之间,按“边对边”原则测量的可通行最短距离。测量参照物指周边最近的持证零售户或中小学校、幼儿园学生通勤出入口。现场核查新申请方与参照物之间的测量以“不违反交通规定、可通行最短距离”为总体原则。具体场所测量示意图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1.申请方和测量参照物在同一侧马路的，参照图1测量，距离=a。</w:t>
      </w:r>
    </w:p>
    <w:p>
      <w:pPr>
        <w:keepNext w:val="0"/>
        <w:keepLines w:val="0"/>
        <w:pageBreakBefore w:val="0"/>
        <w:kinsoku/>
        <w:wordWrap/>
        <w:overflowPunct/>
        <w:topLinePunct w:val="0"/>
        <w:autoSpaceDE/>
        <w:autoSpaceDN/>
        <w:bidi w:val="0"/>
        <w:adjustRightInd/>
        <w:snapToGrid/>
        <w:spacing w:line="360" w:lineRule="auto"/>
        <w:jc w:val="center"/>
        <w:rPr>
          <w:rFonts w:ascii="仿宋_GB2312" w:hAnsi="仿宋" w:eastAsia="仿宋_GB2312" w:cs="仿宋"/>
          <w:color w:val="000000"/>
          <w:szCs w:val="32"/>
        </w:rPr>
      </w:pPr>
      <w:r>
        <w:rPr>
          <w:rFonts w:hint="eastAsia" w:ascii="仿宋_GB2312" w:hAnsi="仿宋" w:eastAsia="仿宋_GB2312" w:cs="仿宋"/>
          <w:color w:val="000000"/>
          <w:szCs w:val="32"/>
        </w:rPr>
        <w:drawing>
          <wp:inline distT="0" distB="0" distL="114300" distR="114300">
            <wp:extent cx="4248150" cy="1333500"/>
            <wp:effectExtent l="0" t="0" r="0" b="0"/>
            <wp:docPr id="12" name="图片 11" descr="1629271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1629271796(1)"/>
                    <pic:cNvPicPr>
                      <a:picLocks noChangeAspect="1"/>
                    </pic:cNvPicPr>
                  </pic:nvPicPr>
                  <pic:blipFill>
                    <a:blip r:embed="rId5"/>
                    <a:stretch>
                      <a:fillRect/>
                    </a:stretch>
                  </pic:blipFill>
                  <pic:spPr>
                    <a:xfrm>
                      <a:off x="0" y="0"/>
                      <a:ext cx="4248150" cy="13335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2.申请方和测量参照物在马路两侧，马路中间设有隔离带的，从隔离带最近开口处作为测量通道,参照图2测量，距离=a+b+c。</w:t>
      </w:r>
    </w:p>
    <w:p>
      <w:pPr>
        <w:keepNext w:val="0"/>
        <w:keepLines w:val="0"/>
        <w:pageBreakBefore w:val="0"/>
        <w:kinsoku/>
        <w:wordWrap/>
        <w:overflowPunct/>
        <w:topLinePunct w:val="0"/>
        <w:autoSpaceDE/>
        <w:autoSpaceDN/>
        <w:bidi w:val="0"/>
        <w:adjustRightInd/>
        <w:snapToGrid/>
        <w:spacing w:line="360" w:lineRule="auto"/>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drawing>
          <wp:inline distT="0" distB="0" distL="114300" distR="114300">
            <wp:extent cx="3419475" cy="3162300"/>
            <wp:effectExtent l="0" t="0" r="9525" b="0"/>
            <wp:docPr id="11" name="图片 12" descr="16292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1629271936(1)"/>
                    <pic:cNvPicPr>
                      <a:picLocks noChangeAspect="1"/>
                    </pic:cNvPicPr>
                  </pic:nvPicPr>
                  <pic:blipFill>
                    <a:blip r:embed="rId6"/>
                    <a:stretch>
                      <a:fillRect/>
                    </a:stretch>
                  </pic:blipFill>
                  <pic:spPr>
                    <a:xfrm>
                      <a:off x="0" y="0"/>
                      <a:ext cx="3419475" cy="31623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3.申请方和测量参照物在马路两侧，马路中间没有隔离带但是有斑马线的，参照图3测量，距离=a+b+c。</w:t>
      </w:r>
    </w:p>
    <w:p>
      <w:pPr>
        <w:keepNext w:val="0"/>
        <w:keepLines w:val="0"/>
        <w:pageBreakBefore w:val="0"/>
        <w:kinsoku/>
        <w:wordWrap/>
        <w:overflowPunct/>
        <w:topLinePunct w:val="0"/>
        <w:autoSpaceDE/>
        <w:autoSpaceDN/>
        <w:bidi w:val="0"/>
        <w:adjustRightInd/>
        <w:snapToGrid/>
        <w:spacing w:line="360" w:lineRule="auto"/>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drawing>
          <wp:inline distT="0" distB="0" distL="114300" distR="114300">
            <wp:extent cx="2933700" cy="2686050"/>
            <wp:effectExtent l="0" t="0" r="0" b="0"/>
            <wp:docPr id="14" name="图片 13" descr="162927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1629272024(1)"/>
                    <pic:cNvPicPr>
                      <a:picLocks noChangeAspect="1"/>
                    </pic:cNvPicPr>
                  </pic:nvPicPr>
                  <pic:blipFill>
                    <a:blip r:embed="rId7"/>
                    <a:stretch>
                      <a:fillRect/>
                    </a:stretch>
                  </pic:blipFill>
                  <pic:spPr>
                    <a:xfrm>
                      <a:off x="0" y="0"/>
                      <a:ext cx="2933700" cy="2686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4.申请方和测量参照物在马路两侧，马路中间没有斑马线或者隔离带的，参照图4测量，距离=a。</w:t>
      </w:r>
    </w:p>
    <w:p>
      <w:pPr>
        <w:keepNext w:val="0"/>
        <w:keepLines w:val="0"/>
        <w:pageBreakBefore w:val="0"/>
        <w:kinsoku/>
        <w:wordWrap/>
        <w:overflowPunct/>
        <w:topLinePunct w:val="0"/>
        <w:autoSpaceDE/>
        <w:autoSpaceDN/>
        <w:bidi w:val="0"/>
        <w:adjustRightInd/>
        <w:snapToGrid/>
        <w:spacing w:line="360" w:lineRule="auto"/>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drawing>
          <wp:inline distT="0" distB="0" distL="114300" distR="114300">
            <wp:extent cx="3152775" cy="2667000"/>
            <wp:effectExtent l="0" t="0" r="9525" b="0"/>
            <wp:docPr id="13" name="图片 14" descr="162927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1629272084(1)"/>
                    <pic:cNvPicPr>
                      <a:picLocks noChangeAspect="1"/>
                    </pic:cNvPicPr>
                  </pic:nvPicPr>
                  <pic:blipFill>
                    <a:blip r:embed="rId8"/>
                    <a:stretch>
                      <a:fillRect/>
                    </a:stretch>
                  </pic:blipFill>
                  <pic:spPr>
                    <a:xfrm>
                      <a:off x="0" y="0"/>
                      <a:ext cx="3152775" cy="26670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center"/>
        <w:rPr>
          <w:rFonts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5.申请方和测量参照物处于马路拐角位置，参照图5测量，距离=a+b。</w:t>
      </w:r>
    </w:p>
    <w:p>
      <w:pPr>
        <w:keepNext w:val="0"/>
        <w:keepLines w:val="0"/>
        <w:pageBreakBefore w:val="0"/>
        <w:kinsoku/>
        <w:wordWrap/>
        <w:overflowPunct/>
        <w:topLinePunct w:val="0"/>
        <w:autoSpaceDE/>
        <w:autoSpaceDN/>
        <w:bidi w:val="0"/>
        <w:adjustRightInd/>
        <w:snapToGrid/>
        <w:spacing w:line="360" w:lineRule="auto"/>
        <w:jc w:val="center"/>
        <w:rPr>
          <w:rFonts w:ascii="仿宋_GB2312" w:hAnsi="宋体" w:eastAsia="仿宋_GB2312"/>
          <w:color w:val="000000"/>
          <w:sz w:val="32"/>
          <w:szCs w:val="32"/>
        </w:rPr>
      </w:pPr>
      <w:r>
        <w:rPr>
          <w:rFonts w:hint="eastAsia" w:ascii="仿宋_GB2312" w:hAnsi="仿宋" w:eastAsia="仿宋_GB2312" w:cs="仿宋"/>
          <w:color w:val="000000"/>
          <w:sz w:val="32"/>
          <w:szCs w:val="32"/>
        </w:rPr>
        <w:drawing>
          <wp:inline distT="0" distB="0" distL="114300" distR="114300">
            <wp:extent cx="3133725" cy="3343275"/>
            <wp:effectExtent l="0" t="0" r="9525" b="9525"/>
            <wp:docPr id="15" name="图片 15" descr="162927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29272184(1)"/>
                    <pic:cNvPicPr>
                      <a:picLocks noChangeAspect="1"/>
                    </pic:cNvPicPr>
                  </pic:nvPicPr>
                  <pic:blipFill>
                    <a:blip r:embed="rId9"/>
                    <a:stretch>
                      <a:fillRect/>
                    </a:stretch>
                  </pic:blipFill>
                  <pic:spPr>
                    <a:xfrm>
                      <a:off x="0" y="0"/>
                      <a:ext cx="3133725" cy="33432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四、本测量办法由</w:t>
      </w:r>
      <w:r>
        <w:rPr>
          <w:rFonts w:hint="eastAsia" w:ascii="仿宋" w:hAnsi="仿宋" w:eastAsia="仿宋" w:cs="仿宋"/>
          <w:color w:val="000000"/>
          <w:sz w:val="32"/>
          <w:szCs w:val="32"/>
          <w:lang w:val="en-US" w:eastAsia="zh-CN"/>
        </w:rPr>
        <w:t>安阳县</w:t>
      </w:r>
      <w:r>
        <w:rPr>
          <w:rFonts w:hint="eastAsia" w:ascii="仿宋" w:hAnsi="仿宋" w:eastAsia="仿宋" w:cs="仿宋"/>
          <w:color w:val="000000"/>
          <w:sz w:val="32"/>
          <w:szCs w:val="32"/>
        </w:rPr>
        <w:t>烟草专卖局负责解释。如遇本办法未明确测量方法的特殊情形时，其测量方法由</w:t>
      </w:r>
      <w:r>
        <w:rPr>
          <w:rFonts w:hint="eastAsia" w:ascii="仿宋" w:hAnsi="仿宋" w:eastAsia="仿宋" w:cs="仿宋"/>
          <w:color w:val="000000"/>
          <w:sz w:val="32"/>
          <w:szCs w:val="32"/>
          <w:lang w:val="en-US" w:eastAsia="zh-CN"/>
        </w:rPr>
        <w:t>安阳县</w:t>
      </w:r>
      <w:r>
        <w:rPr>
          <w:rFonts w:hint="eastAsia" w:ascii="仿宋" w:hAnsi="仿宋" w:eastAsia="仿宋" w:cs="仿宋"/>
          <w:color w:val="000000"/>
          <w:sz w:val="32"/>
          <w:szCs w:val="32"/>
        </w:rPr>
        <w:t>烟草专卖局确定。</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黑体" w:hAnsi="黑体" w:eastAsia="黑体" w:cs="仿宋"/>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黑体" w:hAnsi="黑体" w:eastAsia="黑体" w:cs="仿宋"/>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黑体" w:hAnsi="黑体" w:eastAsia="黑体" w:cs="仿宋"/>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pStyle w:val="2"/>
        <w:rPr>
          <w:rFonts w:hint="eastAsia" w:ascii="黑体" w:hAnsi="黑体" w:eastAsia="黑体" w:cs="仿宋"/>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黑体" w:hAnsi="黑体" w:eastAsia="黑体" w:cs="黑体"/>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360" w:lineRule="auto"/>
        <w:jc w:val="left"/>
        <w:rPr>
          <w:rFonts w:hint="eastAsia"/>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2</w:t>
      </w:r>
    </w:p>
    <w:tbl>
      <w:tblPr>
        <w:tblStyle w:val="5"/>
        <w:tblpPr w:leftFromText="180" w:rightFromText="180" w:vertAnchor="text" w:horzAnchor="page" w:tblpX="2030" w:tblpY="1708"/>
        <w:tblOverlap w:val="never"/>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0"/>
        <w:gridCol w:w="4283"/>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683" w:type="dxa"/>
            <w:gridSpan w:val="3"/>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i w:val="0"/>
                <w:iCs w:val="0"/>
                <w:color w:val="000000"/>
                <w:sz w:val="44"/>
                <w:szCs w:val="44"/>
                <w:highlight w:val="none"/>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安阳县市场单元布局信息目录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ascii="雅黑" w:hAnsi="雅黑" w:eastAsia="雅黑" w:cs="雅黑"/>
                <w:b w:val="0"/>
                <w:bCs/>
                <w:i w:val="0"/>
                <w:iCs w:val="0"/>
                <w:color w:val="000000"/>
                <w:sz w:val="32"/>
                <w:szCs w:val="32"/>
                <w:highlight w:val="none"/>
                <w:u w:val="none"/>
              </w:rPr>
            </w:pPr>
            <w:r>
              <w:rPr>
                <w:rFonts w:hint="default" w:ascii="雅黑" w:hAnsi="雅黑" w:eastAsia="雅黑" w:cs="雅黑"/>
                <w:i w:val="0"/>
                <w:iCs w:val="0"/>
                <w:color w:val="000000"/>
                <w:kern w:val="0"/>
                <w:sz w:val="32"/>
                <w:szCs w:val="32"/>
                <w:u w:val="none"/>
                <w:lang w:val="en-US" w:eastAsia="zh-CN" w:bidi="ar"/>
              </w:rPr>
              <w:t>序号</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default" w:ascii="雅黑" w:hAnsi="雅黑" w:eastAsia="雅黑" w:cs="雅黑"/>
                <w:i w:val="0"/>
                <w:iCs w:val="0"/>
                <w:color w:val="000000"/>
                <w:kern w:val="0"/>
                <w:sz w:val="32"/>
                <w:szCs w:val="32"/>
                <w:u w:val="none"/>
                <w:lang w:val="en-US" w:eastAsia="zh-CN" w:bidi="ar"/>
              </w:rPr>
              <w:t>市场单元名称</w:t>
            </w:r>
          </w:p>
        </w:tc>
        <w:tc>
          <w:tcPr>
            <w:tcW w:w="285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雅黑" w:hAnsi="雅黑" w:eastAsia="雅黑" w:cs="雅黑"/>
                <w:b w:val="0"/>
                <w:bCs/>
                <w:i w:val="0"/>
                <w:iCs w:val="0"/>
                <w:color w:val="000000"/>
                <w:sz w:val="32"/>
                <w:szCs w:val="32"/>
                <w:highlight w:val="none"/>
                <w:u w:val="none"/>
              </w:rPr>
            </w:pPr>
            <w:r>
              <w:rPr>
                <w:rFonts w:hint="default" w:ascii="雅黑" w:hAnsi="雅黑" w:eastAsia="雅黑" w:cs="雅黑"/>
                <w:i w:val="0"/>
                <w:iCs w:val="0"/>
                <w:color w:val="000000"/>
                <w:kern w:val="0"/>
                <w:sz w:val="32"/>
                <w:szCs w:val="32"/>
                <w:u w:val="none"/>
                <w:lang w:val="en-US" w:eastAsia="zh-CN" w:bidi="ar"/>
              </w:rPr>
              <w:t>规划数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水冶镇一区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水冶镇二区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水冶镇十一区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水冶镇十二区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水冶镇十三区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水冶镇十四区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水冶镇七区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水冶镇八区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水冶镇九区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水冶镇三区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水冶镇十五区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水冶镇十六区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水冶镇十七区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水冶镇十八区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水冶镇十九区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水冶镇天池村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水冶镇五区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水冶镇六区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水冶镇西蒋</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水冶镇东高平村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水冶镇北固现村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水冶镇北段村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水冶镇四区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水冶镇阜城村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水冶镇南固现村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水冶镇南段村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水冶镇寨子村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曲沟镇东下寒村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曲沟镇东彰武村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曲沟镇北曲沟村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曲沟镇永定村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曲沟镇西下寒村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曲沟镇西曲沟村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曲沟镇曲沟集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曲沟镇安车村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曲沟镇陈家井村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曲沟镇武旺村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曲沟镇洪岩村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曲沟镇秦小屯村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曲沟镇郭车村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曲沟镇董车村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曲沟镇鄣邓村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许家沟乡下庄村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许家沟乡下堡村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许家沟乡小寨村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许家沟乡王家窑村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许家沟乡五里庙村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许家沟乡太平岗村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许家沟乡东子针村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许家沟乡北庄村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许家沟乡西子针村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许家沟乡后西岗村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许家沟乡许家沟村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许家沟乡许家沟集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许家沟乡李家店村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许家沟乡岗西村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许家沟乡应阳村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许家沟乡河西村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许家沟乡南子针村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许家沟乡前西岗村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许家沟乡黄口村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洪河屯乡土楼村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洪河屯乡下柏树村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洪河屯乡下营村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洪河屯乡大正村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洪河屯乡上四庄村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洪河屯乡上柏树村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69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洪河屯乡上营村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洪河屯乡五龙沟村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洪河屯乡户家坟村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洪河屯乡东彪涧村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洪河屯乡北头村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洪河屯乡申家洞村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洪河屯乡西彪涧村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洪河屯乡杨家洞村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洪河屯乡辛正村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洪河屯乡张湖顶村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79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洪河屯乡崔魏炉村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洪河屯乡清正村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洪河屯乡槐树屯村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磊口乡卜居头村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磊口乡上庄村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磊口乡东店村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磊口乡北山庄村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磊口乡目明村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磊口乡西店村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磊口乡安河村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89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磊口乡南山庄村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磊口乡泉门村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磊口乡鹿山村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磊口乡清池村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磊口乡清峪村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磊口乡清凉山村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磊口乡磊口集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许家沟乡管家庄村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安东新区一区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安东新区二区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99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安东新区三区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安东新区四区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安东新区五区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安东新区六区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安东新区七区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安东新区八区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安东新区九区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安东新区十区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安东新区十一区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安东新区十二区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109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瓦店乡大寒屯村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瓦店乡大裴村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瓦店乡东流台村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瓦店乡西瓦店村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瓦店乡师良村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瓦店乡单庄村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瓦店乡南瓦店村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瓦店乡梅福村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瓦店乡裴家村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白璧镇大寒村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119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白璧镇中东孟辛店村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白璧镇凤凰城小区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白璧镇东瓦亭村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白璧镇东北务村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白璧镇东羊店村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白璧镇东报德村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白璧镇东张家庄村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白璧镇东邵科村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白璧镇东柴村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白璧镇东街村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129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白璧镇北白璧村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白璧镇北务村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白璧镇北辛安村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白璧镇四高村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白璧镇白璧集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白璧镇邢牛村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白璧镇亚龙湾东湖小区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白璧镇西王辛店村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白璧镇西瓦亭村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白璧镇西羊店村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139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白璧镇西报德村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白璧镇西辛安村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白璧镇西邵科村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白璧镇西裴村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白璧镇后白璧村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白璧镇多伦公园里小区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白璧镇刘小屯村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白璧镇安阳东站高铁站</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149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白璧镇安居苑小区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白璧镇安鑫苑小区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白璧镇杜固村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白璧镇杨贾村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白璧镇岗上村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白璧镇国泰家园小区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白璧镇明星嘉苑小区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白璧镇金秋九里庭院小区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白璧镇京都花园小区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白璧镇怡景花园小区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159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白璧镇建业一号城邦小区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白璧镇建业桂园小区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白璧镇建业桂园东府小区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白璧镇建业通和府小区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白璧镇南务村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白璧镇南羊店村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白璧镇南辛安村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白璧镇南街村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白璧镇前街村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白璧镇袁小屯村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169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白璧镇晋小屯村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白璧镇郭盆村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白璧镇郭路村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白璧镇常王贾村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白璧镇梁固村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白璧镇蓝城凤起宸鸣小区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高庄镇大官庄村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高庄镇开信村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高庄镇东小庄村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高庄镇东小寒村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179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高庄镇东正寺村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高庄镇东崇固村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高庄镇西小寒村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高庄镇西正寺村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高庄镇西崇固村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高庄镇朱家营村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高庄镇后遵贵村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高庄镇杨河固村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高庄镇伯台村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高庄镇汪流屯村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189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高庄镇汪流村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高庄镇张河固村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高庄镇国际物流港</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高庄镇制造园</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高庄镇建业春天里小区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高庄镇胡官屯村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高庄镇前遵贵村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高庄镇高庄集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高庄镇桑园村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高庄镇蒋台屯村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199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高庄镇蒋台村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高庄镇韩河固村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高庄镇惠安家园小区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高庄镇雷市庄村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高庄镇遵贵屯村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高庄镇豫北汽车市场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高新区小马屯村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高新区小官庄村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高新区北小庄村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崔家桥镇王彦村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209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崔家桥镇五里屯村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崔家桥镇中艾亭村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崔家桥镇双塔村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崔家桥镇石艾亭村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崔家桥镇东庄村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崔家桥镇东曹马村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崔家桥镇北街村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崔家桥镇申庄村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崔家桥镇西曹马村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219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崔家桥镇后艾亭村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崔家桥镇安阳屯村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崔家桥镇苏宋村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崔家桥镇李辛庄村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崔家桥镇杨辛庄村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崔家桥镇何村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崔家桥镇沙岸村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崔家桥镇沙堆村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崔家桥镇宋村屯村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崔家桥镇和邵庄村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229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崔家桥镇赵马房村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崔家桥镇胡庄村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崔家桥镇南街村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崔家桥镇郜庄村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崔家桥镇段宋村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崔家桥镇施庄村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崔家桥镇高村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崔家桥镇郭宋村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崔家桥镇郭家庙村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崔家桥镇常庄村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239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崔家桥镇崔家桥集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崔家桥镇康宋村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崔家桥镇隆化村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崔家桥镇琚庄村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崔家桥镇韩宋村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崔家桥镇程村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崔家桥镇路马房村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崔家桥镇滩里村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崔家桥镇翟庄村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崔家桥镇冀庄村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249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崔家桥镇魏村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韩陵镇王宁后街村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韩陵镇王宁前街村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韩陵镇东于曹村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韩陵镇东大佛村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韩陵镇东见山村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韩陵镇东目村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韩陵镇东梁贡村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韩陵镇卢家湾村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韩陵镇西大佛村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259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韩陵镇西目村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韩陵镇后马村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韩陵镇李家山村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韩陵镇前马村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韩陵镇逍遥村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韩陵镇梨园村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韩陵镇韩陵集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韩陵镇朝冠村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韩陵镇獐豹村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白璧镇荣盛华府小区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269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瓦店乡新区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北郭乡新区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永和镇新区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吕村镇新区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辛村镇新区</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瓦店乡大王寨村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瓦店乡大朝村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瓦店乡万庄村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瓦店乡小营村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瓦店乡小朝村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279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瓦店乡小集村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瓦店乡王贵庄村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瓦店乡瓦店集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瓦店乡东曲店村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瓦店乡东路村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瓦店乡北高城村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瓦店乡四伏厂村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瓦店乡西曲店村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瓦店乡西路村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瓦店乡后曲店村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289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瓦店乡杜庄村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瓦店乡杨奇村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瓦店乡宋梁桥村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瓦店乡郎固村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瓦店乡南曲店村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瓦店乡南高城村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北郭乡王庄村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北郭乡牛辛庄村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北郭乡邓庄村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北郭乡龙凤村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299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北郭乡东河干村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北郭乡东洋凡村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北郭乡北郭店村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北郭乡北郭集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北郭乡申庄村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北郭乡李北郭村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北郭乡杨北郭村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北郭乡豆庄村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北郭乡豆官营村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北郭乡时辛庄村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309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北郭乡吴辛庄村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北郭乡里方村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北郭乡狄庄村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北郭乡宋辛庄村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北郭乡张王元村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北郭乡武庄村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北郭乡南郭村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北郭乡耿铺村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北郭乡徐北郭村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北郭乡郭孟辛庄村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319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北郭乡堤圈村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永和镇小百官村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永和镇小寒村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永和镇王小庄村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永和镇王奇村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永和镇王家口村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永和镇牛房村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永和镇东邢济村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永和镇东荣村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永和镇田营村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329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永和镇史庄村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永和镇永和集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永和镇西邢济村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永和镇西荣村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永和镇朱小庄村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永和镇伍庄村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永和镇后李村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永和镇后刺头村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永和镇后油房村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339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永和镇后荣村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永和镇刘庄村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永和镇关村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永和镇苏奇村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永和镇杨家堂村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永和镇何营村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永和镇沙里村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永和镇张奇村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永和镇庞湾村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永和镇沿村台村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349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永和镇赵奇村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永和镇贺庄村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永和镇铁炉村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永和镇郭奇村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永和镇程奇村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永和镇裴庄村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吕村镇王中尚村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吕村镇王洋泛村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吕村镇中吕村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359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吕村镇牛寨村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吕村镇尹中尚村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吕村镇东吕村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吕村镇东高奇务村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吕村镇东常山村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吕村镇东韩化村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吕村镇冯庄村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吕村镇西吕村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吕村镇西高奇务村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吕村镇西常山村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369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吕村镇西韩化村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吕村镇吕村集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吕村镇朱村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吕村镇任河干村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吕村镇后冯宿村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吕村镇后奇务村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吕村镇刘洋凡村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吕村镇孙奇村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吕村镇孙洋泛村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吕村镇李奇务村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379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吕村镇李河干村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吕村镇李寨村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吕村镇宋奇务村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吕村镇张中尚村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吕村镇张河干村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吕村镇陈市村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吕村镇郝小庄村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吕村镇荣河干村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吕村镇姜河干村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吕村镇前冯宿村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389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吕村镇洋房村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吕村镇耿洋泛村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吕村镇晁村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吕村镇铁炉村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吕村镇崔奇务村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吕村镇程中尚村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吕村镇湘河店村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吕村镇谢奇村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吕村镇新寨村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吕村镇翟奇务村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399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辛村镇马太保村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辛村镇邓伍级村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辛村镇东士子村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辛村镇东伏恩村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辛村镇东贤孝村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辛村镇东和仁村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辛村镇东黄门村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辛村镇北庄村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辛村镇北贤孝村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辛村镇西士子村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409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辛村镇西伏恩村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辛村镇西贤孝村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辛村镇西和仁村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辛村镇西南庄村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辛村镇西黄门村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辛村镇华伍级村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辛村镇刘太保村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辛村镇孙高利村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辛村镇李太保村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辛村镇李高利村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419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辛村镇吴太保村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辛村镇辛村集</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辛村镇宋高利村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辛村镇张太保村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辛村镇武家门村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辛村镇周袁太保村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辛村镇孟高利村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辛村镇郝伍级村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辛村镇郝高利村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辛村镇南伏恩村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429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辛村镇南辛村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辛村镇南贤孝村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辛村镇南和仁村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辛村镇秦太保村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辛村镇贾太保村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辛村镇党高利村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辛村镇崔高利村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辛村镇程太保村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辛村镇谢伍级村</w:t>
            </w:r>
          </w:p>
        </w:tc>
        <w:tc>
          <w:tcPr>
            <w:tcW w:w="285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438</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辛村镇雷高利村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439</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辛村镇蔡太保村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440</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辛村镇霍太保村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441</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伦掌镇新区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442</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铜冶镇新区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443</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都里镇新区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444</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安丰乡新区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445</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洪河屯乡新区</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446</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水冶镇下河村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447</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水冶镇大堰村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448</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水冶镇小坟村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449</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水冶镇王庄村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450</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水冶镇水浴村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451</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水冶镇双全村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452</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水冶镇石涧村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453</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水冶镇石棺村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454</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水冶镇东古庄村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455</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水冶镇东石村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456</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水冶镇东麻水村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水冶镇东蒋村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水冶镇西古庄村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459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水冶镇西石村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水冶镇西麻水村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水冶镇西蒋村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水冶镇刘贾店村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水冶镇许朴村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水冶镇阳郡村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水冶镇李贾店村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水冶镇李家庄村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水冶镇何坟村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水冶镇灵药村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469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水冶镇张屯村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470</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水冶镇张庄村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471</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水冶镇张贾店村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472</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水冶镇南麻水村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473</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水冶镇柿园村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474</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水冶镇侯凹村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475</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水冶镇姬家屯村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476</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水冶镇黄贾店村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477</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水冶镇辉泉村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478</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伦掌镇大五里涧村</w:t>
            </w:r>
          </w:p>
        </w:tc>
        <w:tc>
          <w:tcPr>
            <w:tcW w:w="28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479</w:t>
            </w:r>
          </w:p>
        </w:tc>
        <w:tc>
          <w:tcPr>
            <w:tcW w:w="428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伦掌镇小五里涧村</w:t>
            </w:r>
          </w:p>
        </w:tc>
        <w:tc>
          <w:tcPr>
            <w:tcW w:w="285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480</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伦掌镇牛家河村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481</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伦掌镇东石井岗村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482</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伦掌镇东柏涧村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483</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伦掌镇北孟村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484</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伦掌镇西何家坟村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485</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伦掌镇西柏涧村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486</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伦掌镇当中岗村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487</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伦掌镇伦掌集</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488</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伦掌镇众乐村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489</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伦掌镇许炉村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490</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伦掌镇孙家岗村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491</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伦掌镇杜家岗村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492</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伦掌镇李辛庄村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493</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伦掌镇李炉村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494</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伦掌镇李家村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495</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伦掌镇谷驼村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496</w:t>
            </w:r>
          </w:p>
        </w:tc>
        <w:tc>
          <w:tcPr>
            <w:tcW w:w="4283"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伦掌镇南孟村</w:t>
            </w:r>
          </w:p>
        </w:tc>
        <w:tc>
          <w:tcPr>
            <w:tcW w:w="28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nil"/>
              <w:left w:val="single" w:color="000000" w:sz="8" w:space="0"/>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497</w:t>
            </w:r>
          </w:p>
        </w:tc>
        <w:tc>
          <w:tcPr>
            <w:tcW w:w="4283" w:type="dxa"/>
            <w:tcBorders>
              <w:top w:val="nil"/>
              <w:left w:val="single" w:color="000000" w:sz="8" w:space="0"/>
              <w:bottom w:val="single" w:color="auto" w:sz="4" w:space="0"/>
              <w:right w:val="single" w:color="000000" w:sz="8"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伦掌镇南崖村</w:t>
            </w:r>
          </w:p>
        </w:tc>
        <w:tc>
          <w:tcPr>
            <w:tcW w:w="2850"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伦掌镇康王坟村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499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伦掌镇焦家坟村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安丰乡下天助村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501</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安丰乡大夫村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502</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安丰乡大刘庄村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503</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安丰乡上天助村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504</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安丰乡马庄村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505</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安丰乡木厂屯村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506</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安丰乡太平店村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507</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安丰乡东天助村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安丰乡东高穴村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509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安丰乡东稻田村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安丰乡北丰村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511</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安丰乡北李庄村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512</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安丰乡吉庄村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513</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安丰乡西高穴村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514</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安丰乡后净渠村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515</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安丰乡后稻田村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516</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安丰乡刘家屯村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517</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安丰乡安丰集</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安丰乡李家坡村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519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安丰乡谷家咀村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安丰乡张显屯村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521</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安丰乡张家凹村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522</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安丰乡张家庄村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523</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安丰乡英烈村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524</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安丰乡林县庄村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525</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安丰乡固岸村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526</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安丰乡赵村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527</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安丰乡赵家窑村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安丰乡南丰村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529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安丰乡施家河村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安丰乡前净渠村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531</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安丰乡前稻田村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532</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安丰乡洪河村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533</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安丰乡郭家屯村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534</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安丰乡渔洋村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535</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安丰乡韩家寨村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536</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安丰乡靳家屯村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537</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安丰乡蔡村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安丰乡翟庄村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539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洪河屯乡豆公村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洪河屯乡连庄村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541</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洪河屯乡南崔庄村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542</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洪河屯乡洪河屯集</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543</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洪河屯乡黄庄村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544</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洪河屯乡梁布大营村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545</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洪河屯乡葛庄村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546</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洪河屯乡董庄村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547</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都里镇三里湾村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都里镇上寺平村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549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都里镇古井村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都里镇东水村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551</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都里镇东岭西村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552</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都里镇东郊口村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553</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都里镇北马辛庄村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554</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都里镇许家滩村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555</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都里镇好井村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556</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都里镇李珍村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557</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都里镇南马辛庄村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都里镇南阳城村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559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都里镇都里集</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i w:val="0"/>
                <w:iCs w:val="0"/>
                <w:color w:val="000000"/>
                <w:sz w:val="28"/>
                <w:szCs w:val="28"/>
                <w:highlight w:val="none"/>
                <w:u w:val="none"/>
              </w:rPr>
            </w:pPr>
            <w:r>
              <w:rPr>
                <w:rFonts w:hint="eastAsia" w:ascii="仿宋" w:hAnsi="仿宋" w:eastAsia="仿宋" w:cs="仿宋"/>
                <w:i w:val="0"/>
                <w:iCs w:val="0"/>
                <w:color w:val="000000"/>
                <w:kern w:val="0"/>
                <w:sz w:val="28"/>
                <w:szCs w:val="28"/>
                <w:u w:val="none"/>
                <w:lang w:val="en-US" w:eastAsia="zh-CN" w:bidi="ar"/>
              </w:rPr>
              <w:t>560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8"/>
                <w:szCs w:val="28"/>
                <w:u w:val="none"/>
                <w:lang w:val="en-US" w:eastAsia="zh-CN" w:bidi="ar"/>
              </w:rPr>
              <w:t>铜冶镇下蔡村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561</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铜冶镇上蔡村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562</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铜冶镇化炉村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563</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铜冶镇石堂村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564</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铜冶镇东傍佐村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565</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铜冶镇北西炉村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566</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铜冶镇西傍佐村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567</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铜冶镇西鲁仙村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铜冶镇后街村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569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铜冶镇李村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铜冶镇利源集团门口</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571</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铜冶镇角岭村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572</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铜冶镇辛庄村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573</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铜冶镇官司村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574</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铜冶镇南马村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575</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铜冶镇南西炉村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576</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铜冶镇南鲁仙村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577</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铜冶镇积善村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578</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铜冶镇铜冶集</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579</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铜冶镇湾漳河村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580</w:t>
            </w:r>
          </w:p>
        </w:tc>
        <w:tc>
          <w:tcPr>
            <w:tcW w:w="4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铜冶镇李家岗村</w:t>
            </w:r>
          </w:p>
        </w:tc>
        <w:tc>
          <w:tcPr>
            <w:tcW w:w="2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bookmarkEnd w:id="0"/>
    </w:tbl>
    <w:p>
      <w:pPr>
        <w:pStyle w:val="2"/>
      </w:pPr>
    </w:p>
    <w:sectPr>
      <w:footerReference r:id="rId3" w:type="default"/>
      <w:pgSz w:w="11906" w:h="16838"/>
      <w:pgMar w:top="2098" w:right="1474" w:bottom="1985" w:left="1588" w:header="851" w:footer="992" w:gutter="0"/>
      <w:cols w:space="720" w:num="1"/>
      <w:rtlGutter w:val="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377ED-2823-4239-98BA-EE06DC2BBA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0" w:usb1="00000000" w:usb2="00000000" w:usb3="00000000" w:csb0="00000000" w:csb1="00000000"/>
    <w:embedRegular r:id="rId2" w:fontKey="{79D3C2DB-7664-4AB6-8BEC-BEF3BEF19B80}"/>
  </w:font>
  <w:font w:name="仿宋">
    <w:panose1 w:val="02010609060101010101"/>
    <w:charset w:val="86"/>
    <w:family w:val="modern"/>
    <w:pitch w:val="default"/>
    <w:sig w:usb0="800002BF" w:usb1="38CF7CFA" w:usb2="00000016" w:usb3="00000000" w:csb0="00040001" w:csb1="00000000"/>
    <w:embedRegular r:id="rId3" w:fontKey="{9CE282B3-EFF9-4477-8686-C326F3332D4D}"/>
  </w:font>
  <w:font w:name="仿宋_GB2312">
    <w:altName w:val="仿宋"/>
    <w:panose1 w:val="02010609030101010101"/>
    <w:charset w:val="86"/>
    <w:family w:val="modern"/>
    <w:pitch w:val="default"/>
    <w:sig w:usb0="00000000" w:usb1="00000000" w:usb2="00000000" w:usb3="00000000" w:csb0="00040000" w:csb1="00000000"/>
    <w:embedRegular r:id="rId4" w:fontKey="{3E4577B4-A6CB-468D-A67D-5EFA4E8BF7E4}"/>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5" w:fontKey="{15275F6B-0785-44B6-9A28-C52CCEF2FA7A}"/>
  </w:font>
  <w:font w:name="楷体_GB2312">
    <w:altName w:val="楷体"/>
    <w:panose1 w:val="02010609030101010101"/>
    <w:charset w:val="86"/>
    <w:family w:val="modern"/>
    <w:pitch w:val="default"/>
    <w:sig w:usb0="00000000" w:usb1="00000000" w:usb2="00000000" w:usb3="00000000" w:csb0="00040000" w:csb1="00000000"/>
    <w:embedRegular r:id="rId6" w:fontKey="{EACF54DC-D923-4937-9208-1F0C671CC617}"/>
  </w:font>
  <w:font w:name="雅黑">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5596" w:y="15301"/>
      <w:tabs>
        <w:tab w:val="center" w:pos="4153"/>
        <w:tab w:val="right" w:pos="8306"/>
      </w:tabs>
      <w:snapToGrid w:val="0"/>
      <w:jc w:val="left"/>
      <w:rPr>
        <w:rFonts w:ascii="宋体" w:hAnsi="宋体" w:eastAsia="仿宋_GB2312"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p>
  <w:p>
    <w:pP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0ZWQyZjMyZDE2OGFhY2I4ODcwMjFlNjFjZDMifQ=="/>
  </w:docVars>
  <w:rsids>
    <w:rsidRoot w:val="62507E81"/>
    <w:rsid w:val="00DE3995"/>
    <w:rsid w:val="03E56DE9"/>
    <w:rsid w:val="04155920"/>
    <w:rsid w:val="06A0349B"/>
    <w:rsid w:val="072440CC"/>
    <w:rsid w:val="074D717F"/>
    <w:rsid w:val="076170CE"/>
    <w:rsid w:val="0825634E"/>
    <w:rsid w:val="08E91129"/>
    <w:rsid w:val="0E26697C"/>
    <w:rsid w:val="126B0E01"/>
    <w:rsid w:val="127A7296"/>
    <w:rsid w:val="132D6C8C"/>
    <w:rsid w:val="13765CAF"/>
    <w:rsid w:val="13B81E24"/>
    <w:rsid w:val="14D07641"/>
    <w:rsid w:val="151A563A"/>
    <w:rsid w:val="15E46F00"/>
    <w:rsid w:val="16037773"/>
    <w:rsid w:val="17E51656"/>
    <w:rsid w:val="187C3D68"/>
    <w:rsid w:val="18C63235"/>
    <w:rsid w:val="1A5403CD"/>
    <w:rsid w:val="1B430B6D"/>
    <w:rsid w:val="1B43291B"/>
    <w:rsid w:val="1C0A3439"/>
    <w:rsid w:val="1C2F2E9F"/>
    <w:rsid w:val="1D507571"/>
    <w:rsid w:val="1EA41923"/>
    <w:rsid w:val="1ED815CC"/>
    <w:rsid w:val="20790B8D"/>
    <w:rsid w:val="21F7620D"/>
    <w:rsid w:val="23562A0B"/>
    <w:rsid w:val="23863CED"/>
    <w:rsid w:val="25C97EC1"/>
    <w:rsid w:val="26C50688"/>
    <w:rsid w:val="29096033"/>
    <w:rsid w:val="2996455E"/>
    <w:rsid w:val="2B22254D"/>
    <w:rsid w:val="2B9920E3"/>
    <w:rsid w:val="2BC41856"/>
    <w:rsid w:val="2CBF5B79"/>
    <w:rsid w:val="2D0115DB"/>
    <w:rsid w:val="2D202ABC"/>
    <w:rsid w:val="2E2E2FB7"/>
    <w:rsid w:val="2E576295"/>
    <w:rsid w:val="2F3925CB"/>
    <w:rsid w:val="304765B2"/>
    <w:rsid w:val="312468F3"/>
    <w:rsid w:val="31745184"/>
    <w:rsid w:val="324B1648"/>
    <w:rsid w:val="338D077F"/>
    <w:rsid w:val="39C11183"/>
    <w:rsid w:val="39CE38A0"/>
    <w:rsid w:val="3A887EF3"/>
    <w:rsid w:val="3C460065"/>
    <w:rsid w:val="3D2F28A7"/>
    <w:rsid w:val="3E9B4698"/>
    <w:rsid w:val="408D6263"/>
    <w:rsid w:val="42022339"/>
    <w:rsid w:val="4456696C"/>
    <w:rsid w:val="44901E7E"/>
    <w:rsid w:val="450D34CE"/>
    <w:rsid w:val="454B3FF6"/>
    <w:rsid w:val="46317690"/>
    <w:rsid w:val="467F21AA"/>
    <w:rsid w:val="46B1257F"/>
    <w:rsid w:val="47F60B91"/>
    <w:rsid w:val="491D5CAA"/>
    <w:rsid w:val="49E54A1A"/>
    <w:rsid w:val="4B49722A"/>
    <w:rsid w:val="4CD314A1"/>
    <w:rsid w:val="4D4E6D7A"/>
    <w:rsid w:val="4DEF40B9"/>
    <w:rsid w:val="4F3E697A"/>
    <w:rsid w:val="4F8922EB"/>
    <w:rsid w:val="4FBF5D0D"/>
    <w:rsid w:val="501778F7"/>
    <w:rsid w:val="501F49FD"/>
    <w:rsid w:val="508A631B"/>
    <w:rsid w:val="534053B7"/>
    <w:rsid w:val="535D7D17"/>
    <w:rsid w:val="53B574F4"/>
    <w:rsid w:val="55142657"/>
    <w:rsid w:val="5522723D"/>
    <w:rsid w:val="55256612"/>
    <w:rsid w:val="555D5DAC"/>
    <w:rsid w:val="55E95892"/>
    <w:rsid w:val="5697709C"/>
    <w:rsid w:val="58247055"/>
    <w:rsid w:val="59097FF9"/>
    <w:rsid w:val="59716480"/>
    <w:rsid w:val="59E3084A"/>
    <w:rsid w:val="5AC10B8B"/>
    <w:rsid w:val="5B637E94"/>
    <w:rsid w:val="5C9F314E"/>
    <w:rsid w:val="5D153410"/>
    <w:rsid w:val="5DBE5856"/>
    <w:rsid w:val="5EF13A09"/>
    <w:rsid w:val="61D03DA9"/>
    <w:rsid w:val="62507E81"/>
    <w:rsid w:val="629D52C4"/>
    <w:rsid w:val="62FB4E56"/>
    <w:rsid w:val="6428600B"/>
    <w:rsid w:val="644F0FB6"/>
    <w:rsid w:val="64D43BB1"/>
    <w:rsid w:val="65EC0A86"/>
    <w:rsid w:val="66723681"/>
    <w:rsid w:val="678A0557"/>
    <w:rsid w:val="684D1CB0"/>
    <w:rsid w:val="69CB5582"/>
    <w:rsid w:val="69EB1780"/>
    <w:rsid w:val="6B256F14"/>
    <w:rsid w:val="6DB12CE1"/>
    <w:rsid w:val="6F35349E"/>
    <w:rsid w:val="6F392F8E"/>
    <w:rsid w:val="740F250F"/>
    <w:rsid w:val="777728A5"/>
    <w:rsid w:val="79667075"/>
    <w:rsid w:val="79A77B4F"/>
    <w:rsid w:val="7BA75723"/>
    <w:rsid w:val="7C3612D6"/>
    <w:rsid w:val="7D44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unhideWhenUsed/>
    <w:qFormat/>
    <w:uiPriority w:val="99"/>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11"/>
    <w:basedOn w:val="6"/>
    <w:qFormat/>
    <w:uiPriority w:val="0"/>
    <w:rPr>
      <w:rFonts w:hint="eastAsia" w:ascii="方正小标宋简体" w:hAnsi="方正小标宋简体" w:eastAsia="方正小标宋简体" w:cs="方正小标宋简体"/>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9880</Words>
  <Characters>11113</Characters>
  <Lines>0</Lines>
  <Paragraphs>0</Paragraphs>
  <TotalTime>0</TotalTime>
  <ScaleCrop>false</ScaleCrop>
  <LinksUpToDate>false</LinksUpToDate>
  <CharactersWithSpaces>11168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2024-03-20T09:17:00Z</dcterms:created>
  <dc:creator>勤:-*</dc:creator>
  <cp:lastModifiedBy>Administrator</cp:lastModifiedBy>
  <cp:lastPrinted>2024-08-20T03:54:00Z</cp:lastPrinted>
  <dcterms:modified xsi:type="dcterms:W3CDTF">2024-08-20T08:52:51Z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94D1CB8F5A4A4735B0CCB33B3F50FA60_11</vt:lpwstr>
  </property>
</Properties>
</file>