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43BA8">
      <w:pPr>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安阳县十六届人大常委会</w:t>
      </w:r>
    </w:p>
    <w:p w14:paraId="632E37FA">
      <w:pPr>
        <w:jc w:val="both"/>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第二十二次会议文件（1）</w:t>
      </w:r>
    </w:p>
    <w:p w14:paraId="4C3FC342">
      <w:pPr>
        <w:pStyle w:val="9"/>
        <w:keepNext w:val="0"/>
        <w:keepLines w:val="0"/>
        <w:pageBreakBefore w:val="0"/>
        <w:widowControl/>
        <w:shd w:val="clear"/>
        <w:kinsoku/>
        <w:wordWrap/>
        <w:overflowPunct/>
        <w:topLinePunct w:val="0"/>
        <w:autoSpaceDE/>
        <w:autoSpaceDN/>
        <w:bidi w:val="0"/>
        <w:adjustRightInd/>
        <w:snapToGrid/>
        <w:spacing w:line="560" w:lineRule="exact"/>
        <w:ind w:right="-55" w:rightChars="-26"/>
        <w:jc w:val="center"/>
        <w:textAlignment w:val="baseline"/>
        <w:rPr>
          <w:rFonts w:hint="default" w:ascii="Times New Roman" w:hAnsi="Times New Roman" w:eastAsia="方正小标宋简体" w:cs="Times New Roman"/>
          <w:b w:val="0"/>
          <w:bCs w:val="0"/>
          <w:color w:val="auto"/>
          <w:kern w:val="16"/>
          <w:sz w:val="44"/>
          <w:szCs w:val="44"/>
          <w:highlight w:val="none"/>
          <w:lang w:val="en-US" w:eastAsia="zh-CN"/>
        </w:rPr>
      </w:pPr>
    </w:p>
    <w:p w14:paraId="188D467C">
      <w:pPr>
        <w:pStyle w:val="9"/>
        <w:keepNext w:val="0"/>
        <w:keepLines w:val="0"/>
        <w:pageBreakBefore w:val="0"/>
        <w:widowControl/>
        <w:shd w:val="clear"/>
        <w:kinsoku/>
        <w:wordWrap/>
        <w:overflowPunct/>
        <w:topLinePunct w:val="0"/>
        <w:autoSpaceDE/>
        <w:autoSpaceDN/>
        <w:bidi w:val="0"/>
        <w:adjustRightInd/>
        <w:snapToGrid/>
        <w:spacing w:line="560" w:lineRule="exact"/>
        <w:ind w:right="-55" w:rightChars="-26"/>
        <w:jc w:val="center"/>
        <w:textAlignment w:val="baseline"/>
        <w:rPr>
          <w:rFonts w:hint="default" w:ascii="Times New Roman" w:hAnsi="Times New Roman" w:eastAsia="方正小标宋简体" w:cs="Times New Roman"/>
          <w:b w:val="0"/>
          <w:bCs w:val="0"/>
          <w:color w:val="auto"/>
          <w:kern w:val="16"/>
          <w:sz w:val="44"/>
          <w:szCs w:val="44"/>
          <w:highlight w:val="none"/>
          <w:lang w:val="en-US" w:eastAsia="zh-CN"/>
        </w:rPr>
      </w:pPr>
      <w:r>
        <w:rPr>
          <w:rFonts w:hint="default" w:ascii="Times New Roman" w:hAnsi="Times New Roman" w:eastAsia="方正小标宋简体" w:cs="Times New Roman"/>
          <w:b w:val="0"/>
          <w:bCs w:val="0"/>
          <w:color w:val="auto"/>
          <w:kern w:val="16"/>
          <w:sz w:val="44"/>
          <w:szCs w:val="44"/>
          <w:highlight w:val="none"/>
          <w:lang w:val="en-US" w:eastAsia="zh-CN"/>
        </w:rPr>
        <w:t xml:space="preserve">  </w:t>
      </w:r>
    </w:p>
    <w:p w14:paraId="57B358BE">
      <w:pPr>
        <w:pStyle w:val="9"/>
        <w:keepNext w:val="0"/>
        <w:keepLines w:val="0"/>
        <w:pageBreakBefore w:val="0"/>
        <w:widowControl/>
        <w:shd w:val="clear"/>
        <w:kinsoku/>
        <w:wordWrap/>
        <w:overflowPunct/>
        <w:topLinePunct w:val="0"/>
        <w:autoSpaceDE/>
        <w:autoSpaceDN/>
        <w:bidi w:val="0"/>
        <w:adjustRightInd/>
        <w:snapToGrid/>
        <w:spacing w:line="560" w:lineRule="exact"/>
        <w:ind w:right="-55" w:rightChars="-26"/>
        <w:jc w:val="center"/>
        <w:textAlignment w:val="baseline"/>
        <w:rPr>
          <w:rFonts w:hint="default" w:ascii="Times New Roman" w:hAnsi="Times New Roman" w:eastAsia="方正小标宋简体" w:cs="Times New Roman"/>
          <w:b w:val="0"/>
          <w:bCs w:val="0"/>
          <w:color w:val="auto"/>
          <w:kern w:val="16"/>
          <w:sz w:val="44"/>
          <w:szCs w:val="44"/>
          <w:highlight w:val="none"/>
        </w:rPr>
      </w:pPr>
      <w:r>
        <w:rPr>
          <w:rFonts w:hint="default" w:ascii="Times New Roman" w:hAnsi="Times New Roman" w:eastAsia="方正小标宋简体" w:cs="Times New Roman"/>
          <w:b w:val="0"/>
          <w:bCs w:val="0"/>
          <w:color w:val="auto"/>
          <w:kern w:val="16"/>
          <w:sz w:val="44"/>
          <w:szCs w:val="44"/>
          <w:highlight w:val="none"/>
        </w:rPr>
        <w:t>关于</w:t>
      </w:r>
      <w:r>
        <w:rPr>
          <w:rFonts w:hint="default" w:ascii="Times New Roman" w:hAnsi="Times New Roman" w:eastAsia="方正小标宋简体" w:cs="Times New Roman"/>
          <w:b w:val="0"/>
          <w:bCs w:val="0"/>
          <w:color w:val="auto"/>
          <w:kern w:val="16"/>
          <w:sz w:val="44"/>
          <w:szCs w:val="44"/>
          <w:highlight w:val="none"/>
          <w:lang w:val="en-US" w:eastAsia="zh-CN"/>
        </w:rPr>
        <w:t>2023</w:t>
      </w:r>
      <w:r>
        <w:rPr>
          <w:rFonts w:hint="default" w:ascii="Times New Roman" w:hAnsi="Times New Roman" w:eastAsia="方正小标宋简体" w:cs="Times New Roman"/>
          <w:b w:val="0"/>
          <w:bCs w:val="0"/>
          <w:color w:val="auto"/>
          <w:kern w:val="16"/>
          <w:sz w:val="44"/>
          <w:szCs w:val="44"/>
          <w:highlight w:val="none"/>
        </w:rPr>
        <w:t>年</w:t>
      </w:r>
      <w:r>
        <w:rPr>
          <w:rFonts w:hint="default" w:ascii="Times New Roman" w:hAnsi="Times New Roman" w:eastAsia="方正小标宋简体" w:cs="Times New Roman"/>
          <w:b w:val="0"/>
          <w:bCs w:val="0"/>
          <w:color w:val="auto"/>
          <w:kern w:val="16"/>
          <w:sz w:val="44"/>
          <w:szCs w:val="44"/>
          <w:highlight w:val="none"/>
          <w:lang w:val="en-US" w:eastAsia="zh-CN"/>
        </w:rPr>
        <w:t>安阳县</w:t>
      </w:r>
      <w:r>
        <w:rPr>
          <w:rFonts w:hint="default" w:ascii="Times New Roman" w:hAnsi="Times New Roman" w:eastAsia="方正小标宋简体" w:cs="Times New Roman"/>
          <w:b w:val="0"/>
          <w:bCs w:val="0"/>
          <w:color w:val="auto"/>
          <w:kern w:val="16"/>
          <w:sz w:val="44"/>
          <w:szCs w:val="44"/>
          <w:highlight w:val="none"/>
        </w:rPr>
        <w:t>本级财政决算</w:t>
      </w:r>
      <w:r>
        <w:rPr>
          <w:rFonts w:hint="default" w:ascii="Times New Roman" w:hAnsi="Times New Roman" w:eastAsia="方正小标宋简体" w:cs="Times New Roman"/>
          <w:b w:val="0"/>
          <w:bCs w:val="0"/>
          <w:color w:val="auto"/>
          <w:kern w:val="16"/>
          <w:sz w:val="44"/>
          <w:szCs w:val="44"/>
          <w:highlight w:val="none"/>
          <w:lang w:val="en-US" w:eastAsia="zh-CN"/>
        </w:rPr>
        <w:t>（草案）</w:t>
      </w:r>
      <w:r>
        <w:rPr>
          <w:rFonts w:hint="default" w:ascii="Times New Roman" w:hAnsi="Times New Roman" w:eastAsia="方正小标宋简体" w:cs="Times New Roman"/>
          <w:b w:val="0"/>
          <w:bCs w:val="0"/>
          <w:color w:val="auto"/>
          <w:kern w:val="16"/>
          <w:sz w:val="44"/>
          <w:szCs w:val="44"/>
          <w:highlight w:val="none"/>
        </w:rPr>
        <w:t>的</w:t>
      </w:r>
    </w:p>
    <w:p w14:paraId="43D10488">
      <w:pPr>
        <w:pStyle w:val="9"/>
        <w:keepNext w:val="0"/>
        <w:keepLines w:val="0"/>
        <w:pageBreakBefore w:val="0"/>
        <w:widowControl/>
        <w:shd w:val="clear"/>
        <w:kinsoku/>
        <w:wordWrap/>
        <w:overflowPunct/>
        <w:topLinePunct w:val="0"/>
        <w:autoSpaceDE/>
        <w:autoSpaceDN/>
        <w:bidi w:val="0"/>
        <w:adjustRightInd/>
        <w:snapToGrid/>
        <w:spacing w:line="560" w:lineRule="exact"/>
        <w:ind w:right="-55" w:rightChars="-26"/>
        <w:jc w:val="center"/>
        <w:textAlignment w:val="baseline"/>
        <w:rPr>
          <w:rFonts w:hint="default" w:ascii="Times New Roman" w:hAnsi="Times New Roman" w:eastAsia="方正小标宋简体" w:cs="Times New Roman"/>
          <w:b w:val="0"/>
          <w:bCs w:val="0"/>
          <w:color w:val="auto"/>
          <w:kern w:val="16"/>
          <w:sz w:val="44"/>
          <w:szCs w:val="44"/>
          <w:highlight w:val="none"/>
          <w:lang w:val="en-US" w:eastAsia="zh-CN" w:bidi="ar-SA"/>
        </w:rPr>
      </w:pPr>
      <w:r>
        <w:rPr>
          <w:rFonts w:hint="default" w:ascii="Times New Roman" w:hAnsi="Times New Roman" w:eastAsia="方正小标宋简体" w:cs="Times New Roman"/>
          <w:b w:val="0"/>
          <w:bCs w:val="0"/>
          <w:color w:val="auto"/>
          <w:kern w:val="16"/>
          <w:sz w:val="44"/>
          <w:szCs w:val="44"/>
          <w:highlight w:val="none"/>
          <w:lang w:val="en-US" w:eastAsia="zh-CN" w:bidi="ar-SA"/>
        </w:rPr>
        <w:t>报  告</w:t>
      </w:r>
    </w:p>
    <w:p w14:paraId="63E55D20">
      <w:pPr>
        <w:jc w:val="right"/>
        <w:rPr>
          <w:rFonts w:hint="eastAsia"/>
          <w:lang w:val="en-US" w:eastAsia="zh-CN"/>
        </w:rPr>
      </w:pPr>
      <w:r>
        <w:rPr>
          <w:rFonts w:hint="eastAsia" w:ascii="楷体" w:hAnsi="楷体" w:eastAsia="楷体" w:cs="楷体"/>
          <w:b w:val="0"/>
          <w:bCs w:val="0"/>
          <w:i w:val="0"/>
          <w:iCs w:val="0"/>
          <w:caps w:val="0"/>
          <w:color w:val="000000"/>
          <w:spacing w:val="0"/>
          <w:sz w:val="32"/>
          <w:szCs w:val="32"/>
          <w:shd w:val="clear" w:fill="FFFFFF"/>
        </w:rPr>
        <w:t>──</w:t>
      </w:r>
      <w:r>
        <w:rPr>
          <w:rFonts w:hint="eastAsia" w:ascii="楷体" w:hAnsi="楷体" w:eastAsia="楷体" w:cs="楷体"/>
          <w:spacing w:val="-17"/>
          <w:sz w:val="32"/>
          <w:szCs w:val="32"/>
          <w:lang w:val="en-US" w:eastAsia="zh-CN"/>
        </w:rPr>
        <w:t>2024年9月25日在安阳县十六届人大常委会第二十二次会议上</w:t>
      </w:r>
    </w:p>
    <w:p w14:paraId="35553E74">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auto"/>
          <w:kern w:val="16"/>
          <w:sz w:val="32"/>
          <w:szCs w:val="32"/>
          <w:highlight w:val="none"/>
          <w:lang w:val="en-US" w:eastAsia="zh-CN" w:bidi="ar-SA"/>
        </w:rPr>
      </w:pPr>
      <w:r>
        <w:rPr>
          <w:rFonts w:hint="eastAsia" w:ascii="楷体" w:hAnsi="楷体" w:eastAsia="楷体" w:cs="楷体"/>
          <w:sz w:val="32"/>
          <w:szCs w:val="32"/>
          <w:lang w:val="en-US" w:eastAsia="zh-CN"/>
        </w:rPr>
        <w:t>安阳县财政局局长  王宏伟</w:t>
      </w:r>
    </w:p>
    <w:p w14:paraId="1723E774">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jc w:val="both"/>
        <w:textAlignment w:val="auto"/>
        <w:rPr>
          <w:rFonts w:hint="eastAsia" w:ascii="仿宋" w:hAnsi="仿宋" w:eastAsia="仿宋" w:cs="仿宋"/>
          <w:sz w:val="32"/>
          <w:szCs w:val="32"/>
          <w:lang w:val="en-US" w:eastAsia="zh-CN"/>
        </w:rPr>
      </w:pPr>
    </w:p>
    <w:p w14:paraId="17C0F2E9">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sz w:val="32"/>
          <w:szCs w:val="32"/>
          <w:lang w:val="en-US" w:eastAsia="zh-CN"/>
        </w:rPr>
        <w:t>主任、各位副主任、各位委员</w:t>
      </w:r>
      <w:r>
        <w:rPr>
          <w:rFonts w:hint="eastAsia" w:ascii="仿宋" w:hAnsi="仿宋" w:eastAsia="仿宋" w:cs="仿宋"/>
          <w:color w:val="auto"/>
          <w:kern w:val="16"/>
          <w:sz w:val="32"/>
          <w:szCs w:val="32"/>
          <w:highlight w:val="none"/>
          <w:lang w:val="en-US" w:eastAsia="zh-CN" w:bidi="ar-SA"/>
        </w:rPr>
        <w:t>：</w:t>
      </w:r>
    </w:p>
    <w:p w14:paraId="43193E76">
      <w:pPr>
        <w:keepNext w:val="0"/>
        <w:keepLines w:val="0"/>
        <w:pageBreakBefore w:val="0"/>
        <w:widowControl w:val="0"/>
        <w:shd w:val="clear" w:color="auto"/>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受县人民政府委托，</w:t>
      </w:r>
      <w:r>
        <w:rPr>
          <w:rFonts w:hint="eastAsia" w:ascii="仿宋" w:hAnsi="仿宋" w:eastAsia="仿宋" w:cs="仿宋"/>
          <w:color w:val="auto"/>
          <w:kern w:val="16"/>
          <w:sz w:val="32"/>
          <w:szCs w:val="32"/>
          <w:highlight w:val="none"/>
          <w:lang w:val="en-US" w:eastAsia="zh-CN"/>
        </w:rPr>
        <w:t>现将</w:t>
      </w:r>
      <w:r>
        <w:rPr>
          <w:rFonts w:hint="eastAsia" w:ascii="仿宋" w:hAnsi="仿宋" w:eastAsia="仿宋" w:cs="仿宋"/>
          <w:color w:val="auto"/>
          <w:kern w:val="16"/>
          <w:sz w:val="32"/>
          <w:szCs w:val="32"/>
          <w:highlight w:val="none"/>
          <w:lang w:val="en-US" w:eastAsia="zh-CN" w:bidi="ar-SA"/>
        </w:rPr>
        <w:t>2023年安阳县本级财政决算（草案）报告如下，请予审议。</w:t>
      </w:r>
    </w:p>
    <w:p w14:paraId="362311CD">
      <w:pPr>
        <w:keepNext w:val="0"/>
        <w:keepLines w:val="0"/>
        <w:pageBreakBefore w:val="0"/>
        <w:widowControl w:val="0"/>
        <w:shd w:val="clear" w:color="auto"/>
        <w:kinsoku/>
        <w:wordWrap/>
        <w:overflowPunct/>
        <w:topLinePunct w:val="0"/>
        <w:autoSpaceDE/>
        <w:autoSpaceDN/>
        <w:bidi w:val="0"/>
        <w:adjustRightInd/>
        <w:snapToGrid/>
        <w:spacing w:line="560" w:lineRule="exact"/>
        <w:ind w:left="0" w:right="0" w:rightChars="0" w:firstLine="643" w:firstLineChars="200"/>
        <w:jc w:val="both"/>
        <w:textAlignment w:val="auto"/>
        <w:rPr>
          <w:rFonts w:hint="eastAsia" w:ascii="黑体" w:hAnsi="黑体" w:eastAsia="黑体" w:cs="黑体"/>
          <w:b/>
          <w:bCs/>
          <w:color w:val="auto"/>
          <w:kern w:val="16"/>
          <w:sz w:val="32"/>
          <w:szCs w:val="32"/>
          <w:highlight w:val="none"/>
          <w:lang w:val="en-US" w:eastAsia="zh-CN" w:bidi="ar-SA"/>
        </w:rPr>
      </w:pPr>
      <w:r>
        <w:rPr>
          <w:rFonts w:hint="eastAsia" w:ascii="黑体" w:hAnsi="黑体" w:eastAsia="黑体" w:cs="黑体"/>
          <w:b/>
          <w:bCs/>
          <w:color w:val="auto"/>
          <w:kern w:val="16"/>
          <w:sz w:val="32"/>
          <w:szCs w:val="32"/>
          <w:highlight w:val="none"/>
          <w:lang w:val="en-US" w:eastAsia="zh-CN" w:bidi="ar-SA"/>
        </w:rPr>
        <w:t>一、安阳县2023年度财政收支总体情况</w:t>
      </w:r>
    </w:p>
    <w:p w14:paraId="0A4AA9D1">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2023年，在县委的正确领导和县人大、县政协的监督支持下，坚持以习近平新时代中国特色社会主义思想为指导，认真贯彻落实县第十六届人民代表大会第三次会议精神，持续推进财政改革，统筹高质量发展和高水平安全，大力优化支出结构，兜牢基层“三保”底线，强化财会监督，严肃财经纪律，提升资金使用绩效。在财政收支困难的情况下，实现了预算执行情况较好,财政运行总体平稳。</w:t>
      </w:r>
    </w:p>
    <w:p w14:paraId="51FF6D87">
      <w:pPr>
        <w:keepNext w:val="0"/>
        <w:keepLines w:val="0"/>
        <w:pageBreakBefore w:val="0"/>
        <w:widowControl w:val="0"/>
        <w:shd w:val="clear" w:color="auto"/>
        <w:kinsoku/>
        <w:wordWrap/>
        <w:overflowPunct/>
        <w:topLinePunct w:val="0"/>
        <w:autoSpaceDE/>
        <w:autoSpaceDN/>
        <w:bidi w:val="0"/>
        <w:adjustRightInd/>
        <w:snapToGrid/>
        <w:spacing w:line="560" w:lineRule="exact"/>
        <w:ind w:left="0" w:right="0" w:rightChars="0" w:firstLine="643" w:firstLineChars="200"/>
        <w:jc w:val="both"/>
        <w:textAlignment w:val="auto"/>
        <w:rPr>
          <w:rFonts w:hint="eastAsia" w:ascii="楷体" w:hAnsi="楷体" w:eastAsia="楷体" w:cs="楷体"/>
          <w:b/>
          <w:color w:val="auto"/>
          <w:sz w:val="32"/>
          <w:szCs w:val="32"/>
          <w:highlight w:val="none"/>
        </w:rPr>
      </w:pPr>
      <w:r>
        <w:rPr>
          <w:rFonts w:hint="eastAsia" w:ascii="楷体" w:hAnsi="楷体" w:eastAsia="楷体" w:cs="楷体"/>
          <w:b/>
          <w:color w:val="auto"/>
          <w:sz w:val="32"/>
          <w:szCs w:val="32"/>
          <w:highlight w:val="none"/>
        </w:rPr>
        <w:t>（一）一般公共预算</w:t>
      </w:r>
      <w:r>
        <w:rPr>
          <w:rFonts w:hint="eastAsia" w:ascii="楷体" w:hAnsi="楷体" w:eastAsia="楷体" w:cs="楷体"/>
          <w:b/>
          <w:color w:val="auto"/>
          <w:sz w:val="32"/>
          <w:szCs w:val="32"/>
          <w:highlight w:val="none"/>
          <w:lang w:eastAsia="zh-CN"/>
        </w:rPr>
        <w:t>收支</w:t>
      </w:r>
      <w:r>
        <w:rPr>
          <w:rFonts w:hint="eastAsia" w:ascii="楷体" w:hAnsi="楷体" w:eastAsia="楷体" w:cs="楷体"/>
          <w:b/>
          <w:color w:val="auto"/>
          <w:sz w:val="32"/>
          <w:szCs w:val="32"/>
          <w:highlight w:val="none"/>
        </w:rPr>
        <w:t>完成情况</w:t>
      </w:r>
    </w:p>
    <w:p w14:paraId="482BE94B">
      <w:pPr>
        <w:keepNext w:val="0"/>
        <w:keepLines w:val="0"/>
        <w:pageBreakBefore w:val="0"/>
        <w:widowControl w:val="0"/>
        <w:shd w:val="clear" w:color="auto"/>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2023年，全县（不含示范区，下同）一般公共预算收入完成81,731万元，完成年初预算数83,500万元的97.9%，较上年增长7.6%。其中：税收收入累计完成52,608万元，较上年增长0.13%，占一般公共预算收入的比重为64.4%；非税收入累计完成29,123万元，较上年增长24.5%，占一般公共预算收入的比重为35.6%。</w:t>
      </w:r>
    </w:p>
    <w:p w14:paraId="17E413E0">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分级完成情况是：县本级一般公共预算收入完成44,978万元，占全县一般公共预算收入的比重为55%；乡镇一般公共预算收入完成36,753万元，占一般公共预算收入的比重为45%。</w:t>
      </w:r>
    </w:p>
    <w:p w14:paraId="204F28ED">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2023年，全县一般公共预算支出完成324,315万元，为调整预算347,120万元的93.4%，同比下降12.7%。</w:t>
      </w:r>
    </w:p>
    <w:p w14:paraId="74723CE7">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分级完成情况是：县本级一般公共预算支出完成274,277万元，占全县一般公共预算支出的比重为84.6%；乡镇一般公共预算支出完成50,038万元，占全县一般公共预算支出的比重为15.4%。</w:t>
      </w:r>
    </w:p>
    <w:p w14:paraId="2B22AA6B">
      <w:pPr>
        <w:keepNext w:val="0"/>
        <w:keepLines w:val="0"/>
        <w:pageBreakBefore w:val="0"/>
        <w:widowControl w:val="0"/>
        <w:shd w:val="clear" w:color="auto"/>
        <w:kinsoku/>
        <w:wordWrap/>
        <w:overflowPunct/>
        <w:topLinePunct w:val="0"/>
        <w:autoSpaceDE/>
        <w:autoSpaceDN/>
        <w:bidi w:val="0"/>
        <w:adjustRightInd/>
        <w:snapToGrid/>
        <w:spacing w:line="560" w:lineRule="exact"/>
        <w:ind w:left="0" w:right="0" w:rightChars="0" w:firstLine="643" w:firstLineChars="200"/>
        <w:jc w:val="both"/>
        <w:textAlignment w:val="auto"/>
        <w:rPr>
          <w:rFonts w:hint="eastAsia" w:ascii="楷体" w:hAnsi="楷体" w:eastAsia="楷体" w:cs="楷体"/>
          <w:b/>
          <w:color w:val="auto"/>
          <w:sz w:val="32"/>
          <w:szCs w:val="32"/>
          <w:highlight w:val="none"/>
        </w:rPr>
      </w:pPr>
      <w:r>
        <w:rPr>
          <w:rFonts w:hint="eastAsia" w:ascii="楷体" w:hAnsi="楷体" w:eastAsia="楷体" w:cs="楷体"/>
          <w:b/>
          <w:color w:val="auto"/>
          <w:sz w:val="32"/>
          <w:szCs w:val="32"/>
          <w:highlight w:val="none"/>
        </w:rPr>
        <w:t>（</w:t>
      </w:r>
      <w:r>
        <w:rPr>
          <w:rFonts w:hint="eastAsia" w:ascii="楷体" w:hAnsi="楷体" w:eastAsia="楷体" w:cs="楷体"/>
          <w:b/>
          <w:color w:val="auto"/>
          <w:sz w:val="32"/>
          <w:szCs w:val="32"/>
          <w:highlight w:val="none"/>
          <w:lang w:eastAsia="zh-CN"/>
        </w:rPr>
        <w:t>二</w:t>
      </w:r>
      <w:r>
        <w:rPr>
          <w:rFonts w:hint="eastAsia" w:ascii="楷体" w:hAnsi="楷体" w:eastAsia="楷体" w:cs="楷体"/>
          <w:b/>
          <w:color w:val="auto"/>
          <w:sz w:val="32"/>
          <w:szCs w:val="32"/>
          <w:highlight w:val="none"/>
        </w:rPr>
        <w:t>）政府性基金收支完成情况</w:t>
      </w:r>
    </w:p>
    <w:p w14:paraId="21AED528">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2023年，全县政府性基金收入完成12,690万元，完成年初预算数103,768万元的12.2%，同比下降54.4%，均为县本级完成；全县基金支出完成63,627万元，为调整预算109,094万元的58.3%，同比下降25.1%，其中：县本级完成55,234万元，乡镇完成8393万元。</w:t>
      </w:r>
    </w:p>
    <w:p w14:paraId="2102071F">
      <w:pPr>
        <w:keepNext w:val="0"/>
        <w:keepLines w:val="0"/>
        <w:pageBreakBefore w:val="0"/>
        <w:widowControl w:val="0"/>
        <w:shd w:val="clear" w:color="auto"/>
        <w:kinsoku/>
        <w:wordWrap/>
        <w:overflowPunct/>
        <w:topLinePunct w:val="0"/>
        <w:autoSpaceDE/>
        <w:autoSpaceDN/>
        <w:bidi w:val="0"/>
        <w:adjustRightInd/>
        <w:snapToGrid/>
        <w:spacing w:line="560" w:lineRule="exact"/>
        <w:ind w:left="0" w:right="0" w:rightChars="0" w:firstLine="643" w:firstLineChars="200"/>
        <w:jc w:val="both"/>
        <w:textAlignment w:val="auto"/>
        <w:rPr>
          <w:rFonts w:hint="default" w:ascii="楷体" w:hAnsi="楷体" w:eastAsia="楷体" w:cs="楷体"/>
          <w:b/>
          <w:color w:val="auto"/>
          <w:sz w:val="32"/>
          <w:szCs w:val="32"/>
          <w:highlight w:val="none"/>
        </w:rPr>
      </w:pPr>
      <w:r>
        <w:rPr>
          <w:rFonts w:hint="default" w:ascii="楷体" w:hAnsi="楷体" w:eastAsia="楷体" w:cs="楷体"/>
          <w:b/>
          <w:color w:val="auto"/>
          <w:sz w:val="32"/>
          <w:szCs w:val="32"/>
          <w:highlight w:val="none"/>
        </w:rPr>
        <w:t>（</w:t>
      </w:r>
      <w:r>
        <w:rPr>
          <w:rFonts w:hint="default" w:ascii="楷体" w:hAnsi="楷体" w:eastAsia="楷体" w:cs="楷体"/>
          <w:b/>
          <w:color w:val="auto"/>
          <w:sz w:val="32"/>
          <w:szCs w:val="32"/>
          <w:highlight w:val="none"/>
          <w:lang w:eastAsia="zh-CN"/>
        </w:rPr>
        <w:t>三</w:t>
      </w:r>
      <w:r>
        <w:rPr>
          <w:rFonts w:hint="default" w:ascii="楷体" w:hAnsi="楷体" w:eastAsia="楷体" w:cs="楷体"/>
          <w:b/>
          <w:color w:val="auto"/>
          <w:sz w:val="32"/>
          <w:szCs w:val="32"/>
          <w:highlight w:val="none"/>
        </w:rPr>
        <w:t>）</w:t>
      </w:r>
      <w:r>
        <w:rPr>
          <w:rFonts w:hint="default" w:ascii="楷体" w:hAnsi="楷体" w:eastAsia="楷体" w:cs="楷体"/>
          <w:b/>
          <w:color w:val="auto"/>
          <w:sz w:val="32"/>
          <w:szCs w:val="32"/>
          <w:highlight w:val="none"/>
          <w:lang w:eastAsia="zh-CN"/>
        </w:rPr>
        <w:t>国有资本经营收支</w:t>
      </w:r>
      <w:r>
        <w:rPr>
          <w:rFonts w:hint="default" w:ascii="楷体" w:hAnsi="楷体" w:eastAsia="楷体" w:cs="楷体"/>
          <w:b/>
          <w:color w:val="auto"/>
          <w:sz w:val="32"/>
          <w:szCs w:val="32"/>
          <w:highlight w:val="none"/>
        </w:rPr>
        <w:t>情况</w:t>
      </w:r>
    </w:p>
    <w:p w14:paraId="42B411CF">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2023年，全县国有资本经营预算无本级收入，转移支付收入5万元、上年结转10万元。国有资本经营预算支出为0。</w:t>
      </w:r>
    </w:p>
    <w:p w14:paraId="777C1BA6">
      <w:pPr>
        <w:keepNext w:val="0"/>
        <w:keepLines w:val="0"/>
        <w:pageBreakBefore w:val="0"/>
        <w:widowControl w:val="0"/>
        <w:numPr>
          <w:ilvl w:val="0"/>
          <w:numId w:val="1"/>
        </w:numPr>
        <w:shd w:val="clear" w:color="auto"/>
        <w:kinsoku/>
        <w:wordWrap/>
        <w:overflowPunct/>
        <w:topLinePunct w:val="0"/>
        <w:autoSpaceDE/>
        <w:autoSpaceDN/>
        <w:bidi w:val="0"/>
        <w:adjustRightInd/>
        <w:snapToGrid/>
        <w:spacing w:line="560" w:lineRule="exact"/>
        <w:ind w:left="0" w:right="0" w:rightChars="0" w:firstLine="643" w:firstLineChars="200"/>
        <w:jc w:val="both"/>
        <w:textAlignment w:val="auto"/>
        <w:rPr>
          <w:rFonts w:hint="eastAsia" w:ascii="楷体" w:hAnsi="楷体" w:eastAsia="楷体" w:cs="楷体"/>
          <w:b/>
          <w:color w:val="auto"/>
          <w:sz w:val="32"/>
          <w:szCs w:val="32"/>
          <w:highlight w:val="none"/>
          <w:lang w:val="en-US" w:eastAsia="zh-CN"/>
        </w:rPr>
      </w:pPr>
      <w:r>
        <w:rPr>
          <w:rFonts w:hint="eastAsia" w:ascii="楷体" w:hAnsi="楷体" w:eastAsia="楷体" w:cs="楷体"/>
          <w:b/>
          <w:color w:val="auto"/>
          <w:sz w:val="32"/>
          <w:szCs w:val="32"/>
          <w:highlight w:val="none"/>
          <w:lang w:val="en-US" w:eastAsia="zh-CN"/>
        </w:rPr>
        <w:t>社会保险基金收支情况</w:t>
      </w:r>
    </w:p>
    <w:p w14:paraId="29D1C9CB">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2023年安阳县社会保险基金收入预算为18,942万元，实际完成收入19,531万元，为预算的103%，全部为城乡居民基本养老保险收入。社会保险基金支出预算为13,378万元，实际完成15,711万元，为年初预算的117%。</w:t>
      </w:r>
    </w:p>
    <w:p w14:paraId="16A6A23F">
      <w:pPr>
        <w:keepNext w:val="0"/>
        <w:keepLines w:val="0"/>
        <w:pageBreakBefore w:val="0"/>
        <w:widowControl w:val="0"/>
        <w:shd w:val="clear" w:color="auto"/>
        <w:kinsoku/>
        <w:wordWrap/>
        <w:overflowPunct/>
        <w:topLinePunct w:val="0"/>
        <w:autoSpaceDE/>
        <w:autoSpaceDN/>
        <w:bidi w:val="0"/>
        <w:adjustRightInd/>
        <w:snapToGrid/>
        <w:spacing w:line="560" w:lineRule="exact"/>
        <w:ind w:left="0" w:right="0" w:rightChars="0" w:firstLine="643" w:firstLineChars="200"/>
        <w:jc w:val="both"/>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kern w:val="16"/>
          <w:sz w:val="32"/>
          <w:szCs w:val="32"/>
          <w:highlight w:val="none"/>
          <w:lang w:val="en-US" w:eastAsia="zh-CN" w:bidi="ar-SA"/>
        </w:rPr>
        <w:t>二、县本级</w:t>
      </w:r>
      <w:r>
        <w:rPr>
          <w:rFonts w:hint="default" w:ascii="Times New Roman" w:hAnsi="Times New Roman" w:eastAsia="黑体" w:cs="Times New Roman"/>
          <w:b/>
          <w:bCs/>
          <w:color w:val="auto"/>
          <w:sz w:val="32"/>
          <w:szCs w:val="32"/>
          <w:highlight w:val="none"/>
          <w:lang w:eastAsia="zh-CN"/>
        </w:rPr>
        <w:t>财政收支决算</w:t>
      </w:r>
      <w:r>
        <w:rPr>
          <w:rFonts w:hint="default" w:ascii="Times New Roman" w:hAnsi="Times New Roman" w:eastAsia="黑体" w:cs="Times New Roman"/>
          <w:b/>
          <w:bCs/>
          <w:color w:val="auto"/>
          <w:sz w:val="32"/>
          <w:szCs w:val="32"/>
          <w:highlight w:val="none"/>
        </w:rPr>
        <w:t>情况</w:t>
      </w:r>
    </w:p>
    <w:p w14:paraId="24DE9EA5">
      <w:pPr>
        <w:keepNext w:val="0"/>
        <w:keepLines w:val="0"/>
        <w:pageBreakBefore w:val="0"/>
        <w:widowControl w:val="0"/>
        <w:shd w:val="clear" w:color="auto"/>
        <w:kinsoku/>
        <w:wordWrap/>
        <w:overflowPunct/>
        <w:topLinePunct w:val="0"/>
        <w:autoSpaceDE/>
        <w:autoSpaceDN/>
        <w:bidi w:val="0"/>
        <w:adjustRightInd/>
        <w:snapToGrid/>
        <w:spacing w:line="560" w:lineRule="exact"/>
        <w:ind w:left="0" w:right="0" w:rightChars="0" w:firstLine="643" w:firstLineChars="200"/>
        <w:jc w:val="both"/>
        <w:textAlignment w:val="auto"/>
        <w:rPr>
          <w:rFonts w:hint="eastAsia" w:ascii="楷体" w:hAnsi="楷体" w:eastAsia="楷体" w:cs="楷体"/>
          <w:b/>
          <w:color w:val="auto"/>
          <w:sz w:val="32"/>
          <w:szCs w:val="32"/>
          <w:highlight w:val="none"/>
        </w:rPr>
      </w:pPr>
      <w:r>
        <w:rPr>
          <w:rFonts w:hint="eastAsia" w:ascii="楷体" w:hAnsi="楷体" w:eastAsia="楷体" w:cs="楷体"/>
          <w:b/>
          <w:color w:val="auto"/>
          <w:sz w:val="32"/>
          <w:szCs w:val="32"/>
          <w:highlight w:val="none"/>
        </w:rPr>
        <w:t>（一）</w:t>
      </w:r>
      <w:r>
        <w:rPr>
          <w:rFonts w:hint="eastAsia" w:ascii="楷体" w:hAnsi="楷体" w:eastAsia="楷体" w:cs="楷体"/>
          <w:b/>
          <w:color w:val="auto"/>
          <w:sz w:val="32"/>
          <w:szCs w:val="32"/>
          <w:highlight w:val="none"/>
          <w:lang w:eastAsia="zh-CN"/>
        </w:rPr>
        <w:t>一般公共预算收支</w:t>
      </w:r>
      <w:r>
        <w:rPr>
          <w:rFonts w:hint="eastAsia" w:ascii="楷体" w:hAnsi="楷体" w:eastAsia="楷体" w:cs="楷体"/>
          <w:b/>
          <w:color w:val="auto"/>
          <w:sz w:val="32"/>
          <w:szCs w:val="32"/>
          <w:highlight w:val="none"/>
        </w:rPr>
        <w:t>决算情况</w:t>
      </w:r>
    </w:p>
    <w:p w14:paraId="77A662D3">
      <w:pPr>
        <w:keepNext w:val="0"/>
        <w:keepLines w:val="0"/>
        <w:pageBreakBefore w:val="0"/>
        <w:widowControl w:val="0"/>
        <w:shd w:val="clear" w:color="auto"/>
        <w:kinsoku/>
        <w:wordWrap/>
        <w:overflowPunct/>
        <w:topLinePunct w:val="0"/>
        <w:autoSpaceDE/>
        <w:autoSpaceDN/>
        <w:bidi w:val="0"/>
        <w:adjustRightInd/>
        <w:snapToGrid/>
        <w:spacing w:line="560" w:lineRule="exact"/>
        <w:ind w:left="0" w:right="0" w:rightChars="0" w:firstLine="643" w:firstLineChars="200"/>
        <w:jc w:val="both"/>
        <w:rPr>
          <w:rFonts w:hint="eastAsia" w:ascii="仿宋" w:hAnsi="仿宋" w:eastAsia="仿宋" w:cs="仿宋"/>
          <w:b/>
          <w:bCs/>
          <w:color w:val="auto"/>
          <w:sz w:val="32"/>
          <w:szCs w:val="32"/>
          <w:highlight w:val="none"/>
          <w:shd w:val="clear" w:color="auto" w:fill="FFFFFF"/>
        </w:rPr>
      </w:pPr>
      <w:r>
        <w:rPr>
          <w:rFonts w:hint="eastAsia" w:ascii="仿宋" w:hAnsi="仿宋" w:eastAsia="仿宋" w:cs="仿宋"/>
          <w:b/>
          <w:bCs/>
          <w:color w:val="auto"/>
          <w:sz w:val="32"/>
          <w:szCs w:val="32"/>
          <w:highlight w:val="none"/>
          <w:shd w:val="clear" w:color="auto" w:fill="FFFFFF"/>
          <w:lang w:val="en-US" w:eastAsia="zh-CN"/>
        </w:rPr>
        <w:t>1.</w:t>
      </w:r>
      <w:r>
        <w:rPr>
          <w:rFonts w:hint="eastAsia" w:ascii="仿宋" w:hAnsi="仿宋" w:eastAsia="仿宋" w:cs="仿宋"/>
          <w:b/>
          <w:bCs/>
          <w:color w:val="auto"/>
          <w:sz w:val="32"/>
          <w:szCs w:val="32"/>
          <w:highlight w:val="none"/>
          <w:shd w:val="clear" w:color="auto" w:fill="FFFFFF"/>
        </w:rPr>
        <w:t>收入决算情况</w:t>
      </w:r>
    </w:p>
    <w:p w14:paraId="711C57B9">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县本级一般公共预算收入总计378,095万元。由本级收入44,978万元、上级转移性支付收入238,931万元、乡镇上解收入14,024万元、一般债券转贷收入22,466万元、调入资金24,137万元、动用预算稳定调节基金2,387万元,再加上上年结余31,172万元构成。</w:t>
      </w:r>
    </w:p>
    <w:p w14:paraId="7FCA4CBB">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（1）本级收入情况</w:t>
      </w:r>
    </w:p>
    <w:p w14:paraId="7E4EE9D6">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2023年县本级收入完成44,978万元，完成年初预算数35,500万元的126.7%。其中：税收收入完成</w:t>
      </w:r>
      <w:bookmarkStart w:id="0" w:name="OLE_LINK1"/>
      <w:r>
        <w:rPr>
          <w:rFonts w:hint="eastAsia" w:ascii="仿宋" w:hAnsi="仿宋" w:eastAsia="仿宋" w:cs="仿宋"/>
          <w:color w:val="auto"/>
          <w:kern w:val="16"/>
          <w:sz w:val="32"/>
          <w:szCs w:val="32"/>
          <w:highlight w:val="none"/>
          <w:lang w:val="en-US" w:eastAsia="zh-CN" w:bidi="ar-SA"/>
        </w:rPr>
        <w:t>16,018</w:t>
      </w:r>
      <w:bookmarkEnd w:id="0"/>
      <w:r>
        <w:rPr>
          <w:rFonts w:hint="eastAsia" w:ascii="仿宋" w:hAnsi="仿宋" w:eastAsia="仿宋" w:cs="仿宋"/>
          <w:color w:val="auto"/>
          <w:kern w:val="16"/>
          <w:sz w:val="32"/>
          <w:szCs w:val="32"/>
          <w:highlight w:val="none"/>
          <w:lang w:val="en-US" w:eastAsia="zh-CN" w:bidi="ar-SA"/>
        </w:rPr>
        <w:t>万元，非税收入完成</w:t>
      </w:r>
      <w:bookmarkStart w:id="1" w:name="OLE_LINK2"/>
      <w:r>
        <w:rPr>
          <w:rFonts w:hint="eastAsia" w:ascii="仿宋" w:hAnsi="仿宋" w:eastAsia="仿宋" w:cs="仿宋"/>
          <w:color w:val="auto"/>
          <w:kern w:val="16"/>
          <w:sz w:val="32"/>
          <w:szCs w:val="32"/>
          <w:highlight w:val="none"/>
          <w:lang w:val="en-US" w:eastAsia="zh-CN" w:bidi="ar-SA"/>
        </w:rPr>
        <w:t>28,960</w:t>
      </w:r>
      <w:bookmarkEnd w:id="1"/>
      <w:r>
        <w:rPr>
          <w:rFonts w:hint="eastAsia" w:ascii="仿宋" w:hAnsi="仿宋" w:eastAsia="仿宋" w:cs="仿宋"/>
          <w:color w:val="auto"/>
          <w:kern w:val="16"/>
          <w:sz w:val="32"/>
          <w:szCs w:val="32"/>
          <w:highlight w:val="none"/>
          <w:lang w:val="en-US" w:eastAsia="zh-CN" w:bidi="ar-SA"/>
        </w:rPr>
        <w:t>万元。</w:t>
      </w:r>
    </w:p>
    <w:p w14:paraId="1612E691">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（2）转移性收入情况</w:t>
      </w:r>
    </w:p>
    <w:p w14:paraId="39FCDDED">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上级返还性收入8,345万元。</w:t>
      </w:r>
    </w:p>
    <w:p w14:paraId="0628B912">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上级一般性转移支付收入211,467万元。</w:t>
      </w:r>
    </w:p>
    <w:p w14:paraId="736F9417">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上级专项转移支付收入19,119万元。</w:t>
      </w:r>
    </w:p>
    <w:p w14:paraId="26698D54">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乡镇上解安阳县本级收入14,024万元。主要有分成上解11,287万元；专项上解2,737万元。</w:t>
      </w:r>
    </w:p>
    <w:p w14:paraId="71275749">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（3）一般债券转贷收入22,466万元。其中：新增一般债券收入8,366万元；再融资一般债券收入14,100万元。</w:t>
      </w:r>
    </w:p>
    <w:p w14:paraId="3D9308A2">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（4）上年结余31,172万元。</w:t>
      </w:r>
    </w:p>
    <w:p w14:paraId="720E9647">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（5）调入资金24,137万元。</w:t>
      </w:r>
    </w:p>
    <w:p w14:paraId="7679DE81">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（6）动用预算稳定调节基金2,387万元。</w:t>
      </w:r>
    </w:p>
    <w:p w14:paraId="0730E9E6">
      <w:pPr>
        <w:keepNext w:val="0"/>
        <w:keepLines w:val="0"/>
        <w:pageBreakBefore w:val="0"/>
        <w:widowControl w:val="0"/>
        <w:shd w:val="clear" w:color="auto"/>
        <w:kinsoku/>
        <w:wordWrap/>
        <w:overflowPunct/>
        <w:topLinePunct w:val="0"/>
        <w:autoSpaceDE/>
        <w:autoSpaceDN/>
        <w:bidi w:val="0"/>
        <w:adjustRightInd/>
        <w:snapToGrid/>
        <w:spacing w:line="560" w:lineRule="exact"/>
        <w:ind w:left="0" w:right="0" w:rightChars="0" w:firstLine="643"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支出</w:t>
      </w:r>
      <w:r>
        <w:rPr>
          <w:rFonts w:hint="eastAsia" w:ascii="仿宋" w:hAnsi="仿宋" w:eastAsia="仿宋" w:cs="仿宋"/>
          <w:b/>
          <w:color w:val="auto"/>
          <w:sz w:val="32"/>
          <w:szCs w:val="32"/>
          <w:highlight w:val="none"/>
          <w:lang w:eastAsia="zh-CN"/>
        </w:rPr>
        <w:t>决算</w:t>
      </w:r>
      <w:r>
        <w:rPr>
          <w:rFonts w:hint="eastAsia" w:ascii="仿宋" w:hAnsi="仿宋" w:eastAsia="仿宋" w:cs="仿宋"/>
          <w:b/>
          <w:color w:val="auto"/>
          <w:sz w:val="32"/>
          <w:szCs w:val="32"/>
          <w:highlight w:val="none"/>
        </w:rPr>
        <w:t>情况</w:t>
      </w:r>
    </w:p>
    <w:p w14:paraId="1555F682">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县本级一般公共预算支出总计378,095万元。由本级支出274,277万元、上解上级支出37,297万元、补助下级支出25,671万元、债务还本支出14,409万元、年终结余21,783万元、安排预算稳定调节基金4,658万元构成。</w:t>
      </w:r>
    </w:p>
    <w:p w14:paraId="17DA7000">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（1）本级支出决算情况</w:t>
      </w:r>
    </w:p>
    <w:p w14:paraId="6DC61AEE">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2023年度县本级</w:t>
      </w:r>
      <w:r>
        <w:rPr>
          <w:rFonts w:hint="eastAsia" w:ascii="仿宋" w:hAnsi="仿宋" w:eastAsia="仿宋" w:cs="仿宋"/>
          <w:color w:val="auto"/>
          <w:kern w:val="16"/>
          <w:sz w:val="32"/>
          <w:szCs w:val="32"/>
          <w:highlight w:val="none"/>
          <w:lang w:val="en-US" w:eastAsia="zh-CN" w:bidi="ar-SA"/>
        </w:rPr>
        <w:fldChar w:fldCharType="begin"/>
      </w:r>
      <w:r>
        <w:rPr>
          <w:rFonts w:hint="eastAsia" w:ascii="仿宋" w:hAnsi="仿宋" w:eastAsia="仿宋" w:cs="仿宋"/>
          <w:color w:val="auto"/>
          <w:kern w:val="16"/>
          <w:sz w:val="32"/>
          <w:szCs w:val="32"/>
          <w:highlight w:val="none"/>
          <w:lang w:val="en-US" w:eastAsia="zh-CN" w:bidi="ar-SA"/>
        </w:rPr>
        <w:instrText xml:space="preserve"> LINK Excel.Sheet.8 "D:\\My Documents\\年度资料\\2013\\政府\\12月份\\2013年12月份报表.xls" "人代会汇报支出!R6C5" \t  \* MERGEFORMAT </w:instrText>
      </w:r>
      <w:r>
        <w:rPr>
          <w:rFonts w:hint="eastAsia" w:ascii="仿宋" w:hAnsi="仿宋" w:eastAsia="仿宋" w:cs="仿宋"/>
          <w:color w:val="auto"/>
          <w:kern w:val="16"/>
          <w:sz w:val="32"/>
          <w:szCs w:val="32"/>
          <w:highlight w:val="none"/>
          <w:lang w:val="en-US" w:eastAsia="zh-CN" w:bidi="ar-SA"/>
        </w:rPr>
        <w:fldChar w:fldCharType="end"/>
      </w:r>
      <w:r>
        <w:rPr>
          <w:rFonts w:hint="eastAsia" w:ascii="仿宋" w:hAnsi="仿宋" w:eastAsia="仿宋" w:cs="仿宋"/>
          <w:color w:val="auto"/>
          <w:kern w:val="16"/>
          <w:sz w:val="32"/>
          <w:szCs w:val="32"/>
          <w:highlight w:val="none"/>
          <w:lang w:val="en-US" w:eastAsia="zh-CN" w:bidi="ar-SA"/>
        </w:rPr>
        <w:t>实际支出完成274,277万元，占全县一般公共预算支出324,315万元的84.6%，为调整预算数296,060的92.6%。</w:t>
      </w:r>
    </w:p>
    <w:p w14:paraId="22E48C70">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（2）上解上级支出37,297万元。其中：体制上解18,249万元；专项上解19,048万元。</w:t>
      </w:r>
    </w:p>
    <w:p w14:paraId="0A6F8EF5">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（3）转移下级支出25,671万元。</w:t>
      </w:r>
    </w:p>
    <w:p w14:paraId="44CAD517">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（4）一般债务还本支出14,409万元。</w:t>
      </w:r>
    </w:p>
    <w:p w14:paraId="437DEC44">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（5）预备费：2023年年初预算安排预备费4,000万元，当年预备费安排支出1,358万元。</w:t>
      </w:r>
    </w:p>
    <w:p w14:paraId="60DF4959">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 w:hAnsi="仿宋" w:eastAsia="仿宋" w:cs="仿宋"/>
          <w:b/>
          <w:bCs/>
          <w:color w:val="auto"/>
          <w:kern w:val="16"/>
          <w:sz w:val="32"/>
          <w:szCs w:val="32"/>
          <w:highlight w:val="none"/>
          <w:lang w:val="en-US" w:eastAsia="zh-CN" w:bidi="ar-SA"/>
        </w:rPr>
      </w:pPr>
      <w:r>
        <w:rPr>
          <w:rFonts w:hint="eastAsia" w:ascii="仿宋" w:hAnsi="仿宋" w:eastAsia="仿宋" w:cs="仿宋"/>
          <w:b/>
          <w:bCs/>
          <w:color w:val="auto"/>
          <w:sz w:val="32"/>
          <w:szCs w:val="32"/>
          <w:highlight w:val="none"/>
          <w:lang w:val="en-US" w:eastAsia="zh-CN"/>
        </w:rPr>
        <w:t>3.结转资金和结余资金情况</w:t>
      </w:r>
    </w:p>
    <w:p w14:paraId="7E424ABA">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2023年年终结余21,783万元，全额结转下年支出，净结余为零。</w:t>
      </w:r>
    </w:p>
    <w:p w14:paraId="47EB2EB5">
      <w:pPr>
        <w:keepNext w:val="0"/>
        <w:keepLines w:val="0"/>
        <w:pageBreakBefore w:val="0"/>
        <w:widowControl w:val="0"/>
        <w:shd w:val="clear" w:color="auto"/>
        <w:kinsoku/>
        <w:wordWrap/>
        <w:overflowPunct/>
        <w:topLinePunct w:val="0"/>
        <w:autoSpaceDE/>
        <w:autoSpaceDN/>
        <w:bidi w:val="0"/>
        <w:adjustRightInd/>
        <w:snapToGrid/>
        <w:spacing w:line="560" w:lineRule="exact"/>
        <w:ind w:left="0" w:right="0" w:rightChars="0" w:firstLine="643" w:firstLineChars="200"/>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4.预算稳定调节基金安排情况</w:t>
      </w:r>
    </w:p>
    <w:p w14:paraId="50398970">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当年安排预算稳定调节基金4,658万元。</w:t>
      </w:r>
    </w:p>
    <w:p w14:paraId="2ACCFC13">
      <w:pPr>
        <w:keepNext w:val="0"/>
        <w:keepLines w:val="0"/>
        <w:pageBreakBefore w:val="0"/>
        <w:widowControl w:val="0"/>
        <w:shd w:val="clear" w:color="auto"/>
        <w:kinsoku/>
        <w:wordWrap/>
        <w:overflowPunct/>
        <w:topLinePunct w:val="0"/>
        <w:autoSpaceDE/>
        <w:autoSpaceDN/>
        <w:bidi w:val="0"/>
        <w:adjustRightInd/>
        <w:snapToGrid/>
        <w:spacing w:line="560" w:lineRule="exact"/>
        <w:ind w:left="0" w:right="0" w:rightChars="0" w:firstLine="643" w:firstLineChars="200"/>
        <w:jc w:val="both"/>
        <w:rPr>
          <w:rFonts w:hint="eastAsia" w:ascii="楷体" w:hAnsi="楷体" w:eastAsia="楷体" w:cs="楷体"/>
          <w:b/>
          <w:color w:val="auto"/>
          <w:sz w:val="32"/>
          <w:szCs w:val="32"/>
          <w:highlight w:val="none"/>
          <w:lang w:val="en-US" w:eastAsia="zh-CN"/>
        </w:rPr>
      </w:pPr>
      <w:r>
        <w:rPr>
          <w:rFonts w:hint="eastAsia" w:ascii="楷体" w:hAnsi="楷体" w:eastAsia="楷体" w:cs="楷体"/>
          <w:b/>
          <w:color w:val="auto"/>
          <w:sz w:val="32"/>
          <w:szCs w:val="32"/>
          <w:highlight w:val="none"/>
          <w:lang w:val="en-US" w:eastAsia="zh-CN"/>
        </w:rPr>
        <w:t>（二）政府性基金收支决算和结余情况</w:t>
      </w:r>
    </w:p>
    <w:p w14:paraId="452C7603">
      <w:pPr>
        <w:keepNext w:val="0"/>
        <w:keepLines w:val="0"/>
        <w:pageBreakBefore w:val="0"/>
        <w:widowControl w:val="0"/>
        <w:shd w:val="clear" w:color="auto"/>
        <w:kinsoku/>
        <w:wordWrap/>
        <w:overflowPunct/>
        <w:topLinePunct w:val="0"/>
        <w:autoSpaceDE/>
        <w:autoSpaceDN/>
        <w:bidi w:val="0"/>
        <w:adjustRightInd/>
        <w:snapToGrid/>
        <w:spacing w:line="560" w:lineRule="exact"/>
        <w:ind w:left="0" w:right="0" w:rightChars="0" w:firstLine="643" w:firstLineChars="200"/>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1.收入决算情况</w:t>
      </w:r>
    </w:p>
    <w:p w14:paraId="4477E904">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县本级政府性基金预算收入总计124,852万元。由本级收入12,690万元、上级转移性支付收入4,309万元、债务(转贷)收入62,280万元、再加上上年结余45,573万元构成。</w:t>
      </w:r>
    </w:p>
    <w:p w14:paraId="0BC2F74E">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（1）本级收入情况</w:t>
      </w:r>
    </w:p>
    <w:p w14:paraId="1EAF0B93">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2023年县本级政府性基金预算收入完成12,690万元，为年初预算数103,768的12.2%。</w:t>
      </w:r>
    </w:p>
    <w:p w14:paraId="54F7AC87">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（2）转移性收入情况</w:t>
      </w:r>
    </w:p>
    <w:p w14:paraId="5A56FBAD">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2023年度，上级补助收入4,309万元。</w:t>
      </w:r>
    </w:p>
    <w:p w14:paraId="07166DA6">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（3）专项债券转贷收入62,280万元。其中：新增专项债券收入47900万元；再融资专项债券收入14380万元。</w:t>
      </w:r>
    </w:p>
    <w:p w14:paraId="33607B1A">
      <w:pPr>
        <w:keepNext w:val="0"/>
        <w:keepLines w:val="0"/>
        <w:pageBreakBefore w:val="0"/>
        <w:widowControl w:val="0"/>
        <w:shd w:val="clear" w:color="auto"/>
        <w:kinsoku/>
        <w:wordWrap/>
        <w:overflowPunct/>
        <w:topLinePunct w:val="0"/>
        <w:autoSpaceDE/>
        <w:autoSpaceDN/>
        <w:bidi w:val="0"/>
        <w:adjustRightInd/>
        <w:snapToGrid/>
        <w:spacing w:line="560" w:lineRule="exact"/>
        <w:ind w:left="0" w:right="0" w:rightChars="0" w:firstLine="643" w:firstLineChars="200"/>
        <w:jc w:val="both"/>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2.支出决算情况</w:t>
      </w:r>
    </w:p>
    <w:p w14:paraId="13D322D6">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县本级政府性基金预算支出总计124,852万元。由本级支出55,234万元、上解上级支出1,820万元、债务还本支出14,778万元、转移下级补助支出13,511万元，年终结余39,509万元构成。</w:t>
      </w:r>
    </w:p>
    <w:p w14:paraId="630459EC">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（1）本级支出情况</w:t>
      </w:r>
    </w:p>
    <w:p w14:paraId="687BA961">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2023年县本级政府性基金支出实际完成55,234万元，为调整预算数94,743万元的58.3%。</w:t>
      </w:r>
    </w:p>
    <w:p w14:paraId="5DF341AD">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（2）政府性基金预算上解上级支出1,820万元。</w:t>
      </w:r>
    </w:p>
    <w:p w14:paraId="116844D5">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（3）专项债券还本支出14,778万元。</w:t>
      </w:r>
    </w:p>
    <w:p w14:paraId="3B3A3FF1">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（4）转移下级补助支出13,511万元。</w:t>
      </w:r>
    </w:p>
    <w:p w14:paraId="28792991">
      <w:pPr>
        <w:keepNext w:val="0"/>
        <w:keepLines w:val="0"/>
        <w:pageBreakBefore w:val="0"/>
        <w:widowControl w:val="0"/>
        <w:shd w:val="clear" w:color="auto"/>
        <w:kinsoku/>
        <w:wordWrap/>
        <w:overflowPunct/>
        <w:topLinePunct w:val="0"/>
        <w:autoSpaceDE/>
        <w:autoSpaceDN/>
        <w:bidi w:val="0"/>
        <w:adjustRightInd/>
        <w:snapToGrid/>
        <w:spacing w:line="560" w:lineRule="exact"/>
        <w:ind w:left="0" w:right="0" w:rightChars="0" w:firstLine="643" w:firstLineChars="200"/>
        <w:jc w:val="both"/>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lang w:eastAsia="zh-CN"/>
        </w:rPr>
        <w:t>政府性基金结余</w:t>
      </w:r>
    </w:p>
    <w:p w14:paraId="3AEB4066">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2023年政府性基金收支结余45,467万元（其中：本级39,509万元，乡镇5,958万元），全额结转下年支出。</w:t>
      </w:r>
    </w:p>
    <w:p w14:paraId="6BA24630">
      <w:pPr>
        <w:keepNext w:val="0"/>
        <w:keepLines w:val="0"/>
        <w:pageBreakBefore w:val="0"/>
        <w:widowControl w:val="0"/>
        <w:shd w:val="clear" w:color="auto"/>
        <w:kinsoku/>
        <w:wordWrap/>
        <w:overflowPunct/>
        <w:topLinePunct w:val="0"/>
        <w:autoSpaceDE/>
        <w:autoSpaceDN/>
        <w:bidi w:val="0"/>
        <w:adjustRightInd/>
        <w:snapToGrid/>
        <w:spacing w:line="560" w:lineRule="exact"/>
        <w:ind w:left="0" w:right="0" w:rightChars="0" w:firstLine="643" w:firstLineChars="200"/>
        <w:jc w:val="both"/>
        <w:rPr>
          <w:rFonts w:hint="eastAsia" w:ascii="楷体" w:hAnsi="楷体" w:eastAsia="楷体" w:cs="楷体"/>
          <w:b/>
          <w:color w:val="auto"/>
          <w:sz w:val="32"/>
          <w:szCs w:val="32"/>
          <w:highlight w:val="none"/>
          <w:lang w:val="en-US" w:eastAsia="zh-CN"/>
        </w:rPr>
      </w:pPr>
      <w:r>
        <w:rPr>
          <w:rFonts w:hint="eastAsia" w:ascii="楷体" w:hAnsi="楷体" w:eastAsia="楷体" w:cs="楷体"/>
          <w:b/>
          <w:color w:val="auto"/>
          <w:sz w:val="32"/>
          <w:szCs w:val="32"/>
          <w:highlight w:val="none"/>
          <w:lang w:val="en-US" w:eastAsia="zh-CN"/>
        </w:rPr>
        <w:t>（三）2023年地方政府债务情况</w:t>
      </w:r>
    </w:p>
    <w:p w14:paraId="1ED35339">
      <w:pPr>
        <w:keepNext w:val="0"/>
        <w:keepLines w:val="0"/>
        <w:pageBreakBefore w:val="0"/>
        <w:widowControl w:val="0"/>
        <w:shd w:val="clear" w:color="auto"/>
        <w:kinsoku/>
        <w:wordWrap/>
        <w:overflowPunct/>
        <w:topLinePunct w:val="0"/>
        <w:autoSpaceDE/>
        <w:autoSpaceDN/>
        <w:bidi w:val="0"/>
        <w:adjustRightInd/>
        <w:snapToGrid/>
        <w:spacing w:line="560" w:lineRule="exact"/>
        <w:ind w:left="0" w:right="0" w:rightChars="0" w:firstLine="643" w:firstLineChars="200"/>
        <w:jc w:val="both"/>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1.债务限额及上年余额情况</w:t>
      </w:r>
    </w:p>
    <w:p w14:paraId="6463DC2D">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2023年度，全县地方性政府债务限额为501,497万元。其中，一般债务限额109,510万元，专项债务限额391,987万元。</w:t>
      </w:r>
    </w:p>
    <w:p w14:paraId="0D7EDF34">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2023年年末，安阳县地方政府债务余额为500,260万元，其中：一般债务余额为109,183万元；专项债务余额391,077万元。</w:t>
      </w:r>
    </w:p>
    <w:p w14:paraId="3CBD7A23">
      <w:pPr>
        <w:keepNext w:val="0"/>
        <w:keepLines w:val="0"/>
        <w:pageBreakBefore w:val="0"/>
        <w:widowControl w:val="0"/>
        <w:shd w:val="clear" w:color="auto"/>
        <w:kinsoku/>
        <w:wordWrap/>
        <w:overflowPunct/>
        <w:topLinePunct w:val="0"/>
        <w:autoSpaceDE/>
        <w:autoSpaceDN/>
        <w:bidi w:val="0"/>
        <w:adjustRightInd/>
        <w:snapToGrid/>
        <w:spacing w:line="560" w:lineRule="exact"/>
        <w:ind w:left="0" w:right="0" w:rightChars="0" w:firstLine="643" w:firstLineChars="200"/>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2.债务收入情况</w:t>
      </w:r>
    </w:p>
    <w:p w14:paraId="3A917B6B">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2023年度，安阳县地方政府债务转贷收入为84,746万元。其中，一般债券转贷收入22,466万元，包括新增一般债券收入8,366万元，再融资一般债券收入14,100万元；专项债券转贷收入62,280万元，包括新增专项债券收入47,900万元，再融资专项债券收入14,380万元。</w:t>
      </w:r>
    </w:p>
    <w:p w14:paraId="7A60CFF4">
      <w:pPr>
        <w:keepNext w:val="0"/>
        <w:keepLines w:val="0"/>
        <w:pageBreakBefore w:val="0"/>
        <w:widowControl w:val="0"/>
        <w:shd w:val="clear" w:color="auto"/>
        <w:kinsoku/>
        <w:wordWrap/>
        <w:overflowPunct/>
        <w:topLinePunct w:val="0"/>
        <w:autoSpaceDE/>
        <w:autoSpaceDN/>
        <w:bidi w:val="0"/>
        <w:adjustRightInd/>
        <w:snapToGrid/>
        <w:spacing w:line="560" w:lineRule="exact"/>
        <w:ind w:left="0" w:right="0" w:rightChars="0" w:firstLine="643" w:firstLineChars="200"/>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3.新增债券对应支出及债务还本支出情况</w:t>
      </w:r>
    </w:p>
    <w:p w14:paraId="4B7E633A">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2023年度，安阳县地方政府新增债券收入共计56,266万元。</w:t>
      </w:r>
    </w:p>
    <w:p w14:paraId="5FD3B793">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一般新增债券收入8,366万元。其中：高标准农田建设（灾后重建І类）提质4,393万元；辛村镇2023年度7万亩高标准农田建设改造提升1,673万元；安楚路（内黄界-S301段）提质升级2,300万元。</w:t>
      </w:r>
    </w:p>
    <w:p w14:paraId="0F3A7348">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专项新增债券收入47,900万元。其中：城乡供水一体化工程27,700万元；妇幼保健院仪器设备3,400万元；G341汪流屯服务区500万元；中医院门诊医技综合楼建设5,300万元；绿色新材料产业园配套基础设施建设4,000万元；双创中心建设工程（一期）5,150万元；妇幼保健院病房综合楼建设1,850万元。</w:t>
      </w:r>
    </w:p>
    <w:p w14:paraId="414B415C">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yellow"/>
          <w:lang w:val="en-US" w:eastAsia="zh-CN" w:bidi="ar-SA"/>
        </w:rPr>
      </w:pPr>
      <w:r>
        <w:rPr>
          <w:rFonts w:hint="eastAsia" w:ascii="仿宋" w:hAnsi="仿宋" w:eastAsia="仿宋" w:cs="仿宋"/>
          <w:color w:val="auto"/>
          <w:kern w:val="16"/>
          <w:sz w:val="32"/>
          <w:szCs w:val="32"/>
          <w:highlight w:val="none"/>
          <w:lang w:val="en-US" w:eastAsia="zh-CN" w:bidi="ar-SA"/>
        </w:rPr>
        <w:t>2023年度，安阳县地方政府债务还本支出29,187万元。其中：一般债务还本14,409万元，（使用再融资债券还本14,100万元，使用本级预算安排还本309万元）；专项债务还本14,778万元（使用再融资债券还本14,380万元，使用本级预算安排还本398万元）。</w:t>
      </w:r>
    </w:p>
    <w:p w14:paraId="310F1CC3">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2023年度偿还利息支出14,736万元。</w:t>
      </w:r>
    </w:p>
    <w:p w14:paraId="01996E23">
      <w:pPr>
        <w:keepNext w:val="0"/>
        <w:keepLines w:val="0"/>
        <w:pageBreakBefore w:val="0"/>
        <w:widowControl w:val="0"/>
        <w:shd w:val="clear" w:color="auto"/>
        <w:kinsoku/>
        <w:wordWrap/>
        <w:overflowPunct/>
        <w:topLinePunct w:val="0"/>
        <w:autoSpaceDE/>
        <w:autoSpaceDN/>
        <w:bidi w:val="0"/>
        <w:adjustRightInd/>
        <w:snapToGrid/>
        <w:spacing w:line="560" w:lineRule="exact"/>
        <w:ind w:left="0" w:right="0" w:rightChars="0" w:firstLine="643" w:firstLineChars="200"/>
        <w:jc w:val="both"/>
        <w:textAlignment w:val="auto"/>
        <w:rPr>
          <w:rFonts w:hint="default" w:ascii="Times New Roman" w:hAnsi="Times New Roman" w:eastAsia="黑体" w:cs="Times New Roman"/>
          <w:b/>
          <w:bCs/>
          <w:color w:val="auto"/>
          <w:kern w:val="16"/>
          <w:sz w:val="32"/>
          <w:szCs w:val="32"/>
          <w:highlight w:val="none"/>
          <w:lang w:val="en-US" w:eastAsia="zh-CN" w:bidi="ar-SA"/>
        </w:rPr>
      </w:pPr>
      <w:r>
        <w:rPr>
          <w:rFonts w:hint="default" w:ascii="Times New Roman" w:hAnsi="Times New Roman" w:eastAsia="黑体" w:cs="Times New Roman"/>
          <w:b/>
          <w:bCs/>
          <w:color w:val="auto"/>
          <w:kern w:val="16"/>
          <w:sz w:val="32"/>
          <w:szCs w:val="32"/>
          <w:highlight w:val="none"/>
          <w:lang w:val="en-US" w:eastAsia="zh-CN" w:bidi="ar-SA"/>
        </w:rPr>
        <w:t>三、充分发挥财政职能，推动经济社会高质量发展</w:t>
      </w:r>
    </w:p>
    <w:p w14:paraId="7D709611">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新时代的发展是高质量的发展，2023年在县委坚强领导下，在县人大、政协的监督支持下，毫不动摇坚持高质量发展这个新时代的硬道理，坚持稳中求进，以进促稳，全面贯彻新发展理念，统筹高质量发展和高水平安全，为安阳县经济社会发展提供了有力支撑。</w:t>
      </w:r>
    </w:p>
    <w:p w14:paraId="1025582E">
      <w:pPr>
        <w:keepNext w:val="0"/>
        <w:keepLines w:val="0"/>
        <w:pageBreakBefore w:val="0"/>
        <w:widowControl w:val="0"/>
        <w:numPr>
          <w:ilvl w:val="0"/>
          <w:numId w:val="2"/>
        </w:numPr>
        <w:shd w:val="clear" w:color="auto"/>
        <w:kinsoku/>
        <w:wordWrap/>
        <w:overflowPunct/>
        <w:topLinePunct w:val="0"/>
        <w:autoSpaceDE/>
        <w:autoSpaceDN/>
        <w:bidi w:val="0"/>
        <w:adjustRightInd/>
        <w:snapToGrid/>
        <w:spacing w:line="560" w:lineRule="exact"/>
        <w:ind w:left="0" w:right="0" w:rightChars="0" w:firstLine="643" w:firstLineChars="200"/>
        <w:jc w:val="both"/>
        <w:rPr>
          <w:rFonts w:hint="eastAsia" w:ascii="楷体" w:hAnsi="楷体" w:eastAsia="楷体" w:cs="楷体"/>
          <w:b/>
          <w:color w:val="auto"/>
          <w:sz w:val="32"/>
          <w:szCs w:val="32"/>
          <w:highlight w:val="none"/>
          <w:lang w:val="en-US" w:eastAsia="zh-CN"/>
        </w:rPr>
      </w:pPr>
      <w:r>
        <w:rPr>
          <w:rFonts w:hint="eastAsia" w:ascii="楷体" w:hAnsi="楷体" w:eastAsia="楷体" w:cs="楷体"/>
          <w:b/>
          <w:color w:val="auto"/>
          <w:sz w:val="32"/>
          <w:szCs w:val="32"/>
          <w:highlight w:val="none"/>
          <w:lang w:val="en-US" w:eastAsia="zh-CN"/>
        </w:rPr>
        <w:t>多措并举，一以贯之抓收入</w:t>
      </w:r>
    </w:p>
    <w:p w14:paraId="2561E312">
      <w:pPr>
        <w:pStyle w:val="2"/>
        <w:keepNext w:val="0"/>
        <w:keepLines w:val="0"/>
        <w:pageBreakBefore w:val="0"/>
        <w:widowControl w:val="0"/>
        <w:shd w:val="clear" w:color="auto"/>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 w:hAnsi="仿宋" w:eastAsia="仿宋" w:cs="仿宋"/>
          <w:b w:val="0"/>
          <w:bCs w:val="0"/>
          <w:color w:val="auto"/>
          <w:kern w:val="16"/>
          <w:sz w:val="32"/>
          <w:szCs w:val="32"/>
          <w:highlight w:val="none"/>
          <w:lang w:val="en-US" w:eastAsia="zh-CN" w:bidi="ar-SA"/>
        </w:rPr>
      </w:pPr>
      <w:r>
        <w:rPr>
          <w:rFonts w:hint="eastAsia" w:ascii="仿宋" w:hAnsi="仿宋" w:eastAsia="仿宋" w:cs="仿宋"/>
          <w:b w:val="0"/>
          <w:bCs w:val="0"/>
          <w:color w:val="auto"/>
          <w:kern w:val="16"/>
          <w:sz w:val="32"/>
          <w:szCs w:val="32"/>
          <w:highlight w:val="none"/>
          <w:lang w:val="en-US" w:eastAsia="zh-CN" w:bidi="ar-SA"/>
        </w:rPr>
        <w:t>积极培育涵养税源，支持重点产业专项升级和新兴产业发展壮大，精准测算财政收入，持续推进综合治税常态化，加强与税务部门沟通协作，依法依规加强税收征管质效。2023年，全县一般公共预算收入完成81,731万元，较上年同期增长7.65%，在全省增幅排名第38位。</w:t>
      </w:r>
    </w:p>
    <w:p w14:paraId="623B03F2">
      <w:pPr>
        <w:keepNext w:val="0"/>
        <w:keepLines w:val="0"/>
        <w:pageBreakBefore w:val="0"/>
        <w:widowControl w:val="0"/>
        <w:shd w:val="clear" w:color="auto"/>
        <w:kinsoku/>
        <w:wordWrap/>
        <w:overflowPunct/>
        <w:topLinePunct w:val="0"/>
        <w:autoSpaceDE/>
        <w:autoSpaceDN/>
        <w:bidi w:val="0"/>
        <w:adjustRightInd/>
        <w:snapToGrid/>
        <w:spacing w:line="560" w:lineRule="exact"/>
        <w:ind w:left="0" w:right="0" w:rightChars="0" w:firstLine="643" w:firstLineChars="200"/>
        <w:jc w:val="both"/>
        <w:rPr>
          <w:rFonts w:hint="eastAsia" w:ascii="楷体" w:hAnsi="楷体" w:eastAsia="楷体" w:cs="楷体"/>
          <w:b/>
          <w:color w:val="auto"/>
          <w:sz w:val="32"/>
          <w:szCs w:val="32"/>
          <w:highlight w:val="none"/>
          <w:lang w:val="en-US" w:eastAsia="zh-CN"/>
        </w:rPr>
      </w:pPr>
      <w:r>
        <w:rPr>
          <w:rFonts w:hint="eastAsia" w:ascii="楷体" w:hAnsi="楷体" w:eastAsia="楷体" w:cs="楷体"/>
          <w:b/>
          <w:color w:val="auto"/>
          <w:sz w:val="32"/>
          <w:szCs w:val="32"/>
          <w:highlight w:val="none"/>
          <w:lang w:val="en-US" w:eastAsia="zh-CN"/>
        </w:rPr>
        <w:t>（二）</w:t>
      </w:r>
      <w:r>
        <w:rPr>
          <w:rFonts w:hint="eastAsia" w:ascii="楷体" w:hAnsi="楷体" w:eastAsia="楷体" w:cs="楷体"/>
          <w:b/>
          <w:bCs/>
          <w:color w:val="auto"/>
          <w:sz w:val="32"/>
          <w:szCs w:val="32"/>
          <w:highlight w:val="none"/>
        </w:rPr>
        <w:t>扎实推动经济平稳健康发展</w:t>
      </w:r>
    </w:p>
    <w:p w14:paraId="6278B514">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一是积极落实退税减税降费政策。在落实好已出台的各项减税降费政策基础上，成立工作领导小组，建立财、税、银三部门会商机制，确保各项退税减税降费政策措施落实到位。全年办理新的增值税留抵退税10,568万元，退付率100%，惠及市场主体7户，实现新增减税降费17,807万元。二是严格实施财政直达资金管理制度。紧盯关键项目，有针对性地加强研判，以项目为抓手，全面提高直达资金使用效率，2023年通过财政直达资金支出53,933万元，推动惠企利民政策精准落实。三是大力支持科技创新。全县科技支出投入3,984万元，其中3,904万元用于先进制造业研发、高新企业科技扶持，大力推进科技创新，实施创新驱动发展战略。四是继续推进“一卡通”。有58项补贴项目纳入惠民惠农财政“一卡通”发放，全年累计发放20,254万元，惠及全县群众74万人次。五是助力企业发展。积极推动落实“万人助万企”活动，激发企业创新活力，通过政府采购合同融资，缓解中小企业融资难题，共为11个政府采购项目中标供应商开展政府采购合同融资1,676万元。安排专项资金2,955万元支持开展促消费活动，激发消费市场活力。</w:t>
      </w:r>
    </w:p>
    <w:p w14:paraId="1B4FC4D4">
      <w:pPr>
        <w:pStyle w:val="2"/>
        <w:keepNext w:val="0"/>
        <w:keepLines w:val="0"/>
        <w:pageBreakBefore w:val="0"/>
        <w:widowControl w:val="0"/>
        <w:shd w:val="clear" w:color="auto"/>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楷体" w:hAnsi="楷体" w:eastAsia="楷体" w:cs="楷体"/>
          <w:b/>
          <w:bCs w:val="0"/>
          <w:color w:val="auto"/>
          <w:kern w:val="2"/>
          <w:sz w:val="32"/>
          <w:szCs w:val="32"/>
          <w:highlight w:val="none"/>
          <w:lang w:val="en-US" w:eastAsia="zh-CN" w:bidi="ar-SA"/>
        </w:rPr>
      </w:pPr>
      <w:r>
        <w:rPr>
          <w:rFonts w:hint="eastAsia" w:ascii="楷体" w:hAnsi="楷体" w:eastAsia="楷体" w:cs="楷体"/>
          <w:b/>
          <w:bCs w:val="0"/>
          <w:color w:val="auto"/>
          <w:kern w:val="2"/>
          <w:sz w:val="32"/>
          <w:szCs w:val="32"/>
          <w:highlight w:val="none"/>
          <w:lang w:val="en-US" w:eastAsia="zh-CN" w:bidi="ar-SA"/>
        </w:rPr>
        <w:t>（三）加大保障力度，稳步提升民生水平</w:t>
      </w:r>
    </w:p>
    <w:p w14:paraId="45B4F611">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2023年，在财力紧张的情况下，全县财政民生支出213,030万元，占一般公共预算支出比重达到65.7%。</w:t>
      </w:r>
    </w:p>
    <w:p w14:paraId="42C9162B">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一是完善落实稳就业政策，深入推进职业技能提升行动，财政通过就业补助、“洹泉涌流”、三支一扶等投入安排资金2,876万元，重点支持高校毕业生、退役军人、下岗职工、农民工、返乡人员等群体就业，全年城镇新增就业6,024人。</w:t>
      </w:r>
    </w:p>
    <w:p w14:paraId="2B787A88">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二是发展均衡教育，扎实助推义务、高中、职业教育提质增效。全年安排教育事业经费8,413万元，认真落实惠师、助学政策，安排乡村教师生活补助、困难学生救助、免费教科书资金3,796万元；安排7,037万元用于消除校园安全隐患，改善办学条件，周转宿舍建设，保障教师权益，足额发放4,426余名在岗教师工资津贴67,146万元。</w:t>
      </w:r>
    </w:p>
    <w:p w14:paraId="44F7C060">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三是兜牢社会保障底线。其中，财政安排城乡低保、特困人员供养支出3，674万元，全年涉及城镇低保16户累计248人次、农村低保5,184余户累计10.9万人次、特困人员累计1.5万人次；高龄津贴发放1,074万元，全年累计10万人次；两残生活补贴发放282万元，累计3.7万人次；护理补贴发放368万元，累计4.8万人次；安排城乡居民养老资金14,356万元；安排全县机关事业单位机关养老支出8,100万元；城乡居民养老保险补助3,246万元，支付96万人次；老幼贫残救助、退役军人安置补助、优抚对象医疗支出等4,033万元；职业年金记实补记资金1,500万元；累计拨付灾后重建资金86,268万元，其中当年拨付12,809万元，灾后重建已取得成效。</w:t>
      </w:r>
    </w:p>
    <w:p w14:paraId="0061BFC5">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四是推进公共卫生和医疗事业发展。其中城乡居民医疗补助资金支出5,983万元，提升了居民医保年人均财政补助标准；安排核酸检测1,533万元用于全县疫情期间防控经费；下达公共卫生资金2,874万元，基本公共卫生服务财政筹资标准提升；投入基本药物861万元、联合诊所168万元、计划生育442万元、老年乡医134万元、突发公卫2,146万元，用于困难群众医疗救治和基层公立医院建设，支持县乡医疗卫生体制改革提升。</w:t>
      </w:r>
    </w:p>
    <w:p w14:paraId="556E52CF">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五是发展高效农业，“三农”基础持续巩固，巩固脱贫攻坚成果，助力乡村振兴。财政筹集资金7,093万元用于耕地地力保护、农机购置补贴和实施小麦航空植保专业化统防统治；投入3,792万元用于农村公益事业建设和美丽乡村建设，改善村容村貌；安排脱贫攻坚成果巩固7,392万元，有效衔接乡村振兴事业发展；安排10,378万元用于发展高效农业，全年粮食总产41.5万吨，瓦店广润坡高标准农田示范区被国家标准委评为全国仅有的两个高标准农田标准化示范区之一。</w:t>
      </w:r>
    </w:p>
    <w:p w14:paraId="34F10F12">
      <w:pPr>
        <w:pStyle w:val="2"/>
        <w:keepNext w:val="0"/>
        <w:keepLines w:val="0"/>
        <w:pageBreakBefore w:val="0"/>
        <w:widowControl w:val="0"/>
        <w:shd w:val="clear" w:color="auto"/>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楷体" w:hAnsi="楷体" w:eastAsia="楷体" w:cs="楷体"/>
          <w:b/>
          <w:bCs w:val="0"/>
          <w:color w:val="auto"/>
          <w:kern w:val="2"/>
          <w:sz w:val="32"/>
          <w:szCs w:val="32"/>
          <w:highlight w:val="none"/>
          <w:lang w:val="en-US" w:eastAsia="zh-CN" w:bidi="ar-SA"/>
        </w:rPr>
      </w:pPr>
      <w:r>
        <w:rPr>
          <w:rFonts w:hint="eastAsia" w:ascii="楷体" w:hAnsi="楷体" w:eastAsia="楷体" w:cs="楷体"/>
          <w:b/>
          <w:bCs w:val="0"/>
          <w:color w:val="auto"/>
          <w:kern w:val="2"/>
          <w:sz w:val="32"/>
          <w:szCs w:val="32"/>
          <w:highlight w:val="none"/>
          <w:lang w:val="en-US" w:eastAsia="zh-CN" w:bidi="ar-SA"/>
        </w:rPr>
        <w:t>（四）有效防范化解风险，确保财政平稳运行</w:t>
      </w:r>
    </w:p>
    <w:p w14:paraId="71E162A9">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牢固树立“三保”底线思维，严格落实“三保”风险预警防控机制。出台民生政策遵循“尽力而为、量力而行”的原则，充分考虑财政承受能力，确保相关政策能落地、可持续。加强地方政府债务管理，认真梳理中长期法定债券还本付息情况，及时足额偿还2023年到期政府债务本息，将相关支出足额列入年度预算和中期财政规划，牢牢守住不发生系统性风险底线。认真做好隐性债务化解，确保按期完成化债任务。指导国有企业合规融资，坚决杜绝出现新的隐性债务。</w:t>
      </w:r>
    </w:p>
    <w:p w14:paraId="4FCA752C">
      <w:pPr>
        <w:pStyle w:val="2"/>
        <w:keepNext w:val="0"/>
        <w:keepLines w:val="0"/>
        <w:pageBreakBefore w:val="0"/>
        <w:widowControl w:val="0"/>
        <w:shd w:val="clear" w:color="auto"/>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楷体" w:hAnsi="楷体" w:eastAsia="楷体" w:cs="楷体"/>
          <w:b/>
          <w:bCs w:val="0"/>
          <w:color w:val="auto"/>
          <w:kern w:val="2"/>
          <w:sz w:val="32"/>
          <w:szCs w:val="32"/>
          <w:highlight w:val="none"/>
          <w:lang w:val="en-US" w:eastAsia="zh-CN" w:bidi="ar-SA"/>
        </w:rPr>
      </w:pPr>
      <w:r>
        <w:rPr>
          <w:rFonts w:hint="eastAsia" w:ascii="楷体" w:hAnsi="楷体" w:eastAsia="楷体" w:cs="楷体"/>
          <w:b/>
          <w:bCs w:val="0"/>
          <w:color w:val="auto"/>
          <w:kern w:val="2"/>
          <w:sz w:val="32"/>
          <w:szCs w:val="32"/>
          <w:highlight w:val="none"/>
          <w:lang w:val="en-US" w:eastAsia="zh-CN" w:bidi="ar-SA"/>
        </w:rPr>
        <w:t>（五）强化绩效管理，稳步提升绩效管理水平</w:t>
      </w:r>
    </w:p>
    <w:p w14:paraId="46D9E0FF">
      <w:pPr>
        <w:pStyle w:val="6"/>
        <w:keepNext w:val="0"/>
        <w:keepLines w:val="0"/>
        <w:pageBreakBefore w:val="0"/>
        <w:widowControl/>
        <w:shd w:val="clear"/>
        <w:kinsoku/>
        <w:wordWrap/>
        <w:overflowPunct/>
        <w:topLinePunct w:val="0"/>
        <w:autoSpaceDE/>
        <w:autoSpaceDN/>
        <w:bidi w:val="0"/>
        <w:spacing w:before="0" w:beforeAutospacing="0" w:after="0" w:afterAutospacing="0" w:line="560" w:lineRule="exact"/>
        <w:ind w:left="0" w:lef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强化财政支出绩效目标前置引领作用，实现绩效目标与预算“同步编制、同步上会、同步批复、同步公开”。对本级所有预算项目开展绩效监控，强化绩效目标执行管理，组织各单位扎实开展绩效评价，防止资金闲置浪费，对监控发现的沉淀资金按规定收回统筹使用。2023年度，县本级57家单位进行整体绩效自评，其中，57家单位对468个项目资金401,411万元进行绩效自评，财政对35个项目进行抽查复核、5个重点项目进行重点绩效评价，对1家预算单位开展重点整体绩效评价。</w:t>
      </w:r>
    </w:p>
    <w:p w14:paraId="221BF0E7">
      <w:pPr>
        <w:keepNext w:val="0"/>
        <w:keepLines w:val="0"/>
        <w:pageBreakBefore w:val="0"/>
        <w:widowControl w:val="0"/>
        <w:shd w:val="clear" w:color="auto"/>
        <w:kinsoku/>
        <w:wordWrap/>
        <w:overflowPunct/>
        <w:topLinePunct w:val="0"/>
        <w:autoSpaceDE/>
        <w:autoSpaceDN/>
        <w:bidi w:val="0"/>
        <w:adjustRightInd/>
        <w:snapToGrid/>
        <w:spacing w:line="560" w:lineRule="exact"/>
        <w:ind w:left="0" w:right="0" w:rightChars="0" w:firstLine="643" w:firstLineChars="200"/>
        <w:jc w:val="both"/>
        <w:textAlignment w:val="auto"/>
        <w:rPr>
          <w:rFonts w:hint="default" w:ascii="Times New Roman" w:hAnsi="Times New Roman" w:eastAsia="黑体" w:cs="Times New Roman"/>
          <w:b/>
          <w:bCs/>
          <w:color w:val="auto"/>
          <w:kern w:val="16"/>
          <w:sz w:val="32"/>
          <w:szCs w:val="32"/>
          <w:highlight w:val="yellow"/>
          <w:lang w:val="en-US" w:eastAsia="zh-CN" w:bidi="ar-SA"/>
        </w:rPr>
      </w:pPr>
      <w:r>
        <w:rPr>
          <w:rFonts w:hint="default" w:ascii="Times New Roman" w:hAnsi="Times New Roman" w:eastAsia="黑体" w:cs="Times New Roman"/>
          <w:b/>
          <w:bCs/>
          <w:color w:val="auto"/>
          <w:kern w:val="16"/>
          <w:sz w:val="32"/>
          <w:szCs w:val="32"/>
          <w:highlight w:val="none"/>
          <w:lang w:val="en-US" w:eastAsia="zh-CN" w:bidi="ar-SA"/>
        </w:rPr>
        <w:t>四、继续有效提升财政管理水平</w:t>
      </w:r>
    </w:p>
    <w:p w14:paraId="78F972B8">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下一步，我们将认真落实县委、县人大各项决策部署和工作要求，严格执行批准后的预算，切实加强预算执行管理，全面推行预算绩效提升，确保完成全年预算任务。</w:t>
      </w:r>
    </w:p>
    <w:p w14:paraId="33E3691C">
      <w:pPr>
        <w:keepNext w:val="0"/>
        <w:keepLines w:val="0"/>
        <w:pageBreakBefore w:val="0"/>
        <w:widowControl w:val="0"/>
        <w:shd w:val="clear" w:color="auto"/>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楷体" w:hAnsi="楷体" w:eastAsia="楷体" w:cs="楷体"/>
          <w:b/>
          <w:color w:val="auto"/>
          <w:sz w:val="32"/>
          <w:szCs w:val="32"/>
          <w:highlight w:val="none"/>
          <w:lang w:val="en-US" w:eastAsia="zh-CN"/>
        </w:rPr>
      </w:pPr>
      <w:r>
        <w:rPr>
          <w:rFonts w:hint="eastAsia" w:ascii="楷体" w:hAnsi="楷体" w:eastAsia="楷体" w:cs="楷体"/>
          <w:b/>
          <w:color w:val="auto"/>
          <w:sz w:val="32"/>
          <w:szCs w:val="32"/>
          <w:highlight w:val="none"/>
          <w:lang w:val="en-US" w:eastAsia="zh-CN"/>
        </w:rPr>
        <w:t>（一）统筹谋划精心部署，多措并举抓实收入</w:t>
      </w:r>
    </w:p>
    <w:p w14:paraId="6A424AC7">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一是强化组织协调。发挥综合治税统筹协调作用，做好税源信息共享互通工作，确保应收尽收。二是强化税源管理。做好重点监控，把住税收税源的关键环节。三是切实加强非税收入征管。依法依规将非税收入征收到位。四是积极盘活存量国有资产，制定针对性盘活计划等措施，有序推动资产盘活变现入库。</w:t>
      </w:r>
    </w:p>
    <w:p w14:paraId="565D9DA0">
      <w:pPr>
        <w:keepNext w:val="0"/>
        <w:keepLines w:val="0"/>
        <w:pageBreakBefore w:val="0"/>
        <w:widowControl w:val="0"/>
        <w:numPr>
          <w:ilvl w:val="0"/>
          <w:numId w:val="2"/>
        </w:numPr>
        <w:shd w:val="clear" w:color="auto"/>
        <w:kinsoku/>
        <w:wordWrap/>
        <w:overflowPunct/>
        <w:topLinePunct w:val="0"/>
        <w:autoSpaceDE/>
        <w:autoSpaceDN/>
        <w:bidi w:val="0"/>
        <w:adjustRightInd/>
        <w:snapToGrid/>
        <w:spacing w:line="560" w:lineRule="exact"/>
        <w:ind w:left="0" w:right="0" w:rightChars="0" w:firstLine="643" w:firstLineChars="200"/>
        <w:jc w:val="both"/>
        <w:rPr>
          <w:rFonts w:hint="eastAsia" w:ascii="楷体" w:hAnsi="楷体" w:eastAsia="楷体" w:cs="楷体"/>
          <w:b/>
          <w:color w:val="auto"/>
          <w:sz w:val="32"/>
          <w:szCs w:val="32"/>
          <w:highlight w:val="none"/>
          <w:lang w:val="en-US" w:eastAsia="zh-CN"/>
        </w:rPr>
      </w:pPr>
      <w:r>
        <w:rPr>
          <w:rFonts w:hint="eastAsia" w:ascii="楷体" w:hAnsi="楷体" w:eastAsia="楷体" w:cs="楷体"/>
          <w:b/>
          <w:color w:val="auto"/>
          <w:sz w:val="32"/>
          <w:szCs w:val="32"/>
          <w:highlight w:val="none"/>
          <w:lang w:val="en-US" w:eastAsia="zh-CN"/>
        </w:rPr>
        <w:t>落实过紧日子要求，严格管控厉行节约</w:t>
      </w:r>
    </w:p>
    <w:p w14:paraId="36D8A475">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牢树艰苦奋斗、勤俭节约思想，将党政机关要习惯过紧日子作为财政工作长期指导方针。一是规范预算执行，强化执行监控，严格执行各项费用开支标准，能节约的尽量节约。二是优化财政支出结构，强化基本民生财力保障。三是合理确定政府采购需求，努力降低采购成本。四是严格新增资产配置，推进建立资产共享共用和调剂机制，提高资产使用效益。</w:t>
      </w:r>
    </w:p>
    <w:p w14:paraId="244EE819">
      <w:pPr>
        <w:keepNext w:val="0"/>
        <w:keepLines w:val="0"/>
        <w:pageBreakBefore w:val="0"/>
        <w:widowControl w:val="0"/>
        <w:shd w:val="clear" w:color="auto"/>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楷体" w:hAnsi="楷体" w:eastAsia="楷体" w:cs="楷体"/>
          <w:b/>
          <w:color w:val="auto"/>
          <w:sz w:val="32"/>
          <w:szCs w:val="32"/>
          <w:highlight w:val="none"/>
          <w:lang w:val="en-US" w:eastAsia="zh-CN"/>
        </w:rPr>
      </w:pPr>
      <w:r>
        <w:rPr>
          <w:rFonts w:hint="eastAsia" w:ascii="楷体" w:hAnsi="楷体" w:eastAsia="楷体" w:cs="楷体"/>
          <w:b/>
          <w:color w:val="auto"/>
          <w:sz w:val="32"/>
          <w:szCs w:val="32"/>
          <w:highlight w:val="none"/>
          <w:lang w:val="en-US" w:eastAsia="zh-CN"/>
        </w:rPr>
        <w:t>（三）优化结构保障民生，精准支出提高效率</w:t>
      </w:r>
    </w:p>
    <w:p w14:paraId="09029419">
      <w:pPr>
        <w:keepNext w:val="0"/>
        <w:keepLines w:val="0"/>
        <w:pageBreakBefore w:val="0"/>
        <w:widowControl w:val="0"/>
        <w:shd w:val="clear" w:color="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一是硬化预算约束。坚持先有预算后有支出，严控预算追加，加强财政资金动态监控。二是扎实做好直达资金管理。提高直达资金使用效益。三是加大社会保障投入，不断扎牢扎紧民生保障网。继续落实积极的就业政策，坚持教育优先发展，支持健全卫生公共体系，支持打好污染防治攻坚战。</w:t>
      </w:r>
    </w:p>
    <w:p w14:paraId="777FCAAE">
      <w:pPr>
        <w:keepNext w:val="0"/>
        <w:keepLines w:val="0"/>
        <w:pageBreakBefore w:val="0"/>
        <w:widowControl w:val="0"/>
        <w:shd w:val="clear" w:color="auto"/>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楷体" w:hAnsi="楷体" w:eastAsia="楷体" w:cs="楷体"/>
          <w:b/>
          <w:color w:val="auto"/>
          <w:sz w:val="32"/>
          <w:szCs w:val="32"/>
          <w:highlight w:val="none"/>
          <w:lang w:val="en-US" w:eastAsia="zh-CN"/>
        </w:rPr>
      </w:pPr>
      <w:r>
        <w:rPr>
          <w:rFonts w:hint="eastAsia" w:ascii="楷体" w:hAnsi="楷体" w:eastAsia="楷体" w:cs="楷体"/>
          <w:b/>
          <w:color w:val="auto"/>
          <w:sz w:val="32"/>
          <w:szCs w:val="32"/>
          <w:highlight w:val="none"/>
          <w:lang w:val="en-US" w:eastAsia="zh-CN"/>
        </w:rPr>
        <w:t>（四）严格兜牢风险底线</w:t>
      </w:r>
    </w:p>
    <w:p w14:paraId="2904E122">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牢固树立底线思维、风险意识，守牢财政安全底线。一是落实好“三保”机制，坚持“三保”在财政支出中优先顺序。二是加强债券资金管理。树立适度举债、规范用债理念。三是督导国有公司加强债务约束管理，严格落实还款机制，健全风险预警机制。四是多措并举合理消化暂付款，力争完成暂付款年度消化任务。</w:t>
      </w:r>
    </w:p>
    <w:p w14:paraId="4D664A09">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auto"/>
          <w:kern w:val="16"/>
          <w:sz w:val="32"/>
          <w:szCs w:val="32"/>
          <w:highlight w:val="none"/>
          <w:lang w:val="en-US" w:eastAsia="zh-CN" w:bidi="ar-SA"/>
        </w:rPr>
      </w:pPr>
      <w:r>
        <w:rPr>
          <w:rFonts w:hint="eastAsia" w:ascii="仿宋" w:hAnsi="仿宋" w:eastAsia="仿宋" w:cs="仿宋"/>
          <w:color w:val="auto"/>
          <w:kern w:val="16"/>
          <w:sz w:val="32"/>
          <w:szCs w:val="32"/>
          <w:highlight w:val="none"/>
          <w:lang w:val="en-US" w:eastAsia="zh-CN" w:bidi="ar-SA"/>
        </w:rPr>
        <w:t>我们将在县委的坚强领导下，自觉接受县人大及其常委会监督，更好发挥财政职能作用，开拓奋进，真抓实干，努力开创财政工作新局面，为建设新时期社会主义现代化安阳县贡献坚实的财政力量。</w:t>
      </w:r>
    </w:p>
    <w:p w14:paraId="7054AAB3">
      <w:pPr>
        <w:pStyle w:val="2"/>
        <w:rPr>
          <w:rFonts w:hint="eastAsia" w:ascii="仿宋" w:hAnsi="仿宋" w:eastAsia="仿宋" w:cs="仿宋"/>
          <w:color w:val="auto"/>
          <w:kern w:val="16"/>
          <w:sz w:val="32"/>
          <w:szCs w:val="32"/>
          <w:highlight w:val="none"/>
          <w:lang w:val="en-US" w:eastAsia="zh-CN" w:bidi="ar-SA"/>
        </w:rPr>
      </w:pPr>
    </w:p>
    <w:p w14:paraId="40CC803C">
      <w:pPr>
        <w:rPr>
          <w:rFonts w:hint="eastAsia" w:ascii="仿宋" w:hAnsi="仿宋" w:eastAsia="仿宋" w:cs="仿宋"/>
          <w:color w:val="auto"/>
          <w:kern w:val="16"/>
          <w:sz w:val="32"/>
          <w:szCs w:val="32"/>
          <w:highlight w:val="none"/>
          <w:lang w:val="en-US" w:eastAsia="zh-CN" w:bidi="ar-SA"/>
        </w:rPr>
      </w:pPr>
    </w:p>
    <w:p w14:paraId="4736C0CE">
      <w:pPr>
        <w:pStyle w:val="2"/>
        <w:rPr>
          <w:rFonts w:hint="eastAsia" w:ascii="仿宋" w:hAnsi="仿宋" w:eastAsia="仿宋" w:cs="仿宋"/>
          <w:color w:val="auto"/>
          <w:kern w:val="16"/>
          <w:sz w:val="32"/>
          <w:szCs w:val="32"/>
          <w:highlight w:val="none"/>
          <w:lang w:val="en-US" w:eastAsia="zh-CN" w:bidi="ar-SA"/>
        </w:rPr>
      </w:pPr>
    </w:p>
    <w:p w14:paraId="514229FC">
      <w:pPr>
        <w:rPr>
          <w:rFonts w:hint="eastAsia" w:ascii="仿宋" w:hAnsi="仿宋" w:eastAsia="仿宋" w:cs="仿宋"/>
          <w:color w:val="auto"/>
          <w:kern w:val="16"/>
          <w:sz w:val="32"/>
          <w:szCs w:val="32"/>
          <w:highlight w:val="none"/>
          <w:lang w:val="en-US" w:eastAsia="zh-CN" w:bidi="ar-SA"/>
        </w:rPr>
      </w:pPr>
    </w:p>
    <w:p w14:paraId="45DCCE12">
      <w:pPr>
        <w:pStyle w:val="2"/>
        <w:rPr>
          <w:rFonts w:hint="eastAsia" w:ascii="仿宋" w:hAnsi="仿宋" w:eastAsia="仿宋" w:cs="仿宋"/>
          <w:color w:val="auto"/>
          <w:kern w:val="16"/>
          <w:sz w:val="32"/>
          <w:szCs w:val="32"/>
          <w:highlight w:val="none"/>
          <w:lang w:val="en-US" w:eastAsia="zh-CN" w:bidi="ar-SA"/>
        </w:rPr>
      </w:pPr>
    </w:p>
    <w:p w14:paraId="2CD4EC88">
      <w:pPr>
        <w:rPr>
          <w:rFonts w:hint="eastAsia" w:ascii="仿宋" w:hAnsi="仿宋" w:eastAsia="仿宋" w:cs="仿宋"/>
          <w:color w:val="auto"/>
          <w:kern w:val="16"/>
          <w:sz w:val="32"/>
          <w:szCs w:val="32"/>
          <w:highlight w:val="none"/>
          <w:lang w:val="en-US" w:eastAsia="zh-CN" w:bidi="ar-SA"/>
        </w:rPr>
      </w:pPr>
    </w:p>
    <w:p w14:paraId="12A39374">
      <w:pPr>
        <w:pStyle w:val="2"/>
        <w:rPr>
          <w:rFonts w:hint="eastAsia" w:ascii="仿宋" w:hAnsi="仿宋" w:eastAsia="仿宋" w:cs="仿宋"/>
          <w:color w:val="auto"/>
          <w:kern w:val="16"/>
          <w:sz w:val="32"/>
          <w:szCs w:val="32"/>
          <w:highlight w:val="none"/>
          <w:lang w:val="en-US" w:eastAsia="zh-CN" w:bidi="ar-SA"/>
        </w:rPr>
      </w:pPr>
    </w:p>
    <w:p w14:paraId="1084C63C">
      <w:pPr>
        <w:rPr>
          <w:rFonts w:hint="eastAsia" w:ascii="仿宋" w:hAnsi="仿宋" w:eastAsia="仿宋" w:cs="仿宋"/>
          <w:color w:val="auto"/>
          <w:kern w:val="16"/>
          <w:sz w:val="32"/>
          <w:szCs w:val="32"/>
          <w:highlight w:val="none"/>
          <w:lang w:val="en-US" w:eastAsia="zh-CN" w:bidi="ar-SA"/>
        </w:rPr>
      </w:pPr>
    </w:p>
    <w:p w14:paraId="2964086D">
      <w:pPr>
        <w:pStyle w:val="2"/>
        <w:rPr>
          <w:rFonts w:hint="eastAsia" w:ascii="仿宋" w:hAnsi="仿宋" w:eastAsia="仿宋" w:cs="仿宋"/>
          <w:color w:val="auto"/>
          <w:kern w:val="16"/>
          <w:sz w:val="32"/>
          <w:szCs w:val="32"/>
          <w:highlight w:val="none"/>
          <w:lang w:val="en-US" w:eastAsia="zh-CN" w:bidi="ar-SA"/>
        </w:rPr>
      </w:pPr>
    </w:p>
    <w:p w14:paraId="50D4884A">
      <w:pPr>
        <w:rPr>
          <w:rFonts w:hint="eastAsia" w:ascii="仿宋" w:hAnsi="仿宋" w:eastAsia="仿宋" w:cs="仿宋"/>
          <w:color w:val="auto"/>
          <w:kern w:val="16"/>
          <w:sz w:val="32"/>
          <w:szCs w:val="32"/>
          <w:highlight w:val="none"/>
          <w:lang w:val="en-US" w:eastAsia="zh-CN" w:bidi="ar-SA"/>
        </w:rPr>
      </w:pPr>
    </w:p>
    <w:p w14:paraId="2F13A660">
      <w:pPr>
        <w:pStyle w:val="2"/>
        <w:rPr>
          <w:rFonts w:hint="eastAsia" w:ascii="仿宋" w:hAnsi="仿宋" w:eastAsia="仿宋" w:cs="仿宋"/>
          <w:color w:val="auto"/>
          <w:kern w:val="16"/>
          <w:sz w:val="32"/>
          <w:szCs w:val="32"/>
          <w:highlight w:val="none"/>
          <w:lang w:val="en-US" w:eastAsia="zh-CN" w:bidi="ar-SA"/>
        </w:rPr>
      </w:pPr>
    </w:p>
    <w:p w14:paraId="3CEB7FC3">
      <w:pPr>
        <w:rPr>
          <w:rFonts w:hint="eastAsia" w:ascii="仿宋" w:hAnsi="仿宋" w:eastAsia="仿宋" w:cs="仿宋"/>
          <w:color w:val="auto"/>
          <w:kern w:val="16"/>
          <w:sz w:val="32"/>
          <w:szCs w:val="32"/>
          <w:highlight w:val="none"/>
          <w:lang w:val="en-US" w:eastAsia="zh-CN" w:bidi="ar-SA"/>
        </w:rPr>
      </w:pPr>
    </w:p>
    <w:p w14:paraId="49E00808">
      <w:pPr>
        <w:pStyle w:val="2"/>
        <w:rPr>
          <w:rFonts w:hint="eastAsia" w:ascii="仿宋" w:hAnsi="仿宋" w:eastAsia="仿宋" w:cs="仿宋"/>
          <w:color w:val="auto"/>
          <w:kern w:val="16"/>
          <w:sz w:val="32"/>
          <w:szCs w:val="32"/>
          <w:highlight w:val="none"/>
          <w:lang w:val="en-US" w:eastAsia="zh-CN" w:bidi="ar-SA"/>
        </w:rPr>
      </w:pPr>
    </w:p>
    <w:p w14:paraId="237EEAA2">
      <w:pPr>
        <w:rPr>
          <w:rFonts w:hint="eastAsia" w:ascii="仿宋" w:hAnsi="仿宋" w:eastAsia="仿宋" w:cs="仿宋"/>
          <w:color w:val="auto"/>
          <w:kern w:val="16"/>
          <w:sz w:val="32"/>
          <w:szCs w:val="32"/>
          <w:highlight w:val="none"/>
          <w:lang w:val="en-US" w:eastAsia="zh-CN" w:bidi="ar-SA"/>
        </w:rPr>
      </w:pPr>
    </w:p>
    <w:p w14:paraId="7D279521">
      <w:pPr>
        <w:pStyle w:val="2"/>
        <w:rPr>
          <w:rFonts w:hint="eastAsia" w:ascii="仿宋" w:hAnsi="仿宋" w:eastAsia="仿宋" w:cs="仿宋"/>
          <w:color w:val="auto"/>
          <w:kern w:val="16"/>
          <w:sz w:val="32"/>
          <w:szCs w:val="32"/>
          <w:highlight w:val="none"/>
          <w:lang w:val="en-US" w:eastAsia="zh-CN" w:bidi="ar-SA"/>
        </w:rPr>
      </w:pPr>
    </w:p>
    <w:p w14:paraId="2A9DAE3B">
      <w:pPr>
        <w:rPr>
          <w:rFonts w:hint="eastAsia" w:ascii="仿宋" w:hAnsi="仿宋" w:eastAsia="仿宋" w:cs="仿宋"/>
          <w:color w:val="auto"/>
          <w:kern w:val="16"/>
          <w:sz w:val="32"/>
          <w:szCs w:val="32"/>
          <w:highlight w:val="none"/>
          <w:lang w:val="en-US" w:eastAsia="zh-CN" w:bidi="ar-SA"/>
        </w:rPr>
      </w:pPr>
    </w:p>
    <w:p w14:paraId="76F65903">
      <w:pPr>
        <w:pStyle w:val="2"/>
        <w:rPr>
          <w:rFonts w:hint="eastAsia" w:ascii="仿宋" w:hAnsi="仿宋" w:eastAsia="仿宋" w:cs="仿宋"/>
          <w:color w:val="auto"/>
          <w:kern w:val="16"/>
          <w:sz w:val="32"/>
          <w:szCs w:val="32"/>
          <w:highlight w:val="none"/>
          <w:lang w:val="en-US" w:eastAsia="zh-CN" w:bidi="ar-SA"/>
        </w:rPr>
      </w:pPr>
    </w:p>
    <w:p w14:paraId="66C3AD8A">
      <w:pPr>
        <w:rPr>
          <w:rFonts w:hint="eastAsia" w:ascii="仿宋" w:hAnsi="仿宋" w:eastAsia="仿宋" w:cs="仿宋"/>
          <w:color w:val="auto"/>
          <w:kern w:val="16"/>
          <w:sz w:val="32"/>
          <w:szCs w:val="32"/>
          <w:highlight w:val="none"/>
          <w:lang w:val="en-US" w:eastAsia="zh-CN" w:bidi="ar-SA"/>
        </w:rPr>
      </w:pPr>
    </w:p>
    <w:p w14:paraId="2E1AA0F0">
      <w:pPr>
        <w:pStyle w:val="2"/>
        <w:rPr>
          <w:rFonts w:hint="eastAsia" w:ascii="仿宋" w:hAnsi="仿宋" w:eastAsia="仿宋" w:cs="仿宋"/>
          <w:color w:val="auto"/>
          <w:kern w:val="16"/>
          <w:sz w:val="32"/>
          <w:szCs w:val="32"/>
          <w:highlight w:val="none"/>
          <w:lang w:val="en-US" w:eastAsia="zh-CN" w:bidi="ar-SA"/>
        </w:rPr>
      </w:pPr>
    </w:p>
    <w:p w14:paraId="664A6DE6">
      <w:pPr>
        <w:rPr>
          <w:rFonts w:hint="eastAsia" w:ascii="仿宋" w:hAnsi="仿宋" w:eastAsia="仿宋" w:cs="仿宋"/>
          <w:color w:val="auto"/>
          <w:kern w:val="16"/>
          <w:sz w:val="32"/>
          <w:szCs w:val="32"/>
          <w:highlight w:val="none"/>
          <w:lang w:val="en-US" w:eastAsia="zh-CN" w:bidi="ar-SA"/>
        </w:rPr>
      </w:pPr>
    </w:p>
    <w:p w14:paraId="20709DD0">
      <w:pPr>
        <w:pStyle w:val="2"/>
        <w:rPr>
          <w:rFonts w:hint="eastAsia" w:ascii="仿宋" w:hAnsi="仿宋" w:eastAsia="仿宋" w:cs="仿宋"/>
          <w:color w:val="auto"/>
          <w:kern w:val="16"/>
          <w:sz w:val="32"/>
          <w:szCs w:val="32"/>
          <w:highlight w:val="none"/>
          <w:lang w:val="en-US" w:eastAsia="zh-CN" w:bidi="ar-SA"/>
        </w:rPr>
      </w:pPr>
    </w:p>
    <w:p w14:paraId="43450024">
      <w:pPr>
        <w:rPr>
          <w:rFonts w:hint="eastAsia" w:ascii="仿宋" w:hAnsi="仿宋" w:eastAsia="仿宋" w:cs="仿宋"/>
          <w:color w:val="auto"/>
          <w:kern w:val="16"/>
          <w:sz w:val="32"/>
          <w:szCs w:val="32"/>
          <w:highlight w:val="none"/>
          <w:lang w:val="en-US" w:eastAsia="zh-CN" w:bidi="ar-SA"/>
        </w:rPr>
      </w:pPr>
      <w:bookmarkStart w:id="2" w:name="_GoBack"/>
      <w:bookmarkEnd w:id="2"/>
    </w:p>
    <w:p w14:paraId="7698E15E">
      <w:pPr>
        <w:pStyle w:val="2"/>
        <w:rPr>
          <w:rFonts w:hint="eastAsia"/>
          <w:lang w:val="en-US" w:eastAsia="zh-CN"/>
        </w:rPr>
      </w:pPr>
    </w:p>
    <w:p w14:paraId="3015D552">
      <w:pPr>
        <w:keepNext w:val="0"/>
        <w:keepLines w:val="0"/>
        <w:pageBreakBefore w:val="0"/>
        <w:kinsoku/>
        <w:overflowPunct/>
        <w:autoSpaceDE/>
        <w:autoSpaceDN/>
        <w:bidi w:val="0"/>
        <w:spacing w:line="500" w:lineRule="exact"/>
        <w:ind w:left="0" w:leftChars="0" w:firstLine="0" w:firstLineChars="0"/>
        <w:jc w:val="left"/>
        <w:outlineLvl w:val="9"/>
        <w:rPr>
          <w:rFonts w:hint="default"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签发：王宏伟                         校对：</w:t>
      </w:r>
      <w:r>
        <w:rPr>
          <w:rFonts w:hint="eastAsia" w:ascii="仿宋" w:hAnsi="仿宋" w:eastAsia="仿宋" w:cs="仿宋"/>
          <w:b w:val="0"/>
          <w:bCs/>
          <w:color w:val="auto"/>
          <w:sz w:val="32"/>
          <w:szCs w:val="32"/>
          <w:lang w:val="en-US" w:eastAsia="zh-CN"/>
        </w:rPr>
        <w:t>彭国栋</w:t>
      </w:r>
    </w:p>
    <w:p w14:paraId="424025A7">
      <w:pPr>
        <w:keepNext w:val="0"/>
        <w:keepLines w:val="0"/>
        <w:pageBreakBefore w:val="0"/>
        <w:kinsoku/>
        <w:overflowPunct/>
        <w:autoSpaceDE/>
        <w:autoSpaceDN/>
        <w:bidi w:val="0"/>
        <w:spacing w:line="500" w:lineRule="exact"/>
        <w:ind w:left="0" w:leftChars="0" w:firstLine="320" w:firstLineChars="100"/>
        <w:jc w:val="left"/>
        <w:outlineLvl w:val="9"/>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14605</wp:posOffset>
                </wp:positionH>
                <wp:positionV relativeFrom="paragraph">
                  <wp:posOffset>8255</wp:posOffset>
                </wp:positionV>
                <wp:extent cx="5600700" cy="377190"/>
                <wp:effectExtent l="0" t="4445" r="0" b="18415"/>
                <wp:wrapNone/>
                <wp:docPr id="7" name="组合 7"/>
                <wp:cNvGraphicFramePr/>
                <a:graphic xmlns:a="http://schemas.openxmlformats.org/drawingml/2006/main">
                  <a:graphicData uri="http://schemas.microsoft.com/office/word/2010/wordprocessingGroup">
                    <wpg:wgp>
                      <wpg:cNvGrpSpPr/>
                      <wpg:grpSpPr>
                        <a:xfrm>
                          <a:off x="0" y="0"/>
                          <a:ext cx="5600700" cy="377190"/>
                          <a:chOff x="15967" y="116889"/>
                          <a:chExt cx="8820" cy="594"/>
                        </a:xfrm>
                        <a:effectLst/>
                      </wpg:grpSpPr>
                      <wps:wsp>
                        <wps:cNvPr id="8" name="直接连接符 4"/>
                        <wps:cNvCnPr/>
                        <wps:spPr>
                          <a:xfrm>
                            <a:off x="15967" y="116889"/>
                            <a:ext cx="8820" cy="0"/>
                          </a:xfrm>
                          <a:prstGeom prst="line">
                            <a:avLst/>
                          </a:prstGeom>
                          <a:ln w="9525" cap="flat" cmpd="sng">
                            <a:solidFill>
                              <a:srgbClr val="000000"/>
                            </a:solidFill>
                            <a:prstDash val="solid"/>
                            <a:round/>
                            <a:headEnd type="none" w="med" len="med"/>
                            <a:tailEnd type="none" w="med" len="med"/>
                          </a:ln>
                          <a:effectLst/>
                        </wps:spPr>
                        <wps:bodyPr upright="1"/>
                      </wps:wsp>
                      <wps:wsp>
                        <wps:cNvPr id="9" name="直接连接符 5"/>
                        <wps:cNvCnPr/>
                        <wps:spPr>
                          <a:xfrm>
                            <a:off x="15967" y="117483"/>
                            <a:ext cx="8820" cy="0"/>
                          </a:xfrm>
                          <a:prstGeom prst="line">
                            <a:avLst/>
                          </a:prstGeom>
                          <a:ln w="9525" cap="flat" cmpd="sng">
                            <a:solidFill>
                              <a:srgbClr val="000000"/>
                            </a:solidFill>
                            <a:prstDash val="solid"/>
                            <a:round/>
                            <a:headEnd type="none" w="med" len="med"/>
                            <a:tailEnd type="none" w="med" len="med"/>
                          </a:ln>
                          <a:effectLst/>
                        </wps:spPr>
                        <wps:bodyPr upright="1"/>
                      </wps:wsp>
                    </wpg:wgp>
                  </a:graphicData>
                </a:graphic>
              </wp:anchor>
            </w:drawing>
          </mc:Choice>
          <mc:Fallback>
            <w:pict>
              <v:group id="_x0000_s1026" o:spid="_x0000_s1026" o:spt="203" style="position:absolute;left:0pt;margin-left:1.15pt;margin-top:0.65pt;height:29.7pt;width:441pt;z-index:251659264;mso-width-relative:page;mso-height-relative:page;" coordorigin="15967,116889" coordsize="8820,594" o:gfxdata="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YkPcW&#10;1QAAAAYBAAAPAAAAAAAAAAEAIAAAACIAAABkcnMvZG93bnJldi54bWxQSwECFAAUAAAACACHTuJA&#10;P9sTf5YCAABmBwAADgAAAAAAAAABACAAAAAkAQAAZHJzL2Uyb0RvYy54bWxQSwUGAAAAAAYABgBZ&#10;AQAALAYAAAAA&#10;">
                <o:lock v:ext="edit" aspectratio="f"/>
                <v:line id="直接连接符 4" o:spid="_x0000_s1026" o:spt="20" style="position:absolute;left:15967;top:116889;height:0;width:8820;"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接连接符 5" o:spid="_x0000_s1026" o:spt="20" style="position:absolute;left:15967;top:117483;height:0;width:8820;"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安阳县人大常委会办公室            </w:t>
      </w:r>
      <w:r>
        <w:rPr>
          <w:rFonts w:hint="eastAsia" w:ascii="仿宋" w:hAnsi="仿宋" w:eastAsia="仿宋" w:cs="仿宋"/>
          <w:b w:val="0"/>
          <w:bCs/>
          <w:color w:val="000000" w:themeColor="text1"/>
          <w:sz w:val="32"/>
          <w:szCs w:val="32"/>
          <w14:textFill>
            <w14:solidFill>
              <w14:schemeClr w14:val="tx1"/>
            </w14:solidFill>
          </w14:textFill>
        </w:rPr>
        <w:t>20</w:t>
      </w:r>
      <w:r>
        <w:rPr>
          <w:rFonts w:hint="eastAsia" w:ascii="仿宋" w:hAnsi="仿宋" w:eastAsia="仿宋" w:cs="仿宋"/>
          <w:b w:val="0"/>
          <w:bCs/>
          <w:color w:val="000000" w:themeColor="text1"/>
          <w:sz w:val="32"/>
          <w:szCs w:val="32"/>
          <w:lang w:val="en-US" w:eastAsia="zh-CN"/>
          <w14:textFill>
            <w14:solidFill>
              <w14:schemeClr w14:val="tx1"/>
            </w14:solidFill>
          </w14:textFill>
        </w:rPr>
        <w:t>24</w:t>
      </w:r>
      <w:r>
        <w:rPr>
          <w:rFonts w:hint="eastAsia" w:ascii="仿宋" w:hAnsi="仿宋" w:eastAsia="仿宋" w:cs="仿宋"/>
          <w:b w:val="0"/>
          <w:bCs/>
          <w:color w:val="000000" w:themeColor="text1"/>
          <w:sz w:val="32"/>
          <w:szCs w:val="32"/>
          <w14:textFill>
            <w14:solidFill>
              <w14:schemeClr w14:val="tx1"/>
            </w14:solidFill>
          </w14:textFill>
        </w:rPr>
        <w:t>年</w:t>
      </w:r>
      <w:r>
        <w:rPr>
          <w:rFonts w:hint="eastAsia" w:ascii="仿宋" w:hAnsi="仿宋" w:eastAsia="仿宋" w:cs="仿宋"/>
          <w:b w:val="0"/>
          <w:bCs/>
          <w:color w:val="000000" w:themeColor="text1"/>
          <w:sz w:val="32"/>
          <w:szCs w:val="32"/>
          <w:lang w:val="en-US" w:eastAsia="zh-CN"/>
          <w14:textFill>
            <w14:solidFill>
              <w14:schemeClr w14:val="tx1"/>
            </w14:solidFill>
          </w14:textFill>
        </w:rPr>
        <w:t>9</w:t>
      </w:r>
      <w:r>
        <w:rPr>
          <w:rFonts w:hint="eastAsia" w:ascii="仿宋" w:hAnsi="仿宋" w:eastAsia="仿宋" w:cs="仿宋"/>
          <w:b w:val="0"/>
          <w:bCs/>
          <w:color w:val="000000" w:themeColor="text1"/>
          <w:sz w:val="32"/>
          <w:szCs w:val="32"/>
          <w14:textFill>
            <w14:solidFill>
              <w14:schemeClr w14:val="tx1"/>
            </w14:solidFill>
          </w14:textFill>
        </w:rPr>
        <w:t>月</w:t>
      </w:r>
      <w:r>
        <w:rPr>
          <w:rFonts w:hint="eastAsia" w:ascii="仿宋" w:hAnsi="仿宋" w:eastAsia="仿宋" w:cs="仿宋"/>
          <w:b w:val="0"/>
          <w:bCs/>
          <w:color w:val="000000" w:themeColor="text1"/>
          <w:sz w:val="32"/>
          <w:szCs w:val="32"/>
          <w:lang w:val="en-US" w:eastAsia="zh-CN"/>
          <w14:textFill>
            <w14:solidFill>
              <w14:schemeClr w14:val="tx1"/>
            </w14:solidFill>
          </w14:textFill>
        </w:rPr>
        <w:t>24</w:t>
      </w:r>
      <w:r>
        <w:rPr>
          <w:rFonts w:hint="eastAsia" w:ascii="仿宋" w:hAnsi="仿宋" w:eastAsia="仿宋" w:cs="仿宋"/>
          <w:b w:val="0"/>
          <w:bCs/>
          <w:color w:val="000000" w:themeColor="text1"/>
          <w:sz w:val="32"/>
          <w:szCs w:val="32"/>
          <w14:textFill>
            <w14:solidFill>
              <w14:schemeClr w14:val="tx1"/>
            </w14:solidFill>
          </w14:textFill>
        </w:rPr>
        <w:t>日印</w:t>
      </w:r>
    </w:p>
    <w:sectPr>
      <w:footerReference r:id="rId3" w:type="default"/>
      <w:pgSz w:w="11906" w:h="16838"/>
      <w:pgMar w:top="2098" w:right="1531" w:bottom="1984" w:left="153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432EF">
    <w:pPr>
      <w:pStyle w:val="4"/>
      <w:tabs>
        <w:tab w:val="left" w:pos="5811"/>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9E95BC">
                          <w:pPr>
                            <w:pStyle w:val="4"/>
                            <w:rPr>
                              <w:rFonts w:hint="eastAsia" w:eastAsia="宋体"/>
                              <w:lang w:eastAsia="zh-CN"/>
                            </w:rPr>
                          </w:pPr>
                          <w:r>
                            <w:rPr>
                              <w:rFonts w:hint="eastAsia"/>
                              <w:lang w:eastAsia="zh-CN"/>
                            </w:rPr>
                            <w:t xml:space="preserve">— </w:t>
                          </w: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r>
                            <w:rPr>
                              <w:rFonts w:hint="eastAsia"/>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C9E95BC">
                    <w:pPr>
                      <w:pStyle w:val="4"/>
                      <w:rPr>
                        <w:rFonts w:hint="eastAsia" w:eastAsia="宋体"/>
                        <w:lang w:eastAsia="zh-CN"/>
                      </w:rPr>
                    </w:pPr>
                    <w:r>
                      <w:rPr>
                        <w:rFonts w:hint="eastAsia"/>
                        <w:lang w:eastAsia="zh-CN"/>
                      </w:rPr>
                      <w:t xml:space="preserve">— </w:t>
                    </w: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r>
                      <w:rPr>
                        <w:rFonts w:hint="eastAsia"/>
                        <w:lang w:eastAsia="zh-CN"/>
                      </w:rPr>
                      <w:t xml:space="preserve"> —</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B9F5D9"/>
    <w:multiLevelType w:val="singleLevel"/>
    <w:tmpl w:val="23B9F5D9"/>
    <w:lvl w:ilvl="0" w:tentative="0">
      <w:start w:val="1"/>
      <w:numFmt w:val="chineseCounting"/>
      <w:suff w:val="nothing"/>
      <w:lvlText w:val="（%1）"/>
      <w:lvlJc w:val="left"/>
      <w:rPr>
        <w:rFonts w:hint="eastAsia"/>
      </w:rPr>
    </w:lvl>
  </w:abstractNum>
  <w:abstractNum w:abstractNumId="1">
    <w:nsid w:val="2A83E353"/>
    <w:multiLevelType w:val="singleLevel"/>
    <w:tmpl w:val="2A83E353"/>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YmE1MzRkNjAwMTg5ZGIzOTA1ZTdmYWRjZGE3M2YifQ=="/>
  </w:docVars>
  <w:rsids>
    <w:rsidRoot w:val="00000000"/>
    <w:rsid w:val="001D6784"/>
    <w:rsid w:val="011E1AB9"/>
    <w:rsid w:val="012A217A"/>
    <w:rsid w:val="03321D76"/>
    <w:rsid w:val="04612394"/>
    <w:rsid w:val="047D2CB0"/>
    <w:rsid w:val="055046EE"/>
    <w:rsid w:val="060B5399"/>
    <w:rsid w:val="079F13B0"/>
    <w:rsid w:val="085830AB"/>
    <w:rsid w:val="09622083"/>
    <w:rsid w:val="0999028A"/>
    <w:rsid w:val="09E70060"/>
    <w:rsid w:val="0A5B13F8"/>
    <w:rsid w:val="0B1D4576"/>
    <w:rsid w:val="0BEF2EC4"/>
    <w:rsid w:val="0BF71CBE"/>
    <w:rsid w:val="0C152235"/>
    <w:rsid w:val="0EBA5748"/>
    <w:rsid w:val="0EEA0CA3"/>
    <w:rsid w:val="0EFE2CF3"/>
    <w:rsid w:val="10AC6240"/>
    <w:rsid w:val="10B97ACD"/>
    <w:rsid w:val="10BD00C2"/>
    <w:rsid w:val="13DF4698"/>
    <w:rsid w:val="147C10A3"/>
    <w:rsid w:val="15713360"/>
    <w:rsid w:val="158E274F"/>
    <w:rsid w:val="1755587E"/>
    <w:rsid w:val="186C2721"/>
    <w:rsid w:val="194002DD"/>
    <w:rsid w:val="1B0F3806"/>
    <w:rsid w:val="1B773E00"/>
    <w:rsid w:val="1CAD6EBC"/>
    <w:rsid w:val="1E532F0F"/>
    <w:rsid w:val="1E710CE1"/>
    <w:rsid w:val="1E8E20FF"/>
    <w:rsid w:val="1F245184"/>
    <w:rsid w:val="1F5529BF"/>
    <w:rsid w:val="1FA75A7E"/>
    <w:rsid w:val="219D08AB"/>
    <w:rsid w:val="24CD360C"/>
    <w:rsid w:val="25315C21"/>
    <w:rsid w:val="26F830F9"/>
    <w:rsid w:val="27FB1578"/>
    <w:rsid w:val="28CA6518"/>
    <w:rsid w:val="2937535A"/>
    <w:rsid w:val="29F36EAD"/>
    <w:rsid w:val="2AA252C2"/>
    <w:rsid w:val="2AF1611B"/>
    <w:rsid w:val="2B5E333B"/>
    <w:rsid w:val="2B9E2E72"/>
    <w:rsid w:val="2BDE3F9A"/>
    <w:rsid w:val="2C39381C"/>
    <w:rsid w:val="2C930F48"/>
    <w:rsid w:val="2CC27766"/>
    <w:rsid w:val="2CFC7DB2"/>
    <w:rsid w:val="2D314CC9"/>
    <w:rsid w:val="2DAC25A2"/>
    <w:rsid w:val="2E0A5227"/>
    <w:rsid w:val="2E0F48DF"/>
    <w:rsid w:val="2E61568C"/>
    <w:rsid w:val="2EE06943"/>
    <w:rsid w:val="30FE70C3"/>
    <w:rsid w:val="31857E6B"/>
    <w:rsid w:val="33472EF7"/>
    <w:rsid w:val="338065F8"/>
    <w:rsid w:val="33C341A1"/>
    <w:rsid w:val="352344BE"/>
    <w:rsid w:val="371B1F45"/>
    <w:rsid w:val="37563CD9"/>
    <w:rsid w:val="39DF3429"/>
    <w:rsid w:val="3A9B2BAA"/>
    <w:rsid w:val="3B033A5B"/>
    <w:rsid w:val="3B08397A"/>
    <w:rsid w:val="3B154C1E"/>
    <w:rsid w:val="3B4D3BE7"/>
    <w:rsid w:val="3B7641EF"/>
    <w:rsid w:val="3B8975AA"/>
    <w:rsid w:val="3BF94D64"/>
    <w:rsid w:val="3C800897"/>
    <w:rsid w:val="3CD97C6F"/>
    <w:rsid w:val="3E3D5C08"/>
    <w:rsid w:val="3E4D275D"/>
    <w:rsid w:val="3FCE0156"/>
    <w:rsid w:val="3FF87062"/>
    <w:rsid w:val="44E81CBA"/>
    <w:rsid w:val="45191EB0"/>
    <w:rsid w:val="45751990"/>
    <w:rsid w:val="46342374"/>
    <w:rsid w:val="469453D9"/>
    <w:rsid w:val="46BF5BF9"/>
    <w:rsid w:val="46CD53D4"/>
    <w:rsid w:val="46EB40C3"/>
    <w:rsid w:val="48C36528"/>
    <w:rsid w:val="4A250C96"/>
    <w:rsid w:val="4B237E27"/>
    <w:rsid w:val="4C2E1D3A"/>
    <w:rsid w:val="4CAA1DB9"/>
    <w:rsid w:val="4CB53E4C"/>
    <w:rsid w:val="4D92143E"/>
    <w:rsid w:val="4F0608F3"/>
    <w:rsid w:val="4F89095F"/>
    <w:rsid w:val="50772144"/>
    <w:rsid w:val="519F6BB7"/>
    <w:rsid w:val="521C23D7"/>
    <w:rsid w:val="548007CE"/>
    <w:rsid w:val="56310F6B"/>
    <w:rsid w:val="5684229D"/>
    <w:rsid w:val="58963A5D"/>
    <w:rsid w:val="58A154DA"/>
    <w:rsid w:val="59BF6E3C"/>
    <w:rsid w:val="5B0308FE"/>
    <w:rsid w:val="5BF7479D"/>
    <w:rsid w:val="5C127A55"/>
    <w:rsid w:val="5E6865A1"/>
    <w:rsid w:val="5E83071A"/>
    <w:rsid w:val="5F512FD1"/>
    <w:rsid w:val="5F6333A3"/>
    <w:rsid w:val="60414542"/>
    <w:rsid w:val="608621C2"/>
    <w:rsid w:val="61273907"/>
    <w:rsid w:val="636B4F67"/>
    <w:rsid w:val="64144D57"/>
    <w:rsid w:val="646B4AEE"/>
    <w:rsid w:val="64895105"/>
    <w:rsid w:val="64AC2F45"/>
    <w:rsid w:val="665265A9"/>
    <w:rsid w:val="66C25908"/>
    <w:rsid w:val="67A870B2"/>
    <w:rsid w:val="67C63422"/>
    <w:rsid w:val="68587E4B"/>
    <w:rsid w:val="68EE106A"/>
    <w:rsid w:val="697117B7"/>
    <w:rsid w:val="6D135559"/>
    <w:rsid w:val="6DFA607F"/>
    <w:rsid w:val="702C3DD7"/>
    <w:rsid w:val="72BE39A5"/>
    <w:rsid w:val="73084D83"/>
    <w:rsid w:val="735C3A8E"/>
    <w:rsid w:val="74976A4A"/>
    <w:rsid w:val="74B51309"/>
    <w:rsid w:val="75096ADA"/>
    <w:rsid w:val="752A0BF8"/>
    <w:rsid w:val="77475A05"/>
    <w:rsid w:val="778E048E"/>
    <w:rsid w:val="78996D4C"/>
    <w:rsid w:val="78E27BBB"/>
    <w:rsid w:val="78FB7506"/>
    <w:rsid w:val="7B5C68A6"/>
    <w:rsid w:val="7DDD07EE"/>
    <w:rsid w:val="7E9922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pPr>
  </w:style>
  <w:style w:type="paragraph" w:customStyle="1" w:styleId="9">
    <w:name w:val="标题 2{858D7CFB-ED40-4347-BF05-701D383B685F}{858D7CFB-ED40-4347-BF05-701D383B685F}"/>
    <w:basedOn w:val="1"/>
    <w:qFormat/>
    <w:uiPriority w:val="0"/>
    <w:pPr>
      <w:adjustRightInd/>
      <w:snapToGrid/>
      <w:spacing w:after="0" w:line="527" w:lineRule="atLeast"/>
      <w:jc w:val="center"/>
      <w:textAlignment w:val="baseline"/>
    </w:pPr>
    <w:rPr>
      <w:rFonts w:ascii="Times New Roman" w:hAnsi="Times New Roman" w:eastAsia="宋体" w:cs="Times New Roman"/>
      <w:b/>
      <w:color w:val="000000"/>
      <w:sz w:val="28"/>
      <w:szCs w:val="20"/>
    </w:rPr>
  </w:style>
  <w:style w:type="paragraph" w:customStyle="1" w:styleId="10">
    <w:name w:val="p0"/>
    <w:basedOn w:val="1"/>
    <w:autoRedefine/>
    <w:qFormat/>
    <w:uiPriority w:val="0"/>
    <w:pPr>
      <w:adjustRightInd/>
      <w:snapToGrid/>
      <w:spacing w:after="0" w:line="578" w:lineRule="atLeast"/>
      <w:jc w:val="both"/>
      <w:textAlignment w:val="baseline"/>
    </w:pPr>
    <w:rPr>
      <w:rFonts w:ascii="Times New Roman" w:hAnsi="Times New Roman" w:eastAsia="宋体" w:cs="Times New Roman"/>
      <w:color w:val="000000"/>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5493</Words>
  <Characters>6496</Characters>
  <Lines>0</Lines>
  <Paragraphs>0</Paragraphs>
  <TotalTime>2</TotalTime>
  <ScaleCrop>false</ScaleCrop>
  <LinksUpToDate>false</LinksUpToDate>
  <CharactersWithSpaces>6541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2021-09-01T09:33:00Z</dcterms:created>
  <dc:creator>Administrator</dc:creator>
  <cp:lastModifiedBy>小彭</cp:lastModifiedBy>
  <cp:lastPrinted>2024-09-12T02:49:00Z</cp:lastPrinted>
  <dcterms:modified xsi:type="dcterms:W3CDTF">2024-09-24T01:28:30Z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47DF0BEDB91F4B7DA32C8014D8496865_13</vt:lpwstr>
  </property>
</Properties>
</file>