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300" w:lineRule="exact"/>
        <w:ind w:right="-512" w:rightChars="-244"/>
        <w:jc w:val="both"/>
        <w:textAlignment w:val="auto"/>
        <w:rPr>
          <w:rFonts w:hint="eastAsia"/>
          <w:b/>
          <w:color w:val="FF0000"/>
          <w:spacing w:val="-23"/>
          <w:w w:val="50"/>
          <w:sz w:val="120"/>
          <w:szCs w:val="120"/>
        </w:rPr>
      </w:pPr>
      <w:r>
        <w:rPr>
          <w:rFonts w:hint="eastAsia" w:ascii="Times New Roman"/>
          <w:sz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300" w:lineRule="exact"/>
        <w:ind w:left="1107" w:leftChars="-295" w:right="-512" w:rightChars="-244" w:hanging="1726" w:hangingChars="309"/>
        <w:jc w:val="center"/>
        <w:textAlignment w:val="auto"/>
        <w:rPr>
          <w:rFonts w:hint="eastAsia"/>
          <w:b/>
          <w:color w:val="FF0000"/>
          <w:spacing w:val="-23"/>
          <w:w w:val="50"/>
          <w:sz w:val="120"/>
          <w:szCs w:val="120"/>
          <w:lang w:eastAsia="zh-CN"/>
        </w:rPr>
      </w:pPr>
      <w:r>
        <w:rPr>
          <w:rFonts w:hint="eastAsia"/>
          <w:b/>
          <w:color w:val="FF0000"/>
          <w:spacing w:val="-23"/>
          <w:w w:val="50"/>
          <w:sz w:val="120"/>
          <w:szCs w:val="120"/>
        </w:rPr>
        <w:t>林州市</w:t>
      </w:r>
      <w:r>
        <w:rPr>
          <w:rFonts w:hint="eastAsia"/>
          <w:b/>
          <w:color w:val="FF0000"/>
          <w:spacing w:val="-23"/>
          <w:w w:val="50"/>
          <w:sz w:val="120"/>
          <w:szCs w:val="120"/>
          <w:lang w:eastAsia="zh-CN"/>
        </w:rPr>
        <w:t>人民政府推进政府职能转变和</w:t>
      </w:r>
    </w:p>
    <w:p>
      <w:pPr>
        <w:keepNext w:val="0"/>
        <w:keepLines w:val="0"/>
        <w:pageBreakBefore w:val="0"/>
        <w:widowControl w:val="0"/>
        <w:kinsoku/>
        <w:wordWrap/>
        <w:overflowPunct/>
        <w:topLinePunct w:val="0"/>
        <w:autoSpaceDE/>
        <w:autoSpaceDN/>
        <w:bidi w:val="0"/>
        <w:adjustRightInd/>
        <w:snapToGrid/>
        <w:spacing w:line="1300" w:lineRule="exact"/>
        <w:ind w:left="1107" w:leftChars="-295" w:right="-512" w:rightChars="-244" w:hanging="1726" w:hangingChars="309"/>
        <w:jc w:val="center"/>
        <w:textAlignment w:val="auto"/>
        <w:rPr>
          <w:rFonts w:hint="eastAsia"/>
          <w:b/>
          <w:color w:val="FF0000"/>
          <w:spacing w:val="-23"/>
          <w:w w:val="50"/>
          <w:sz w:val="120"/>
          <w:szCs w:val="120"/>
          <w:lang w:eastAsia="zh-CN"/>
        </w:rPr>
      </w:pPr>
      <w:r>
        <w:rPr>
          <w:rFonts w:hint="eastAsia"/>
          <w:b/>
          <w:color w:val="FF0000"/>
          <w:spacing w:val="-23"/>
          <w:w w:val="50"/>
          <w:sz w:val="120"/>
          <w:szCs w:val="120"/>
          <w:lang w:eastAsia="zh-CN"/>
        </w:rPr>
        <w:t>“放管服”改革协调小组</w:t>
      </w:r>
      <w:r>
        <w:rPr>
          <w:rFonts w:hint="eastAsia"/>
          <w:b/>
          <w:color w:val="FF0000"/>
          <w:spacing w:val="-23"/>
          <w:w w:val="50"/>
          <w:sz w:val="120"/>
          <w:szCs w:val="120"/>
        </w:rPr>
        <w:t>办公室文件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b/>
          <w:spacing w:val="-10"/>
          <w:w w:val="31"/>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eastAsiaTheme="minorEastAsia"/>
          <w:b/>
          <w:spacing w:val="-10"/>
          <w:w w:val="31"/>
          <w:sz w:val="24"/>
          <w:szCs w:val="24"/>
          <w:lang w:eastAsia="zh-CN"/>
        </w:rPr>
      </w:pPr>
    </w:p>
    <w:p>
      <w:pPr>
        <w:jc w:val="center"/>
        <w:rPr>
          <w:rFonts w:hint="eastAsia" w:ascii="仿宋_GB2312" w:hAnsi="仿宋_GB2312" w:eastAsia="仿宋_GB2312" w:cs="仿宋_GB2312"/>
          <w:b w:val="0"/>
          <w:bCs/>
          <w:spacing w:val="0"/>
          <w:w w:val="100"/>
          <w:sz w:val="32"/>
          <w:szCs w:val="32"/>
          <w:lang w:val="en-US" w:eastAsia="zh-CN"/>
        </w:rPr>
      </w:pPr>
      <w:r>
        <w:rPr>
          <w:rFonts w:hint="eastAsia" w:ascii="仿宋_GB2312" w:hAnsi="仿宋_GB2312" w:eastAsia="仿宋_GB2312" w:cs="仿宋_GB2312"/>
          <w:b w:val="0"/>
          <w:bCs/>
          <w:spacing w:val="0"/>
          <w:w w:val="100"/>
          <w:sz w:val="32"/>
          <w:szCs w:val="32"/>
          <w:lang w:val="en-US" w:eastAsia="zh-CN"/>
        </w:rPr>
        <w:t>林放管服办</w:t>
      </w:r>
      <w:r>
        <w:rPr>
          <w:rFonts w:hint="eastAsia" w:ascii="仿宋_GB2312" w:hAnsi="仿宋_GB2312" w:eastAsia="仿宋_GB2312" w:cs="仿宋_GB2312"/>
          <w:b w:val="0"/>
          <w:bCs/>
          <w:snapToGrid w:val="0"/>
          <w:spacing w:val="0"/>
          <w:w w:val="100"/>
          <w:kern w:val="0"/>
          <w:sz w:val="32"/>
          <w:szCs w:val="32"/>
          <w:lang w:eastAsia="zh-CN"/>
        </w:rPr>
        <w:t>〔</w:t>
      </w:r>
      <w:r>
        <w:rPr>
          <w:rFonts w:hint="eastAsia" w:ascii="仿宋" w:hAnsi="仿宋" w:eastAsia="仿宋" w:cs="仿宋"/>
          <w:sz w:val="32"/>
          <w:szCs w:val="32"/>
          <w:lang w:val="en-US" w:eastAsia="zh-CN"/>
        </w:rPr>
        <w:t>2023</w:t>
      </w:r>
      <w:r>
        <w:rPr>
          <w:rFonts w:hint="eastAsia" w:ascii="仿宋_GB2312" w:hAnsi="仿宋_GB2312" w:eastAsia="仿宋_GB2312" w:cs="仿宋_GB2312"/>
          <w:b w:val="0"/>
          <w:bCs/>
          <w:spacing w:val="0"/>
          <w:w w:val="100"/>
          <w:sz w:val="32"/>
          <w:szCs w:val="32"/>
          <w:lang w:val="en-US" w:eastAsia="zh-CN"/>
        </w:rPr>
        <w:t>〕11号</w:t>
      </w:r>
    </w:p>
    <w:p>
      <w:pPr>
        <w:spacing w:line="600" w:lineRule="auto"/>
        <w:ind w:firstLine="640" w:firstLineChars="200"/>
        <w:rPr>
          <w:rFonts w:hint="eastAsia" w:ascii="仿宋_GB2312" w:hAnsi="方正仿宋_GBK" w:eastAsia="仿宋_GB2312" w:cs="方正仿宋_GBK"/>
          <w:color w:val="000000"/>
          <w:kern w:val="0"/>
          <w:sz w:val="32"/>
          <w:szCs w:val="32"/>
          <w:lang w:val="en-US" w:eastAsia="zh-CN"/>
        </w:rPr>
      </w:pPr>
      <w:r>
        <w:rPr>
          <w:rFonts w:hint="eastAsia" w:ascii="仿宋_GB2312" w:hAnsi="方正仿宋_GBK" w:eastAsia="仿宋_GB2312" w:cs="方正仿宋_GBK"/>
          <w:color w:val="000000"/>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-138430</wp:posOffset>
                </wp:positionH>
                <wp:positionV relativeFrom="paragraph">
                  <wp:posOffset>132080</wp:posOffset>
                </wp:positionV>
                <wp:extent cx="56578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57850" cy="635"/>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9pt;margin-top:10.4pt;height:0.05pt;width:445.5pt;z-index:251662336;mso-width-relative:page;mso-height-relative:page;" filled="f" stroked="t" coordsize="21600,21600" o:gfxdata="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Ykk/YAAAACQEAAA8AAAAAAAAAAQAgAAAAIgAAAGRycy9kb3du&#10;cmV2LnhtbFBLAQIUABQAAAAIAIdO4kCZmtHW/wEAAPUDAAAOAAAAAAAAAAEAIAAAACcBAABkcnMv&#10;ZTJvRG9jLnhtbFBLBQYAAAAABgAGAFkBAACYBQAAAAA=&#10;">
                <v:fill on="f" focussize="0,0"/>
                <v:stroke weight="1.25pt" color="#FF0000" joinstyle="round"/>
                <v:imagedata o:title=""/>
                <o:lock v:ext="edit" aspectratio="f"/>
              </v:line>
            </w:pict>
          </mc:Fallback>
        </mc:AlternateContent>
      </w:r>
    </w:p>
    <w:p>
      <w:pPr>
        <w:pStyle w:val="4"/>
        <w:keepNext/>
        <w:keepLines/>
        <w:pageBreakBefore w:val="0"/>
        <w:widowControl w:val="0"/>
        <w:kinsoku/>
        <w:wordWrap/>
        <w:overflowPunct/>
        <w:topLinePunct w:val="0"/>
        <w:autoSpaceDE/>
        <w:autoSpaceDN/>
        <w:bidi w:val="0"/>
        <w:adjustRightInd/>
        <w:snapToGrid/>
        <w:spacing w:before="220" w:after="210" w:line="600" w:lineRule="auto"/>
        <w:jc w:val="center"/>
        <w:textAlignment w:val="auto"/>
        <w:rPr>
          <w:rFonts w:hint="eastAsia" w:ascii="仿宋_GB2312" w:hAnsi="方正仿宋_GBK" w:eastAsia="仿宋_GB2312" w:cs="方正仿宋_GBK"/>
          <w:color w:val="000000"/>
          <w:kern w:val="0"/>
          <w:sz w:val="32"/>
          <w:szCs w:val="32"/>
        </w:rPr>
      </w:pPr>
      <w:r>
        <w:rPr>
          <w:rFonts w:hint="eastAsia" w:ascii="黑体" w:hAnsi="黑体" w:eastAsia="黑体" w:cs="黑体"/>
          <w:b/>
          <w:spacing w:val="-20"/>
          <w:sz w:val="44"/>
        </w:rPr>
        <w:t>关于印发</w:t>
      </w:r>
      <w:r>
        <w:rPr>
          <w:rFonts w:hint="eastAsia" w:ascii="黑体" w:hAnsi="黑体" w:eastAsia="黑体" w:cs="黑体"/>
          <w:b/>
          <w:spacing w:val="-20"/>
          <w:sz w:val="44"/>
          <w:lang w:eastAsia="zh-CN"/>
        </w:rPr>
        <w:t>林州</w:t>
      </w:r>
      <w:r>
        <w:rPr>
          <w:rFonts w:hint="eastAsia" w:ascii="黑体" w:hAnsi="黑体" w:eastAsia="黑体" w:cs="黑体"/>
          <w:b/>
          <w:spacing w:val="-20"/>
          <w:sz w:val="44"/>
        </w:rPr>
        <w:t>市加快推进政务服务“一件事一次办”改革实施方案（试行）的通知</w:t>
      </w:r>
    </w:p>
    <w:p>
      <w:pPr>
        <w:spacing w:line="580" w:lineRule="exact"/>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市人民政府各部门：</w:t>
      </w:r>
    </w:p>
    <w:p>
      <w:pPr>
        <w:spacing w:line="580"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按照《河南省人民政府办公厅关于印发河南省加快推进政务服务“一件事一次办”改革实施方案的通知》（豫政办〔2023〕22号）</w:t>
      </w:r>
      <w:r>
        <w:rPr>
          <w:rFonts w:hint="eastAsia" w:ascii="仿宋_GB2312" w:hAnsi="方正仿宋_GBK" w:eastAsia="仿宋_GB2312" w:cs="方正仿宋_GBK"/>
          <w:color w:val="000000"/>
          <w:kern w:val="0"/>
          <w:sz w:val="32"/>
          <w:szCs w:val="32"/>
          <w:lang w:eastAsia="zh-CN"/>
        </w:rPr>
        <w:t>和</w:t>
      </w:r>
      <w:r>
        <w:rPr>
          <w:rFonts w:hint="eastAsia" w:ascii="仿宋_GB2312" w:hAnsi="方正仿宋_GBK" w:eastAsia="仿宋_GB2312" w:cs="方正仿宋_GBK"/>
          <w:color w:val="000000"/>
          <w:kern w:val="0"/>
          <w:sz w:val="32"/>
          <w:szCs w:val="32"/>
        </w:rPr>
        <w:t>《安阳市加快推进政务服务“一件事一次办”改革实施方案（试行）》（</w:t>
      </w:r>
      <w:r>
        <w:rPr>
          <w:rFonts w:hint="eastAsia" w:ascii="仿宋_GB2312" w:hAnsi="方正仿宋_GBK" w:eastAsia="仿宋_GB2312" w:cs="方正仿宋_GBK"/>
          <w:color w:val="000000"/>
          <w:kern w:val="0"/>
          <w:sz w:val="32"/>
          <w:szCs w:val="32"/>
          <w:lang w:eastAsia="zh-CN"/>
        </w:rPr>
        <w:t>安审服办</w:t>
      </w:r>
      <w:r>
        <w:rPr>
          <w:rFonts w:hint="eastAsia" w:ascii="仿宋_GB2312" w:hAnsi="方正仿宋_GBK" w:eastAsia="仿宋_GB2312" w:cs="方正仿宋_GBK"/>
          <w:color w:val="000000"/>
          <w:kern w:val="0"/>
          <w:sz w:val="32"/>
          <w:szCs w:val="32"/>
        </w:rPr>
        <w:t>〔2023〕</w:t>
      </w:r>
      <w:r>
        <w:rPr>
          <w:rFonts w:hint="eastAsia" w:ascii="仿宋_GB2312" w:hAnsi="方正仿宋_GBK" w:eastAsia="仿宋_GB2312" w:cs="方正仿宋_GBK"/>
          <w:color w:val="000000"/>
          <w:kern w:val="0"/>
          <w:sz w:val="32"/>
          <w:szCs w:val="32"/>
          <w:lang w:val="en-US" w:eastAsia="zh-CN"/>
        </w:rPr>
        <w:t>3</w:t>
      </w:r>
      <w:r>
        <w:rPr>
          <w:rFonts w:hint="eastAsia" w:ascii="仿宋_GB2312" w:hAnsi="方正仿宋_GBK" w:eastAsia="仿宋_GB2312" w:cs="方正仿宋_GBK"/>
          <w:color w:val="000000"/>
          <w:kern w:val="0"/>
          <w:sz w:val="32"/>
          <w:szCs w:val="32"/>
        </w:rPr>
        <w:t>号）要求，特制定《</w:t>
      </w:r>
      <w:r>
        <w:rPr>
          <w:rFonts w:hint="eastAsia" w:ascii="仿宋_GB2312" w:hAnsi="方正仿宋_GBK" w:eastAsia="仿宋_GB2312" w:cs="方正仿宋_GBK"/>
          <w:color w:val="000000"/>
          <w:kern w:val="0"/>
          <w:sz w:val="32"/>
          <w:szCs w:val="32"/>
          <w:lang w:eastAsia="zh-CN"/>
        </w:rPr>
        <w:t>林州</w:t>
      </w:r>
      <w:r>
        <w:rPr>
          <w:rFonts w:hint="eastAsia" w:ascii="仿宋_GB2312" w:hAnsi="方正仿宋_GBK" w:eastAsia="仿宋_GB2312" w:cs="方正仿宋_GBK"/>
          <w:color w:val="000000"/>
          <w:kern w:val="0"/>
          <w:sz w:val="32"/>
          <w:szCs w:val="32"/>
        </w:rPr>
        <w:t>市加快推进政务服务“一件事一次办”改革实施方案（试行）》，现印发给你们，请认真贯彻执行。</w:t>
      </w:r>
    </w:p>
    <w:p>
      <w:pPr>
        <w:spacing w:line="580" w:lineRule="exact"/>
        <w:rPr>
          <w:rFonts w:hint="eastAsia" w:ascii="仿宋_GB2312" w:hAnsi="方正仿宋_GBK" w:eastAsia="仿宋_GB2312"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w w:val="100"/>
          <w:sz w:val="32"/>
          <w:szCs w:val="32"/>
          <w:lang w:val="en-US" w:eastAsia="zh-CN"/>
        </w:rPr>
      </w:pPr>
      <w:bookmarkStart w:id="0" w:name="_GoBack"/>
      <w:bookmarkEnd w:id="0"/>
      <w:r>
        <w:rPr>
          <w:rFonts w:hint="eastAsia" w:ascii="仿宋" w:hAnsi="仿宋" w:eastAsia="仿宋" w:cs="仿宋"/>
          <w:w w:val="100"/>
          <w:sz w:val="32"/>
          <w:szCs w:val="32"/>
          <w:lang w:val="en-US" w:eastAsia="zh-CN"/>
        </w:rPr>
        <w:t>林州市人民政府推进政府职能转变和</w:t>
      </w:r>
    </w:p>
    <w:p>
      <w:pPr>
        <w:pStyle w:val="9"/>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 xml:space="preserve">                    “放管服”改革协调小组办公室</w:t>
      </w:r>
    </w:p>
    <w:p>
      <w:pPr>
        <w:pStyle w:val="9"/>
        <w:spacing w:line="360" w:lineRule="auto"/>
        <w:ind w:firstLine="5120" w:firstLineChars="1600"/>
        <w:jc w:val="both"/>
        <w:rPr>
          <w:rFonts w:hint="default"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2023年6月28日</w:t>
      </w:r>
    </w:p>
    <w:p>
      <w:pPr>
        <w:spacing w:line="580" w:lineRule="exact"/>
        <w:rPr>
          <w:rFonts w:hint="eastAsia" w:ascii="仿宋_GB2312" w:hAnsi="方正仿宋_GBK" w:eastAsia="仿宋_GB2312" w:cs="方正仿宋_GBK"/>
          <w:color w:val="000000"/>
          <w:kern w:val="0"/>
          <w:sz w:val="32"/>
          <w:szCs w:val="32"/>
        </w:rPr>
      </w:pPr>
    </w:p>
    <w:p>
      <w:pPr>
        <w:spacing w:line="580" w:lineRule="exact"/>
        <w:ind w:firstLine="640" w:firstLineChars="200"/>
        <w:rPr>
          <w:rFonts w:hint="eastAsia" w:ascii="仿宋_GB2312" w:hAnsi="方正仿宋_GBK" w:eastAsia="仿宋_GB2312" w:cs="方正仿宋_GBK"/>
          <w:color w:val="000000"/>
          <w:kern w:val="0"/>
          <w:sz w:val="32"/>
          <w:szCs w:val="32"/>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both"/>
        <w:rPr>
          <w:rFonts w:hint="eastAsia" w:ascii="黑体" w:hAnsi="黑体" w:eastAsia="黑体" w:cs="黑体"/>
          <w:b/>
          <w:spacing w:val="-20"/>
          <w:sz w:val="44"/>
          <w:lang w:eastAsia="zh-CN"/>
        </w:rPr>
      </w:pPr>
    </w:p>
    <w:p>
      <w:pPr>
        <w:pStyle w:val="2"/>
        <w:rPr>
          <w:rFonts w:hint="eastAsia"/>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both"/>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lang w:eastAsia="zh-CN"/>
        </w:rPr>
      </w:pPr>
    </w:p>
    <w:p>
      <w:pPr>
        <w:spacing w:line="600" w:lineRule="auto"/>
        <w:jc w:val="center"/>
        <w:rPr>
          <w:rFonts w:hint="eastAsia" w:ascii="黑体" w:hAnsi="黑体" w:eastAsia="黑体" w:cs="黑体"/>
          <w:b/>
          <w:spacing w:val="-20"/>
          <w:sz w:val="44"/>
        </w:rPr>
      </w:pPr>
      <w:r>
        <w:rPr>
          <w:rFonts w:hint="eastAsia" w:ascii="黑体" w:hAnsi="黑体" w:eastAsia="黑体" w:cs="黑体"/>
          <w:b/>
          <w:spacing w:val="-20"/>
          <w:sz w:val="44"/>
          <w:lang w:eastAsia="zh-CN"/>
        </w:rPr>
        <w:t>林州</w:t>
      </w:r>
      <w:r>
        <w:rPr>
          <w:rFonts w:hint="eastAsia" w:ascii="黑体" w:hAnsi="黑体" w:eastAsia="黑体" w:cs="黑体"/>
          <w:b/>
          <w:spacing w:val="-20"/>
          <w:sz w:val="44"/>
        </w:rPr>
        <w:t>市加快推进政务服务“一件事一次办”</w:t>
      </w:r>
    </w:p>
    <w:p>
      <w:pPr>
        <w:spacing w:line="600" w:lineRule="auto"/>
        <w:jc w:val="center"/>
        <w:rPr>
          <w:rFonts w:hint="eastAsia" w:ascii="黑体" w:hAnsi="黑体" w:eastAsia="黑体" w:cs="黑体"/>
          <w:b/>
          <w:spacing w:val="-20"/>
          <w:sz w:val="44"/>
        </w:rPr>
      </w:pPr>
      <w:r>
        <w:rPr>
          <w:rFonts w:hint="eastAsia" w:ascii="黑体" w:hAnsi="黑体" w:eastAsia="黑体" w:cs="黑体"/>
          <w:b/>
          <w:spacing w:val="-20"/>
          <w:sz w:val="44"/>
        </w:rPr>
        <w:t>改革实施方案（试行）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方正仿宋_GBK" w:eastAsia="仿宋_GB2312" w:cs="方正仿宋_GBK"/>
          <w:color w:val="000000"/>
          <w:kern w:val="0"/>
          <w:sz w:val="32"/>
          <w:szCs w:val="32"/>
        </w:rPr>
        <w:t>为深入贯彻落实《河南省人民政府办公厅关于印发河南省加快推进政务服务“一件事一次办”改革实施方案的通知》（豫政办〔2023〕22号）</w:t>
      </w:r>
      <w:r>
        <w:rPr>
          <w:rFonts w:hint="eastAsia" w:ascii="仿宋_GB2312" w:hAnsi="方正仿宋_GBK" w:eastAsia="仿宋_GB2312" w:cs="方正仿宋_GBK"/>
          <w:color w:val="000000"/>
          <w:kern w:val="0"/>
          <w:sz w:val="32"/>
          <w:szCs w:val="32"/>
          <w:lang w:eastAsia="zh-CN"/>
        </w:rPr>
        <w:t>、</w:t>
      </w:r>
      <w:r>
        <w:rPr>
          <w:rFonts w:hint="eastAsia" w:ascii="仿宋_GB2312" w:hAnsi="方正仿宋_GBK" w:eastAsia="仿宋_GB2312" w:cs="方正仿宋_GBK"/>
          <w:color w:val="000000"/>
          <w:kern w:val="0"/>
          <w:sz w:val="32"/>
          <w:szCs w:val="32"/>
        </w:rPr>
        <w:t>《安阳市加快推进政务服务“一件事一次办”改革实施方案（试行）》（</w:t>
      </w:r>
      <w:r>
        <w:rPr>
          <w:rFonts w:hint="eastAsia" w:ascii="仿宋_GB2312" w:hAnsi="方正仿宋_GBK" w:eastAsia="仿宋_GB2312" w:cs="方正仿宋_GBK"/>
          <w:color w:val="000000"/>
          <w:kern w:val="0"/>
          <w:sz w:val="32"/>
          <w:szCs w:val="32"/>
          <w:lang w:eastAsia="zh-CN"/>
        </w:rPr>
        <w:t>安审服办</w:t>
      </w:r>
      <w:r>
        <w:rPr>
          <w:rFonts w:hint="eastAsia" w:ascii="仿宋_GB2312" w:hAnsi="方正仿宋_GBK" w:eastAsia="仿宋_GB2312" w:cs="方正仿宋_GBK"/>
          <w:color w:val="000000"/>
          <w:kern w:val="0"/>
          <w:sz w:val="32"/>
          <w:szCs w:val="32"/>
        </w:rPr>
        <w:t>〔2023〕</w:t>
      </w:r>
      <w:r>
        <w:rPr>
          <w:rFonts w:hint="eastAsia" w:ascii="仿宋_GB2312" w:hAnsi="方正仿宋_GBK" w:eastAsia="仿宋_GB2312" w:cs="方正仿宋_GBK"/>
          <w:color w:val="000000"/>
          <w:kern w:val="0"/>
          <w:sz w:val="32"/>
          <w:szCs w:val="32"/>
          <w:lang w:val="en-US" w:eastAsia="zh-CN"/>
        </w:rPr>
        <w:t>3</w:t>
      </w:r>
      <w:r>
        <w:rPr>
          <w:rFonts w:hint="eastAsia" w:ascii="仿宋_GB2312" w:hAnsi="方正仿宋_GBK" w:eastAsia="仿宋_GB2312" w:cs="方正仿宋_GBK"/>
          <w:color w:val="000000"/>
          <w:kern w:val="0"/>
          <w:sz w:val="32"/>
          <w:szCs w:val="32"/>
        </w:rPr>
        <w:t>号）要求和市委、市政府关于优化营商环境相关</w:t>
      </w:r>
      <w:r>
        <w:rPr>
          <w:rFonts w:hint="eastAsia" w:ascii="仿宋_GB2312" w:hAnsi="仿宋_GB2312" w:eastAsia="仿宋_GB2312" w:cs="仿宋_GB2312"/>
          <w:sz w:val="32"/>
          <w:szCs w:val="32"/>
        </w:rPr>
        <w:t>工作决策部署，加快推进政务服务事项集成化办理，全面推行“一件事一次办”，打造政务服务升级版，提升政务服务标准化、规范化、便利化水平，更好满足企业和群众办事需求，结合我市实际，制定本实施方案。</w:t>
      </w:r>
    </w:p>
    <w:p>
      <w:pPr>
        <w:shd w:val="clear" w:color="auto" w:fill="FFFFFF"/>
        <w:spacing w:line="580" w:lineRule="exact"/>
        <w:ind w:firstLine="640" w:firstLineChars="200"/>
        <w:rPr>
          <w:rFonts w:hint="eastAsia" w:ascii="黑体" w:hAnsi="黑体" w:eastAsia="黑体" w:cs="方正仿宋_GBK"/>
          <w:color w:val="000000"/>
          <w:kern w:val="0"/>
          <w:sz w:val="32"/>
          <w:szCs w:val="32"/>
        </w:rPr>
      </w:pPr>
      <w:r>
        <w:rPr>
          <w:rFonts w:hint="eastAsia" w:ascii="黑体" w:hAnsi="黑体" w:eastAsia="黑体" w:cs="方正仿宋_GBK"/>
          <w:color w:val="000000"/>
          <w:kern w:val="0"/>
          <w:sz w:val="32"/>
          <w:szCs w:val="32"/>
        </w:rPr>
        <w:t>一、工作目标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6月底前，在完成省政府安排的45项“一件事一次办”任务基础上，完成新增65项“一件事一次办”任务；12月底前，再完成新增30项“一件事一次办”任务。企业和个人全生命周期重要阶段涉及的高频政务服务事项基本实现“一件事一次办”。</w:t>
      </w:r>
    </w:p>
    <w:p>
      <w:pPr>
        <w:spacing w:line="580" w:lineRule="exact"/>
        <w:ind w:firstLine="640" w:firstLineChars="200"/>
        <w:rPr>
          <w:rFonts w:hint="eastAsia" w:ascii="仿宋_GB2312" w:hAnsi="方正仿宋_GBK" w:eastAsia="仿宋_GB2312" w:cs="方正仿宋_GBK"/>
          <w:color w:val="000000"/>
          <w:kern w:val="0"/>
          <w:sz w:val="32"/>
          <w:szCs w:val="32"/>
        </w:rPr>
      </w:pPr>
      <w:r>
        <w:rPr>
          <w:rFonts w:hint="eastAsia" w:ascii="仿宋_GB2312" w:hAnsi="仿宋_GB2312" w:eastAsia="仿宋_GB2312" w:cs="仿宋_GB2312"/>
          <w:sz w:val="32"/>
          <w:szCs w:val="32"/>
        </w:rPr>
        <w:t>2025年年底前，全市“一件事一次办”事项范围进一步扩</w:t>
      </w:r>
      <w:r>
        <w:rPr>
          <w:rFonts w:hint="eastAsia" w:ascii="仿宋_GB2312" w:hAnsi="方正仿宋_GBK" w:eastAsia="仿宋_GB2312" w:cs="方正仿宋_GBK"/>
          <w:color w:val="000000"/>
          <w:kern w:val="0"/>
          <w:sz w:val="32"/>
          <w:szCs w:val="32"/>
        </w:rPr>
        <w:t>大，服务领域进一步拓展，办事体验不断优化，更好满足企业和群众办事需求。</w:t>
      </w:r>
    </w:p>
    <w:p>
      <w:pPr>
        <w:shd w:val="clear" w:color="auto" w:fill="FFFFFF"/>
        <w:spacing w:line="580" w:lineRule="exact"/>
        <w:rPr>
          <w:rFonts w:hint="eastAsia" w:ascii="黑体" w:hAnsi="黑体" w:eastAsia="黑体" w:cs="方正仿宋_GBK"/>
          <w:color w:val="000000"/>
          <w:kern w:val="0"/>
          <w:sz w:val="32"/>
          <w:szCs w:val="32"/>
        </w:rPr>
      </w:pPr>
      <w:r>
        <w:rPr>
          <w:rFonts w:hint="eastAsia" w:ascii="黑体" w:hAnsi="黑体" w:eastAsia="黑体" w:cs="方正仿宋_GBK"/>
          <w:color w:val="000000"/>
          <w:kern w:val="0"/>
          <w:sz w:val="32"/>
          <w:szCs w:val="32"/>
        </w:rPr>
        <w:t>　　二、重点任务</w:t>
      </w:r>
    </w:p>
    <w:p>
      <w:pPr>
        <w:shd w:val="clear" w:color="auto" w:fill="FFFFFF"/>
        <w:spacing w:line="580" w:lineRule="exact"/>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　　</w:t>
      </w:r>
      <w:r>
        <w:rPr>
          <w:rFonts w:hint="eastAsia" w:ascii="楷体_GB2312" w:hAnsi="方正仿宋_GBK" w:eastAsia="楷体_GB2312" w:cs="方正仿宋_GBK"/>
          <w:color w:val="000000"/>
          <w:kern w:val="0"/>
          <w:sz w:val="32"/>
          <w:szCs w:val="32"/>
        </w:rPr>
        <w:t>（一）优化再造办理流程。</w:t>
      </w:r>
      <w:r>
        <w:rPr>
          <w:rFonts w:hint="eastAsia" w:ascii="仿宋_GB2312" w:hAnsi="方正仿宋_GBK" w:eastAsia="仿宋_GB2312" w:cs="方正仿宋_GBK"/>
          <w:color w:val="000000"/>
          <w:kern w:val="0"/>
          <w:sz w:val="32"/>
          <w:szCs w:val="32"/>
        </w:rPr>
        <w:t>各牵头部门要会同联办部门，在组织开展单一事项优化办理流程的基础上，对“一件事一次办”事项涉及的办理要素进行全面梳理，合理调整前后置顺序，依法依规整合环节、精简材料、统一表单、优化流程、压减时限，实行一次告知、一表申请、一套材料、一窗（端）受理、一网办理、限时办结、统一出件，积极推行联动审批、联合评审（勘验、验收）等联办机制，强化线上线下审批协同。除法律法规规定应当并行办理的事项外，企业和群众可根据实际需求自主选择“一件事一次办”事项涉及的全部或部分事项。</w:t>
      </w:r>
    </w:p>
    <w:p>
      <w:pPr>
        <w:shd w:val="clear" w:color="auto" w:fill="FFFFFF"/>
        <w:spacing w:line="580" w:lineRule="exact"/>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　</w:t>
      </w:r>
      <w:r>
        <w:rPr>
          <w:rFonts w:hint="eastAsia" w:ascii="楷体_GB2312" w:hAnsi="方正仿宋_GBK" w:eastAsia="楷体_GB2312" w:cs="方正仿宋_GBK"/>
          <w:color w:val="000000"/>
          <w:kern w:val="0"/>
          <w:sz w:val="32"/>
          <w:szCs w:val="32"/>
        </w:rPr>
        <w:t>　（二）编制办事指南和工作规程。</w:t>
      </w:r>
      <w:r>
        <w:rPr>
          <w:rFonts w:hint="eastAsia" w:ascii="仿宋_GB2312" w:hAnsi="方正仿宋_GBK" w:eastAsia="仿宋_GB2312" w:cs="方正仿宋_GBK"/>
          <w:color w:val="000000"/>
          <w:kern w:val="0"/>
          <w:sz w:val="32"/>
          <w:szCs w:val="32"/>
        </w:rPr>
        <w:t>各牵头部门要会同联办部门，按照规定的完成时限和最小颗粒化原则，组织对“一件事一次办”事项涉及的多个政务服务事项的设定依据、受理条件、申请材料、办理流程（含流程图）、收费依据及标准、办结时限、办理结果等进行优化整合，统一形成办事指南，纳入一体化政务服务平台管理，并在线上线下服务渠道同源发布、同步更新。同步配套制定标准化工作规程，厘清牵头部门和联办部门职责，明确办理标准、工作流程和办理时限等。</w:t>
      </w:r>
    </w:p>
    <w:p>
      <w:pPr>
        <w:shd w:val="clear" w:color="auto" w:fill="FFFFFF"/>
        <w:spacing w:line="580" w:lineRule="exact"/>
        <w:rPr>
          <w:rFonts w:hint="eastAsia" w:ascii="仿宋_GB2312" w:hAnsi="方正仿宋_GBK" w:eastAsia="仿宋_GB2312" w:cs="方正仿宋_GBK"/>
          <w:color w:val="000000"/>
          <w:kern w:val="0"/>
          <w:sz w:val="32"/>
          <w:szCs w:val="32"/>
        </w:rPr>
      </w:pPr>
      <w:r>
        <w:rPr>
          <w:rFonts w:hint="eastAsia" w:ascii="楷体_GB2312" w:hAnsi="方正仿宋_GBK" w:eastAsia="楷体_GB2312" w:cs="方正仿宋_GBK"/>
          <w:color w:val="000000"/>
          <w:kern w:val="0"/>
          <w:sz w:val="32"/>
          <w:szCs w:val="32"/>
        </w:rPr>
        <w:t>　　</w:t>
      </w:r>
      <w:r>
        <w:rPr>
          <w:rFonts w:hint="eastAsia" w:ascii="楷体_GB2312" w:hAnsi="方正仿宋_GBK" w:eastAsia="楷体_GB2312" w:cs="方正仿宋_GBK"/>
          <w:color w:val="000000" w:themeColor="text1"/>
          <w:kern w:val="0"/>
          <w:sz w:val="32"/>
          <w:szCs w:val="32"/>
          <w14:textFill>
            <w14:solidFill>
              <w14:schemeClr w14:val="tx1"/>
            </w14:solidFill>
          </w14:textFill>
        </w:rPr>
        <w:t>（三）统一受理和出件方式。</w:t>
      </w:r>
      <w:r>
        <w:rPr>
          <w:rFonts w:hint="eastAsia" w:ascii="仿宋_GB2312" w:hAnsi="方正仿宋_GBK" w:eastAsia="仿宋_GB2312" w:cs="方正仿宋_GBK"/>
          <w:color w:val="000000" w:themeColor="text1"/>
          <w:kern w:val="0"/>
          <w:sz w:val="32"/>
          <w:szCs w:val="32"/>
          <w:lang w:eastAsia="zh-CN"/>
          <w14:textFill>
            <w14:solidFill>
              <w14:schemeClr w14:val="tx1"/>
            </w14:solidFill>
          </w14:textFill>
        </w:rPr>
        <w:t>市</w:t>
      </w:r>
      <w:r>
        <w:rPr>
          <w:rFonts w:hint="eastAsia" w:ascii="仿宋_GB2312" w:hAnsi="方正仿宋_GBK" w:eastAsia="仿宋_GB2312" w:cs="方正仿宋_GBK"/>
          <w:color w:val="000000" w:themeColor="text1"/>
          <w:kern w:val="0"/>
          <w:sz w:val="32"/>
          <w:szCs w:val="32"/>
          <w14:textFill>
            <w14:solidFill>
              <w14:schemeClr w14:val="tx1"/>
            </w14:solidFill>
          </w14:textFill>
        </w:rPr>
        <w:t>政务服务中心和镇（街道）便民服务中心要结合实际，科学合理设立“一件事一次办”综合受理窗口，依托一体化政务服务平台实现“一窗受理”，有条件的可将“一件事一次办”事项延伸到村（社区）便民服务站。</w:t>
      </w:r>
      <w:r>
        <w:rPr>
          <w:rFonts w:hint="eastAsia" w:ascii="仿宋_GB2312" w:hAnsi="方正仿宋_GBK" w:eastAsia="仿宋_GB2312" w:cs="方正仿宋_GBK"/>
          <w:color w:val="000000"/>
          <w:kern w:val="0"/>
          <w:sz w:val="32"/>
          <w:szCs w:val="32"/>
        </w:rPr>
        <w:t>在一体化政务服务平台设置“一件事一次办”专栏，通过统一入口实现“一端受理”，并向政务服务移动端、集成化自助服务终端等拓展，便利企业和群众线上申办、自助申办。各牵头部门要会同联办部门组织制定“一件事一次办”综合受理窗口工作人员业务手册，统一收件（受理）标准和审查要点。各有关部门要授权窗口工作人员集中受理企业和群众通过线下综合受理窗口或线上专栏提交的申请。整合优化出件环节，由政务服务中心出证窗口采取窗口发放、物流快递送达等灵活多样的方式，将办理结果和实体证照第一时间送达申请人。加快推行以电子化方式推送办理结果和证照，依托一体化政务服务平台实现“一端出件”。</w:t>
      </w:r>
    </w:p>
    <w:p>
      <w:pPr>
        <w:shd w:val="clear" w:color="auto" w:fill="FFFFFF"/>
        <w:spacing w:line="580" w:lineRule="exact"/>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　</w:t>
      </w:r>
      <w:r>
        <w:rPr>
          <w:rFonts w:hint="eastAsia" w:ascii="楷体_GB2312" w:hAnsi="方正仿宋_GBK" w:eastAsia="楷体_GB2312" w:cs="方正仿宋_GBK"/>
          <w:color w:val="000000"/>
          <w:kern w:val="0"/>
          <w:sz w:val="32"/>
          <w:szCs w:val="32"/>
        </w:rPr>
        <w:t>　（四）加强平台支撑和系统对接。</w:t>
      </w:r>
      <w:r>
        <w:rPr>
          <w:rFonts w:hint="eastAsia" w:ascii="仿宋_GB2312" w:hAnsi="方正仿宋_GBK" w:eastAsia="仿宋_GB2312" w:cs="方正仿宋_GBK"/>
          <w:color w:val="000000"/>
          <w:kern w:val="0"/>
          <w:sz w:val="32"/>
          <w:szCs w:val="32"/>
          <w:lang w:eastAsia="zh-CN"/>
        </w:rPr>
        <w:t>市政务服务中心</w:t>
      </w:r>
      <w:r>
        <w:rPr>
          <w:rFonts w:hint="eastAsia" w:ascii="仿宋_GB2312" w:hAnsi="方正仿宋_GBK" w:eastAsia="仿宋_GB2312" w:cs="方正仿宋_GBK"/>
          <w:color w:val="000000" w:themeColor="text1"/>
          <w:kern w:val="0"/>
          <w:sz w:val="32"/>
          <w:szCs w:val="32"/>
          <w14:textFill>
            <w14:solidFill>
              <w14:schemeClr w14:val="tx1"/>
            </w14:solidFill>
          </w14:textFill>
        </w:rPr>
        <w:t>要依托一体化政务服务平台</w:t>
      </w:r>
      <w:r>
        <w:rPr>
          <w:rFonts w:hint="eastAsia" w:ascii="仿宋_GB2312" w:hAnsi="方正仿宋_GBK" w:eastAsia="仿宋_GB2312" w:cs="方正仿宋_GBK"/>
          <w:color w:val="000000" w:themeColor="text1"/>
          <w:kern w:val="0"/>
          <w:sz w:val="32"/>
          <w:szCs w:val="32"/>
          <w:lang w:eastAsia="zh-CN"/>
          <w14:textFill>
            <w14:solidFill>
              <w14:schemeClr w14:val="tx1"/>
            </w14:solidFill>
          </w14:textFill>
        </w:rPr>
        <w:t>，配合上级完成</w:t>
      </w:r>
      <w:r>
        <w:rPr>
          <w:rFonts w:hint="eastAsia" w:ascii="仿宋_GB2312" w:hAnsi="方正仿宋_GBK" w:eastAsia="仿宋_GB2312" w:cs="方正仿宋_GBK"/>
          <w:color w:val="000000" w:themeColor="text1"/>
          <w:kern w:val="0"/>
          <w:sz w:val="32"/>
          <w:szCs w:val="32"/>
          <w14:textFill>
            <w14:solidFill>
              <w14:schemeClr w14:val="tx1"/>
            </w14:solidFill>
          </w14:textFill>
        </w:rPr>
        <w:t>统一事项管理、身份认证、数据共享、电子证照、电子材料等公共支撑能力，加快市政务服务平台“一件事一次办”事项办理系统建设。各有关部</w:t>
      </w:r>
      <w:r>
        <w:rPr>
          <w:rFonts w:hint="eastAsia" w:ascii="仿宋_GB2312" w:hAnsi="方正仿宋_GBK" w:eastAsia="仿宋_GB2312" w:cs="方正仿宋_GBK"/>
          <w:color w:val="000000"/>
          <w:kern w:val="0"/>
          <w:sz w:val="32"/>
          <w:szCs w:val="32"/>
        </w:rPr>
        <w:t>门要加大对“一件事一次办”事项涉及的业务办理系统改造、整合力度，加快实现与一体化政务服务平台统一受理系统的实质性对接，确保互联互通、业务协同。</w:t>
      </w:r>
    </w:p>
    <w:p>
      <w:pPr>
        <w:shd w:val="clear" w:color="auto" w:fill="FFFFFF"/>
        <w:spacing w:line="580" w:lineRule="exact"/>
        <w:rPr>
          <w:rFonts w:hint="eastAsia"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　</w:t>
      </w:r>
      <w:r>
        <w:rPr>
          <w:rFonts w:hint="eastAsia" w:ascii="楷体_GB2312" w:hAnsi="方正仿宋_GBK" w:eastAsia="楷体_GB2312" w:cs="方正仿宋_GBK"/>
          <w:color w:val="000000"/>
          <w:kern w:val="0"/>
          <w:sz w:val="32"/>
          <w:szCs w:val="32"/>
        </w:rPr>
        <w:t>　（五）推进事项办理数据按需共享应用。</w:t>
      </w:r>
      <w:r>
        <w:rPr>
          <w:rFonts w:hint="eastAsia" w:ascii="仿宋_GB2312" w:hAnsi="方正仿宋_GBK" w:eastAsia="仿宋_GB2312" w:cs="方正仿宋_GBK"/>
          <w:color w:val="000000"/>
          <w:kern w:val="0"/>
          <w:sz w:val="32"/>
          <w:szCs w:val="32"/>
        </w:rPr>
        <w:t>各牵头部门要会同联办部门，按照“一件事一次办”事项办理流程，组织梳理数据共享和电子证照应用需求清单，推动实现政府部门核发的材料一律免于提交，能够提供或核验电子证照的一律免于提交实体证照。</w:t>
      </w:r>
      <w:r>
        <w:rPr>
          <w:rFonts w:hint="eastAsia" w:ascii="仿宋_GB2312" w:hAnsi="方正仿宋_GBK" w:eastAsia="仿宋_GB2312" w:cs="方正仿宋_GBK"/>
          <w:color w:val="000000" w:themeColor="text1"/>
          <w:kern w:val="0"/>
          <w:sz w:val="32"/>
          <w:szCs w:val="32"/>
          <w14:textFill>
            <w14:solidFill>
              <w14:schemeClr w14:val="tx1"/>
            </w14:solidFill>
          </w14:textFill>
        </w:rPr>
        <w:t>市政务服务</w:t>
      </w:r>
      <w:r>
        <w:rPr>
          <w:rFonts w:hint="eastAsia" w:ascii="仿宋_GB2312" w:hAnsi="方正仿宋_GBK" w:eastAsia="仿宋_GB2312" w:cs="方正仿宋_GBK"/>
          <w:color w:val="000000" w:themeColor="text1"/>
          <w:kern w:val="0"/>
          <w:sz w:val="32"/>
          <w:szCs w:val="32"/>
          <w:lang w:eastAsia="zh-CN"/>
          <w14:textFill>
            <w14:solidFill>
              <w14:schemeClr w14:val="tx1"/>
            </w14:solidFill>
          </w14:textFill>
        </w:rPr>
        <w:t>中心</w:t>
      </w:r>
      <w:r>
        <w:rPr>
          <w:rFonts w:hint="eastAsia" w:ascii="仿宋_GB2312" w:hAnsi="方正仿宋_GBK" w:eastAsia="仿宋_GB2312" w:cs="方正仿宋_GBK"/>
          <w:color w:val="000000" w:themeColor="text1"/>
          <w:kern w:val="0"/>
          <w:sz w:val="32"/>
          <w:szCs w:val="32"/>
          <w14:textFill>
            <w14:solidFill>
              <w14:schemeClr w14:val="tx1"/>
            </w14:solidFill>
          </w14:textFill>
        </w:rPr>
        <w:t>要</w:t>
      </w:r>
      <w:r>
        <w:rPr>
          <w:rFonts w:hint="eastAsia" w:ascii="仿宋_GB2312" w:hAnsi="方正仿宋_GBK" w:eastAsia="仿宋_GB2312" w:cs="方正仿宋_GBK"/>
          <w:color w:val="000000" w:themeColor="text1"/>
          <w:kern w:val="0"/>
          <w:sz w:val="32"/>
          <w:szCs w:val="32"/>
          <w:lang w:eastAsia="zh-CN"/>
          <w14:textFill>
            <w14:solidFill>
              <w14:schemeClr w14:val="tx1"/>
            </w14:solidFill>
          </w14:textFill>
        </w:rPr>
        <w:t>配合上级，</w:t>
      </w:r>
      <w:r>
        <w:rPr>
          <w:rFonts w:hint="eastAsia" w:ascii="仿宋_GB2312" w:hAnsi="方正仿宋_GBK" w:eastAsia="仿宋_GB2312" w:cs="方正仿宋_GBK"/>
          <w:color w:val="000000" w:themeColor="text1"/>
          <w:kern w:val="0"/>
          <w:sz w:val="32"/>
          <w:szCs w:val="32"/>
          <w14:textFill>
            <w14:solidFill>
              <w14:schemeClr w14:val="tx1"/>
            </w14:solidFill>
          </w14:textFill>
        </w:rPr>
        <w:t>根据需求清单，依托政务数据共享协调机制，明确数据共享供需对接、规范使用、争议处理、安全管理、技术支撑等制度、流程，推动跨部门、跨层级、跨区域数据依法依规有序共享。数据供</w:t>
      </w:r>
      <w:r>
        <w:rPr>
          <w:rFonts w:hint="eastAsia" w:ascii="仿宋_GB2312" w:hAnsi="方正仿宋_GBK" w:eastAsia="仿宋_GB2312" w:cs="方正仿宋_GBK"/>
          <w:color w:val="000000"/>
          <w:kern w:val="0"/>
          <w:sz w:val="32"/>
          <w:szCs w:val="32"/>
        </w:rPr>
        <w:t>给部门要加强数据治理，及时响应数据共享需求，不断提高共享数据的质量和可用性、时效性。各有关部门要进一步关联整合办事材料信息和电子证照目录、数据资源目录，推行共享数据自动调用、个性信息自行填报、申请表单自动生成，最大限度减少申请人重复提交材料。</w:t>
      </w:r>
    </w:p>
    <w:p>
      <w:pPr>
        <w:shd w:val="clear" w:color="auto" w:fill="FFFFFF"/>
        <w:spacing w:line="580" w:lineRule="exact"/>
        <w:ind w:firstLine="640" w:firstLineChars="200"/>
        <w:rPr>
          <w:rFonts w:hint="eastAsia" w:ascii="仿宋_GB2312" w:hAnsi="方正仿宋_GBK" w:eastAsia="仿宋_GB2312" w:cs="方正仿宋_GBK"/>
          <w:color w:val="000000"/>
          <w:kern w:val="0"/>
          <w:sz w:val="32"/>
          <w:szCs w:val="32"/>
        </w:rPr>
      </w:pPr>
      <w:r>
        <w:rPr>
          <w:rFonts w:hint="eastAsia" w:ascii="楷体_GB2312" w:hAnsi="方正仿宋_GBK" w:eastAsia="楷体_GB2312" w:cs="方正仿宋_GBK"/>
          <w:color w:val="000000"/>
          <w:kern w:val="0"/>
          <w:sz w:val="32"/>
          <w:szCs w:val="32"/>
        </w:rPr>
        <w:t>（六）加强综合监管。</w:t>
      </w:r>
      <w:r>
        <w:rPr>
          <w:rFonts w:hint="eastAsia" w:ascii="仿宋_GB2312" w:hAnsi="方正仿宋_GBK" w:eastAsia="仿宋_GB2312" w:cs="方正仿宋_GBK"/>
          <w:color w:val="000000"/>
          <w:kern w:val="0"/>
          <w:sz w:val="32"/>
          <w:szCs w:val="32"/>
        </w:rPr>
        <w:t>各有关部门要针对“一件事一次办”事项跨部门、跨业务的特点，按照“谁审批、谁监管，谁主管、谁监管”的原则，落实监管责任，强化审管衔接，健全监管制度，完善监管规则和标准，实施事前事中事后全链条监管。实行相对集中行政许可权改革的地方要明确政务服务审批部门、行业主管部门的监管职责和边界，强化审管协同和信息共享，推进“一件事一次办”事项依法依规办理，提升集成化办理服务水平。</w:t>
      </w:r>
    </w:p>
    <w:p>
      <w:pPr>
        <w:shd w:val="clear" w:color="auto" w:fill="FFFFFF"/>
        <w:spacing w:line="580" w:lineRule="exact"/>
        <w:rPr>
          <w:rFonts w:hint="eastAsia" w:ascii="黑体" w:hAnsi="黑体" w:eastAsia="黑体" w:cs="方正仿宋_GBK"/>
          <w:color w:val="000000"/>
          <w:kern w:val="0"/>
          <w:sz w:val="32"/>
          <w:szCs w:val="32"/>
        </w:rPr>
      </w:pPr>
      <w:r>
        <w:rPr>
          <w:rFonts w:hint="eastAsia" w:ascii="黑体" w:hAnsi="黑体" w:eastAsia="黑体" w:cs="方正仿宋_GBK"/>
          <w:color w:val="000000"/>
          <w:kern w:val="0"/>
          <w:sz w:val="32"/>
          <w:szCs w:val="32"/>
        </w:rPr>
        <w:t>　　</w:t>
      </w:r>
      <w:r>
        <w:rPr>
          <w:rFonts w:hint="eastAsia" w:ascii="黑体" w:hAnsi="黑体" w:eastAsia="黑体" w:cs="黑体"/>
          <w:bCs/>
          <w:color w:val="000000"/>
          <w:kern w:val="0"/>
          <w:sz w:val="32"/>
          <w:szCs w:val="32"/>
        </w:rPr>
        <w:t>三、保障措施</w:t>
      </w:r>
    </w:p>
    <w:p>
      <w:pPr>
        <w:shd w:val="clear" w:color="auto" w:fill="FFFFFF"/>
        <w:spacing w:line="580" w:lineRule="exact"/>
        <w:ind w:firstLine="640"/>
        <w:rPr>
          <w:rFonts w:hint="eastAsia" w:ascii="仿宋_GB2312" w:hAnsi="方正仿宋_GBK" w:eastAsia="仿宋_GB2312" w:cs="方正仿宋_GBK"/>
          <w:color w:val="000000"/>
          <w:kern w:val="0"/>
          <w:sz w:val="32"/>
          <w:szCs w:val="32"/>
        </w:rPr>
      </w:pPr>
      <w:r>
        <w:rPr>
          <w:rFonts w:hint="eastAsia" w:ascii="楷体_GB2312" w:hAnsi="方正仿宋_GBK" w:eastAsia="楷体_GB2312" w:cs="方正仿宋_GBK"/>
          <w:color w:val="000000"/>
          <w:kern w:val="0"/>
          <w:sz w:val="32"/>
          <w:szCs w:val="32"/>
        </w:rPr>
        <w:t>（一）加强组织领导。</w:t>
      </w:r>
      <w:r>
        <w:rPr>
          <w:rFonts w:hint="eastAsia" w:ascii="仿宋_GB2312" w:hAnsi="方正仿宋_GBK" w:eastAsia="仿宋_GB2312" w:cs="方正仿宋_GBK"/>
          <w:color w:val="000000"/>
          <w:kern w:val="0"/>
          <w:sz w:val="32"/>
          <w:szCs w:val="32"/>
        </w:rPr>
        <w:t>坚持党对“一件事一次办”改革的全面领导，认真贯彻落实市委、市政府决策部署，在市政府直接领导下，由市政务服务</w:t>
      </w:r>
      <w:r>
        <w:rPr>
          <w:rFonts w:hint="eastAsia" w:ascii="仿宋_GB2312" w:hAnsi="方正仿宋_GBK" w:eastAsia="仿宋_GB2312" w:cs="方正仿宋_GBK"/>
          <w:color w:val="000000"/>
          <w:kern w:val="0"/>
          <w:sz w:val="32"/>
          <w:szCs w:val="32"/>
          <w:lang w:eastAsia="zh-CN"/>
        </w:rPr>
        <w:t>中心</w:t>
      </w:r>
      <w:r>
        <w:rPr>
          <w:rFonts w:hint="eastAsia" w:ascii="仿宋_GB2312" w:hAnsi="方正仿宋_GBK" w:eastAsia="仿宋_GB2312" w:cs="方正仿宋_GBK"/>
          <w:color w:val="000000"/>
          <w:kern w:val="0"/>
          <w:sz w:val="32"/>
          <w:szCs w:val="32"/>
        </w:rPr>
        <w:t>统筹组织、协调推进全市“一件事一次办”工作，对各有关部门推进情况进行跟踪督促和业务指导，定期通报并向市政府报告进展情况。各有关部门要积极推进主管行业领域“一件事一次办”工作，切实加强政策、业务、系统、数据等支撑保障。</w:t>
      </w:r>
    </w:p>
    <w:p>
      <w:pPr>
        <w:shd w:val="clear" w:color="auto" w:fill="FFFFFF"/>
        <w:spacing w:line="580" w:lineRule="exact"/>
        <w:ind w:firstLine="640"/>
        <w:rPr>
          <w:rFonts w:hint="eastAsia" w:ascii="仿宋_GB2312" w:hAnsi="方正仿宋_GBK" w:eastAsia="仿宋_GB2312" w:cs="方正仿宋_GBK"/>
          <w:color w:val="000000"/>
          <w:kern w:val="0"/>
          <w:sz w:val="32"/>
          <w:szCs w:val="32"/>
        </w:rPr>
      </w:pPr>
      <w:r>
        <w:rPr>
          <w:rFonts w:hint="eastAsia" w:ascii="楷体_GB2312" w:hAnsi="方正仿宋_GBK" w:eastAsia="楷体_GB2312" w:cs="方正仿宋_GBK"/>
          <w:color w:val="000000"/>
          <w:kern w:val="0"/>
          <w:sz w:val="32"/>
          <w:szCs w:val="32"/>
        </w:rPr>
        <w:t>（二）强化协同配合。</w:t>
      </w:r>
      <w:r>
        <w:rPr>
          <w:rFonts w:hint="eastAsia" w:ascii="仿宋_GB2312" w:hAnsi="方正仿宋_GBK" w:eastAsia="仿宋_GB2312" w:cs="方正仿宋_GBK"/>
          <w:color w:val="000000"/>
          <w:kern w:val="0"/>
          <w:sz w:val="32"/>
          <w:szCs w:val="32"/>
        </w:rPr>
        <w:t>针对基础清单中的“一件事一次办”事项，</w:t>
      </w:r>
      <w:r>
        <w:rPr>
          <w:rFonts w:hint="eastAsia" w:ascii="仿宋_GB2312" w:hAnsi="方正仿宋_GBK" w:eastAsia="仿宋_GB2312" w:cs="方正仿宋_GBK"/>
          <w:color w:val="000000"/>
          <w:kern w:val="0"/>
          <w:sz w:val="32"/>
          <w:szCs w:val="32"/>
          <w:lang w:eastAsia="zh-CN"/>
        </w:rPr>
        <w:t>各</w:t>
      </w:r>
      <w:r>
        <w:rPr>
          <w:rFonts w:hint="eastAsia" w:ascii="仿宋_GB2312" w:hAnsi="方正仿宋_GBK" w:eastAsia="仿宋_GB2312" w:cs="方正仿宋_GBK"/>
          <w:color w:val="000000"/>
          <w:kern w:val="0"/>
          <w:sz w:val="32"/>
          <w:szCs w:val="32"/>
        </w:rPr>
        <w:t>级牵头部门要会同联办部门组建工作专班负责推进，制定具体实施方案，细化分解任务，明确时间节点、部门分工和监管责任。各级牵头部门要主动协调相关部门做好流程优化、工作规程和办事指南编制、系统对接、信息共享、联动审批、电子证照应用、业务培训等工作，协调解决改革推进中的重点难点问题。各级联办部门要与同级牵头部门密切协作，积极主动作为，按时完成相关工作。</w:t>
      </w:r>
    </w:p>
    <w:p>
      <w:pPr>
        <w:shd w:val="clear" w:color="auto" w:fill="FFFFFF"/>
        <w:spacing w:line="580" w:lineRule="exact"/>
        <w:ind w:firstLine="640"/>
        <w:rPr>
          <w:rFonts w:hint="eastAsia" w:ascii="仿宋_GB2312" w:hAnsi="方正仿宋_GBK" w:eastAsia="仿宋_GB2312" w:cs="方正仿宋_GBK"/>
          <w:color w:val="000000"/>
          <w:kern w:val="0"/>
          <w:sz w:val="32"/>
          <w:szCs w:val="32"/>
        </w:rPr>
      </w:pPr>
      <w:r>
        <w:rPr>
          <w:rFonts w:hint="eastAsia" w:ascii="楷体_GB2312" w:hAnsi="方正仿宋_GBK" w:eastAsia="楷体_GB2312" w:cs="方正仿宋_GBK"/>
          <w:color w:val="000000"/>
          <w:kern w:val="0"/>
          <w:sz w:val="32"/>
          <w:szCs w:val="32"/>
        </w:rPr>
        <w:t>（三）注重宣传引导。</w:t>
      </w:r>
      <w:r>
        <w:rPr>
          <w:rFonts w:hint="eastAsia" w:ascii="仿宋_GB2312" w:hAnsi="方正仿宋_GBK" w:eastAsia="仿宋_GB2312" w:cs="方正仿宋_GBK"/>
          <w:color w:val="000000"/>
          <w:kern w:val="0"/>
          <w:sz w:val="32"/>
          <w:szCs w:val="32"/>
        </w:rPr>
        <w:t>各有关部门要充分运用政府网站、政务新媒体、政务服务平台等及时发布政务服务“一件事一次办”相关信息，加强政策宣传解读，积极引导企业和群众通过线下综合受理窗口或线上专栏办理政务服务事项。要及时总结推广典型经验，积极推进政务服务“好差评”工作，推动“一件事一次办”服务模式优化升级，不断提升企业和群众满意度。</w:t>
      </w:r>
    </w:p>
    <w:p>
      <w:pPr>
        <w:shd w:val="clear" w:color="auto" w:fill="FFFFFF"/>
        <w:spacing w:line="580" w:lineRule="exact"/>
        <w:ind w:firstLine="640"/>
        <w:rPr>
          <w:rFonts w:hint="eastAsia" w:ascii="仿宋_GB2312" w:hAnsi="方正仿宋_GBK" w:eastAsia="仿宋_GB2312" w:cs="方正仿宋_GBK"/>
          <w:color w:val="000000"/>
          <w:kern w:val="0"/>
          <w:sz w:val="32"/>
          <w:szCs w:val="32"/>
        </w:rPr>
      </w:pPr>
    </w:p>
    <w:p>
      <w:pPr>
        <w:shd w:val="clear" w:color="auto" w:fill="FFFFFF"/>
        <w:spacing w:line="580" w:lineRule="exact"/>
        <w:rPr>
          <w:rFonts w:ascii="仿宋_GB2312" w:hAnsi="方正仿宋_GBK" w:eastAsia="仿宋_GB2312" w:cs="方正仿宋_GBK"/>
          <w:color w:val="000000"/>
          <w:kern w:val="0"/>
          <w:sz w:val="32"/>
          <w:szCs w:val="32"/>
        </w:rPr>
        <w:sectPr>
          <w:pgSz w:w="11906" w:h="16838"/>
          <w:pgMar w:top="1985" w:right="1474" w:bottom="1985" w:left="1588" w:header="851" w:footer="1418" w:gutter="0"/>
          <w:cols w:space="720" w:num="1"/>
          <w:docGrid w:type="lines" w:linePitch="312" w:charSpace="0"/>
        </w:sectPr>
      </w:pPr>
      <w:r>
        <w:rPr>
          <w:rFonts w:hint="eastAsia" w:ascii="仿宋_GB2312" w:hAnsi="方正仿宋_GBK" w:eastAsia="仿宋_GB2312" w:cs="方正仿宋_GBK"/>
          <w:color w:val="000000"/>
          <w:kern w:val="0"/>
          <w:sz w:val="32"/>
          <w:szCs w:val="32"/>
        </w:rPr>
        <w:t>　　附件：</w:t>
      </w:r>
      <w:r>
        <w:rPr>
          <w:rFonts w:hint="eastAsia" w:ascii="仿宋_GB2312" w:hAnsi="方正仿宋_GBK" w:eastAsia="仿宋_GB2312" w:cs="方正仿宋_GBK"/>
          <w:color w:val="000000"/>
          <w:kern w:val="0"/>
          <w:sz w:val="32"/>
          <w:szCs w:val="32"/>
          <w:lang w:eastAsia="zh-CN"/>
        </w:rPr>
        <w:t>林州</w:t>
      </w:r>
      <w:r>
        <w:rPr>
          <w:rFonts w:hint="eastAsia" w:ascii="仿宋_GB2312" w:hAnsi="方正仿宋_GBK" w:eastAsia="仿宋_GB2312" w:cs="方正仿宋_GBK"/>
          <w:color w:val="000000"/>
          <w:kern w:val="0"/>
          <w:sz w:val="32"/>
          <w:szCs w:val="32"/>
        </w:rPr>
        <w:t>市“一件事一次办”事项清单（140项）</w:t>
      </w:r>
    </w:p>
    <w:p>
      <w:pPr>
        <w:shd w:val="clear" w:color="auto" w:fill="FFFFFF"/>
        <w:spacing w:line="580" w:lineRule="exact"/>
        <w:rPr>
          <w:rFonts w:hint="eastAsia" w:ascii="黑体" w:hAnsi="黑体" w:eastAsia="黑体" w:cs="方正仿宋_GBK"/>
          <w:color w:val="000000"/>
          <w:kern w:val="0"/>
          <w:sz w:val="32"/>
          <w:szCs w:val="32"/>
        </w:rPr>
      </w:pPr>
      <w:r>
        <w:rPr>
          <w:rFonts w:hint="eastAsia" w:ascii="黑体" w:hAnsi="黑体" w:eastAsia="黑体" w:cs="方正仿宋_GBK"/>
          <w:color w:val="000000"/>
          <w:kern w:val="0"/>
          <w:sz w:val="32"/>
          <w:szCs w:val="32"/>
        </w:rPr>
        <w:t>附件</w:t>
      </w:r>
    </w:p>
    <w:p>
      <w:pPr>
        <w:shd w:val="clear" w:color="auto" w:fill="FFFFFF"/>
        <w:spacing w:line="580" w:lineRule="exact"/>
        <w:rPr>
          <w:rFonts w:hint="eastAsia" w:ascii="黑体" w:hAnsi="黑体" w:eastAsia="黑体" w:cs="方正仿宋_GBK"/>
          <w:color w:val="000000"/>
          <w:kern w:val="0"/>
          <w:sz w:val="32"/>
          <w:szCs w:val="32"/>
        </w:rPr>
      </w:pPr>
    </w:p>
    <w:p>
      <w:pPr>
        <w:shd w:val="clear" w:color="auto" w:fill="FFFFFF"/>
        <w:spacing w:line="580" w:lineRule="exact"/>
        <w:jc w:val="center"/>
        <w:rPr>
          <w:rFonts w:hint="eastAsia" w:ascii="方正小标宋_GBK" w:hAnsi="方正仿宋_GBK" w:eastAsia="方正小标宋_GBK" w:cs="方正仿宋_GBK"/>
          <w:color w:val="000000"/>
          <w:kern w:val="0"/>
          <w:sz w:val="44"/>
          <w:szCs w:val="44"/>
        </w:rPr>
      </w:pPr>
      <w:r>
        <w:rPr>
          <w:rFonts w:hint="eastAsia" w:ascii="方正小标宋_GBK" w:hAnsi="方正仿宋_GBK" w:eastAsia="方正小标宋_GBK" w:cs="方正仿宋_GBK"/>
          <w:color w:val="000000"/>
          <w:kern w:val="0"/>
          <w:sz w:val="44"/>
          <w:szCs w:val="44"/>
          <w:lang w:eastAsia="zh-CN"/>
        </w:rPr>
        <w:t>林州市</w:t>
      </w:r>
      <w:r>
        <w:rPr>
          <w:rFonts w:hint="eastAsia" w:ascii="方正小标宋_GBK" w:hAnsi="方正仿宋_GBK" w:eastAsia="方正小标宋_GBK" w:cs="方正仿宋_GBK"/>
          <w:color w:val="000000"/>
          <w:kern w:val="0"/>
          <w:sz w:val="44"/>
          <w:szCs w:val="44"/>
        </w:rPr>
        <w:t>“一件事一次办”事项清单（140项）</w:t>
      </w:r>
    </w:p>
    <w:tbl>
      <w:tblPr>
        <w:tblStyle w:val="7"/>
        <w:tblW w:w="13519" w:type="dxa"/>
        <w:tblInd w:w="89" w:type="dxa"/>
        <w:tblLayout w:type="fixed"/>
        <w:tblCellMar>
          <w:top w:w="0" w:type="dxa"/>
          <w:left w:w="108" w:type="dxa"/>
          <w:bottom w:w="0" w:type="dxa"/>
          <w:right w:w="108" w:type="dxa"/>
        </w:tblCellMar>
      </w:tblPr>
      <w:tblGrid>
        <w:gridCol w:w="576"/>
        <w:gridCol w:w="1603"/>
        <w:gridCol w:w="1440"/>
        <w:gridCol w:w="3780"/>
        <w:gridCol w:w="1980"/>
        <w:gridCol w:w="1800"/>
        <w:gridCol w:w="2340"/>
      </w:tblGrid>
      <w:tr>
        <w:tblPrEx>
          <w:tblCellMar>
            <w:top w:w="0" w:type="dxa"/>
            <w:left w:w="108" w:type="dxa"/>
            <w:bottom w:w="0" w:type="dxa"/>
            <w:right w:w="108" w:type="dxa"/>
          </w:tblCellMar>
        </w:tblPrEx>
        <w:trPr>
          <w:trHeight w:val="443"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序号</w:t>
            </w:r>
          </w:p>
        </w:tc>
        <w:tc>
          <w:tcPr>
            <w:tcW w:w="16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一件事名称</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牵头部门</w:t>
            </w:r>
          </w:p>
        </w:tc>
        <w:tc>
          <w:tcPr>
            <w:tcW w:w="378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联办事项</w:t>
            </w:r>
          </w:p>
        </w:tc>
        <w:tc>
          <w:tcPr>
            <w:tcW w:w="198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关联部门</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实施层级</w:t>
            </w:r>
          </w:p>
        </w:tc>
        <w:tc>
          <w:tcPr>
            <w:tcW w:w="234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  注</w:t>
            </w: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企业开办（有限责任公司）</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企业职工社会保险登记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highlight w:val="yellow"/>
              </w:rPr>
            </w:pP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单位参保登记（医保）</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highlight w:val="yellow"/>
              </w:rPr>
            </w:pP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住房公积金单位缴存登记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highlight w:val="yellow"/>
              </w:rPr>
            </w:pP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个体工商户开办登记</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1603"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我要开餐饮店（100平米以下）</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20"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444" w:hRule="atLeast"/>
        </w:trPr>
        <w:tc>
          <w:tcPr>
            <w:tcW w:w="576"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1603" w:type="dxa"/>
            <w:vMerge w:val="restart"/>
            <w:tcBorders>
              <w:top w:val="nil"/>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我要开餐饮店（100平米以下）</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spacing w:line="320" w:lineRule="exact"/>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需自主开展环境影响登记表备案</w:t>
            </w:r>
          </w:p>
        </w:tc>
      </w:tr>
      <w:tr>
        <w:tblPrEx>
          <w:tblCellMar>
            <w:top w:w="0" w:type="dxa"/>
            <w:left w:w="108" w:type="dxa"/>
            <w:bottom w:w="0" w:type="dxa"/>
            <w:right w:w="108" w:type="dxa"/>
          </w:tblCellMar>
        </w:tblPrEx>
        <w:trPr>
          <w:trHeight w:val="454"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我要开便利店（100平米以下）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36"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622"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77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spacing w:line="300" w:lineRule="exact"/>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456"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我要开小餐馆（100平米以下）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食品小经营店登记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3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需自主开展环境影响登记表备案</w:t>
            </w:r>
          </w:p>
        </w:tc>
      </w:tr>
      <w:tr>
        <w:tblPrEx>
          <w:tblCellMar>
            <w:top w:w="0" w:type="dxa"/>
            <w:left w:w="108" w:type="dxa"/>
            <w:bottom w:w="0" w:type="dxa"/>
            <w:right w:w="108" w:type="dxa"/>
          </w:tblCellMar>
        </w:tblPrEx>
        <w:trPr>
          <w:trHeight w:val="62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我要开服装店（300平米以下）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5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我要开理发店（100平米以下）</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6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43"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我要开水果店（100平米以下）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92"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44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我要开蔬菜店（100平米以下）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bottom w:val="single" w:color="auto" w:sz="4" w:space="0"/>
              <w:right w:val="single" w:color="auto" w:sz="6"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603" w:type="dxa"/>
            <w:vMerge w:val="restart"/>
            <w:tcBorders>
              <w:top w:val="single" w:color="auto" w:sz="4" w:space="0"/>
              <w:left w:val="single" w:color="auto" w:sz="6"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我要开食品生产厂</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58"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923"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银行开户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银行机构</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60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我要开食品生产厂</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企业社会保险信息采集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05"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食品（不含食品添加剂、保健食品）生产许可核发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080"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权限内建设项目环境影响报告表审批（或建设项目环境影响登记表备案）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有机械化生产的进行报告表审批，没有机械化生产的进行登记表备案</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烟酒专卖店（100平米以下）</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80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我要开食品生产加工小作坊</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食品生产加工小作坊登记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食品小经营店登记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权限内建设项目环境影响报告表审批（或建设项目环境影响登记表备案）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有机械化生产的进行报告表审批，没有机械化生产的自主开展环境影响登记表备案</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我要开干洗店（100平米以下）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需自主开展环境影响登记表备案</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我要开打印店（100平米以下不含出版物）</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我要开母婴店（100平米以下）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100平米以下不需要办理</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2"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收养孩子</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居住在中国内地的中国公民在内地收养登记、解除收养关系登记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89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（1）户口登记、注销、迁移                            （2）无户口人员补登、恢复</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spacing w:line="280" w:lineRule="exact"/>
              <w:rPr>
                <w:rFonts w:hint="eastAsia" w:ascii="仿宋_GB2312" w:hAnsi="宋体" w:eastAsia="仿宋_GB2312" w:cs="宋体"/>
                <w:kern w:val="0"/>
                <w:sz w:val="24"/>
              </w:rPr>
            </w:pPr>
            <w:r>
              <w:rPr>
                <w:rFonts w:hint="eastAsia" w:ascii="仿宋_GB2312" w:hAnsi="宋体" w:eastAsia="仿宋_GB2312" w:cs="宋体"/>
                <w:kern w:val="0"/>
                <w:sz w:val="24"/>
              </w:rPr>
              <w:t>办理层级：收养对象16周岁以下，县级；收养对象16周岁以上（含），市级。收养对象若未上户则办理户口登记，若已上户则办理户口迁移。</w:t>
            </w:r>
          </w:p>
        </w:tc>
      </w:tr>
      <w:tr>
        <w:tblPrEx>
          <w:tblCellMar>
            <w:top w:w="0" w:type="dxa"/>
            <w:left w:w="108" w:type="dxa"/>
            <w:bottom w:w="0" w:type="dxa"/>
            <w:right w:w="108" w:type="dxa"/>
          </w:tblCellMar>
        </w:tblPrEx>
        <w:trPr>
          <w:trHeight w:val="442"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城乡居民基本医疗保险参保登记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我要开营利性养老机构</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营利性养老机构备案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权限内建设项目环境影响报告表审批（或建设项目环境影响登记表备案）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涉及环境敏感区的进行报告表审批；不涉及环境敏感区且建筑面积在5000平方米及以上时，需自主开展环境影响登记表备案；建筑面积5000平方米以下的无需办理环评手续。</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新生儿出生一件事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市卫生健康委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出生医学证明办理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预防接种证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疾控部门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新生儿落户登记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城乡居民医保参保登记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8"/>
                <w:kern w:val="0"/>
                <w:sz w:val="24"/>
              </w:rPr>
            </w:pPr>
            <w:r>
              <w:rPr>
                <w:rFonts w:hint="eastAsia" w:ascii="仿宋_GB2312" w:hAnsi="宋体" w:eastAsia="仿宋_GB2312" w:cs="宋体"/>
                <w:spacing w:val="-8"/>
                <w:kern w:val="0"/>
                <w:sz w:val="24"/>
              </w:rPr>
              <w:t>我要开网络预约出租汽车</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市交通运输局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网络预约出租汽车运输证核发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机动车使用性质变更登记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职工住房公积金转入托管账户申请销户提取</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与所在单位终止劳动关系未重新就业且封存满半年提取住房公积金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spacing w:val="-8"/>
                <w:kern w:val="0"/>
                <w:sz w:val="24"/>
              </w:rPr>
              <w:t>住房公积金贷款合同变更（对冲签约）</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住房公积金冲还贷签约</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22</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spacing w:val="-8"/>
                <w:kern w:val="0"/>
                <w:sz w:val="24"/>
              </w:rPr>
              <w:t>出境定居提取住房公积金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出境定居提取住房公积金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23</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偿还商贷本息提取住房公积金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偿还商贷本息提取住房公积金（本人）</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24</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租赁自住住房提取住房公积金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12"/>
                <w:kern w:val="0"/>
                <w:sz w:val="24"/>
              </w:rPr>
              <w:t>租赁自住住房提取住房公积金（本人）</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98"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25</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享受城镇最低生活保障提取住房公积金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享受城镇最低生活保障提取住房公积金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05"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完全丧失劳动能力、并与单位终止劳动关系提取住房公积金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完全丧失劳动能力、并与单位终止劳动关系提取住房公积金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6"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10"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27</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与所在单位终止劳动关系未重新就业且封存满半年提取住房公积金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spacing w:val="-12"/>
                <w:kern w:val="0"/>
                <w:sz w:val="24"/>
              </w:rPr>
              <w:t>与所在单位终止劳动关系未重新就业且封存满半年提取住房公积金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309"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73"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28</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偿还住房公积金贷款本息提取住房公积金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偿还住房公积金贷款本息提取住房公积金（本人）</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7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40"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29</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购买自住住房提取住房公积金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0"/>
                <w:kern w:val="0"/>
                <w:sz w:val="24"/>
              </w:rPr>
            </w:pPr>
            <w:r>
              <w:rPr>
                <w:rFonts w:hint="eastAsia" w:ascii="仿宋_GB2312" w:hAnsi="宋体" w:eastAsia="仿宋_GB2312" w:cs="宋体"/>
                <w:spacing w:val="-10"/>
                <w:kern w:val="0"/>
                <w:sz w:val="24"/>
              </w:rPr>
              <w:t>购买自住住房提取住房公积金（本人）</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4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09"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购买二手自住住房提取住房公积金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购买二手自住住房提取住房公积金（本人）</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1"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退休提取住房公积金</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安阳市住房公积金管理中心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住房公积金缴存账户查询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我要开民办职业技能培训机构</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民办职业培训学校设立审批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7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779"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我要开办人才中介服务机构</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职业介绍服务许可证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建设工程消防设计审核或备案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建设工程竣工消防验收或备案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300平米以上新建或装修需要办理</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安阳市“洹泉涌流”人才引进一件事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人才集聚计划急需紧缺人才、其他特殊人才认定</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人才集聚计划生活补助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人才集聚计划青年储备人才认定</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人才集聚计划创新创业补贴</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人才集聚计划引进人才配偶安置</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人才集聚计划职称评审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人才集聚计划建设留学人员创业园奖励</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人才集聚计划引才服务平台建设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人才集聚计划“人才服务一卡通”办理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人才集聚计划购房补贴</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才集聚计划保障性住房、人才公寓申请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人才集聚计划落户政策</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人才集聚计划公交出行服务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人才集聚计划医疗保健服务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人才集聚计划“旅游一卡通”服务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人才集聚计划图书卡办理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一元民生”综合保险救助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人才集聚计划子女入学服务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人才集聚计划享受相关政策企业名录</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“我要开药店”多证联办</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《药品经营许可证》（零售）</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《医疗器械经营许可证》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《医疗器械经营备案凭证》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《医疗器械网络销售备案凭证》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《食品经营许可证》（仅限预包装食品销售和特殊食品销售）</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仅限预包装食品的食品经营备案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我要开多功能健身中心</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经营高危险性体育项目许可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8"/>
                <w:kern w:val="0"/>
                <w:sz w:val="24"/>
              </w:rPr>
            </w:pPr>
            <w:r>
              <w:rPr>
                <w:rFonts w:hint="eastAsia" w:ascii="仿宋_GB2312" w:hAnsi="宋体" w:eastAsia="仿宋_GB2312" w:cs="宋体"/>
                <w:spacing w:val="-8"/>
                <w:kern w:val="0"/>
                <w:sz w:val="24"/>
              </w:rPr>
              <w:t>我要经营饮用水生产企业</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饮用水供水单位卫生许可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食品生产许可新办（市、县级）</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取水许可新办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76"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旅行社</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林州市旅游和文化广电局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旅行社设立许可（自有场地）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旅行社设立许可（租赁场地）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旅行社分社备案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文广体旅部门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我要开农药、农作物种子经营店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限制使用农药经营许可证初审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6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农作物种子生产经营许可证初审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农作物种子生产经营许可证核发(CD证设立)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经营不分装种子备案审批受理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我要开饲料加工厂</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我要开办畜禽养殖厂</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种畜禽生产经营许可（设立）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省级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动物和动物产品无害化处理场、动物隔离场所动物防疫条件合格证核发（设立）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动物及动物产品检疫合格证核发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取水许可新办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我要开办水产养殖厂</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水域滩涂养殖证审核</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水产苗种产地检疫</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取水许可新办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水产苗种生产审批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洗车店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0"/>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10"/>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企业名称</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变更</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银行账户变更登记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银行机构</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印章变更备案登记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医保参保变更登记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企业住所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变更</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医保参保变更登记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企业法人</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变更</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银行账户变更登记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银行机构</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印章变更备案登记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医保参保变更登记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住房公积金变更登记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企业注销</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企业注销登记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税务清算注销</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印章注销</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企业社会保险注销登记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住房公积金单位缴存注销</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公用事业</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报装</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8"/>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8"/>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用水</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用电</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供电公司</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用气</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用暖</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通管办、移动、电信、联通</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企业招用</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员工</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缴费人员增减申报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463"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养老保险关系转移接续（含城镇职工基本养老保险关系转移接续申请：机关事业单位基本养老保险与城镇企业职工基本养老保险互转申请：军地养老保险关系转移接续申请)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失业保险关系转移接续</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《就业创业证》申领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高等学校等毕业生接收手续办理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档案的接收和转递(流动人员)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存档人员党员组织关系的接转</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劳动用工备案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职工参保登记（基本医疗保险）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个人住房公积金账户设立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企业与员工</w:t>
            </w:r>
          </w:p>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rPr>
              <w:t>解除终止</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劳动合同</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缴费人员增减申报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劳动用工备案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社会保险费欠费补缴中报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失业保险关系转移接续</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档案的接收和转递（流动人员）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存档人员党员组织关系的接转</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退休养老保险一件事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职工正常退休（职）申请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职工提前退休（退职）申请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劳动用工备案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社会保险费欠费补缴申报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031"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养老保险关系转移接续（含城镇职工基本养老保险关系转移接续申请：机关事业单位基本养老保险与城镇企业职工基本养老保除互转申请：城镇职工基本养老保险与城乡居民基本养老保险制度衔擦申请）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多重养老保险关系个人账户退费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养老保险待遇发放账户维护申请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申领工亡人员有关待遇</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工伤备案登记（含用人单位办理工伤登记；变更工伤登记)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35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工伤医疗费用申报（含工伤医疗（康复）费用申报；住院伙食补助费申领：异地工伤就医报告；统筹地区以外交通、食宿费申领)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359"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一次性及长期待遇申领（含一次性工亡补助金（含生活困难，预支50%确认)、丧葬补助金中领；供养亲属抚恤金申领）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工伤保险待遇发放账户维护申请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53</w:t>
            </w:r>
          </w:p>
        </w:tc>
        <w:tc>
          <w:tcPr>
            <w:tcW w:w="160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高校毕业生就业（含灵活就业）</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就业政策法规咨询</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职业供求信息、市场工资指导价位信息和职业培训信息发布</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职业介绍</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职业指导</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公共就业服务专项活动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《就业创业证》申领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53</w:t>
            </w:r>
          </w:p>
        </w:tc>
        <w:tc>
          <w:tcPr>
            <w:tcW w:w="1603" w:type="dxa"/>
            <w:vMerge w:val="restart"/>
            <w:tcBorders>
              <w:top w:val="single" w:color="auto" w:sz="4" w:space="0"/>
              <w:left w:val="single" w:color="auto" w:sz="4" w:space="0"/>
              <w:right w:val="single" w:color="auto" w:sz="4" w:space="0"/>
            </w:tcBorders>
            <w:shd w:val="clear" w:color="auto" w:fill="auto"/>
            <w:noWrap w:val="0"/>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t>高校毕业生就业（含灵活就业）</w:t>
            </w:r>
          </w:p>
        </w:tc>
        <w:tc>
          <w:tcPr>
            <w:tcW w:w="144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安阳市人力资源和社会保障局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高等学校等毕业生接收手续办理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求职创业补贴申领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高校毕业生社保补贴申领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档案的接收和转递（流动人员）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存档人员党员组织关系的接转</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社会保险费缴纳</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bottom w:val="single" w:color="auto" w:sz="4" w:space="0"/>
              <w:right w:val="single" w:color="auto" w:sz="6" w:space="0"/>
            </w:tcBorders>
            <w:shd w:val="clear" w:color="auto" w:fill="auto"/>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54</w:t>
            </w:r>
          </w:p>
        </w:tc>
        <w:tc>
          <w:tcPr>
            <w:tcW w:w="1603" w:type="dxa"/>
            <w:vMerge w:val="restart"/>
            <w:tcBorders>
              <w:top w:val="single" w:color="auto" w:sz="4" w:space="0"/>
              <w:left w:val="single" w:color="auto" w:sz="6" w:space="0"/>
              <w:bottom w:val="single" w:color="auto" w:sz="4" w:space="0"/>
              <w:right w:val="single" w:color="auto" w:sz="6"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创业</w:t>
            </w:r>
          </w:p>
        </w:tc>
        <w:tc>
          <w:tcPr>
            <w:tcW w:w="1440" w:type="dxa"/>
            <w:vMerge w:val="restart"/>
            <w:tcBorders>
              <w:top w:val="single" w:color="auto" w:sz="4" w:space="0"/>
              <w:left w:val="single" w:color="auto" w:sz="6"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创业开业指导</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6" w:space="0"/>
              <w:left w:val="single" w:color="auto" w:sz="6"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6" w:space="0"/>
              <w:left w:val="single" w:color="auto" w:sz="6"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《就业创业证》申领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6" w:space="0"/>
              <w:left w:val="single" w:color="auto" w:sz="6"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创业补贴申领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6" w:space="0"/>
              <w:left w:val="single" w:color="auto" w:sz="6"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创业担保贷款申请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6" w:space="0"/>
              <w:left w:val="single" w:color="auto" w:sz="4"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6" w:space="0"/>
              <w:left w:val="single" w:color="auto" w:sz="6"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高等学校等毕业生接收手续办理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54</w:t>
            </w:r>
          </w:p>
        </w:tc>
        <w:tc>
          <w:tcPr>
            <w:tcW w:w="1603"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创业</w:t>
            </w:r>
          </w:p>
        </w:tc>
        <w:tc>
          <w:tcPr>
            <w:tcW w:w="144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档案的接收和转递（流动人员）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存档人员党员组织关系的接转</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缴费人员增减申报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养老保险关系转移接续（含城镇职工基本养老保险关系转移接续申请：机关事业单位基本养老保险与城镇企业职工基本养老保险互转申请；军地养老保险关系转移接续申请)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失业保险关系转移接续</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劳动用工备案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55</w:t>
            </w:r>
          </w:p>
        </w:tc>
        <w:tc>
          <w:tcPr>
            <w:tcW w:w="160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我要变</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更民族成分</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市民族宗教局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公民民族成份变更（未满十八周岁）（根据父母的民族成份）县级初审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公民民族成份变更（未满十八周岁）（根据父母的民族成份）市级复审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55</w:t>
            </w:r>
          </w:p>
        </w:tc>
        <w:tc>
          <w:tcPr>
            <w:tcW w:w="1603"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我要变</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更民族成分</w:t>
            </w:r>
          </w:p>
        </w:tc>
        <w:tc>
          <w:tcPr>
            <w:tcW w:w="144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市民族宗教局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公民民族成份变更（未满十八周岁）（根据继父母的民族成份）县级初审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公民民族成份变更（未满十八周岁）（根据继父母的民族成份）市级复审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公民民族成份变更（未满十八周岁）（根据养父母的民族成份）县级初审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公民民族成份变更（未满十八周岁）（根据养父母的民族成份）市级复审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公民民族成份变更（年满十八周岁不满二十周岁）县级初审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公民民族成份变更（年满十八周岁不满二十周岁）市级复审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变更民族成分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失业登记</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失业保险待遇申领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出租车</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市交通运输局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巡游出租汽车车辆运营证核发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申请巡游出租汽车驾驶员从业资格证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我要申请公租房</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0"/>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10"/>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公租房承租资格确认</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公租房租赁补贴资格确认</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城乡最低生活保障对象认定</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特困人员认定</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我要办暂住登记</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（出租房屋）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暂住登记（亲属房屋）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暂住登记（出租房屋）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暂住登记（学校就读）</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暂住登记（单位内部）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暂住登记（自有房屋）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核发居住证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居住证签注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房屋租赁网签备案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我要开办宠物医院</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动物诊疗许可证核发（设立）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兽药经营许可证核发（设立）</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执业兽医备案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我要开酒吧</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歌舞娱乐场所经营单位设立审批（自有场地）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文化旅游部门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歌舞娱乐场所经营单位设立审批（租赁场地）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文化旅游部门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我要开货运公司（不含危险货品及易制毒类化学品、不含快递）</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市交通运输局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道路普通货物运输经营许可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spacing w:val="-6"/>
                <w:kern w:val="0"/>
                <w:sz w:val="24"/>
              </w:rPr>
              <w:t>普通货物营运车辆道路运输证配发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我要开游戏娱乐厅</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林州市旅游和文化广电局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游艺娱乐场所经营单位设立审批（自有场地）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文化旅游部门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1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游艺娱乐场所经营单位设立审批（租赁场地）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文化旅游部门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我要开宾馆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旅馆业特种行业许可证核发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85"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烟草专卖零售许可证新办办理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8"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我要开酒店（100平方米以上）</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旅馆业特种行业许可证核发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01"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烟草专卖零售许可证新办办理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我要开超市（200平方米以上）</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8"/>
                <w:kern w:val="0"/>
                <w:sz w:val="24"/>
              </w:rPr>
            </w:pPr>
            <w:r>
              <w:rPr>
                <w:rFonts w:hint="eastAsia" w:ascii="仿宋_GB2312" w:hAnsi="宋体" w:eastAsia="仿宋_GB2312" w:cs="宋体"/>
                <w:spacing w:val="-8"/>
                <w:kern w:val="0"/>
                <w:sz w:val="24"/>
              </w:rPr>
              <w:t>食品经营备案（仅销售预包装食品）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85"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烟草专卖零售许可证新办办理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6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出版物零售单位和个体工商户设立、兼并、合并、分立审批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新闻出版部门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我要开劳务派遣公司</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劳务派遣经营许可（新办）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劳动用工备案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人力资源服务许可审批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对外劳务合作经营资格申请核准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42"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月子中心</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市卫生健康委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7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8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222"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我要开书店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市新闻出版局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出版物零售单位和个体工商户设立、兼并、合并、分立审批（工作场所为单位自有产权）</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新闻出版部门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23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出版物零售单位和个体工商户设立、兼并、合并、分立审批（工作场所为租赁性质）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新闻出版部门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2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2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我要开保安服务公司</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普通保安服务公司设立许可（民营投资-自有场地）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2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普通保安服务公司设立许可（民营投资-租赁场地）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2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普通保安服务公司设立许可（国有资产-自有场地）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4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普通保安服务公司设立许可（国有资产-租赁场地）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09"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保安服务公司跨省、自治区、直辖市提供保安服务备案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洗浴中心</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取水许可新办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旅馆业特种行业许可证核发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奶茶店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食品小经营店登记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73</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美发店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市卫生健康委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74</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美容会所（非医疗类）</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市卫生健康委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53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75</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印刷厂</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市新闻出版局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从事包装装潢印刷品和其他印刷品印刷经营活动企业的设立、兼并、合并、分立审批（工作场所为自有产权）</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新闻出版部门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55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从事包装装潢印刷品和其他印刷品印刷经营活动企业的设立、兼并、合并、分立审批（工作场所为租赁性质）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新闻出版部门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建设项目环境影响登记表备案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76</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甜品店</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食品小经营店登记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restart"/>
            <w:tcBorders>
              <w:top w:val="nil"/>
              <w:left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77</w:t>
            </w:r>
          </w:p>
        </w:tc>
        <w:tc>
          <w:tcPr>
            <w:tcW w:w="1603"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企业简易</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注销</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企业注销登记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企业社会保险注销登记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注销税务登记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一照一码户清税申报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78</w:t>
            </w:r>
          </w:p>
        </w:tc>
        <w:tc>
          <w:tcPr>
            <w:tcW w:w="1603"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涉企不动产登记</w:t>
            </w:r>
          </w:p>
        </w:tc>
        <w:tc>
          <w:tcPr>
            <w:tcW w:w="1440" w:type="dxa"/>
            <w:vMerge w:val="restart"/>
            <w:tcBorders>
              <w:top w:val="nil"/>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市自然资源和</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房屋交易合同网签备案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房屋管理部门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397" w:hRule="atLeast"/>
        </w:trPr>
        <w:tc>
          <w:tcPr>
            <w:tcW w:w="576" w:type="dxa"/>
            <w:vMerge w:val="continue"/>
            <w:tcBorders>
              <w:left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p>
        </w:tc>
        <w:tc>
          <w:tcPr>
            <w:tcW w:w="1603" w:type="dxa"/>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1440" w:type="dxa"/>
            <w:vMerge w:val="continue"/>
            <w:tcBorders>
              <w:left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不动产统一登记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房地产交易税费申报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助残扶困</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残疾人证办理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残联</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困难残疾人生活补贴和重度残疾人护理补贴资格认证</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低保、特困等困难群众医疗救助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城乡居民基本养老保险补助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军人退役</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市退役军人事务局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退役报到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0"/>
                <w:kern w:val="0"/>
                <w:sz w:val="24"/>
              </w:rPr>
            </w:pPr>
            <w:r>
              <w:rPr>
                <w:rFonts w:hint="eastAsia" w:ascii="仿宋_GB2312" w:hAnsi="宋体" w:eastAsia="仿宋_GB2312" w:cs="宋体"/>
                <w:spacing w:val="-10"/>
                <w:kern w:val="0"/>
                <w:sz w:val="24"/>
              </w:rPr>
              <w:t>退役军人事务部门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户口登记（退役军人恢复户口）</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核发居民身份证</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预备役登记</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人民武装部门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社会保险登记</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军地养老保险关系转移接续</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失业保险待遇申领</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基本医疗保险参保和变更登记</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基本医疗保险关系转移接续</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4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退役士兵自主就业一次性经济补助金的给付</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退役军人事务部门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二手房转移登记及水电气联动过户</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市房产事务中心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房屋交易合同网签备案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房屋管理部门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房地产交易税费申报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不动产统一登记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电表过户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水表过户</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天然气表过户</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82</w:t>
            </w:r>
          </w:p>
        </w:tc>
        <w:tc>
          <w:tcPr>
            <w:tcW w:w="16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公民身后</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一件事</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出具死亡证明（正常死亡）</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出具死亡证明（非正常死亡）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出具火化证明</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参保人员个人账户一次性支取（基本医疗保险）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个人账户一次性待遇申领（养老保险）</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遗属待遇申领</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死亡、宣告死亡办理户口注销</w:t>
            </w:r>
          </w:p>
        </w:tc>
        <w:tc>
          <w:tcPr>
            <w:tcW w:w="19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注销驾驶证</w:t>
            </w:r>
          </w:p>
        </w:tc>
        <w:tc>
          <w:tcPr>
            <w:tcW w:w="19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住房公积金提取（死亡）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83</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公民婚育</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一件事</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内地居民办理结婚登记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户口登记项目变更</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户口迁移</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生育登记</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乡级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84</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灵活就业</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就业登记</w:t>
            </w:r>
          </w:p>
        </w:tc>
        <w:tc>
          <w:tcPr>
            <w:tcW w:w="19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档案的接收和转递（流动人员）</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社会保险登记</w:t>
            </w:r>
          </w:p>
        </w:tc>
        <w:tc>
          <w:tcPr>
            <w:tcW w:w="1980" w:type="dxa"/>
            <w:tcBorders>
              <w:top w:val="single" w:color="auto" w:sz="4" w:space="0"/>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《就业创业证》申领</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highlight w:val="yellow"/>
              </w:rPr>
            </w:pP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社会保障卡申领</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灵活就业困难人员社保补贴</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基本医疗保险参保和变更登记</w:t>
            </w:r>
          </w:p>
        </w:tc>
        <w:tc>
          <w:tcPr>
            <w:tcW w:w="19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灵活就业人员社会保险费申报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85</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公民离婚</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内地居民办理离婚登记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变更婚姻状况</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86</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高校毕业生落户</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申领居民身份证（换领）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大中专院校毕业学生迁入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87</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生育金补贴一件事</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市医疗保障局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生育津贴支付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生育医疗费支付</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88</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企业职工退休一件事</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企业人员退休申请（已有社会化发放信息-正常退休）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企业人员退休申请（无社会化发放信息-正常退休）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企业人员退休申请（已有社会化发放信息-提前退休）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企业人员退休申请（无社会化发放信息-提前退休）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退休提取住房公积金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住房公积金部门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职工参保登记（在职转退休）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89</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种子站（不分装种子）</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经营不分装种子备案审批受理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90</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我要开苗圃</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林业局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92"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从事林木种子（普通）生产经营许可核发（县域）</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林业部门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职工社会保险参保登记</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职工参保登记（单位职工新增）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3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企业职工参保登记（企业基本养老保险）</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92</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农药店</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市农业农村局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限制使用农药经营许可证初审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农业农村部门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我要补换领驾驶证</w:t>
            </w:r>
          </w:p>
        </w:tc>
        <w:tc>
          <w:tcPr>
            <w:tcW w:w="144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换领机动车行驶证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驾驶证转入换证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期满换证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延期换证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遗失补证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8"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打印学习驾驶证明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成立体育项目社团</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林州市教体局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体育类民办非企业单位的申请成立的审查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文化旅游部门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社会团体成立登记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新房缴契税</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0"/>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10"/>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不动产查询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税收完税证明开具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契税申报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2" w:hRule="atLeast"/>
        </w:trPr>
        <w:tc>
          <w:tcPr>
            <w:tcW w:w="576"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96</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异地</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就医备案</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市医疗保障局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基本医疗保险参保人员异地就医备案（职工异地转诊人员）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02"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基本医疗保险参保人员异地就医备案（居民异地转诊人员）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4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基本医疗保险参保人员异地就医备案（职工常驻异地工作人员）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76"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基本医疗保险参保人员异地就医备案（居民常驻异地工作人员）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7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基本医疗保险参保人员异地就医备案（职工异地长期居住人员）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99"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基本医疗保险参保人员异地就医备案（居民异地长期居住人员）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45"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基本医疗保险参保人员异地就医备案（职工异地安置退休人员）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288"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基本医疗保险参保人员异地就医备案（居民异地安置退休人员）</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32"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基本医疗保险参保人员享受门诊慢特病病种待遇认定</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医保部门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97</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我要办理车辆上牌</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车辆购置税申报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新车注册登记预选号牌</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98</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开汽车4S经营店</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汽车销售企业信息备案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一般建设项目环境影响评价审批（报告表项目）</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生态环境部门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99</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乒乓球馆</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社保卡</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市人力资源和社会保障局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社保卡状态确认</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社会保障卡启用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社会保障卡挂失</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社会保障卡补领、换领、换发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社会保障卡应用状态查询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人社部门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我要开农民专业合作社</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农民专业合作社设立登记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清真餐厅</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个体工商户清真食品生产经营许可（申请）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民宗部门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健康证发放</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39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桑拿房</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食品（含保健食品）经营许可核发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我要开民宿</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公共场所卫生许可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旅馆业特种行业许可证核发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7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公众聚集场所投入使用、营业前消防安全检查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消防部门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935"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105</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体育用品店</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小饭桌</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市市场监管局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个体工商户开业登记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食品经营许可证核发</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加油站</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成品油零售经营资格首次申请（初审）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成品油零售经营资格首次申请（复审）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食品（含保健食品）经营许可核发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烟草专卖零售许可证新办办理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烟草部门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46"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设置大型户外广告及在城市建筑物、设施上悬挂、张贴宣传品审批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40" w:hRule="atLeast"/>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108</w:t>
            </w:r>
          </w:p>
        </w:tc>
        <w:tc>
          <w:tcPr>
            <w:tcW w:w="16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我要开二手车交易经营公司</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二手车交易市场及经营主体首次备案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汽车销售企业信息备案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商务部门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24"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109</w:t>
            </w:r>
          </w:p>
        </w:tc>
        <w:tc>
          <w:tcPr>
            <w:tcW w:w="1603"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我要开融资担保公司</w:t>
            </w:r>
          </w:p>
        </w:tc>
        <w:tc>
          <w:tcPr>
            <w:tcW w:w="1440"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市金融</w:t>
            </w:r>
            <w:r>
              <w:rPr>
                <w:rFonts w:hint="eastAsia" w:ascii="仿宋_GB2312" w:hAnsi="宋体" w:eastAsia="仿宋_GB2312" w:cs="宋体"/>
                <w:kern w:val="0"/>
                <w:sz w:val="24"/>
                <w:lang w:eastAsia="zh-CN"/>
              </w:rPr>
              <w:t>服务中心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融资担保机构分立（初审）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金融部门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融资担保机构设立（复审）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金融部门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110</w:t>
            </w:r>
          </w:p>
        </w:tc>
        <w:tc>
          <w:tcPr>
            <w:tcW w:w="160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我要开小额贷款公司</w:t>
            </w:r>
          </w:p>
        </w:tc>
        <w:tc>
          <w:tcPr>
            <w:tcW w:w="14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市金融</w:t>
            </w:r>
            <w:r>
              <w:rPr>
                <w:rFonts w:hint="eastAsia" w:ascii="仿宋_GB2312" w:hAnsi="宋体" w:eastAsia="仿宋_GB2312" w:cs="宋体"/>
                <w:kern w:val="0"/>
                <w:sz w:val="24"/>
                <w:lang w:eastAsia="zh-CN"/>
              </w:rPr>
              <w:t>服务中心</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小额贷款公司设立（初审）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金融部门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小额贷款公司设立（复审）</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金融部门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111</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申请划拨类立项用地（社会投资小型低风险项目）</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划拨类建设用地规划许可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企业投资项目备案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发改部门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水电气暖联合过户</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电表过户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水表过户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天然气表过户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暖气过户</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水电气报装一件事（个人）</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低压居民新装</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个人用水报装</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燃气用户报装</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114</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占用、挖掘城市道路审批</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临时占用城市道路许可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spacing w:val="4"/>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挖掘城市道路许可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spacing w:val="4"/>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在城市道路两侧和公共场地临时堆放物料，搭建临时建筑物、构筑物或者其他设施许可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我要买房一件事（新建商品房办证全款）</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国有建设用地使用权及房屋等建筑物、构筑物所有权首次登记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4"/>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spacing w:val="-8"/>
                <w:kern w:val="0"/>
                <w:sz w:val="24"/>
              </w:rPr>
              <w:t>新建商品房买卖合同网签备案登记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房产部门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社会投资一般住宅项目竣工验收阶段办理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房屋建筑工程竣工验收备案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4"/>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社会投资一般工业建筑项目立项用地规划许可阶段办理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4"/>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4"/>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生产建设项目水土保持方案审批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个人或企业不动产抵押</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在建建筑物抵押权首次登记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119</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我要办建筑工程施工许可核准</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建筑工程施工许可核准</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建筑业企业资质增项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企业在建工程抵押一件事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在建建筑物抵押权首次登记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我要开办代理记账公司</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财政局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中介机构从事代理记账业务审批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财政部门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122</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我要开机动车维修店</w:t>
            </w:r>
          </w:p>
        </w:tc>
        <w:tc>
          <w:tcPr>
            <w:tcW w:w="1440"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公章刻制</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机动车维修经营备案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我要开驾校</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交通运输局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申请普通机动车驾驶员培训经营范围备案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交通部门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公章刻制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发票领用</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税务部门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公司设立登记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我要开社区养老驿站（非营利）</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公益性养老机构备案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民办非企业单位成立登记</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我要开社区卫生服务站</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医疗机构执业登记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民办非企业单位成立登记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民政部门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我要开诊所</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诊所备案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127</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我要开中医诊所</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中医诊所备案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1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个体工商户设立登记</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市场监管部门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spacing w:val="-8"/>
                <w:kern w:val="0"/>
                <w:sz w:val="24"/>
              </w:rPr>
              <w:t>设置户外医疗广告一件事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医疗广告审查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卫健部门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805"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设置大型户外广告及在城市建筑物、设施上悬挂、张贴宣传品审批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129</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客户接网工程并联审批</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供电公司</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工程建设涉及城市绿地、树木审批</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临时占用城市道路许可</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挖掘城市道路许可</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高压新装</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供电部门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影响交通安全占道施工审核 </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130</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我要联合</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验收</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建设工程规划土地核实</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人防工程竣工验收核实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人防部门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建设工程消防验收</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市政基础设施工程竣工验收备案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656"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131</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社会投资一般住宅项目工程建设许可阶段办理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发改委</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固定资产投资项目节能审查</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发改部门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76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生产建设项目水土保持方案审批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132</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社会投资一般住宅项目立项用地规划许可阶段办理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060"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工程建设涉及城市绿地、树木审批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133</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社会投资一般住宅项目施工许可阶段办理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建设工程招投标情况书面报告</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工程建设涉及城市绿地、树木审批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建设工程招标文件备案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134</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社会投资一般工业建筑项目工程建设许可阶段办理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生产建设项目水土保持方案审批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水利部门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1109"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135</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社会投资一般工业建筑项目施工许可阶段办理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建设工程招投标情况书面报告</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工程建设涉及城市绿地、树木审批</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城管部门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建设工程招标文件备案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城镇污水排入排水管网许可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136</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社会投资一般工业建筑项目竣工验收阶段办理</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临时建设用地规划许可</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房屋建筑工程竣工验收备案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137</w:t>
            </w:r>
          </w:p>
        </w:tc>
        <w:tc>
          <w:tcPr>
            <w:tcW w:w="160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申请出让类立项用地（社会投资小型低风险项目）</w:t>
            </w:r>
          </w:p>
        </w:tc>
        <w:tc>
          <w:tcPr>
            <w:tcW w:w="14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市自然资源和规划局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出让类建设用地规划许可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自然资源和规划部门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spacing w:val="6"/>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企业投资项目备案</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发改部门</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138</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办理城镇污水排入排水管网手续一件事</w:t>
            </w: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spacing w:val="6"/>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spacing w:val="6"/>
                <w:kern w:val="0"/>
                <w:sz w:val="24"/>
              </w:rPr>
              <w:t>市住房和城乡建设局</w:t>
            </w: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城镇排水与污水处理设施竣工验收备案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城镇污水排入排水管网许可 </w:t>
            </w:r>
          </w:p>
        </w:tc>
        <w:tc>
          <w:tcPr>
            <w:tcW w:w="198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住建部门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139</w:t>
            </w:r>
          </w:p>
        </w:tc>
        <w:tc>
          <w:tcPr>
            <w:tcW w:w="1603"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幼儿入园</w:t>
            </w:r>
          </w:p>
        </w:tc>
        <w:tc>
          <w:tcPr>
            <w:tcW w:w="144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w:t>
            </w:r>
            <w:r>
              <w:rPr>
                <w:rFonts w:hint="eastAsia" w:ascii="仿宋_GB2312" w:hAnsi="宋体" w:eastAsia="仿宋_GB2312" w:cs="宋体"/>
                <w:kern w:val="0"/>
                <w:sz w:val="24"/>
                <w:lang w:eastAsia="zh-CN"/>
              </w:rPr>
              <w:t>体</w:t>
            </w:r>
            <w:r>
              <w:rPr>
                <w:rFonts w:hint="eastAsia" w:ascii="仿宋_GB2312" w:hAnsi="宋体" w:eastAsia="仿宋_GB2312" w:cs="宋体"/>
                <w:kern w:val="0"/>
                <w:sz w:val="24"/>
              </w:rPr>
              <w:t>局</w:t>
            </w: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户籍信息查询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儿童预防接种查询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居住证信息查询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进城务工人员随迁子女需提供</w:t>
            </w:r>
          </w:p>
        </w:tc>
      </w:tr>
      <w:tr>
        <w:tblPrEx>
          <w:tblCellMar>
            <w:top w:w="0" w:type="dxa"/>
            <w:left w:w="108" w:type="dxa"/>
            <w:bottom w:w="0" w:type="dxa"/>
            <w:right w:w="108" w:type="dxa"/>
          </w:tblCellMar>
        </w:tblPrEx>
        <w:trPr>
          <w:trHeight w:val="454" w:hRule="atLeast"/>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140</w:t>
            </w:r>
          </w:p>
        </w:tc>
        <w:tc>
          <w:tcPr>
            <w:tcW w:w="16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儿童入学（小学、初中）</w:t>
            </w:r>
          </w:p>
        </w:tc>
        <w:tc>
          <w:tcPr>
            <w:tcW w:w="1440"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林州</w:t>
            </w:r>
            <w:r>
              <w:rPr>
                <w:rFonts w:hint="eastAsia" w:ascii="仿宋_GB2312" w:hAnsi="宋体" w:eastAsia="仿宋_GB2312" w:cs="宋体"/>
                <w:kern w:val="0"/>
                <w:sz w:val="24"/>
              </w:rPr>
              <w:t>市</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教</w:t>
            </w:r>
            <w:r>
              <w:rPr>
                <w:rFonts w:hint="eastAsia" w:ascii="仿宋_GB2312" w:hAnsi="宋体" w:eastAsia="仿宋_GB2312" w:cs="宋体"/>
                <w:kern w:val="0"/>
                <w:sz w:val="24"/>
                <w:lang w:eastAsia="zh-CN"/>
              </w:rPr>
              <w:t>体</w:t>
            </w:r>
            <w:r>
              <w:rPr>
                <w:rFonts w:hint="eastAsia" w:ascii="仿宋_GB2312" w:hAnsi="宋体" w:eastAsia="仿宋_GB2312" w:cs="宋体"/>
                <w:kern w:val="0"/>
                <w:sz w:val="24"/>
              </w:rPr>
              <w:t>局</w:t>
            </w: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户籍信息查询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儿童预防接种查询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卫生健康部门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4"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不动产查询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自然资源部门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567" w:hRule="atLeast"/>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6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p>
        </w:tc>
        <w:tc>
          <w:tcPr>
            <w:tcW w:w="37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居住证信息查询</w:t>
            </w:r>
          </w:p>
        </w:tc>
        <w:tc>
          <w:tcPr>
            <w:tcW w:w="198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公安部门</w:t>
            </w:r>
          </w:p>
        </w:tc>
        <w:tc>
          <w:tcPr>
            <w:tcW w:w="180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市、县级</w:t>
            </w:r>
          </w:p>
        </w:tc>
        <w:tc>
          <w:tcPr>
            <w:tcW w:w="234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进城务工人员随迁子女需提供</w:t>
            </w:r>
          </w:p>
        </w:tc>
      </w:tr>
    </w:tbl>
    <w:p>
      <w:pPr>
        <w:shd w:val="clear" w:color="auto" w:fill="FFFFFF"/>
        <w:spacing w:line="580" w:lineRule="exact"/>
        <w:jc w:val="center"/>
        <w:rPr>
          <w:rFonts w:hint="eastAsia" w:ascii="方正小标宋_GBK" w:hAnsi="方正仿宋_GBK" w:eastAsia="方正小标宋_GBK" w:cs="方正仿宋_GBK"/>
          <w:color w:val="000000"/>
          <w:kern w:val="0"/>
          <w:sz w:val="44"/>
          <w:szCs w:val="44"/>
        </w:rPr>
        <w:sectPr>
          <w:pgSz w:w="16838" w:h="11906" w:orient="landscape"/>
          <w:pgMar w:top="1588" w:right="1985" w:bottom="1474" w:left="1985" w:header="851" w:footer="1418" w:gutter="0"/>
          <w:cols w:space="720" w:num="1"/>
          <w:docGrid w:type="linesAndChars" w:linePitch="312" w:charSpace="0"/>
        </w:sectPr>
      </w:pPr>
    </w:p>
    <w:p>
      <w:pPr>
        <w:shd w:val="clear" w:color="auto" w:fill="FFFFFF"/>
        <w:spacing w:line="580" w:lineRule="exact"/>
        <w:rPr>
          <w:rFonts w:hint="eastAsia" w:ascii="仿宋_GB2312" w:hAnsi="方正仿宋_GBK" w:eastAsia="仿宋_GB2312" w:cs="方正仿宋_GBK"/>
          <w:color w:val="000000"/>
          <w:kern w:val="0"/>
          <w:sz w:val="32"/>
          <w:szCs w:val="32"/>
          <w:lang w:eastAsia="zh-CN"/>
        </w:rPr>
      </w:pPr>
      <w:r>
        <w:rPr>
          <w:rFonts w:hint="eastAsia" w:ascii="仿宋_GB2312" w:hAnsi="方正仿宋_GBK" w:eastAsia="仿宋_GB2312" w:cs="方正仿宋_GBK"/>
          <w:color w:val="000000"/>
          <w:kern w:val="0"/>
          <w:sz w:val="32"/>
          <w:szCs w:val="32"/>
          <w:lang w:eastAsia="zh-CN"/>
        </w:rPr>
        <w:t>（此页无正文）</w:t>
      </w:r>
    </w:p>
    <w:p>
      <w:pPr>
        <w:spacing w:line="580" w:lineRule="exact"/>
        <w:rPr>
          <w:rFonts w:hint="eastAsia" w:ascii="仿宋_GB2312" w:hAnsi="方正仿宋_GBK" w:eastAsia="仿宋_GB2312" w:cs="方正仿宋_GBK"/>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22"/>
          <w:szCs w:val="22"/>
          <w:lang w:val="en-US" w:eastAsia="zh-CN"/>
        </w:rPr>
      </w:pPr>
    </w:p>
    <w:p>
      <w:pPr>
        <w:pStyle w:val="9"/>
        <w:rPr>
          <w:rFonts w:hint="eastAsia" w:ascii="仿宋" w:hAnsi="仿宋" w:eastAsia="仿宋" w:cs="仿宋"/>
          <w:w w:val="100"/>
          <w:sz w:val="22"/>
          <w:szCs w:val="22"/>
          <w:lang w:val="en-US" w:eastAsia="zh-CN"/>
        </w:rPr>
      </w:pPr>
    </w:p>
    <w:p>
      <w:pPr>
        <w:pStyle w:val="9"/>
        <w:rPr>
          <w:rFonts w:hint="eastAsia" w:ascii="仿宋" w:hAnsi="仿宋" w:eastAsia="仿宋" w:cs="仿宋"/>
          <w:w w:val="100"/>
          <w:sz w:val="20"/>
          <w:szCs w:val="20"/>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pStyle w:val="9"/>
        <w:rPr>
          <w:rFonts w:hint="eastAsia" w:ascii="仿宋" w:hAnsi="仿宋" w:eastAsia="仿宋" w:cs="仿宋"/>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039" w:rightChars="-495"/>
        <w:jc w:val="both"/>
        <w:textAlignment w:val="auto"/>
        <w:rPr>
          <w:rFonts w:hint="default" w:ascii="仿宋_GB2312" w:hAnsi="黑体" w:eastAsia="仿宋_GB2312"/>
          <w:w w:val="65"/>
          <w:sz w:val="32"/>
          <w:szCs w:val="32"/>
          <w:lang w:val="en-US" w:eastAsia="zh-CN"/>
        </w:rPr>
      </w:pPr>
      <w:r>
        <w:rPr>
          <w:rFonts w:hint="eastAsia" w:ascii="黑体" w:hAnsi="黑体" w:eastAsia="黑体"/>
          <w:b/>
          <w:sz w:val="44"/>
          <w:szCs w:val="44"/>
        </w:rPr>
        <mc:AlternateContent>
          <mc:Choice Requires="wps">
            <w:drawing>
              <wp:anchor distT="0" distB="0" distL="114300" distR="114300" simplePos="0" relativeHeight="251661312" behindDoc="1" locked="0" layoutInCell="1" allowOverlap="1">
                <wp:simplePos x="0" y="0"/>
                <wp:positionH relativeFrom="column">
                  <wp:posOffset>-132080</wp:posOffset>
                </wp:positionH>
                <wp:positionV relativeFrom="paragraph">
                  <wp:posOffset>31750</wp:posOffset>
                </wp:positionV>
                <wp:extent cx="56007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4pt;margin-top:2.5pt;height:0pt;width:441pt;z-index:-251655168;mso-width-relative:page;mso-height-relative:page;" filled="f" stroked="t" coordsize="21600,21600" o:gfxdata="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5whg1AAAAAcBAAAPAAAAAAAAAAEAIAAAACIAAABkcnMvZG93bnJldi54bWxQ&#10;SwECFAAUAAAACACHTuJA+XmA3fsBAAD0AwAADgAAAAAAAAABACAAAAAjAQAAZHJzL2Uyb0RvYy54&#10;bWxQSwUGAAAAAAYABgBZAQAAkAUAAAAA&#10;">
                <v:fill on="f" focussize="0,0"/>
                <v:stroke color="#000000" joinstyle="round"/>
                <v:imagedata o:title=""/>
                <o:lock v:ext="edit" aspectratio="f"/>
              </v:line>
            </w:pict>
          </mc:Fallback>
        </mc:AlternateContent>
      </w:r>
      <w:r>
        <w:rPr>
          <w:rFonts w:hint="eastAsia" w:ascii="仿宋_GB2312" w:hAnsi="黑体" w:eastAsia="仿宋_GB2312"/>
          <w:w w:val="65"/>
          <w:sz w:val="32"/>
          <w:szCs w:val="32"/>
          <w:lang w:eastAsia="zh-CN"/>
        </w:rPr>
        <w:t>林州</w:t>
      </w:r>
      <w:r>
        <w:rPr>
          <w:rFonts w:hint="eastAsia" w:ascii="仿宋_GB2312" w:hAnsi="黑体" w:eastAsia="仿宋_GB2312"/>
          <w:w w:val="65"/>
          <w:sz w:val="32"/>
          <w:szCs w:val="32"/>
        </w:rPr>
        <w:t>市</w:t>
      </w:r>
      <w:r>
        <w:rPr>
          <w:rFonts w:hint="eastAsia" w:ascii="仿宋_GB2312" w:hAnsi="黑体" w:eastAsia="仿宋_GB2312"/>
          <w:w w:val="65"/>
          <w:sz w:val="32"/>
          <w:szCs w:val="32"/>
          <w:lang w:eastAsia="zh-CN"/>
        </w:rPr>
        <w:t>人民政府推进政府职能转变和“放管服”改革协调小组</w:t>
      </w:r>
      <w:r>
        <w:rPr>
          <w:rFonts w:hint="eastAsia" w:ascii="仿宋_GB2312" w:hAnsi="黑体" w:eastAsia="仿宋_GB2312"/>
          <w:w w:val="65"/>
          <w:sz w:val="32"/>
          <w:szCs w:val="32"/>
        </w:rPr>
        <w:t xml:space="preserve">办公室  </w:t>
      </w:r>
      <w:r>
        <w:rPr>
          <w:rFonts w:hint="eastAsia" w:ascii="仿宋_GB2312" w:hAnsi="黑体" w:eastAsia="仿宋_GB2312"/>
          <w:w w:val="65"/>
          <w:sz w:val="32"/>
          <w:szCs w:val="32"/>
          <w:lang w:val="en-US" w:eastAsia="zh-CN"/>
        </w:rPr>
        <w:t xml:space="preserve"> </w:t>
      </w:r>
      <w:r>
        <w:rPr>
          <w:rFonts w:hint="eastAsia" w:ascii="仿宋_GB2312" w:hAnsi="黑体" w:eastAsia="仿宋_GB2312"/>
          <w:w w:val="65"/>
          <w:sz w:val="32"/>
          <w:szCs w:val="32"/>
        </w:rPr>
        <w:t xml:space="preserve"> </w:t>
      </w:r>
      <w:r>
        <w:rPr>
          <w:rFonts w:hint="eastAsia" w:ascii="仿宋" w:hAnsi="仿宋" w:eastAsia="仿宋" w:cs="仿宋"/>
          <w:w w:val="65"/>
          <w:sz w:val="32"/>
          <w:szCs w:val="32"/>
          <w:lang w:val="en-US" w:eastAsia="zh-CN"/>
        </w:rPr>
        <w:t xml:space="preserve"> 2023</w:t>
      </w:r>
      <w:r>
        <w:rPr>
          <w:rFonts w:hint="eastAsia" w:ascii="仿宋_GB2312" w:hAnsi="黑体" w:eastAsia="仿宋_GB2312"/>
          <w:w w:val="65"/>
          <w:sz w:val="32"/>
          <w:szCs w:val="32"/>
          <w:lang w:eastAsia="zh-CN"/>
        </w:rPr>
        <w:t>年</w:t>
      </w:r>
      <w:r>
        <w:rPr>
          <w:rFonts w:hint="eastAsia" w:ascii="仿宋_GB2312" w:hAnsi="黑体" w:eastAsia="仿宋_GB2312"/>
          <w:w w:val="65"/>
          <w:sz w:val="32"/>
          <w:szCs w:val="32"/>
          <w:lang w:val="en-US" w:eastAsia="zh-CN"/>
        </w:rPr>
        <w:t>6月</w:t>
      </w:r>
      <w:r>
        <w:rPr>
          <w:rFonts w:hint="eastAsia" w:ascii="仿宋" w:hAnsi="仿宋" w:eastAsia="仿宋" w:cs="仿宋"/>
          <w:w w:val="65"/>
          <w:sz w:val="32"/>
          <w:szCs w:val="32"/>
          <w:lang w:val="en-US" w:eastAsia="zh-CN"/>
        </w:rPr>
        <w:t>28</w:t>
      </w:r>
      <w:r>
        <w:rPr>
          <w:rFonts w:hint="eastAsia" w:ascii="仿宋_GB2312" w:hAnsi="黑体" w:eastAsia="仿宋_GB2312"/>
          <w:w w:val="65"/>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20" w:lineRule="exact"/>
        <w:jc w:val="right"/>
        <w:textAlignment w:val="auto"/>
        <w:rPr>
          <w:rFonts w:hint="eastAsia" w:ascii="仿宋" w:hAnsi="仿宋" w:eastAsia="仿宋" w:cs="仿宋"/>
          <w:sz w:val="32"/>
          <w:szCs w:val="32"/>
        </w:rPr>
      </w:pPr>
      <w:r>
        <w:rPr>
          <w:rFonts w:hint="eastAsia" w:ascii="仿宋_GB2312" w:hAnsi="黑体" w:eastAsia="仿宋_GB2312"/>
          <w:sz w:val="18"/>
          <w:szCs w:val="18"/>
        </w:rPr>
        <mc:AlternateContent>
          <mc:Choice Requires="wps">
            <w:drawing>
              <wp:anchor distT="0" distB="0" distL="114300" distR="114300" simplePos="0" relativeHeight="251660288" behindDoc="1" locked="0" layoutInCell="1" allowOverlap="1">
                <wp:simplePos x="0" y="0"/>
                <wp:positionH relativeFrom="column">
                  <wp:posOffset>-121920</wp:posOffset>
                </wp:positionH>
                <wp:positionV relativeFrom="paragraph">
                  <wp:posOffset>26670</wp:posOffset>
                </wp:positionV>
                <wp:extent cx="56007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6pt;margin-top:2.1pt;height:0pt;width:441pt;z-index:-251656192;mso-width-relative:page;mso-height-relative:page;" filled="f" stroked="t" coordsize="21600,21600" o:gfxdata="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VO+v1QAAAAcBAAAPAAAAAAAAAAEAIAAAACIAAABkcnMvZG93bnJldi54bWxQ&#10;SwECFAAUAAAACACHTuJAqb4TZvoBAAD0AwAADgAAAAAAAAABACAAAAAkAQAAZHJzL2Uyb0RvYy54&#10;bWxQSwUGAAAAAAYABgBZAQAAkAUAAAAA&#10;">
                <v:fill on="f" focussize="0,0"/>
                <v:stroke color="#000000" joinstyle="round"/>
                <v:imagedata o:title=""/>
                <o:lock v:ext="edit" aspectratio="f"/>
              </v:line>
            </w:pict>
          </mc:Fallback>
        </mc:AlternateContent>
      </w:r>
      <w:r>
        <w:rPr>
          <w:rFonts w:hint="eastAsia" w:ascii="黑体" w:hAnsi="黑体" w:eastAsia="黑体"/>
          <w:b/>
          <w:sz w:val="18"/>
          <w:szCs w:val="18"/>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DE1Y2E3ZmI4ODMyY2ZmMThkMDQ2N2IwOWZjMTAifQ=="/>
  </w:docVars>
  <w:rsids>
    <w:rsidRoot w:val="00000000"/>
    <w:rsid w:val="003F7249"/>
    <w:rsid w:val="0108288D"/>
    <w:rsid w:val="02D019EE"/>
    <w:rsid w:val="03317AD9"/>
    <w:rsid w:val="05A66E2A"/>
    <w:rsid w:val="072D27BD"/>
    <w:rsid w:val="098C0847"/>
    <w:rsid w:val="0AFC06FE"/>
    <w:rsid w:val="0BA724D2"/>
    <w:rsid w:val="0EA47408"/>
    <w:rsid w:val="0FDD12BC"/>
    <w:rsid w:val="11FF1738"/>
    <w:rsid w:val="138D5054"/>
    <w:rsid w:val="14744290"/>
    <w:rsid w:val="161824AF"/>
    <w:rsid w:val="19FC5CF2"/>
    <w:rsid w:val="1A0D7A78"/>
    <w:rsid w:val="1D554B75"/>
    <w:rsid w:val="1D564E61"/>
    <w:rsid w:val="2000578F"/>
    <w:rsid w:val="208145A9"/>
    <w:rsid w:val="20D52D4E"/>
    <w:rsid w:val="21544746"/>
    <w:rsid w:val="22E93FAB"/>
    <w:rsid w:val="23030E8E"/>
    <w:rsid w:val="24547947"/>
    <w:rsid w:val="24AB29E8"/>
    <w:rsid w:val="250857AF"/>
    <w:rsid w:val="259C3E2D"/>
    <w:rsid w:val="26383B47"/>
    <w:rsid w:val="26404627"/>
    <w:rsid w:val="29831718"/>
    <w:rsid w:val="2A060FE3"/>
    <w:rsid w:val="2BAC2763"/>
    <w:rsid w:val="2BB029F9"/>
    <w:rsid w:val="2CC465B9"/>
    <w:rsid w:val="2D094378"/>
    <w:rsid w:val="2EBE553D"/>
    <w:rsid w:val="2F373E0A"/>
    <w:rsid w:val="2F6E4B48"/>
    <w:rsid w:val="345242CD"/>
    <w:rsid w:val="34CD05C4"/>
    <w:rsid w:val="34EF0BA1"/>
    <w:rsid w:val="361048EE"/>
    <w:rsid w:val="36515F1E"/>
    <w:rsid w:val="36D220AD"/>
    <w:rsid w:val="39BA7162"/>
    <w:rsid w:val="3AE20EBF"/>
    <w:rsid w:val="3D95207A"/>
    <w:rsid w:val="3F99126D"/>
    <w:rsid w:val="41500E60"/>
    <w:rsid w:val="41A73B90"/>
    <w:rsid w:val="41E15FDB"/>
    <w:rsid w:val="42FD364F"/>
    <w:rsid w:val="439217B6"/>
    <w:rsid w:val="439C48C4"/>
    <w:rsid w:val="470612CB"/>
    <w:rsid w:val="4B3D0743"/>
    <w:rsid w:val="4BD55D51"/>
    <w:rsid w:val="4F30154B"/>
    <w:rsid w:val="4FD03C07"/>
    <w:rsid w:val="518910BD"/>
    <w:rsid w:val="52286D0E"/>
    <w:rsid w:val="538474B8"/>
    <w:rsid w:val="558136BA"/>
    <w:rsid w:val="574C786C"/>
    <w:rsid w:val="57976AF0"/>
    <w:rsid w:val="58362735"/>
    <w:rsid w:val="59287614"/>
    <w:rsid w:val="59561BC4"/>
    <w:rsid w:val="5E9C37B9"/>
    <w:rsid w:val="607310BD"/>
    <w:rsid w:val="610C4B2A"/>
    <w:rsid w:val="639D0502"/>
    <w:rsid w:val="640358B2"/>
    <w:rsid w:val="64DC20D6"/>
    <w:rsid w:val="66AC6D4F"/>
    <w:rsid w:val="67544D38"/>
    <w:rsid w:val="68B35582"/>
    <w:rsid w:val="6D30713B"/>
    <w:rsid w:val="6EEC1F74"/>
    <w:rsid w:val="6EED1CFA"/>
    <w:rsid w:val="6F4006A9"/>
    <w:rsid w:val="705163EC"/>
    <w:rsid w:val="71852286"/>
    <w:rsid w:val="72E62542"/>
    <w:rsid w:val="74306C3B"/>
    <w:rsid w:val="76A0558E"/>
    <w:rsid w:val="76B6373E"/>
    <w:rsid w:val="78006D3F"/>
    <w:rsid w:val="781C2484"/>
    <w:rsid w:val="78650950"/>
    <w:rsid w:val="78D4515A"/>
    <w:rsid w:val="7A3659AD"/>
    <w:rsid w:val="7C155B45"/>
    <w:rsid w:val="7E56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line="600" w:lineRule="exact"/>
      <w:ind w:firstLine="420"/>
    </w:pPr>
    <w:rPr>
      <w:bCs/>
      <w:sz w:val="30"/>
    </w:rPr>
  </w:style>
  <w:style w:type="paragraph" w:styleId="3">
    <w:name w:val="Body Text"/>
    <w:basedOn w:val="1"/>
    <w:next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19444</Words>
  <Characters>19747</Characters>
  <Lines>0</Lines>
  <Paragraphs>0</Paragraphs>
  <TotalTime>1</TotalTime>
  <ScaleCrop>false</ScaleCrop>
  <LinksUpToDate>false</LinksUpToDate>
  <CharactersWithSpaces>20496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A0信达商标小莫18867694660</cp:lastModifiedBy>
  <cp:lastPrinted>2021-02-05T03:25:00Z</cp:lastPrinted>
  <dcterms:modified xsi:type="dcterms:W3CDTF">2023-07-18T07:13:53Z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51428AD86A194B8D822B1988B182278A_13</vt:lpwstr>
  </property>
</Properties>
</file>