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黑体" w:hAnsi="黑体" w:eastAsia="黑体"/>
          <w:b/>
          <w:spacing w:val="-20"/>
          <w:sz w:val="52"/>
          <w:szCs w:val="52"/>
        </w:rPr>
      </w:pPr>
      <w:bookmarkStart w:id="0" w:name="_Hlk61713081"/>
      <w:bookmarkStart w:id="1" w:name="_Hlk95398053"/>
      <w:bookmarkStart w:id="2" w:name="_Toc496790457"/>
      <w:bookmarkStart w:id="3" w:name="_Toc496790496"/>
      <w:bookmarkStart w:id="4" w:name="_Toc497326694"/>
      <w:bookmarkStart w:id="5" w:name="_Hlk72318147"/>
      <w:bookmarkStart w:id="6" w:name="_Toc496790569"/>
      <w:bookmarkStart w:id="7" w:name="_Toc3484_WPSOffice_Type2"/>
    </w:p>
    <w:p>
      <w:pPr>
        <w:spacing w:line="1000" w:lineRule="exact"/>
        <w:jc w:val="center"/>
        <w:rPr>
          <w:rFonts w:ascii="黑体" w:hAnsi="黑体" w:eastAsia="黑体"/>
          <w:b/>
          <w:sz w:val="52"/>
          <w:szCs w:val="52"/>
        </w:rPr>
      </w:pPr>
      <w:r>
        <w:rPr>
          <w:rFonts w:hint="eastAsia" w:ascii="黑体" w:hAnsi="黑体" w:eastAsia="黑体"/>
          <w:b/>
          <w:sz w:val="52"/>
          <w:szCs w:val="52"/>
        </w:rPr>
        <w:t>汤阴县高标准农田建设规划</w:t>
      </w:r>
    </w:p>
    <w:p>
      <w:pPr>
        <w:spacing w:line="1000" w:lineRule="exact"/>
        <w:jc w:val="center"/>
        <w:rPr>
          <w:rFonts w:ascii="黑体" w:hAnsi="黑体" w:eastAsia="黑体"/>
          <w:b/>
          <w:sz w:val="52"/>
          <w:szCs w:val="52"/>
        </w:rPr>
      </w:pPr>
      <w:r>
        <w:rPr>
          <w:rFonts w:hint="eastAsia" w:ascii="黑体" w:hAnsi="黑体" w:eastAsia="黑体"/>
          <w:b/>
          <w:sz w:val="52"/>
          <w:szCs w:val="52"/>
        </w:rPr>
        <w:t>（2021—2030年）</w:t>
      </w:r>
    </w:p>
    <w:p>
      <w:pPr>
        <w:spacing w:line="360" w:lineRule="auto"/>
        <w:jc w:val="center"/>
        <w:rPr>
          <w:rFonts w:ascii="黑体" w:hAnsi="黑体" w:eastAsia="黑体"/>
          <w:b/>
          <w:sz w:val="52"/>
          <w:szCs w:val="52"/>
        </w:rPr>
      </w:pPr>
    </w:p>
    <w:p>
      <w:pPr>
        <w:rPr>
          <w:rFonts w:ascii="黑体" w:hAnsi="黑体" w:eastAsia="黑体"/>
          <w:b/>
          <w:sz w:val="52"/>
          <w:szCs w:val="52"/>
        </w:rPr>
      </w:pPr>
    </w:p>
    <w:p>
      <w:pPr>
        <w:rPr>
          <w:rFonts w:ascii="黑体" w:hAnsi="黑体" w:eastAsia="黑体"/>
          <w:b/>
          <w:sz w:val="52"/>
          <w:szCs w:val="52"/>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jc w:val="center"/>
        <w:rPr>
          <w:sz w:val="28"/>
        </w:rPr>
      </w:pPr>
    </w:p>
    <w:p>
      <w:pPr>
        <w:jc w:val="center"/>
        <w:rPr>
          <w:rFonts w:ascii="楷体" w:hAnsi="楷体" w:eastAsia="楷体" w:cs="楷体"/>
          <w:b/>
          <w:color w:val="000000"/>
          <w:sz w:val="34"/>
          <w:szCs w:val="34"/>
        </w:rPr>
      </w:pPr>
      <w:r>
        <w:rPr>
          <w:rFonts w:hint="eastAsia" w:eastAsia="华文新魏"/>
          <w:sz w:val="34"/>
          <w:szCs w:val="34"/>
        </w:rPr>
        <w:t>汤阴县农业农村局</w:t>
      </w:r>
    </w:p>
    <w:p>
      <w:pPr>
        <w:jc w:val="center"/>
        <w:rPr>
          <w:rFonts w:eastAsia="华文新魏"/>
          <w:sz w:val="34"/>
          <w:szCs w:val="34"/>
        </w:rPr>
      </w:pPr>
      <w:r>
        <w:rPr>
          <w:rFonts w:hint="eastAsia" w:eastAsia="华文新魏"/>
          <w:sz w:val="34"/>
          <w:szCs w:val="34"/>
        </w:rPr>
        <w:t>二O二</w:t>
      </w:r>
      <w:r>
        <w:rPr>
          <w:rFonts w:hint="eastAsia" w:eastAsia="华文新魏"/>
          <w:sz w:val="34"/>
          <w:szCs w:val="34"/>
          <w:lang w:eastAsia="zh-CN"/>
        </w:rPr>
        <w:t>三</w:t>
      </w:r>
      <w:r>
        <w:rPr>
          <w:rFonts w:hint="eastAsia" w:eastAsia="华文新魏"/>
          <w:sz w:val="34"/>
          <w:szCs w:val="34"/>
        </w:rPr>
        <w:t>年</w:t>
      </w:r>
      <w:r>
        <w:rPr>
          <w:rFonts w:hint="eastAsia" w:eastAsia="华文新魏"/>
          <w:sz w:val="34"/>
          <w:szCs w:val="34"/>
          <w:lang w:eastAsia="zh-CN"/>
        </w:rPr>
        <w:t>六</w:t>
      </w:r>
      <w:r>
        <w:rPr>
          <w:rFonts w:hint="eastAsia" w:eastAsia="华文新魏"/>
          <w:sz w:val="34"/>
          <w:szCs w:val="34"/>
        </w:rPr>
        <w:t>月</w:t>
      </w:r>
    </w:p>
    <w:p>
      <w:pPr>
        <w:widowControl/>
        <w:jc w:val="left"/>
        <w:rPr>
          <w:rFonts w:eastAsia="华文新魏"/>
          <w:sz w:val="34"/>
          <w:szCs w:val="34"/>
        </w:rPr>
      </w:pPr>
      <w:r>
        <w:rPr>
          <w:rFonts w:eastAsia="华文新魏"/>
          <w:sz w:val="34"/>
          <w:szCs w:val="34"/>
        </w:rPr>
        <w:br w:type="page"/>
      </w:r>
    </w:p>
    <w:p>
      <w:pPr>
        <w:jc w:val="center"/>
        <w:rPr>
          <w:rFonts w:ascii="黑体" w:hAnsi="黑体" w:eastAsia="黑体"/>
          <w:b/>
          <w:spacing w:val="-20"/>
          <w:sz w:val="52"/>
          <w:szCs w:val="52"/>
        </w:rPr>
      </w:pPr>
    </w:p>
    <w:p>
      <w:pPr>
        <w:spacing w:line="360" w:lineRule="auto"/>
        <w:jc w:val="left"/>
        <w:rPr>
          <w:rFonts w:ascii="黑体" w:hAnsi="黑体" w:eastAsia="黑体"/>
          <w:b/>
          <w:spacing w:val="-20"/>
          <w:sz w:val="52"/>
          <w:szCs w:val="52"/>
        </w:rPr>
      </w:pPr>
    </w:p>
    <w:bookmarkEnd w:id="0"/>
    <w:bookmarkEnd w:id="1"/>
    <w:bookmarkEnd w:id="2"/>
    <w:bookmarkEnd w:id="3"/>
    <w:bookmarkEnd w:id="4"/>
    <w:bookmarkEnd w:id="5"/>
    <w:bookmarkEnd w:id="6"/>
    <w:p>
      <w:pPr>
        <w:widowControl/>
        <w:jc w:val="left"/>
        <w:rPr>
          <w:rFonts w:asciiTheme="minorEastAsia" w:hAnsiTheme="minorEastAsia" w:eastAsiaTheme="minorEastAsia"/>
          <w:sz w:val="32"/>
          <w:szCs w:val="32"/>
        </w:rPr>
        <w:sectPr>
          <w:footerReference r:id="rId3" w:type="default"/>
          <w:pgSz w:w="11906" w:h="16838"/>
          <w:pgMar w:top="1714" w:right="1588" w:bottom="1588" w:left="1588" w:header="1134" w:footer="1134" w:gutter="0"/>
          <w:pgNumType w:fmt="upperRoman" w:start="1"/>
          <w:cols w:space="720" w:num="1"/>
          <w:docGrid w:linePitch="326" w:charSpace="0"/>
        </w:sectPr>
      </w:pPr>
    </w:p>
    <w:p>
      <w:pPr>
        <w:spacing w:line="560" w:lineRule="exact"/>
        <w:jc w:val="center"/>
        <w:rPr>
          <w:rFonts w:asciiTheme="minorEastAsia" w:hAnsiTheme="minorEastAsia" w:eastAsiaTheme="minorEastAsia"/>
          <w:sz w:val="32"/>
          <w:szCs w:val="32"/>
        </w:rPr>
      </w:pPr>
      <w:r>
        <w:rPr>
          <w:rFonts w:asciiTheme="minorEastAsia" w:hAnsiTheme="minorEastAsia" w:eastAsiaTheme="minorEastAsia"/>
          <w:sz w:val="32"/>
          <w:szCs w:val="32"/>
        </w:rPr>
        <w:t>目录</w:t>
      </w:r>
    </w:p>
    <w:bookmarkEnd w:id="7"/>
    <w:p>
      <w:pPr>
        <w:pStyle w:val="19"/>
        <w:tabs>
          <w:tab w:val="right" w:leader="dot" w:pos="8720"/>
        </w:tabs>
        <w:snapToGrid w:val="0"/>
        <w:spacing w:line="440" w:lineRule="atLeast"/>
        <w:rPr>
          <w:rFonts w:asciiTheme="minorHAnsi" w:hAnsiTheme="minorHAnsi" w:eastAsiaTheme="minorEastAsia" w:cstheme="minorBidi"/>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TOC \o "1-2" \h \z \u </w:instrText>
      </w:r>
      <w:r>
        <w:rPr>
          <w:rFonts w:asciiTheme="minorEastAsia" w:hAnsiTheme="minorEastAsia" w:eastAsiaTheme="minorEastAsia"/>
          <w:sz w:val="28"/>
          <w:szCs w:val="28"/>
        </w:rPr>
        <w:fldChar w:fldCharType="separate"/>
      </w:r>
      <w:r>
        <w:fldChar w:fldCharType="begin"/>
      </w:r>
      <w:r>
        <w:instrText xml:space="preserve"> HYPERLINK \l "_Toc144903144" </w:instrText>
      </w:r>
      <w:r>
        <w:fldChar w:fldCharType="separate"/>
      </w:r>
      <w:r>
        <w:rPr>
          <w:rStyle w:val="32"/>
          <w:rFonts w:asciiTheme="minorEastAsia" w:hAnsiTheme="minorEastAsia"/>
          <w:sz w:val="28"/>
          <w:szCs w:val="28"/>
        </w:rPr>
        <w:t>前言</w:t>
      </w:r>
      <w:r>
        <w:rPr>
          <w:sz w:val="28"/>
          <w:szCs w:val="28"/>
        </w:rPr>
        <w:tab/>
      </w:r>
      <w:r>
        <w:rPr>
          <w:sz w:val="28"/>
          <w:szCs w:val="28"/>
        </w:rPr>
        <w:fldChar w:fldCharType="begin"/>
      </w:r>
      <w:r>
        <w:rPr>
          <w:sz w:val="28"/>
          <w:szCs w:val="28"/>
        </w:rPr>
        <w:instrText xml:space="preserve"> PAGEREF _Toc144903144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"_Toc144903145" </w:instrText>
      </w:r>
      <w:r>
        <w:fldChar w:fldCharType="separate"/>
      </w:r>
      <w:r>
        <w:rPr>
          <w:rStyle w:val="32"/>
          <w:rFonts w:asciiTheme="minorEastAsia" w:hAnsiTheme="minorEastAsia"/>
          <w:sz w:val="28"/>
          <w:szCs w:val="28"/>
        </w:rPr>
        <w:t>1.基本情况</w:t>
      </w:r>
      <w:r>
        <w:rPr>
          <w:sz w:val="28"/>
          <w:szCs w:val="28"/>
        </w:rPr>
        <w:tab/>
      </w:r>
      <w:r>
        <w:rPr>
          <w:sz w:val="28"/>
          <w:szCs w:val="28"/>
        </w:rPr>
        <w:fldChar w:fldCharType="begin"/>
      </w:r>
      <w:r>
        <w:rPr>
          <w:sz w:val="28"/>
          <w:szCs w:val="28"/>
        </w:rPr>
        <w:instrText xml:space="preserve"> PAGEREF _Toc144903145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"_Toc144903146" </w:instrText>
      </w:r>
      <w:r>
        <w:fldChar w:fldCharType="separate"/>
      </w:r>
      <w:r>
        <w:rPr>
          <w:rStyle w:val="32"/>
          <w:rFonts w:asciiTheme="minorEastAsia" w:hAnsiTheme="minorEastAsia"/>
          <w:sz w:val="28"/>
          <w:szCs w:val="28"/>
        </w:rPr>
        <w:t>1.1地理位置</w:t>
      </w:r>
      <w:r>
        <w:rPr>
          <w:sz w:val="28"/>
          <w:szCs w:val="28"/>
        </w:rPr>
        <w:tab/>
      </w:r>
      <w:r>
        <w:rPr>
          <w:sz w:val="28"/>
          <w:szCs w:val="28"/>
        </w:rPr>
        <w:fldChar w:fldCharType="begin"/>
      </w:r>
      <w:r>
        <w:rPr>
          <w:sz w:val="28"/>
          <w:szCs w:val="28"/>
        </w:rPr>
        <w:instrText xml:space="preserve"> PAGEREF _Toc144903146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"_Toc144903147" </w:instrText>
      </w:r>
      <w:r>
        <w:fldChar w:fldCharType="separate"/>
      </w:r>
      <w:r>
        <w:rPr>
          <w:rStyle w:val="32"/>
          <w:rFonts w:asciiTheme="minorEastAsia" w:hAnsiTheme="minorEastAsia"/>
          <w:sz w:val="28"/>
          <w:szCs w:val="28"/>
        </w:rPr>
        <w:t>1.2 自然条件</w:t>
      </w:r>
      <w:r>
        <w:rPr>
          <w:sz w:val="28"/>
          <w:szCs w:val="28"/>
        </w:rPr>
        <w:tab/>
      </w:r>
      <w:r>
        <w:rPr>
          <w:sz w:val="28"/>
          <w:szCs w:val="28"/>
        </w:rPr>
        <w:fldChar w:fldCharType="begin"/>
      </w:r>
      <w:r>
        <w:rPr>
          <w:sz w:val="28"/>
          <w:szCs w:val="28"/>
        </w:rPr>
        <w:instrText xml:space="preserve"> PAGEREF _Toc144903147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"_Toc144903148" </w:instrText>
      </w:r>
      <w:r>
        <w:fldChar w:fldCharType="separate"/>
      </w:r>
      <w:r>
        <w:rPr>
          <w:rStyle w:val="32"/>
          <w:rFonts w:asciiTheme="minorEastAsia" w:hAnsiTheme="minorEastAsia"/>
          <w:sz w:val="28"/>
          <w:szCs w:val="28"/>
        </w:rPr>
        <w:t>1.3 水土资源条件</w:t>
      </w:r>
      <w:r>
        <w:rPr>
          <w:sz w:val="28"/>
          <w:szCs w:val="28"/>
        </w:rPr>
        <w:tab/>
      </w:r>
      <w:r>
        <w:rPr>
          <w:sz w:val="28"/>
          <w:szCs w:val="28"/>
        </w:rPr>
        <w:fldChar w:fldCharType="begin"/>
      </w:r>
      <w:r>
        <w:rPr>
          <w:sz w:val="28"/>
          <w:szCs w:val="28"/>
        </w:rPr>
        <w:instrText xml:space="preserve"> PAGEREF _Toc144903148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"_Toc144903149" </w:instrText>
      </w:r>
      <w:r>
        <w:fldChar w:fldCharType="separate"/>
      </w:r>
      <w:r>
        <w:rPr>
          <w:rStyle w:val="32"/>
          <w:rFonts w:asciiTheme="minorEastAsia" w:hAnsiTheme="minorEastAsia"/>
          <w:sz w:val="28"/>
          <w:szCs w:val="28"/>
        </w:rPr>
        <w:t>1.4农业生产</w:t>
      </w:r>
      <w:r>
        <w:rPr>
          <w:sz w:val="28"/>
          <w:szCs w:val="28"/>
        </w:rPr>
        <w:tab/>
      </w:r>
      <w:r>
        <w:rPr>
          <w:sz w:val="28"/>
          <w:szCs w:val="28"/>
        </w:rPr>
        <w:fldChar w:fldCharType="begin"/>
      </w:r>
      <w:r>
        <w:rPr>
          <w:sz w:val="28"/>
          <w:szCs w:val="28"/>
        </w:rPr>
        <w:instrText xml:space="preserve"> PAGEREF _Toc144903149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"_Toc144903150" </w:instrText>
      </w:r>
      <w:r>
        <w:fldChar w:fldCharType="separate"/>
      </w:r>
      <w:r>
        <w:rPr>
          <w:rStyle w:val="32"/>
          <w:rFonts w:asciiTheme="minorEastAsia" w:hAnsiTheme="minorEastAsia"/>
          <w:sz w:val="28"/>
          <w:szCs w:val="28"/>
        </w:rPr>
        <w:t>1.5经济社会</w:t>
      </w:r>
      <w:r>
        <w:rPr>
          <w:sz w:val="28"/>
          <w:szCs w:val="28"/>
        </w:rPr>
        <w:tab/>
      </w:r>
      <w:r>
        <w:rPr>
          <w:sz w:val="28"/>
          <w:szCs w:val="28"/>
        </w:rPr>
        <w:fldChar w:fldCharType="begin"/>
      </w:r>
      <w:r>
        <w:rPr>
          <w:sz w:val="28"/>
          <w:szCs w:val="28"/>
        </w:rPr>
        <w:instrText xml:space="preserve"> PAGEREF _Toc144903150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"_Toc144903151" </w:instrText>
      </w:r>
      <w:r>
        <w:fldChar w:fldCharType="separate"/>
      </w:r>
      <w:r>
        <w:rPr>
          <w:rStyle w:val="32"/>
          <w:rFonts w:asciiTheme="minorEastAsia" w:hAnsiTheme="minorEastAsia"/>
          <w:sz w:val="28"/>
          <w:szCs w:val="28"/>
        </w:rPr>
        <w:t>1.6 农业旱涝自然灾害</w:t>
      </w:r>
      <w:r>
        <w:rPr>
          <w:sz w:val="28"/>
          <w:szCs w:val="28"/>
        </w:rPr>
        <w:tab/>
      </w:r>
      <w:r>
        <w:rPr>
          <w:sz w:val="28"/>
          <w:szCs w:val="28"/>
        </w:rPr>
        <w:fldChar w:fldCharType="begin"/>
      </w:r>
      <w:r>
        <w:rPr>
          <w:sz w:val="28"/>
          <w:szCs w:val="28"/>
        </w:rPr>
        <w:instrText xml:space="preserve"> PAGEREF _Toc144903151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"_Toc144903152" </w:instrText>
      </w:r>
      <w:r>
        <w:fldChar w:fldCharType="separate"/>
      </w:r>
      <w:r>
        <w:rPr>
          <w:rStyle w:val="32"/>
          <w:rFonts w:asciiTheme="minorEastAsia" w:hAnsiTheme="minorEastAsia"/>
          <w:sz w:val="28"/>
          <w:szCs w:val="28"/>
        </w:rPr>
        <w:t>2.建设发展</w:t>
      </w:r>
      <w:r>
        <w:rPr>
          <w:sz w:val="28"/>
          <w:szCs w:val="28"/>
        </w:rPr>
        <w:tab/>
      </w:r>
      <w:r>
        <w:rPr>
          <w:sz w:val="28"/>
          <w:szCs w:val="28"/>
        </w:rPr>
        <w:fldChar w:fldCharType="begin"/>
      </w:r>
      <w:r>
        <w:rPr>
          <w:sz w:val="28"/>
          <w:szCs w:val="28"/>
        </w:rPr>
        <w:instrText xml:space="preserve"> PAGEREF _Toc144903152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"_Toc144903153" </w:instrText>
      </w:r>
      <w:r>
        <w:fldChar w:fldCharType="separate"/>
      </w:r>
      <w:r>
        <w:rPr>
          <w:rStyle w:val="32"/>
          <w:rFonts w:asciiTheme="minorEastAsia" w:hAnsiTheme="minorEastAsia"/>
          <w:sz w:val="28"/>
          <w:szCs w:val="28"/>
        </w:rPr>
        <w:t>2.1总体建设情况</w:t>
      </w:r>
      <w:r>
        <w:rPr>
          <w:sz w:val="28"/>
          <w:szCs w:val="28"/>
        </w:rPr>
        <w:tab/>
      </w:r>
      <w:r>
        <w:rPr>
          <w:sz w:val="28"/>
          <w:szCs w:val="28"/>
        </w:rPr>
        <w:fldChar w:fldCharType="begin"/>
      </w:r>
      <w:r>
        <w:rPr>
          <w:sz w:val="28"/>
          <w:szCs w:val="28"/>
        </w:rPr>
        <w:instrText xml:space="preserve"> PAGEREF _Toc144903153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"_Toc144903154" </w:instrText>
      </w:r>
      <w:r>
        <w:fldChar w:fldCharType="separate"/>
      </w:r>
      <w:r>
        <w:rPr>
          <w:rStyle w:val="32"/>
          <w:rFonts w:asciiTheme="minorEastAsia" w:hAnsiTheme="minorEastAsia"/>
          <w:sz w:val="28"/>
          <w:szCs w:val="28"/>
        </w:rPr>
        <w:t>2.2 十三五规划评估</w:t>
      </w:r>
      <w:r>
        <w:rPr>
          <w:sz w:val="28"/>
          <w:szCs w:val="28"/>
        </w:rPr>
        <w:tab/>
      </w:r>
      <w:r>
        <w:rPr>
          <w:sz w:val="28"/>
          <w:szCs w:val="28"/>
        </w:rPr>
        <w:fldChar w:fldCharType="begin"/>
      </w:r>
      <w:r>
        <w:rPr>
          <w:sz w:val="28"/>
          <w:szCs w:val="28"/>
        </w:rPr>
        <w:instrText xml:space="preserve"> PAGEREF _Toc144903154 \h </w:instrText>
      </w:r>
      <w:r>
        <w:rPr>
          <w:sz w:val="28"/>
          <w:szCs w:val="28"/>
        </w:rPr>
        <w:fldChar w:fldCharType="separate"/>
      </w:r>
      <w:r>
        <w:rPr>
          <w:sz w:val="28"/>
          <w:szCs w:val="28"/>
        </w:rPr>
        <w:t>26</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"_Toc144903155" </w:instrText>
      </w:r>
      <w:r>
        <w:fldChar w:fldCharType="separate"/>
      </w:r>
      <w:r>
        <w:rPr>
          <w:rStyle w:val="32"/>
          <w:rFonts w:asciiTheme="minorEastAsia" w:hAnsiTheme="minorEastAsia"/>
          <w:sz w:val="28"/>
          <w:szCs w:val="28"/>
        </w:rPr>
        <w:t>2.3实施效果</w:t>
      </w:r>
      <w:r>
        <w:rPr>
          <w:sz w:val="28"/>
          <w:szCs w:val="28"/>
        </w:rPr>
        <w:tab/>
      </w:r>
      <w:r>
        <w:rPr>
          <w:sz w:val="28"/>
          <w:szCs w:val="28"/>
        </w:rPr>
        <w:fldChar w:fldCharType="begin"/>
      </w:r>
      <w:r>
        <w:rPr>
          <w:sz w:val="28"/>
          <w:szCs w:val="28"/>
        </w:rPr>
        <w:instrText xml:space="preserve"> PAGEREF _Toc144903155 \h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"_Toc144903156" </w:instrText>
      </w:r>
      <w:r>
        <w:fldChar w:fldCharType="separate"/>
      </w:r>
      <w:r>
        <w:rPr>
          <w:rStyle w:val="32"/>
          <w:rFonts w:asciiTheme="minorEastAsia" w:hAnsiTheme="minorEastAsia"/>
          <w:sz w:val="28"/>
          <w:szCs w:val="28"/>
        </w:rPr>
        <w:t>3.主要问题及需求分析</w:t>
      </w:r>
      <w:r>
        <w:rPr>
          <w:sz w:val="28"/>
          <w:szCs w:val="28"/>
        </w:rPr>
        <w:tab/>
      </w:r>
      <w:r>
        <w:rPr>
          <w:sz w:val="28"/>
          <w:szCs w:val="28"/>
        </w:rPr>
        <w:fldChar w:fldCharType="begin"/>
      </w:r>
      <w:r>
        <w:rPr>
          <w:sz w:val="28"/>
          <w:szCs w:val="28"/>
        </w:rPr>
        <w:instrText xml:space="preserve"> PAGEREF _Toc144903156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"_Toc144903157" </w:instrText>
      </w:r>
      <w:r>
        <w:fldChar w:fldCharType="separate"/>
      </w:r>
      <w:r>
        <w:rPr>
          <w:rStyle w:val="32"/>
          <w:rFonts w:asciiTheme="minorEastAsia" w:hAnsiTheme="minorEastAsia"/>
          <w:sz w:val="28"/>
          <w:szCs w:val="28"/>
        </w:rPr>
        <w:t>3.1主要问题</w:t>
      </w:r>
      <w:r>
        <w:rPr>
          <w:sz w:val="28"/>
          <w:szCs w:val="28"/>
        </w:rPr>
        <w:tab/>
      </w:r>
      <w:r>
        <w:rPr>
          <w:sz w:val="28"/>
          <w:szCs w:val="28"/>
        </w:rPr>
        <w:fldChar w:fldCharType="begin"/>
      </w:r>
      <w:r>
        <w:rPr>
          <w:sz w:val="28"/>
          <w:szCs w:val="28"/>
        </w:rPr>
        <w:instrText xml:space="preserve"> PAGEREF _Toc144903157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"_Toc144903158" </w:instrText>
      </w:r>
      <w:r>
        <w:fldChar w:fldCharType="separate"/>
      </w:r>
      <w:r>
        <w:rPr>
          <w:rStyle w:val="32"/>
          <w:rFonts w:asciiTheme="minorEastAsia" w:hAnsiTheme="minorEastAsia"/>
          <w:sz w:val="28"/>
          <w:szCs w:val="28"/>
        </w:rPr>
        <w:t>3.2需求分析</w:t>
      </w:r>
      <w:r>
        <w:rPr>
          <w:sz w:val="28"/>
          <w:szCs w:val="28"/>
        </w:rPr>
        <w:tab/>
      </w:r>
      <w:r>
        <w:rPr>
          <w:sz w:val="28"/>
          <w:szCs w:val="28"/>
        </w:rPr>
        <w:fldChar w:fldCharType="begin"/>
      </w:r>
      <w:r>
        <w:rPr>
          <w:sz w:val="28"/>
          <w:szCs w:val="28"/>
        </w:rPr>
        <w:instrText xml:space="preserve"> PAGEREF _Toc144903158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"_Toc144903159" </w:instrText>
      </w:r>
      <w:r>
        <w:fldChar w:fldCharType="separate"/>
      </w:r>
      <w:r>
        <w:rPr>
          <w:rStyle w:val="32"/>
          <w:rFonts w:asciiTheme="minorEastAsia" w:hAnsiTheme="minorEastAsia"/>
          <w:sz w:val="28"/>
          <w:szCs w:val="28"/>
        </w:rPr>
        <w:t>4.规划必要性</w:t>
      </w:r>
      <w:r>
        <w:rPr>
          <w:sz w:val="28"/>
          <w:szCs w:val="28"/>
        </w:rPr>
        <w:tab/>
      </w:r>
      <w:r>
        <w:rPr>
          <w:sz w:val="28"/>
          <w:szCs w:val="28"/>
        </w:rPr>
        <w:fldChar w:fldCharType="begin"/>
      </w:r>
      <w:r>
        <w:rPr>
          <w:sz w:val="28"/>
          <w:szCs w:val="28"/>
        </w:rPr>
        <w:instrText xml:space="preserve"> PAGEREF _Toc144903159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"_Toc144903160" </w:instrText>
      </w:r>
      <w:r>
        <w:fldChar w:fldCharType="separate"/>
      </w:r>
      <w:r>
        <w:rPr>
          <w:rStyle w:val="32"/>
          <w:rFonts w:asciiTheme="minorEastAsia" w:hAnsiTheme="minorEastAsia"/>
          <w:sz w:val="28"/>
          <w:szCs w:val="28"/>
        </w:rPr>
        <w:t>4.1粮食安全和重要农产品有效供给的需要</w:t>
      </w:r>
      <w:r>
        <w:rPr>
          <w:sz w:val="28"/>
          <w:szCs w:val="28"/>
        </w:rPr>
        <w:tab/>
      </w:r>
      <w:r>
        <w:rPr>
          <w:sz w:val="28"/>
          <w:szCs w:val="28"/>
        </w:rPr>
        <w:fldChar w:fldCharType="begin"/>
      </w:r>
      <w:r>
        <w:rPr>
          <w:sz w:val="28"/>
          <w:szCs w:val="28"/>
        </w:rPr>
        <w:instrText xml:space="preserve"> PAGEREF _Toc144903160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"_Toc144903161" </w:instrText>
      </w:r>
      <w:r>
        <w:fldChar w:fldCharType="separate"/>
      </w:r>
      <w:r>
        <w:rPr>
          <w:rStyle w:val="32"/>
          <w:rFonts w:asciiTheme="minorEastAsia" w:hAnsiTheme="minorEastAsia"/>
          <w:sz w:val="28"/>
          <w:szCs w:val="28"/>
        </w:rPr>
        <w:t>4.2水土资源集约节约利用的需要</w:t>
      </w:r>
      <w:r>
        <w:rPr>
          <w:sz w:val="28"/>
          <w:szCs w:val="28"/>
        </w:rPr>
        <w:tab/>
      </w:r>
      <w:r>
        <w:rPr>
          <w:sz w:val="28"/>
          <w:szCs w:val="28"/>
        </w:rPr>
        <w:fldChar w:fldCharType="begin"/>
      </w:r>
      <w:r>
        <w:rPr>
          <w:sz w:val="28"/>
          <w:szCs w:val="28"/>
        </w:rPr>
        <w:instrText xml:space="preserve"> PAGEREF _Toc144903161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"_Toc144903162" </w:instrText>
      </w:r>
      <w:r>
        <w:fldChar w:fldCharType="separate"/>
      </w:r>
      <w:r>
        <w:rPr>
          <w:rStyle w:val="32"/>
          <w:rFonts w:asciiTheme="minorEastAsia" w:hAnsiTheme="minorEastAsia"/>
          <w:sz w:val="28"/>
          <w:szCs w:val="28"/>
        </w:rPr>
        <w:t>4.3农业现代化发展的需要</w:t>
      </w:r>
      <w:r>
        <w:rPr>
          <w:sz w:val="28"/>
          <w:szCs w:val="28"/>
        </w:rPr>
        <w:tab/>
      </w:r>
      <w:r>
        <w:rPr>
          <w:sz w:val="28"/>
          <w:szCs w:val="28"/>
        </w:rPr>
        <w:fldChar w:fldCharType="begin"/>
      </w:r>
      <w:r>
        <w:rPr>
          <w:sz w:val="28"/>
          <w:szCs w:val="28"/>
        </w:rPr>
        <w:instrText xml:space="preserve"> PAGEREF _Toc144903162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"_Toc144903163" </w:instrText>
      </w:r>
      <w:r>
        <w:fldChar w:fldCharType="separate"/>
      </w:r>
      <w:r>
        <w:rPr>
          <w:rStyle w:val="32"/>
          <w:rFonts w:asciiTheme="minorEastAsia" w:hAnsiTheme="minorEastAsia"/>
          <w:sz w:val="28"/>
          <w:szCs w:val="28"/>
        </w:rPr>
        <w:t>4.4乡村振兴战略有效衔接的需要</w:t>
      </w:r>
      <w:r>
        <w:rPr>
          <w:sz w:val="28"/>
          <w:szCs w:val="28"/>
        </w:rPr>
        <w:tab/>
      </w:r>
      <w:r>
        <w:rPr>
          <w:sz w:val="28"/>
          <w:szCs w:val="28"/>
        </w:rPr>
        <w:fldChar w:fldCharType="begin"/>
      </w:r>
      <w:r>
        <w:rPr>
          <w:sz w:val="28"/>
          <w:szCs w:val="28"/>
        </w:rPr>
        <w:instrText xml:space="preserve"> PAGEREF _Toc144903163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"_Toc144903164" </w:instrText>
      </w:r>
      <w:r>
        <w:fldChar w:fldCharType="separate"/>
      </w:r>
      <w:r>
        <w:rPr>
          <w:rStyle w:val="32"/>
          <w:rFonts w:asciiTheme="minorEastAsia" w:hAnsiTheme="minorEastAsia"/>
          <w:sz w:val="28"/>
          <w:szCs w:val="28"/>
        </w:rPr>
        <w:t>4.5农业增效益和农民增受益的需要</w:t>
      </w:r>
      <w:r>
        <w:rPr>
          <w:sz w:val="28"/>
          <w:szCs w:val="28"/>
        </w:rPr>
        <w:tab/>
      </w:r>
      <w:r>
        <w:rPr>
          <w:sz w:val="28"/>
          <w:szCs w:val="28"/>
        </w:rPr>
        <w:fldChar w:fldCharType="begin"/>
      </w:r>
      <w:r>
        <w:rPr>
          <w:sz w:val="28"/>
          <w:szCs w:val="28"/>
        </w:rPr>
        <w:instrText xml:space="preserve"> PAGEREF _Toc144903164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"_Toc144903165" </w:instrText>
      </w:r>
      <w:r>
        <w:fldChar w:fldCharType="separate"/>
      </w:r>
      <w:r>
        <w:rPr>
          <w:rStyle w:val="32"/>
          <w:rFonts w:asciiTheme="minorEastAsia" w:hAnsiTheme="minorEastAsia"/>
          <w:sz w:val="28"/>
          <w:szCs w:val="28"/>
        </w:rPr>
        <w:t>5.规划实施条件</w:t>
      </w:r>
      <w:r>
        <w:rPr>
          <w:sz w:val="28"/>
          <w:szCs w:val="28"/>
        </w:rPr>
        <w:tab/>
      </w:r>
      <w:r>
        <w:rPr>
          <w:sz w:val="28"/>
          <w:szCs w:val="28"/>
        </w:rPr>
        <w:fldChar w:fldCharType="begin"/>
      </w:r>
      <w:r>
        <w:rPr>
          <w:sz w:val="28"/>
          <w:szCs w:val="28"/>
        </w:rPr>
        <w:instrText xml:space="preserve"> PAGEREF _Toc144903165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"_Toc144903166" </w:instrText>
      </w:r>
      <w:r>
        <w:fldChar w:fldCharType="separate"/>
      </w:r>
      <w:r>
        <w:rPr>
          <w:rStyle w:val="32"/>
          <w:rFonts w:asciiTheme="minorEastAsia" w:hAnsiTheme="minorEastAsia"/>
          <w:sz w:val="28"/>
          <w:szCs w:val="28"/>
        </w:rPr>
        <w:t>5.1政策条件</w:t>
      </w:r>
      <w:r>
        <w:rPr>
          <w:sz w:val="28"/>
          <w:szCs w:val="28"/>
        </w:rPr>
        <w:tab/>
      </w:r>
      <w:r>
        <w:rPr>
          <w:sz w:val="28"/>
          <w:szCs w:val="28"/>
        </w:rPr>
        <w:fldChar w:fldCharType="begin"/>
      </w:r>
      <w:r>
        <w:rPr>
          <w:sz w:val="28"/>
          <w:szCs w:val="28"/>
        </w:rPr>
        <w:instrText xml:space="preserve"> PAGEREF _Toc144903166 \h </w:instrText>
      </w:r>
      <w:r>
        <w:rPr>
          <w:sz w:val="28"/>
          <w:szCs w:val="28"/>
        </w:rPr>
        <w:fldChar w:fldCharType="separate"/>
      </w:r>
      <w:r>
        <w:rPr>
          <w:sz w:val="28"/>
          <w:szCs w:val="28"/>
        </w:rPr>
        <w:t>41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"_Toc144903167" </w:instrText>
      </w:r>
      <w:r>
        <w:fldChar w:fldCharType="separate"/>
      </w:r>
      <w:r>
        <w:rPr>
          <w:rStyle w:val="32"/>
          <w:rFonts w:asciiTheme="minorEastAsia" w:hAnsiTheme="minorEastAsia"/>
          <w:sz w:val="28"/>
          <w:szCs w:val="28"/>
        </w:rPr>
        <w:t>5.2资金条件</w:t>
      </w:r>
      <w:r>
        <w:rPr>
          <w:sz w:val="28"/>
          <w:szCs w:val="28"/>
        </w:rPr>
        <w:tab/>
      </w:r>
      <w:r>
        <w:rPr>
          <w:sz w:val="28"/>
          <w:szCs w:val="28"/>
        </w:rPr>
        <w:fldChar w:fldCharType="begin"/>
      </w:r>
      <w:r>
        <w:rPr>
          <w:sz w:val="28"/>
          <w:szCs w:val="28"/>
        </w:rPr>
        <w:instrText xml:space="preserve"> PAGEREF _Toc144903167 \h </w:instrText>
      </w:r>
      <w:r>
        <w:rPr>
          <w:sz w:val="28"/>
          <w:szCs w:val="28"/>
        </w:rPr>
        <w:fldChar w:fldCharType="separate"/>
      </w:r>
      <w:r>
        <w:rPr>
          <w:sz w:val="28"/>
          <w:szCs w:val="28"/>
        </w:rPr>
        <w:t>42</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"_Toc144903168" </w:instrText>
      </w:r>
      <w:r>
        <w:fldChar w:fldCharType="separate"/>
      </w:r>
      <w:r>
        <w:rPr>
          <w:rStyle w:val="32"/>
          <w:rFonts w:asciiTheme="minorEastAsia" w:hAnsiTheme="minorEastAsia"/>
          <w:sz w:val="28"/>
          <w:szCs w:val="28"/>
        </w:rPr>
        <w:t>5.3技术条件</w:t>
      </w:r>
      <w:r>
        <w:rPr>
          <w:sz w:val="28"/>
          <w:szCs w:val="28"/>
        </w:rPr>
        <w:tab/>
      </w:r>
      <w:r>
        <w:rPr>
          <w:sz w:val="28"/>
          <w:szCs w:val="28"/>
        </w:rPr>
        <w:fldChar w:fldCharType="begin"/>
      </w:r>
      <w:r>
        <w:rPr>
          <w:sz w:val="28"/>
          <w:szCs w:val="28"/>
        </w:rPr>
        <w:instrText xml:space="preserve"> PAGEREF _Toc144903168 \h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"_Toc144903169" </w:instrText>
      </w:r>
      <w:r>
        <w:fldChar w:fldCharType="separate"/>
      </w:r>
      <w:r>
        <w:rPr>
          <w:rStyle w:val="32"/>
          <w:rFonts w:asciiTheme="minorEastAsia" w:hAnsiTheme="minorEastAsia"/>
          <w:sz w:val="28"/>
          <w:szCs w:val="28"/>
        </w:rPr>
        <w:t>5.4耕地资源条件</w:t>
      </w:r>
      <w:r>
        <w:rPr>
          <w:sz w:val="28"/>
          <w:szCs w:val="28"/>
        </w:rPr>
        <w:tab/>
      </w:r>
      <w:r>
        <w:rPr>
          <w:sz w:val="28"/>
          <w:szCs w:val="28"/>
        </w:rPr>
        <w:fldChar w:fldCharType="begin"/>
      </w:r>
      <w:r>
        <w:rPr>
          <w:sz w:val="28"/>
          <w:szCs w:val="28"/>
        </w:rPr>
        <w:instrText xml:space="preserve"> PAGEREF _Toc144903169 \h </w:instrText>
      </w:r>
      <w:r>
        <w:rPr>
          <w:sz w:val="28"/>
          <w:szCs w:val="28"/>
        </w:rPr>
        <w:fldChar w:fldCharType="separate"/>
      </w:r>
      <w:r>
        <w:rPr>
          <w:sz w:val="28"/>
          <w:szCs w:val="28"/>
        </w:rPr>
        <w:t>43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"_Toc144903170" </w:instrText>
      </w:r>
      <w:r>
        <w:fldChar w:fldCharType="separate"/>
      </w:r>
      <w:r>
        <w:rPr>
          <w:rStyle w:val="32"/>
          <w:rFonts w:asciiTheme="minorEastAsia" w:hAnsiTheme="minorEastAsia"/>
          <w:sz w:val="28"/>
          <w:szCs w:val="28"/>
        </w:rPr>
        <w:t>5.5水资源条件</w:t>
      </w:r>
      <w:r>
        <w:rPr>
          <w:sz w:val="28"/>
          <w:szCs w:val="28"/>
        </w:rPr>
        <w:tab/>
      </w:r>
      <w:r>
        <w:rPr>
          <w:sz w:val="28"/>
          <w:szCs w:val="28"/>
        </w:rPr>
        <w:fldChar w:fldCharType="begin"/>
      </w:r>
      <w:r>
        <w:rPr>
          <w:sz w:val="28"/>
          <w:szCs w:val="28"/>
        </w:rPr>
        <w:instrText xml:space="preserve"> PAGEREF _Toc144903170 \h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"_Toc144903171" </w:instrText>
      </w:r>
      <w:r>
        <w:fldChar w:fldCharType="separate"/>
      </w:r>
      <w:r>
        <w:rPr>
          <w:rStyle w:val="32"/>
          <w:rFonts w:asciiTheme="minorEastAsia" w:hAnsiTheme="minorEastAsia"/>
          <w:sz w:val="28"/>
          <w:szCs w:val="28"/>
        </w:rPr>
        <w:t>6.总体规划</w:t>
      </w:r>
      <w:r>
        <w:rPr>
          <w:sz w:val="28"/>
          <w:szCs w:val="28"/>
        </w:rPr>
        <w:tab/>
      </w:r>
      <w:r>
        <w:rPr>
          <w:sz w:val="28"/>
          <w:szCs w:val="28"/>
        </w:rPr>
        <w:fldChar w:fldCharType="begin"/>
      </w:r>
      <w:r>
        <w:rPr>
          <w:sz w:val="28"/>
          <w:szCs w:val="28"/>
        </w:rPr>
        <w:instrText xml:space="preserve"> PAGEREF _Toc144903171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"_Toc144903172" </w:instrText>
      </w:r>
      <w:r>
        <w:fldChar w:fldCharType="separate"/>
      </w:r>
      <w:r>
        <w:rPr>
          <w:rStyle w:val="32"/>
          <w:rFonts w:asciiTheme="minorEastAsia" w:hAnsiTheme="minorEastAsia"/>
          <w:sz w:val="28"/>
          <w:szCs w:val="28"/>
        </w:rPr>
        <w:t>6.1指导思想</w:t>
      </w:r>
      <w:r>
        <w:rPr>
          <w:sz w:val="28"/>
          <w:szCs w:val="28"/>
        </w:rPr>
        <w:tab/>
      </w:r>
      <w:r>
        <w:rPr>
          <w:sz w:val="28"/>
          <w:szCs w:val="28"/>
        </w:rPr>
        <w:fldChar w:fldCharType="begin"/>
      </w:r>
      <w:r>
        <w:rPr>
          <w:sz w:val="28"/>
          <w:szCs w:val="28"/>
        </w:rPr>
        <w:instrText xml:space="preserve"> PAGEREF _Toc144903172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"_Toc144903173" </w:instrText>
      </w:r>
      <w:r>
        <w:fldChar w:fldCharType="separate"/>
      </w:r>
      <w:r>
        <w:rPr>
          <w:rStyle w:val="32"/>
          <w:rFonts w:asciiTheme="minorEastAsia" w:hAnsiTheme="minorEastAsia"/>
          <w:sz w:val="28"/>
          <w:szCs w:val="28"/>
        </w:rPr>
        <w:t>6.2基本原则</w:t>
      </w:r>
      <w:r>
        <w:rPr>
          <w:sz w:val="28"/>
          <w:szCs w:val="28"/>
        </w:rPr>
        <w:tab/>
      </w:r>
      <w:r>
        <w:rPr>
          <w:sz w:val="28"/>
          <w:szCs w:val="28"/>
        </w:rPr>
        <w:fldChar w:fldCharType="begin"/>
      </w:r>
      <w:r>
        <w:rPr>
          <w:sz w:val="28"/>
          <w:szCs w:val="28"/>
        </w:rPr>
        <w:instrText xml:space="preserve"> PAGEREF _Toc144903173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"_Toc144903174" </w:instrText>
      </w:r>
      <w:r>
        <w:fldChar w:fldCharType="separate"/>
      </w:r>
      <w:r>
        <w:rPr>
          <w:rStyle w:val="32"/>
          <w:rFonts w:asciiTheme="minorEastAsia" w:hAnsiTheme="minorEastAsia"/>
          <w:sz w:val="28"/>
          <w:szCs w:val="28"/>
        </w:rPr>
        <w:t>6.3规划依据</w:t>
      </w:r>
      <w:r>
        <w:rPr>
          <w:sz w:val="28"/>
          <w:szCs w:val="28"/>
        </w:rPr>
        <w:tab/>
      </w:r>
      <w:r>
        <w:rPr>
          <w:sz w:val="28"/>
          <w:szCs w:val="28"/>
        </w:rPr>
        <w:fldChar w:fldCharType="begin"/>
      </w:r>
      <w:r>
        <w:rPr>
          <w:sz w:val="28"/>
          <w:szCs w:val="28"/>
        </w:rPr>
        <w:instrText xml:space="preserve"> PAGEREF _Toc144903174 \h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"_Toc144903175" </w:instrText>
      </w:r>
      <w:r>
        <w:fldChar w:fldCharType="separate"/>
      </w:r>
      <w:r>
        <w:rPr>
          <w:rStyle w:val="32"/>
          <w:rFonts w:asciiTheme="minorEastAsia" w:hAnsiTheme="minorEastAsia"/>
          <w:sz w:val="28"/>
          <w:szCs w:val="28"/>
        </w:rPr>
        <w:t>6.4规划水平年</w:t>
      </w:r>
      <w:r>
        <w:rPr>
          <w:sz w:val="28"/>
          <w:szCs w:val="28"/>
        </w:rPr>
        <w:tab/>
      </w:r>
      <w:r>
        <w:rPr>
          <w:sz w:val="28"/>
          <w:szCs w:val="28"/>
        </w:rPr>
        <w:fldChar w:fldCharType="begin"/>
      </w:r>
      <w:r>
        <w:rPr>
          <w:sz w:val="28"/>
          <w:szCs w:val="28"/>
        </w:rPr>
        <w:instrText xml:space="preserve"> PAGEREF _Toc144903175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"_Toc144903176" </w:instrText>
      </w:r>
      <w:r>
        <w:fldChar w:fldCharType="separate"/>
      </w:r>
      <w:r>
        <w:rPr>
          <w:rStyle w:val="32"/>
          <w:rFonts w:asciiTheme="minorEastAsia" w:hAnsiTheme="minorEastAsia"/>
          <w:sz w:val="28"/>
          <w:szCs w:val="28"/>
        </w:rPr>
        <w:t>6.5规划范围</w:t>
      </w:r>
      <w:r>
        <w:rPr>
          <w:sz w:val="28"/>
          <w:szCs w:val="28"/>
        </w:rPr>
        <w:tab/>
      </w:r>
      <w:r>
        <w:rPr>
          <w:sz w:val="28"/>
          <w:szCs w:val="28"/>
        </w:rPr>
        <w:fldChar w:fldCharType="begin"/>
      </w:r>
      <w:r>
        <w:rPr>
          <w:sz w:val="28"/>
          <w:szCs w:val="28"/>
        </w:rPr>
        <w:instrText xml:space="preserve"> PAGEREF _Toc144903176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"_Toc144903177" </w:instrText>
      </w:r>
      <w:r>
        <w:fldChar w:fldCharType="separate"/>
      </w:r>
      <w:r>
        <w:rPr>
          <w:rStyle w:val="32"/>
          <w:rFonts w:asciiTheme="minorEastAsia" w:hAnsiTheme="minorEastAsia"/>
          <w:sz w:val="28"/>
          <w:szCs w:val="28"/>
        </w:rPr>
        <w:t>6.6规划总目标</w:t>
      </w:r>
      <w:r>
        <w:rPr>
          <w:sz w:val="28"/>
          <w:szCs w:val="28"/>
        </w:rPr>
        <w:tab/>
      </w:r>
      <w:r>
        <w:rPr>
          <w:sz w:val="28"/>
          <w:szCs w:val="28"/>
        </w:rPr>
        <w:fldChar w:fldCharType="begin"/>
      </w:r>
      <w:r>
        <w:rPr>
          <w:sz w:val="28"/>
          <w:szCs w:val="28"/>
        </w:rPr>
        <w:instrText xml:space="preserve"> PAGEREF _Toc144903177 \h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"_Toc144903178" </w:instrText>
      </w:r>
      <w:r>
        <w:fldChar w:fldCharType="separate"/>
      </w:r>
      <w:r>
        <w:rPr>
          <w:rStyle w:val="32"/>
          <w:rFonts w:asciiTheme="minorEastAsia" w:hAnsiTheme="minorEastAsia"/>
          <w:sz w:val="28"/>
          <w:szCs w:val="28"/>
        </w:rPr>
        <w:t>6.7规划重点任务</w:t>
      </w:r>
      <w:r>
        <w:rPr>
          <w:sz w:val="28"/>
          <w:szCs w:val="28"/>
        </w:rPr>
        <w:tab/>
      </w:r>
      <w:r>
        <w:rPr>
          <w:sz w:val="28"/>
          <w:szCs w:val="28"/>
        </w:rPr>
        <w:fldChar w:fldCharType="begin"/>
      </w:r>
      <w:r>
        <w:rPr>
          <w:sz w:val="28"/>
          <w:szCs w:val="28"/>
        </w:rPr>
        <w:instrText xml:space="preserve"> PAGEREF _Toc144903178 \h </w:instrText>
      </w:r>
      <w:r>
        <w:rPr>
          <w:sz w:val="28"/>
          <w:szCs w:val="28"/>
        </w:rPr>
        <w:fldChar w:fldCharType="separate"/>
      </w:r>
      <w:r>
        <w:rPr>
          <w:sz w:val="28"/>
          <w:szCs w:val="28"/>
        </w:rPr>
        <w:t>73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"_Toc144903179" </w:instrText>
      </w:r>
      <w:r>
        <w:fldChar w:fldCharType="separate"/>
      </w:r>
      <w:r>
        <w:rPr>
          <w:rStyle w:val="32"/>
          <w:rFonts w:asciiTheme="minorEastAsia" w:hAnsiTheme="minorEastAsia"/>
          <w:sz w:val="28"/>
          <w:szCs w:val="28"/>
        </w:rPr>
        <w:t>6.8规划有效衔接</w:t>
      </w:r>
      <w:r>
        <w:rPr>
          <w:sz w:val="28"/>
          <w:szCs w:val="28"/>
        </w:rPr>
        <w:tab/>
      </w:r>
      <w:r>
        <w:rPr>
          <w:sz w:val="28"/>
          <w:szCs w:val="28"/>
        </w:rPr>
        <w:fldChar w:fldCharType="begin"/>
      </w:r>
      <w:r>
        <w:rPr>
          <w:sz w:val="28"/>
          <w:szCs w:val="28"/>
        </w:rPr>
        <w:instrText xml:space="preserve"> PAGEREF _Toc144903179 \h </w:instrText>
      </w:r>
      <w:r>
        <w:rPr>
          <w:sz w:val="28"/>
          <w:szCs w:val="28"/>
        </w:rPr>
        <w:fldChar w:fldCharType="separate"/>
      </w:r>
      <w:r>
        <w:rPr>
          <w:sz w:val="28"/>
          <w:szCs w:val="28"/>
        </w:rPr>
        <w:t>76</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"_Toc144903180" </w:instrText>
      </w:r>
      <w:r>
        <w:fldChar w:fldCharType="separate"/>
      </w:r>
      <w:r>
        <w:rPr>
          <w:rStyle w:val="32"/>
          <w:rFonts w:asciiTheme="minorEastAsia" w:hAnsiTheme="minorEastAsia"/>
          <w:sz w:val="28"/>
          <w:szCs w:val="28"/>
        </w:rPr>
        <w:t>7.建设内容与标准</w:t>
      </w:r>
      <w:r>
        <w:rPr>
          <w:sz w:val="28"/>
          <w:szCs w:val="28"/>
        </w:rPr>
        <w:tab/>
      </w:r>
      <w:r>
        <w:rPr>
          <w:sz w:val="28"/>
          <w:szCs w:val="28"/>
        </w:rPr>
        <w:fldChar w:fldCharType="begin"/>
      </w:r>
      <w:r>
        <w:rPr>
          <w:sz w:val="28"/>
          <w:szCs w:val="28"/>
        </w:rPr>
        <w:instrText xml:space="preserve"> PAGEREF _Toc144903180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"_Toc144903181" </w:instrText>
      </w:r>
      <w:r>
        <w:fldChar w:fldCharType="separate"/>
      </w:r>
      <w:r>
        <w:rPr>
          <w:rStyle w:val="32"/>
          <w:rFonts w:asciiTheme="minorEastAsia" w:hAnsiTheme="minorEastAsia"/>
          <w:sz w:val="28"/>
          <w:szCs w:val="28"/>
        </w:rPr>
        <w:t>7.1 建设标准</w:t>
      </w:r>
      <w:r>
        <w:rPr>
          <w:sz w:val="28"/>
          <w:szCs w:val="28"/>
        </w:rPr>
        <w:tab/>
      </w:r>
      <w:r>
        <w:rPr>
          <w:sz w:val="28"/>
          <w:szCs w:val="28"/>
        </w:rPr>
        <w:fldChar w:fldCharType="begin"/>
      </w:r>
      <w:r>
        <w:rPr>
          <w:sz w:val="28"/>
          <w:szCs w:val="28"/>
        </w:rPr>
        <w:instrText xml:space="preserve"> PAGEREF _Toc144903181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"_Toc144903182" </w:instrText>
      </w:r>
      <w:r>
        <w:fldChar w:fldCharType="separate"/>
      </w:r>
      <w:r>
        <w:rPr>
          <w:rStyle w:val="32"/>
          <w:rFonts w:asciiTheme="minorEastAsia" w:hAnsiTheme="minorEastAsia"/>
          <w:sz w:val="28"/>
          <w:szCs w:val="28"/>
        </w:rPr>
        <w:t>7.2 建设内容</w:t>
      </w:r>
      <w:r>
        <w:rPr>
          <w:sz w:val="28"/>
          <w:szCs w:val="28"/>
        </w:rPr>
        <w:tab/>
      </w:r>
      <w:r>
        <w:rPr>
          <w:sz w:val="28"/>
          <w:szCs w:val="28"/>
        </w:rPr>
        <w:fldChar w:fldCharType="begin"/>
      </w:r>
      <w:r>
        <w:rPr>
          <w:sz w:val="28"/>
          <w:szCs w:val="28"/>
        </w:rPr>
        <w:instrText xml:space="preserve"> PAGEREF _Toc144903182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"_Toc144903183" </w:instrText>
      </w:r>
      <w:r>
        <w:fldChar w:fldCharType="separate"/>
      </w:r>
      <w:r>
        <w:rPr>
          <w:rStyle w:val="32"/>
          <w:rFonts w:asciiTheme="minorEastAsia" w:hAnsiTheme="minorEastAsia"/>
          <w:sz w:val="28"/>
          <w:szCs w:val="28"/>
        </w:rPr>
        <w:t>8.分区规划与建设任务</w:t>
      </w:r>
      <w:r>
        <w:rPr>
          <w:sz w:val="28"/>
          <w:szCs w:val="28"/>
        </w:rPr>
        <w:tab/>
      </w:r>
      <w:r>
        <w:rPr>
          <w:sz w:val="28"/>
          <w:szCs w:val="28"/>
        </w:rPr>
        <w:fldChar w:fldCharType="begin"/>
      </w:r>
      <w:r>
        <w:rPr>
          <w:sz w:val="28"/>
          <w:szCs w:val="28"/>
        </w:rPr>
        <w:instrText xml:space="preserve"> PAGEREF _Toc144903183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"_Toc144903184" </w:instrText>
      </w:r>
      <w:r>
        <w:fldChar w:fldCharType="separate"/>
      </w:r>
      <w:r>
        <w:rPr>
          <w:rStyle w:val="32"/>
          <w:rFonts w:asciiTheme="minorEastAsia" w:hAnsiTheme="minorEastAsia"/>
          <w:sz w:val="28"/>
          <w:szCs w:val="28"/>
        </w:rPr>
        <w:t>8.1丘陵区</w:t>
      </w:r>
      <w:r>
        <w:rPr>
          <w:sz w:val="28"/>
          <w:szCs w:val="28"/>
        </w:rPr>
        <w:tab/>
      </w:r>
      <w:r>
        <w:rPr>
          <w:sz w:val="28"/>
          <w:szCs w:val="28"/>
        </w:rPr>
        <w:fldChar w:fldCharType="begin"/>
      </w:r>
      <w:r>
        <w:rPr>
          <w:sz w:val="28"/>
          <w:szCs w:val="28"/>
        </w:rPr>
        <w:instrText xml:space="preserve"> PAGEREF _Toc144903184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"_Toc144903185" </w:instrText>
      </w:r>
      <w:r>
        <w:fldChar w:fldCharType="separate"/>
      </w:r>
      <w:r>
        <w:rPr>
          <w:rStyle w:val="32"/>
          <w:rFonts w:asciiTheme="minorEastAsia" w:hAnsiTheme="minorEastAsia"/>
          <w:sz w:val="28"/>
          <w:szCs w:val="28"/>
        </w:rPr>
        <w:t>8.2平原区</w:t>
      </w:r>
      <w:r>
        <w:rPr>
          <w:sz w:val="28"/>
          <w:szCs w:val="28"/>
        </w:rPr>
        <w:tab/>
      </w:r>
      <w:r>
        <w:rPr>
          <w:sz w:val="28"/>
          <w:szCs w:val="28"/>
        </w:rPr>
        <w:fldChar w:fldCharType="begin"/>
      </w:r>
      <w:r>
        <w:rPr>
          <w:sz w:val="28"/>
          <w:szCs w:val="28"/>
        </w:rPr>
        <w:instrText xml:space="preserve"> PAGEREF _Toc144903185 \h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"_Toc144903186" </w:instrText>
      </w:r>
      <w:r>
        <w:fldChar w:fldCharType="separate"/>
      </w:r>
      <w:r>
        <w:rPr>
          <w:rStyle w:val="32"/>
          <w:rFonts w:asciiTheme="minorEastAsia" w:hAnsiTheme="minorEastAsia"/>
          <w:sz w:val="28"/>
          <w:szCs w:val="28"/>
        </w:rPr>
        <w:t>9.投资测算与资金筹措</w:t>
      </w:r>
      <w:r>
        <w:rPr>
          <w:sz w:val="28"/>
          <w:szCs w:val="28"/>
        </w:rPr>
        <w:tab/>
      </w:r>
      <w:r>
        <w:rPr>
          <w:sz w:val="28"/>
          <w:szCs w:val="28"/>
        </w:rPr>
        <w:fldChar w:fldCharType="begin"/>
      </w:r>
      <w:r>
        <w:rPr>
          <w:sz w:val="28"/>
          <w:szCs w:val="28"/>
        </w:rPr>
        <w:instrText xml:space="preserve"> PAGEREF _Toc144903186 \h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"_Toc144903187" </w:instrText>
      </w:r>
      <w:r>
        <w:fldChar w:fldCharType="separate"/>
      </w:r>
      <w:r>
        <w:rPr>
          <w:rStyle w:val="32"/>
          <w:rFonts w:asciiTheme="minorEastAsia" w:hAnsiTheme="minorEastAsia"/>
          <w:sz w:val="28"/>
          <w:szCs w:val="28"/>
        </w:rPr>
        <w:t>9.1 投资测算</w:t>
      </w:r>
      <w:r>
        <w:rPr>
          <w:sz w:val="28"/>
          <w:szCs w:val="28"/>
        </w:rPr>
        <w:tab/>
      </w:r>
      <w:r>
        <w:rPr>
          <w:sz w:val="28"/>
          <w:szCs w:val="28"/>
        </w:rPr>
        <w:fldChar w:fldCharType="begin"/>
      </w:r>
      <w:r>
        <w:rPr>
          <w:sz w:val="28"/>
          <w:szCs w:val="28"/>
        </w:rPr>
        <w:instrText xml:space="preserve"> PAGEREF _Toc144903187 \h </w:instrText>
      </w:r>
      <w:r>
        <w:rPr>
          <w:sz w:val="28"/>
          <w:szCs w:val="28"/>
        </w:rPr>
        <w:fldChar w:fldCharType="separate"/>
      </w:r>
      <w:r>
        <w:rPr>
          <w:sz w:val="28"/>
          <w:szCs w:val="28"/>
        </w:rPr>
        <w:t>97</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"_Toc144903188" </w:instrText>
      </w:r>
      <w:r>
        <w:fldChar w:fldCharType="separate"/>
      </w:r>
      <w:r>
        <w:rPr>
          <w:rStyle w:val="32"/>
          <w:rFonts w:asciiTheme="minorEastAsia" w:hAnsiTheme="minorEastAsia"/>
          <w:sz w:val="28"/>
          <w:szCs w:val="28"/>
        </w:rPr>
        <w:t>9.2资金筹措</w:t>
      </w:r>
      <w:r>
        <w:rPr>
          <w:sz w:val="28"/>
          <w:szCs w:val="28"/>
        </w:rPr>
        <w:tab/>
      </w:r>
      <w:r>
        <w:rPr>
          <w:sz w:val="28"/>
          <w:szCs w:val="28"/>
        </w:rPr>
        <w:fldChar w:fldCharType="begin"/>
      </w:r>
      <w:r>
        <w:rPr>
          <w:sz w:val="28"/>
          <w:szCs w:val="28"/>
        </w:rPr>
        <w:instrText xml:space="preserve"> PAGEREF _Toc144903188 \h </w:instrText>
      </w:r>
      <w:r>
        <w:rPr>
          <w:sz w:val="28"/>
          <w:szCs w:val="28"/>
        </w:rPr>
        <w:fldChar w:fldCharType="separate"/>
      </w:r>
      <w:r>
        <w:rPr>
          <w:sz w:val="28"/>
          <w:szCs w:val="28"/>
        </w:rPr>
        <w:t>100</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"_Toc144903189" </w:instrText>
      </w:r>
      <w:r>
        <w:fldChar w:fldCharType="separate"/>
      </w:r>
      <w:r>
        <w:rPr>
          <w:rStyle w:val="32"/>
          <w:rFonts w:asciiTheme="minorEastAsia" w:hAnsiTheme="minorEastAsia"/>
          <w:sz w:val="28"/>
          <w:szCs w:val="28"/>
        </w:rPr>
        <w:t>10.建设管理和后续管护</w:t>
      </w:r>
      <w:r>
        <w:rPr>
          <w:sz w:val="28"/>
          <w:szCs w:val="28"/>
        </w:rPr>
        <w:tab/>
      </w:r>
      <w:r>
        <w:rPr>
          <w:sz w:val="28"/>
          <w:szCs w:val="28"/>
        </w:rPr>
        <w:fldChar w:fldCharType="begin"/>
      </w:r>
      <w:r>
        <w:rPr>
          <w:sz w:val="28"/>
          <w:szCs w:val="28"/>
        </w:rPr>
        <w:instrText xml:space="preserve"> PAGEREF _Toc144903189 \h </w:instrText>
      </w:r>
      <w:r>
        <w:rPr>
          <w:sz w:val="28"/>
          <w:szCs w:val="28"/>
        </w:rPr>
        <w:fldChar w:fldCharType="separate"/>
      </w:r>
      <w:r>
        <w:rPr>
          <w:sz w:val="28"/>
          <w:szCs w:val="28"/>
        </w:rPr>
        <w:t>101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"_Toc144903190" </w:instrText>
      </w:r>
      <w:r>
        <w:fldChar w:fldCharType="separate"/>
      </w:r>
      <w:r>
        <w:rPr>
          <w:rStyle w:val="32"/>
          <w:rFonts w:asciiTheme="minorEastAsia" w:hAnsiTheme="minorEastAsia"/>
          <w:sz w:val="28"/>
          <w:szCs w:val="28"/>
        </w:rPr>
        <w:t>10.1 建设管理</w:t>
      </w:r>
      <w:r>
        <w:rPr>
          <w:sz w:val="28"/>
          <w:szCs w:val="28"/>
        </w:rPr>
        <w:tab/>
      </w:r>
      <w:r>
        <w:rPr>
          <w:sz w:val="28"/>
          <w:szCs w:val="28"/>
        </w:rPr>
        <w:fldChar w:fldCharType="begin"/>
      </w:r>
      <w:r>
        <w:rPr>
          <w:sz w:val="28"/>
          <w:szCs w:val="28"/>
        </w:rPr>
        <w:instrText xml:space="preserve"> PAGEREF _Toc144903190 \h </w:instrText>
      </w:r>
      <w:r>
        <w:rPr>
          <w:sz w:val="28"/>
          <w:szCs w:val="28"/>
        </w:rPr>
        <w:fldChar w:fldCharType="separate"/>
      </w:r>
      <w:r>
        <w:rPr>
          <w:sz w:val="28"/>
          <w:szCs w:val="28"/>
        </w:rPr>
        <w:t>101</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"_Toc144903191" </w:instrText>
      </w:r>
      <w:r>
        <w:fldChar w:fldCharType="separate"/>
      </w:r>
      <w:r>
        <w:rPr>
          <w:rStyle w:val="32"/>
          <w:rFonts w:asciiTheme="minorEastAsia" w:hAnsiTheme="minorEastAsia"/>
          <w:sz w:val="28"/>
          <w:szCs w:val="28"/>
        </w:rPr>
        <w:t>10.2 加强后续管护</w:t>
      </w:r>
      <w:r>
        <w:rPr>
          <w:sz w:val="28"/>
          <w:szCs w:val="28"/>
        </w:rPr>
        <w:tab/>
      </w:r>
      <w:r>
        <w:rPr>
          <w:sz w:val="28"/>
          <w:szCs w:val="28"/>
        </w:rPr>
        <w:fldChar w:fldCharType="begin"/>
      </w:r>
      <w:r>
        <w:rPr>
          <w:sz w:val="28"/>
          <w:szCs w:val="28"/>
        </w:rPr>
        <w:instrText xml:space="preserve"> PAGEREF _Toc144903191 \h </w:instrText>
      </w:r>
      <w:r>
        <w:rPr>
          <w:sz w:val="28"/>
          <w:szCs w:val="28"/>
        </w:rPr>
        <w:fldChar w:fldCharType="separate"/>
      </w:r>
      <w:r>
        <w:rPr>
          <w:sz w:val="28"/>
          <w:szCs w:val="28"/>
        </w:rPr>
        <w:t>103</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"_Toc144903192" </w:instrText>
      </w:r>
      <w:r>
        <w:fldChar w:fldCharType="separate"/>
      </w:r>
      <w:r>
        <w:rPr>
          <w:rStyle w:val="32"/>
          <w:rFonts w:asciiTheme="minorEastAsia" w:hAnsiTheme="minorEastAsia"/>
          <w:sz w:val="28"/>
          <w:szCs w:val="28"/>
        </w:rPr>
        <w:t>10.3 严格保护利用</w:t>
      </w:r>
      <w:r>
        <w:rPr>
          <w:sz w:val="28"/>
          <w:szCs w:val="28"/>
        </w:rPr>
        <w:tab/>
      </w:r>
      <w:r>
        <w:rPr>
          <w:sz w:val="28"/>
          <w:szCs w:val="28"/>
        </w:rPr>
        <w:fldChar w:fldCharType="begin"/>
      </w:r>
      <w:r>
        <w:rPr>
          <w:sz w:val="28"/>
          <w:szCs w:val="28"/>
        </w:rPr>
        <w:instrText xml:space="preserve"> PAGEREF _Toc144903192 \h </w:instrText>
      </w:r>
      <w:r>
        <w:rPr>
          <w:sz w:val="28"/>
          <w:szCs w:val="28"/>
        </w:rPr>
        <w:fldChar w:fldCharType="separate"/>
      </w:r>
      <w:r>
        <w:rPr>
          <w:sz w:val="28"/>
          <w:szCs w:val="28"/>
        </w:rPr>
        <w:t>104</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"_Toc144903193" </w:instrText>
      </w:r>
      <w:r>
        <w:fldChar w:fldCharType="separate"/>
      </w:r>
      <w:r>
        <w:rPr>
          <w:rStyle w:val="32"/>
          <w:rFonts w:asciiTheme="minorEastAsia" w:hAnsiTheme="minorEastAsia"/>
          <w:sz w:val="28"/>
          <w:szCs w:val="28"/>
        </w:rPr>
        <w:t>11.预期效果</w:t>
      </w:r>
      <w:r>
        <w:rPr>
          <w:sz w:val="28"/>
          <w:szCs w:val="28"/>
        </w:rPr>
        <w:tab/>
      </w:r>
      <w:r>
        <w:rPr>
          <w:sz w:val="28"/>
          <w:szCs w:val="28"/>
        </w:rPr>
        <w:fldChar w:fldCharType="begin"/>
      </w:r>
      <w:r>
        <w:rPr>
          <w:sz w:val="28"/>
          <w:szCs w:val="28"/>
        </w:rPr>
        <w:instrText xml:space="preserve"> PAGEREF _Toc144903193 \h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"_Toc144903194" </w:instrText>
      </w:r>
      <w:r>
        <w:fldChar w:fldCharType="separate"/>
      </w:r>
      <w:r>
        <w:rPr>
          <w:rStyle w:val="32"/>
          <w:rFonts w:asciiTheme="minorEastAsia" w:hAnsiTheme="minorEastAsia"/>
          <w:sz w:val="28"/>
          <w:szCs w:val="28"/>
        </w:rPr>
        <w:t>11.1经济效益</w:t>
      </w:r>
      <w:r>
        <w:rPr>
          <w:sz w:val="28"/>
          <w:szCs w:val="28"/>
        </w:rPr>
        <w:tab/>
      </w:r>
      <w:r>
        <w:rPr>
          <w:sz w:val="28"/>
          <w:szCs w:val="28"/>
        </w:rPr>
        <w:fldChar w:fldCharType="begin"/>
      </w:r>
      <w:r>
        <w:rPr>
          <w:sz w:val="28"/>
          <w:szCs w:val="28"/>
        </w:rPr>
        <w:instrText xml:space="preserve"> PAGEREF _Toc144903194 \h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"_Toc144903195" </w:instrText>
      </w:r>
      <w:r>
        <w:fldChar w:fldCharType="separate"/>
      </w:r>
      <w:r>
        <w:rPr>
          <w:rStyle w:val="32"/>
          <w:rFonts w:asciiTheme="minorEastAsia" w:hAnsiTheme="minorEastAsia"/>
          <w:sz w:val="28"/>
          <w:szCs w:val="28"/>
        </w:rPr>
        <w:t>11.2社会效益</w:t>
      </w:r>
      <w:r>
        <w:rPr>
          <w:sz w:val="28"/>
          <w:szCs w:val="28"/>
        </w:rPr>
        <w:tab/>
      </w:r>
      <w:r>
        <w:rPr>
          <w:sz w:val="28"/>
          <w:szCs w:val="28"/>
        </w:rPr>
        <w:fldChar w:fldCharType="begin"/>
      </w:r>
      <w:r>
        <w:rPr>
          <w:sz w:val="28"/>
          <w:szCs w:val="28"/>
        </w:rPr>
        <w:instrText xml:space="preserve"> PAGEREF _Toc144903195 \h </w:instrText>
      </w:r>
      <w:r>
        <w:rPr>
          <w:sz w:val="28"/>
          <w:szCs w:val="28"/>
        </w:rPr>
        <w:fldChar w:fldCharType="separate"/>
      </w:r>
      <w:r>
        <w:rPr>
          <w:sz w:val="28"/>
          <w:szCs w:val="28"/>
        </w:rPr>
        <w:t>105</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"_Toc144903196" </w:instrText>
      </w:r>
      <w:r>
        <w:fldChar w:fldCharType="separate"/>
      </w:r>
      <w:r>
        <w:rPr>
          <w:rStyle w:val="32"/>
          <w:rFonts w:asciiTheme="minorEastAsia" w:hAnsiTheme="minorEastAsia"/>
          <w:sz w:val="28"/>
          <w:szCs w:val="28"/>
        </w:rPr>
        <w:t>11.3生态效益</w:t>
      </w:r>
      <w:r>
        <w:rPr>
          <w:sz w:val="28"/>
          <w:szCs w:val="28"/>
        </w:rPr>
        <w:tab/>
      </w:r>
      <w:r>
        <w:rPr>
          <w:sz w:val="28"/>
          <w:szCs w:val="28"/>
        </w:rPr>
        <w:fldChar w:fldCharType="begin"/>
      </w:r>
      <w:r>
        <w:rPr>
          <w:sz w:val="28"/>
          <w:szCs w:val="28"/>
        </w:rPr>
        <w:instrText xml:space="preserve"> PAGEREF _Toc144903196 \h </w:instrText>
      </w:r>
      <w:r>
        <w:rPr>
          <w:sz w:val="28"/>
          <w:szCs w:val="28"/>
        </w:rPr>
        <w:fldChar w:fldCharType="separate"/>
      </w:r>
      <w:r>
        <w:rPr>
          <w:sz w:val="28"/>
          <w:szCs w:val="28"/>
        </w:rPr>
        <w:t>106</w:t>
      </w:r>
      <w:r>
        <w:rPr>
          <w:sz w:val="28"/>
          <w:szCs w:val="28"/>
        </w:rPr>
        <w:fldChar w:fldCharType="end"/>
      </w:r>
      <w:r>
        <w:rPr>
          <w:sz w:val="28"/>
          <w:szCs w:val="28"/>
        </w:rPr>
        <w:fldChar w:fldCharType="end"/>
      </w:r>
    </w:p>
    <w:p>
      <w:pPr>
        <w:pStyle w:val="19"/>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"_Toc144903197" </w:instrText>
      </w:r>
      <w:r>
        <w:fldChar w:fldCharType="separate"/>
      </w:r>
      <w:r>
        <w:rPr>
          <w:rStyle w:val="32"/>
          <w:rFonts w:asciiTheme="minorEastAsia" w:hAnsiTheme="minorEastAsia"/>
          <w:sz w:val="28"/>
          <w:szCs w:val="28"/>
        </w:rPr>
        <w:t>12.项目实施的保障措施</w:t>
      </w:r>
      <w:r>
        <w:rPr>
          <w:sz w:val="28"/>
          <w:szCs w:val="28"/>
        </w:rPr>
        <w:tab/>
      </w:r>
      <w:r>
        <w:rPr>
          <w:sz w:val="28"/>
          <w:szCs w:val="28"/>
        </w:rPr>
        <w:fldChar w:fldCharType="begin"/>
      </w:r>
      <w:r>
        <w:rPr>
          <w:sz w:val="28"/>
          <w:szCs w:val="28"/>
        </w:rPr>
        <w:instrText xml:space="preserve"> PAGEREF _Toc144903197 \h </w:instrText>
      </w:r>
      <w:r>
        <w:rPr>
          <w:sz w:val="28"/>
          <w:szCs w:val="28"/>
        </w:rPr>
        <w:fldChar w:fldCharType="separate"/>
      </w:r>
      <w:r>
        <w:rPr>
          <w:sz w:val="28"/>
          <w:szCs w:val="28"/>
        </w:rPr>
        <w:t>107</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"_Toc144903198" </w:instrText>
      </w:r>
      <w:r>
        <w:fldChar w:fldCharType="separate"/>
      </w:r>
      <w:r>
        <w:rPr>
          <w:rStyle w:val="32"/>
          <w:rFonts w:asciiTheme="minorEastAsia" w:hAnsiTheme="minorEastAsia"/>
          <w:sz w:val="28"/>
          <w:szCs w:val="28"/>
        </w:rPr>
        <w:t>12.1加强组织领导</w:t>
      </w:r>
      <w:r>
        <w:rPr>
          <w:sz w:val="28"/>
          <w:szCs w:val="28"/>
        </w:rPr>
        <w:tab/>
      </w:r>
      <w:r>
        <w:rPr>
          <w:sz w:val="28"/>
          <w:szCs w:val="28"/>
        </w:rPr>
        <w:fldChar w:fldCharType="begin"/>
      </w:r>
      <w:r>
        <w:rPr>
          <w:sz w:val="28"/>
          <w:szCs w:val="28"/>
        </w:rPr>
        <w:instrText xml:space="preserve"> PAGEREF _Toc144903198 \h </w:instrText>
      </w:r>
      <w:r>
        <w:rPr>
          <w:sz w:val="28"/>
          <w:szCs w:val="28"/>
        </w:rPr>
        <w:fldChar w:fldCharType="separate"/>
      </w:r>
      <w:r>
        <w:rPr>
          <w:sz w:val="28"/>
          <w:szCs w:val="28"/>
        </w:rPr>
        <w:t>107</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"_Toc144903199" </w:instrText>
      </w:r>
      <w:r>
        <w:fldChar w:fldCharType="separate"/>
      </w:r>
      <w:r>
        <w:rPr>
          <w:rStyle w:val="32"/>
          <w:rFonts w:asciiTheme="minorEastAsia" w:hAnsiTheme="minorEastAsia"/>
          <w:sz w:val="28"/>
          <w:szCs w:val="28"/>
        </w:rPr>
        <w:t>12.2强化规划引领</w:t>
      </w:r>
      <w:r>
        <w:rPr>
          <w:sz w:val="28"/>
          <w:szCs w:val="28"/>
        </w:rPr>
        <w:tab/>
      </w:r>
      <w:r>
        <w:rPr>
          <w:sz w:val="28"/>
          <w:szCs w:val="28"/>
        </w:rPr>
        <w:fldChar w:fldCharType="begin"/>
      </w:r>
      <w:r>
        <w:rPr>
          <w:sz w:val="28"/>
          <w:szCs w:val="28"/>
        </w:rPr>
        <w:instrText xml:space="preserve"> PAGEREF _Toc144903199 \h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"_Toc144903200" </w:instrText>
      </w:r>
      <w:r>
        <w:fldChar w:fldCharType="separate"/>
      </w:r>
      <w:r>
        <w:rPr>
          <w:rStyle w:val="32"/>
          <w:rFonts w:asciiTheme="minorEastAsia" w:hAnsiTheme="minorEastAsia"/>
          <w:sz w:val="28"/>
          <w:szCs w:val="28"/>
        </w:rPr>
        <w:t>12.3加强资金保障</w:t>
      </w:r>
      <w:r>
        <w:rPr>
          <w:sz w:val="28"/>
          <w:szCs w:val="28"/>
        </w:rPr>
        <w:tab/>
      </w:r>
      <w:r>
        <w:rPr>
          <w:sz w:val="28"/>
          <w:szCs w:val="28"/>
        </w:rPr>
        <w:fldChar w:fldCharType="begin"/>
      </w:r>
      <w:r>
        <w:rPr>
          <w:sz w:val="28"/>
          <w:szCs w:val="28"/>
        </w:rPr>
        <w:instrText xml:space="preserve"> PAGEREF _Toc144903200 \h </w:instrText>
      </w:r>
      <w:r>
        <w:rPr>
          <w:sz w:val="28"/>
          <w:szCs w:val="28"/>
        </w:rPr>
        <w:fldChar w:fldCharType="separate"/>
      </w:r>
      <w:r>
        <w:rPr>
          <w:sz w:val="28"/>
          <w:szCs w:val="28"/>
        </w:rPr>
        <w:t>108</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"_Toc144903201" </w:instrText>
      </w:r>
      <w:r>
        <w:fldChar w:fldCharType="separate"/>
      </w:r>
      <w:r>
        <w:rPr>
          <w:rStyle w:val="32"/>
          <w:rFonts w:asciiTheme="minorEastAsia" w:hAnsiTheme="minorEastAsia"/>
          <w:sz w:val="28"/>
          <w:szCs w:val="28"/>
        </w:rPr>
        <w:t>12.4加强科技支撑</w:t>
      </w:r>
      <w:r>
        <w:rPr>
          <w:sz w:val="28"/>
          <w:szCs w:val="28"/>
        </w:rPr>
        <w:tab/>
      </w:r>
      <w:r>
        <w:rPr>
          <w:sz w:val="28"/>
          <w:szCs w:val="28"/>
        </w:rPr>
        <w:fldChar w:fldCharType="begin"/>
      </w:r>
      <w:r>
        <w:rPr>
          <w:sz w:val="28"/>
          <w:szCs w:val="28"/>
        </w:rPr>
        <w:instrText xml:space="preserve"> PAGEREF _Toc144903201 \h </w:instrText>
      </w:r>
      <w:r>
        <w:rPr>
          <w:sz w:val="28"/>
          <w:szCs w:val="28"/>
        </w:rPr>
        <w:fldChar w:fldCharType="separate"/>
      </w:r>
      <w:r>
        <w:rPr>
          <w:sz w:val="28"/>
          <w:szCs w:val="28"/>
        </w:rPr>
        <w:t>110</w:t>
      </w:r>
      <w:r>
        <w:rPr>
          <w:sz w:val="28"/>
          <w:szCs w:val="28"/>
        </w:rPr>
        <w:fldChar w:fldCharType="end"/>
      </w:r>
      <w:r>
        <w:rPr>
          <w:sz w:val="28"/>
          <w:szCs w:val="28"/>
        </w:rPr>
        <w:fldChar w:fldCharType="end"/>
      </w:r>
    </w:p>
    <w:p>
      <w:pPr>
        <w:pStyle w:val="23"/>
        <w:tabs>
          <w:tab w:val="right" w:leader="dot" w:pos="8720"/>
        </w:tabs>
        <w:snapToGrid w:val="0"/>
        <w:spacing w:line="440" w:lineRule="atLeast"/>
        <w:rPr>
          <w:rFonts w:asciiTheme="minorHAnsi" w:hAnsiTheme="minorHAnsi" w:eastAsiaTheme="minorEastAsia" w:cstheme="minorBidi"/>
          <w:sz w:val="28"/>
          <w:szCs w:val="28"/>
        </w:rPr>
      </w:pPr>
      <w:r>
        <w:fldChar w:fldCharType="begin"/>
      </w:r>
      <w:r>
        <w:instrText xml:space="preserve"> HYPERLINK \l "_Toc144903202" </w:instrText>
      </w:r>
      <w:r>
        <w:fldChar w:fldCharType="separate"/>
      </w:r>
      <w:r>
        <w:rPr>
          <w:rStyle w:val="32"/>
          <w:rFonts w:asciiTheme="minorEastAsia" w:hAnsiTheme="minorEastAsia"/>
          <w:sz w:val="28"/>
          <w:szCs w:val="28"/>
        </w:rPr>
        <w:t>12.5严格监督考核</w:t>
      </w:r>
      <w:r>
        <w:rPr>
          <w:sz w:val="28"/>
          <w:szCs w:val="28"/>
        </w:rPr>
        <w:tab/>
      </w:r>
      <w:r>
        <w:rPr>
          <w:sz w:val="28"/>
          <w:szCs w:val="28"/>
        </w:rPr>
        <w:fldChar w:fldCharType="begin"/>
      </w:r>
      <w:r>
        <w:rPr>
          <w:sz w:val="28"/>
          <w:szCs w:val="28"/>
        </w:rPr>
        <w:instrText xml:space="preserve"> PAGEREF _Toc144903202 \h </w:instrText>
      </w:r>
      <w:r>
        <w:rPr>
          <w:sz w:val="28"/>
          <w:szCs w:val="28"/>
        </w:rPr>
        <w:fldChar w:fldCharType="separate"/>
      </w:r>
      <w:r>
        <w:rPr>
          <w:sz w:val="28"/>
          <w:szCs w:val="28"/>
        </w:rPr>
        <w:t>110</w:t>
      </w:r>
      <w:r>
        <w:rPr>
          <w:sz w:val="28"/>
          <w:szCs w:val="28"/>
        </w:rPr>
        <w:fldChar w:fldCharType="end"/>
      </w:r>
      <w:r>
        <w:rPr>
          <w:sz w:val="28"/>
          <w:szCs w:val="28"/>
        </w:rPr>
        <w:fldChar w:fldCharType="end"/>
      </w:r>
    </w:p>
    <w:p>
      <w:pPr>
        <w:snapToGrid w:val="0"/>
        <w:spacing w:line="440" w:lineRule="atLeast"/>
        <w:jc w:val="left"/>
        <w:rPr>
          <w:rFonts w:asciiTheme="minorEastAsia" w:hAnsiTheme="minorEastAsia" w:eastAsiaTheme="minorEastAsia"/>
          <w:kern w:val="0"/>
          <w:sz w:val="24"/>
          <w:szCs w:val="24"/>
        </w:rPr>
      </w:pPr>
      <w:r>
        <w:rPr>
          <w:rFonts w:asciiTheme="minorEastAsia" w:hAnsiTheme="minorEastAsia" w:eastAsiaTheme="minorEastAsia"/>
          <w:sz w:val="28"/>
          <w:szCs w:val="28"/>
        </w:rPr>
        <w:fldChar w:fldCharType="end"/>
      </w:r>
    </w:p>
    <w:p>
      <w:pPr>
        <w:tabs>
          <w:tab w:val="left" w:pos="900"/>
        </w:tabs>
        <w:ind w:firstLine="1968" w:firstLineChars="700"/>
        <w:rPr>
          <w:rFonts w:asciiTheme="minorEastAsia" w:hAnsiTheme="minorEastAsia" w:eastAsiaTheme="minorEastAsia"/>
          <w:b/>
          <w:bCs/>
          <w:sz w:val="28"/>
          <w:szCs w:val="28"/>
        </w:rPr>
        <w:sectPr>
          <w:footerReference r:id="rId4" w:type="default"/>
          <w:pgSz w:w="11906" w:h="16838"/>
          <w:pgMar w:top="1714" w:right="1588" w:bottom="1588" w:left="1588" w:header="1134" w:footer="1134" w:gutter="0"/>
          <w:pgNumType w:fmt="upperRoman" w:start="1"/>
          <w:cols w:space="720" w:num="1"/>
          <w:docGrid w:linePitch="326" w:charSpace="0"/>
        </w:sectPr>
      </w:pPr>
      <w:bookmarkStart w:id="8" w:name="_Toc25554_WPSOffice_Level1"/>
      <w:bookmarkStart w:id="9" w:name="_Toc21852_WPSOffice_Level1"/>
    </w:p>
    <w:bookmarkEnd w:id="8"/>
    <w:bookmarkEnd w:id="9"/>
    <w:p>
      <w:pPr>
        <w:spacing w:line="360" w:lineRule="auto"/>
        <w:outlineLvl w:val="0"/>
        <w:rPr>
          <w:rFonts w:asciiTheme="minorEastAsia" w:hAnsiTheme="minorEastAsia" w:eastAsiaTheme="minorEastAsia"/>
          <w:b/>
          <w:sz w:val="36"/>
          <w:szCs w:val="36"/>
        </w:rPr>
      </w:pPr>
      <w:bookmarkStart w:id="10" w:name="_Toc144903144"/>
      <w:r>
        <w:rPr>
          <w:rFonts w:hint="eastAsia" w:asciiTheme="minorEastAsia" w:hAnsiTheme="minorEastAsia" w:eastAsiaTheme="minorEastAsia"/>
          <w:b/>
          <w:sz w:val="36"/>
          <w:szCs w:val="36"/>
        </w:rPr>
        <w:t>前言</w:t>
      </w:r>
      <w:bookmarkEnd w:id="10"/>
    </w:p>
    <w:p>
      <w:pPr>
        <w:spacing w:line="360" w:lineRule="auto"/>
        <w:ind w:firstLine="560" w:firstLineChars="200"/>
        <w:rPr>
          <w:rFonts w:ascii="宋体" w:hAnsi="宋体" w:cs="宋体"/>
          <w:sz w:val="28"/>
          <w:szCs w:val="28"/>
        </w:rPr>
      </w:pPr>
      <w:r>
        <w:rPr>
          <w:rFonts w:hint="eastAsia" w:ascii="宋体" w:hAnsi="宋体" w:cs="宋体"/>
          <w:sz w:val="28"/>
          <w:szCs w:val="28"/>
        </w:rPr>
        <w:t>党中央、国务院高度重视高标准农田建设。习近平总书记指出，中国人的饭碗要牢牢端在自己手里，而且里面应该主要盛中国粮；强调要突出抓好耕地保护和地力提升，坚定不移抓好高标准农田建设，提高建设标准和质量，真正实现旱涝保收、高产稳产。李克强总理对发展粮食生产、加强高标准农田建设提出明确要求。各地、各部门认真贯彻落实党中央、国务院决策部署，持续推进高标准农田建设，有力支撑了粮食和重要农产品生产能力的提升。</w:t>
      </w:r>
    </w:p>
    <w:p>
      <w:pPr>
        <w:spacing w:line="360" w:lineRule="auto"/>
        <w:ind w:firstLine="560" w:firstLineChars="200"/>
        <w:rPr>
          <w:rFonts w:ascii="宋体" w:hAnsi="宋体" w:cs="宋体"/>
          <w:sz w:val="28"/>
          <w:szCs w:val="28"/>
        </w:rPr>
      </w:pPr>
      <w:r>
        <w:rPr>
          <w:rFonts w:hint="eastAsia" w:ascii="宋体" w:hAnsi="宋体" w:cs="宋体"/>
          <w:sz w:val="28"/>
          <w:szCs w:val="28"/>
        </w:rPr>
        <w:t>建设高标准农田，是巩固和提高粮食生产能力、保障国家粮食安全的关键举措。大力推进高标准农田建设，加快补上农业基础设施短板，增强农田防灾抗灾减灾能力，有利于聚集现代生产要素，推动农业生产经营规模化专业化，促进农业农村现代化发展；有利于落实最严格的耕地保护制度，不断提升耕地质量和粮食产能，实现土地和水资源集约节约利用，推动形成绿色生产方式，促进农业可持续发展；有利于有效应对国际农产品贸易风险，确保国内农产品市场稳定。</w:t>
      </w:r>
    </w:p>
    <w:p>
      <w:pPr>
        <w:spacing w:line="360" w:lineRule="auto"/>
        <w:ind w:firstLine="560" w:firstLineChars="200"/>
        <w:rPr>
          <w:rFonts w:ascii="宋体" w:hAnsi="宋体" w:cs="宋体"/>
          <w:sz w:val="28"/>
          <w:szCs w:val="28"/>
        </w:rPr>
      </w:pPr>
      <w:r>
        <w:rPr>
          <w:rFonts w:hint="eastAsia" w:ascii="宋体" w:hAnsi="宋体" w:cs="宋体"/>
          <w:sz w:val="28"/>
          <w:szCs w:val="28"/>
        </w:rPr>
        <w:t>2019年中央1号文件提出“修编全国高标准农田建设总体规划，统一规划布局、建设标准、组织实施、验收考核、上图入库”。2020年中央1号文件强调加快“修编建设规划”。2021年中央1号文件要求“实施新一轮高标准农田建设规划”，据此编制了《全国高标准农田建设规划(2021—2030 年)》。为了更好地适应乡村振兴战略实施的需要，促进农村一二三产融合发展，根据汤阴县农业农村局要求，特编制《汤阴县高标准农田建设规划（2021-2030年》。</w:t>
      </w:r>
    </w:p>
    <w:p>
      <w:pPr>
        <w:spacing w:line="360" w:lineRule="auto"/>
        <w:ind w:firstLine="560" w:firstLineChars="200"/>
        <w:rPr>
          <w:rFonts w:ascii="宋体" w:hAnsi="宋体" w:cs="宋体"/>
          <w:sz w:val="28"/>
          <w:szCs w:val="28"/>
        </w:rPr>
      </w:pPr>
      <w:r>
        <w:rPr>
          <w:rFonts w:hint="eastAsia" w:ascii="宋体" w:hAnsi="宋体" w:cs="宋体"/>
          <w:sz w:val="28"/>
          <w:szCs w:val="28"/>
        </w:rPr>
        <w:t>《汤阴县高标准农田建设规划（2021-2030年）》以《全国高标准农田建设规划（2021—2030年）》和“十三五”时期以来各地实践为基础，对接</w:t>
      </w:r>
      <w:r>
        <w:rPr>
          <w:rFonts w:ascii="宋体" w:hAnsi="宋体" w:cs="宋体"/>
          <w:sz w:val="28"/>
          <w:szCs w:val="28"/>
        </w:rPr>
        <w:t>《</w:t>
      </w:r>
      <w:r>
        <w:rPr>
          <w:rFonts w:hint="eastAsia" w:ascii="宋体" w:hAnsi="宋体" w:cs="宋体"/>
          <w:sz w:val="28"/>
          <w:szCs w:val="28"/>
        </w:rPr>
        <w:t>汤阴县</w:t>
      </w:r>
      <w:r>
        <w:rPr>
          <w:rFonts w:ascii="宋体" w:hAnsi="宋体" w:cs="宋体"/>
          <w:sz w:val="28"/>
          <w:szCs w:val="28"/>
        </w:rPr>
        <w:t>国土空间规划（2020-2035）》、《</w:t>
      </w:r>
      <w:r>
        <w:rPr>
          <w:rFonts w:hint="eastAsia" w:ascii="宋体" w:hAnsi="宋体" w:cs="宋体"/>
          <w:sz w:val="28"/>
          <w:szCs w:val="28"/>
        </w:rPr>
        <w:t>汤阴县</w:t>
      </w:r>
      <w:r>
        <w:rPr>
          <w:rFonts w:ascii="宋体" w:hAnsi="宋体" w:cs="宋体"/>
          <w:sz w:val="28"/>
          <w:szCs w:val="28"/>
        </w:rPr>
        <w:t>国土空间总体规划（2020-2035）》、《</w:t>
      </w:r>
      <w:r>
        <w:rPr>
          <w:rFonts w:hint="eastAsia" w:ascii="宋体" w:hAnsi="宋体" w:cs="宋体"/>
          <w:sz w:val="28"/>
          <w:szCs w:val="28"/>
        </w:rPr>
        <w:t>汤阴县</w:t>
      </w:r>
      <w:r>
        <w:rPr>
          <w:rFonts w:ascii="宋体" w:hAnsi="宋体" w:cs="宋体"/>
          <w:sz w:val="28"/>
          <w:szCs w:val="28"/>
        </w:rPr>
        <w:t>乡村振兴规划（2018-2022年）》</w:t>
      </w:r>
      <w:r>
        <w:rPr>
          <w:rFonts w:hint="eastAsia" w:ascii="宋体" w:hAnsi="宋体" w:cs="宋体"/>
          <w:sz w:val="28"/>
          <w:szCs w:val="28"/>
        </w:rPr>
        <w:t>以及汤阴县各灌区的相关规划等，借鉴了有关部门近年来相关工作成果和研究结论，在深入调研基础上，分析了当前全县高标准农田建设面临的形势，提出了今后一个时期高标准农田建设的总体要求、建设标准和建设内容、建设总体布局和建设任务、建设监管和后续管护、效益分析、实施保障等，是科学有序开展高标准农田建设的重要依据。</w:t>
      </w:r>
    </w:p>
    <w:p>
      <w:pPr>
        <w:spacing w:line="360" w:lineRule="auto"/>
        <w:ind w:firstLine="560" w:firstLineChars="200"/>
        <w:rPr>
          <w:rFonts w:ascii="宋体" w:hAnsi="宋体" w:cs="宋体"/>
          <w:sz w:val="28"/>
          <w:szCs w:val="28"/>
        </w:rPr>
      </w:pPr>
      <w:r>
        <w:rPr>
          <w:rFonts w:hint="eastAsia" w:ascii="宋体" w:hAnsi="宋体" w:cs="宋体"/>
          <w:sz w:val="28"/>
          <w:szCs w:val="28"/>
        </w:rPr>
        <w:t>汤阴县“十三五”期间共发展高标准农田面积5</w:t>
      </w:r>
      <w:r>
        <w:rPr>
          <w:rFonts w:ascii="宋体" w:hAnsi="宋体" w:cs="宋体"/>
          <w:sz w:val="28"/>
          <w:szCs w:val="28"/>
        </w:rPr>
        <w:t>1.17</w:t>
      </w:r>
      <w:r>
        <w:rPr>
          <w:rFonts w:hint="eastAsia" w:ascii="宋体" w:hAnsi="宋体" w:cs="宋体"/>
          <w:sz w:val="28"/>
          <w:szCs w:val="28"/>
        </w:rPr>
        <w:t>万亩，其中两区面积4</w:t>
      </w:r>
      <w:r>
        <w:rPr>
          <w:rFonts w:ascii="宋体" w:hAnsi="宋体" w:cs="宋体"/>
          <w:sz w:val="28"/>
          <w:szCs w:val="28"/>
        </w:rPr>
        <w:t>9.7</w:t>
      </w:r>
      <w:r>
        <w:rPr>
          <w:rFonts w:hint="eastAsia" w:ascii="宋体" w:hAnsi="宋体" w:cs="宋体"/>
          <w:sz w:val="28"/>
          <w:szCs w:val="28"/>
        </w:rPr>
        <w:t>万亩，为保障河南省粮食产能稳定做出了重要贡献。</w:t>
      </w:r>
    </w:p>
    <w:p>
      <w:pPr>
        <w:spacing w:line="360" w:lineRule="auto"/>
        <w:ind w:firstLine="560" w:firstLineChars="200"/>
        <w:rPr>
          <w:rFonts w:ascii="宋体" w:hAnsi="宋体" w:cs="宋体"/>
          <w:sz w:val="28"/>
          <w:szCs w:val="28"/>
        </w:rPr>
      </w:pPr>
      <w:r>
        <w:rPr>
          <w:rFonts w:hint="eastAsia" w:ascii="宋体" w:hAnsi="宋体" w:cs="宋体"/>
          <w:sz w:val="28"/>
          <w:szCs w:val="28"/>
        </w:rPr>
        <w:t>本次规划范围涉及汤阴县宜沟镇、菜园镇、任固镇、古贤镇、伏道镇、五陵镇、瓦岗乡、白营镇、韩庄镇共9个乡镇。项目规划年度为2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年，涉及耕地面积</w:t>
      </w:r>
      <w:r>
        <w:rPr>
          <w:rFonts w:ascii="宋体" w:hAnsi="宋体" w:cs="宋体"/>
          <w:sz w:val="28"/>
          <w:szCs w:val="28"/>
        </w:rPr>
        <w:t>53.15</w:t>
      </w:r>
      <w:r>
        <w:rPr>
          <w:rFonts w:hint="eastAsia" w:ascii="宋体" w:hAnsi="宋体" w:cs="宋体"/>
          <w:sz w:val="28"/>
          <w:szCs w:val="28"/>
        </w:rPr>
        <w:t>万亩，4</w:t>
      </w:r>
      <w:r>
        <w:rPr>
          <w:rFonts w:ascii="宋体" w:hAnsi="宋体" w:cs="宋体"/>
          <w:sz w:val="28"/>
          <w:szCs w:val="28"/>
        </w:rPr>
        <w:t>48871</w:t>
      </w:r>
      <w:r>
        <w:rPr>
          <w:rFonts w:hint="eastAsia" w:ascii="宋体" w:hAnsi="宋体" w:cs="宋体"/>
          <w:sz w:val="28"/>
          <w:szCs w:val="28"/>
        </w:rPr>
        <w:t>人，其中2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年新建高标准农田面积3</w:t>
      </w:r>
      <w:r>
        <w:rPr>
          <w:rFonts w:ascii="宋体" w:hAnsi="宋体" w:cs="宋体"/>
          <w:sz w:val="28"/>
          <w:szCs w:val="28"/>
        </w:rPr>
        <w:t>.28</w:t>
      </w:r>
      <w:r>
        <w:rPr>
          <w:rFonts w:hint="eastAsia" w:ascii="宋体" w:hAnsi="宋体" w:cs="宋体"/>
          <w:sz w:val="28"/>
          <w:szCs w:val="28"/>
        </w:rPr>
        <w:t>万亩，提升高标准农田面积</w:t>
      </w:r>
      <w:r>
        <w:rPr>
          <w:rFonts w:ascii="宋体" w:hAnsi="宋体" w:cs="宋体"/>
          <w:sz w:val="28"/>
          <w:szCs w:val="28"/>
        </w:rPr>
        <w:t>16.85</w:t>
      </w:r>
      <w:r>
        <w:rPr>
          <w:rFonts w:hint="eastAsia" w:ascii="宋体" w:hAnsi="宋体" w:cs="宋体"/>
          <w:sz w:val="28"/>
          <w:szCs w:val="28"/>
        </w:rPr>
        <w:t>万亩，共</w:t>
      </w:r>
      <w:r>
        <w:rPr>
          <w:rFonts w:ascii="宋体" w:hAnsi="宋体" w:cs="宋体"/>
          <w:sz w:val="28"/>
          <w:szCs w:val="28"/>
        </w:rPr>
        <w:t>20.13</w:t>
      </w:r>
      <w:r>
        <w:rPr>
          <w:rFonts w:hint="eastAsia" w:ascii="宋体" w:hAnsi="宋体" w:cs="宋体"/>
          <w:sz w:val="28"/>
          <w:szCs w:val="28"/>
        </w:rPr>
        <w:t>万亩；2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年提升高标准农田面积33.0</w:t>
      </w:r>
      <w:r>
        <w:rPr>
          <w:rFonts w:ascii="宋体" w:hAnsi="宋体" w:cs="宋体"/>
          <w:sz w:val="28"/>
          <w:szCs w:val="28"/>
        </w:rPr>
        <w:t>2</w:t>
      </w:r>
      <w:r>
        <w:rPr>
          <w:rFonts w:hint="eastAsia" w:ascii="宋体" w:hAnsi="宋体" w:cs="宋体"/>
          <w:sz w:val="28"/>
          <w:szCs w:val="28"/>
        </w:rPr>
        <w:t>万亩。</w:t>
      </w:r>
    </w:p>
    <w:p>
      <w:pPr>
        <w:spacing w:line="360" w:lineRule="auto"/>
        <w:ind w:firstLine="560" w:firstLineChars="200"/>
        <w:rPr>
          <w:rFonts w:ascii="宋体" w:hAnsi="宋体" w:cs="宋体"/>
          <w:sz w:val="28"/>
          <w:szCs w:val="28"/>
        </w:rPr>
      </w:pPr>
      <w:r>
        <w:rPr>
          <w:rFonts w:hint="eastAsia" w:ascii="宋体" w:hAnsi="宋体" w:cs="宋体"/>
          <w:sz w:val="28"/>
          <w:szCs w:val="28"/>
        </w:rPr>
        <w:t>规划建设总投资</w:t>
      </w:r>
      <w:r>
        <w:rPr>
          <w:rFonts w:ascii="宋体" w:hAnsi="宋体" w:cs="宋体"/>
          <w:sz w:val="28"/>
          <w:szCs w:val="28"/>
        </w:rPr>
        <w:t>143839</w:t>
      </w:r>
      <w:r>
        <w:rPr>
          <w:rFonts w:hint="eastAsia" w:ascii="宋体" w:hAnsi="宋体" w:cs="宋体"/>
          <w:sz w:val="28"/>
          <w:szCs w:val="28"/>
        </w:rPr>
        <w:t>万元，其中2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年新建、提升改造面积</w:t>
      </w:r>
      <w:r>
        <w:rPr>
          <w:rFonts w:ascii="宋体" w:hAnsi="宋体" w:cs="宋体"/>
          <w:sz w:val="28"/>
          <w:szCs w:val="28"/>
        </w:rPr>
        <w:t>20.13</w:t>
      </w:r>
      <w:r>
        <w:rPr>
          <w:rFonts w:hint="eastAsia" w:ascii="宋体" w:hAnsi="宋体" w:cs="宋体"/>
          <w:sz w:val="28"/>
          <w:szCs w:val="28"/>
        </w:rPr>
        <w:t>万亩，建设投资</w:t>
      </w:r>
      <w:r>
        <w:rPr>
          <w:rFonts w:ascii="宋体" w:hAnsi="宋体" w:cs="宋体"/>
          <w:sz w:val="28"/>
          <w:szCs w:val="28"/>
        </w:rPr>
        <w:t>44779</w:t>
      </w:r>
      <w:r>
        <w:rPr>
          <w:rFonts w:hint="eastAsia" w:ascii="宋体" w:hAnsi="宋体" w:cs="宋体"/>
          <w:sz w:val="28"/>
          <w:szCs w:val="28"/>
        </w:rPr>
        <w:t>万元；2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年提升改造高标准农田面积33.02万亩，建设投资</w:t>
      </w:r>
      <w:r>
        <w:rPr>
          <w:rFonts w:ascii="宋体" w:hAnsi="宋体" w:cs="宋体"/>
          <w:sz w:val="28"/>
          <w:szCs w:val="28"/>
        </w:rPr>
        <w:t>99060</w:t>
      </w:r>
      <w:r>
        <w:rPr>
          <w:rFonts w:hint="eastAsia" w:ascii="宋体" w:hAnsi="宋体" w:cs="宋体"/>
          <w:sz w:val="28"/>
          <w:szCs w:val="28"/>
        </w:rPr>
        <w:t>万元。</w:t>
      </w:r>
    </w:p>
    <w:p>
      <w:pPr>
        <w:spacing w:line="360" w:lineRule="auto"/>
        <w:ind w:firstLine="560" w:firstLineChars="200"/>
        <w:rPr>
          <w:rFonts w:ascii="宋体" w:hAnsi="宋体" w:cs="宋体"/>
          <w:sz w:val="28"/>
          <w:szCs w:val="28"/>
        </w:rPr>
      </w:pPr>
      <w:r>
        <w:rPr>
          <w:rFonts w:hint="eastAsia" w:ascii="宋体" w:hAnsi="宋体" w:cs="宋体"/>
          <w:sz w:val="28"/>
          <w:szCs w:val="28"/>
        </w:rPr>
        <w:t>本次规划基准年为2020年，规划期为2021～20</w:t>
      </w:r>
      <w:r>
        <w:rPr>
          <w:rFonts w:ascii="宋体" w:hAnsi="宋体" w:cs="宋体"/>
          <w:sz w:val="28"/>
          <w:szCs w:val="28"/>
        </w:rPr>
        <w:t>30</w:t>
      </w:r>
      <w:r>
        <w:rPr>
          <w:rFonts w:hint="eastAsia" w:ascii="宋体" w:hAnsi="宋体" w:cs="宋体"/>
          <w:sz w:val="28"/>
          <w:szCs w:val="28"/>
        </w:rPr>
        <w:t>年。</w:t>
      </w:r>
    </w:p>
    <w:p>
      <w:pPr>
        <w:spacing w:line="360" w:lineRule="auto"/>
        <w:outlineLvl w:val="0"/>
        <w:rPr>
          <w:rFonts w:asciiTheme="minorEastAsia" w:hAnsiTheme="minorEastAsia" w:eastAsiaTheme="minorEastAsia"/>
          <w:sz w:val="28"/>
          <w:szCs w:val="28"/>
        </w:rPr>
      </w:pPr>
      <w:r>
        <w:rPr>
          <w:rFonts w:ascii="宋体" w:hAnsi="宋体" w:cs="宋体"/>
          <w:sz w:val="28"/>
          <w:szCs w:val="28"/>
        </w:rPr>
        <w:br w:type="page"/>
      </w:r>
      <w:bookmarkStart w:id="11" w:name="_Toc144903145"/>
      <w:r>
        <w:rPr>
          <w:rFonts w:asciiTheme="minorEastAsia" w:hAnsiTheme="minorEastAsia" w:eastAsiaTheme="minorEastAsia"/>
          <w:b/>
          <w:sz w:val="36"/>
          <w:szCs w:val="36"/>
        </w:rPr>
        <w:t>1.</w:t>
      </w:r>
      <w:r>
        <w:rPr>
          <w:rFonts w:hint="eastAsia" w:asciiTheme="minorEastAsia" w:hAnsiTheme="minorEastAsia" w:eastAsiaTheme="minorEastAsia"/>
          <w:b/>
          <w:sz w:val="36"/>
          <w:szCs w:val="36"/>
        </w:rPr>
        <w:t>基本情况</w:t>
      </w:r>
      <w:bookmarkEnd w:id="11"/>
    </w:p>
    <w:p>
      <w:pPr>
        <w:pStyle w:val="3"/>
        <w:spacing w:before="0" w:after="0" w:line="360" w:lineRule="auto"/>
        <w:rPr>
          <w:rFonts w:asciiTheme="minorEastAsia" w:hAnsiTheme="minorEastAsia" w:eastAsiaTheme="minorEastAsia"/>
        </w:rPr>
      </w:pPr>
      <w:r>
        <w:fldChar w:fldCharType="begin"/>
      </w:r>
      <w:r>
        <w:instrText xml:space="preserve"> HYPERLINK \l "_Toc92618401" </w:instrText>
      </w:r>
      <w:r>
        <w:fldChar w:fldCharType="separate"/>
      </w:r>
      <w:bookmarkStart w:id="12" w:name="_Toc144903146"/>
      <w:r>
        <w:rPr>
          <w:rFonts w:asciiTheme="minorEastAsia" w:hAnsiTheme="minorEastAsia" w:eastAsiaTheme="minorEastAsia"/>
        </w:rPr>
        <w:t>1.1</w:t>
      </w:r>
      <w:r>
        <w:rPr>
          <w:rFonts w:asciiTheme="minorEastAsia" w:hAnsiTheme="minorEastAsia" w:eastAsiaTheme="minorEastAsia"/>
        </w:rPr>
        <w:fldChar w:fldCharType="end"/>
      </w:r>
      <w:r>
        <w:rPr>
          <w:rFonts w:hint="eastAsia" w:asciiTheme="minorEastAsia" w:hAnsiTheme="minorEastAsia" w:eastAsiaTheme="minorEastAsia"/>
        </w:rPr>
        <w:t>地理位置</w:t>
      </w:r>
      <w:bookmarkEnd w:id="12"/>
    </w:p>
    <w:p>
      <w:pPr>
        <w:spacing w:line="360" w:lineRule="auto"/>
        <w:ind w:firstLine="560" w:firstLineChars="200"/>
        <w:rPr>
          <w:rFonts w:ascii="宋体" w:hAnsi="宋体" w:cs="宋体"/>
          <w:sz w:val="28"/>
          <w:szCs w:val="28"/>
        </w:rPr>
      </w:pPr>
      <w:r>
        <w:rPr>
          <w:rFonts w:hint="eastAsia" w:ascii="宋体" w:hAnsi="宋体" w:cs="宋体"/>
          <w:sz w:val="28"/>
          <w:szCs w:val="28"/>
        </w:rPr>
        <w:t>（1）地理空间位置</w:t>
      </w:r>
    </w:p>
    <w:p>
      <w:pPr>
        <w:spacing w:line="360" w:lineRule="auto"/>
        <w:ind w:firstLine="560" w:firstLineChars="200"/>
        <w:rPr>
          <w:rFonts w:ascii="宋体" w:hAnsi="宋体" w:cs="宋体"/>
          <w:sz w:val="28"/>
          <w:szCs w:val="28"/>
        </w:rPr>
      </w:pPr>
      <w:r>
        <w:rPr>
          <w:rFonts w:hint="eastAsia" w:ascii="宋体" w:hAnsi="宋体" w:cs="宋体"/>
          <w:sz w:val="28"/>
          <w:szCs w:val="28"/>
        </w:rPr>
        <w:t>汤阴县位于河南省北部，行政隶属安阳市，地处东经114°13′～114°42′，北纬35°45′～36°01′之间，属华北平原与太行山麓交接地带。东部卫河环绕，与内黄县隔河相望，西与鹤壁市接壤，北临安阳市区，南接浚县。</w:t>
      </w:r>
    </w:p>
    <w:p>
      <w:pPr>
        <w:spacing w:line="360" w:lineRule="auto"/>
        <w:ind w:firstLine="560" w:firstLineChars="200"/>
        <w:rPr>
          <w:rFonts w:ascii="宋体" w:hAnsi="宋体" w:cs="宋体"/>
          <w:sz w:val="28"/>
          <w:szCs w:val="28"/>
        </w:rPr>
      </w:pPr>
      <w:r>
        <w:rPr>
          <w:rFonts w:hint="eastAsia" w:ascii="宋体" w:hAnsi="宋体" w:cs="宋体"/>
          <w:sz w:val="28"/>
          <w:szCs w:val="28"/>
        </w:rPr>
        <w:t>（2）国土形状及面积</w:t>
      </w:r>
    </w:p>
    <w:p>
      <w:pPr>
        <w:spacing w:line="360" w:lineRule="auto"/>
        <w:ind w:firstLine="560" w:firstLineChars="200"/>
        <w:rPr>
          <w:rFonts w:ascii="宋体" w:hAnsi="宋体" w:cs="宋体"/>
          <w:sz w:val="28"/>
          <w:szCs w:val="28"/>
        </w:rPr>
      </w:pPr>
      <w:r>
        <w:rPr>
          <w:rFonts w:hint="eastAsia" w:ascii="宋体" w:hAnsi="宋体" w:cs="宋体"/>
          <w:sz w:val="28"/>
          <w:szCs w:val="28"/>
        </w:rPr>
        <w:t>地势西高东低，海拔最高为西部五里岗184.0m，最低为东部泊地54.0m，东西最大距离36.0km，南北最大距离20.0km，总面积636.6km</w:t>
      </w:r>
      <w:r>
        <w:rPr>
          <w:rFonts w:hint="eastAsia" w:ascii="宋体" w:hAnsi="宋体" w:cs="宋体"/>
          <w:sz w:val="28"/>
          <w:szCs w:val="28"/>
          <w:vertAlign w:val="superscript"/>
        </w:rPr>
        <w:t>2</w:t>
      </w:r>
      <w:r>
        <w:rPr>
          <w:rFonts w:hint="eastAsia" w:ascii="宋体" w:hAnsi="宋体" w:cs="宋体"/>
          <w:sz w:val="28"/>
          <w:szCs w:val="28"/>
        </w:rPr>
        <w:t>。县域西部和中南部为丘陵地区，面积191.17 km</w:t>
      </w:r>
      <w:r>
        <w:rPr>
          <w:rFonts w:hint="eastAsia" w:ascii="宋体" w:hAnsi="宋体" w:cs="宋体"/>
          <w:sz w:val="28"/>
          <w:szCs w:val="28"/>
          <w:vertAlign w:val="superscript"/>
        </w:rPr>
        <w:t>2</w:t>
      </w:r>
      <w:r>
        <w:rPr>
          <w:rFonts w:hint="eastAsia" w:ascii="宋体" w:hAnsi="宋体" w:cs="宋体"/>
          <w:sz w:val="28"/>
          <w:szCs w:val="28"/>
        </w:rPr>
        <w:t>，占总面积29.6%；京广铁路以东、卫河以西的县域中北部为面积广阔的平原区，面积344.89 km</w:t>
      </w:r>
      <w:r>
        <w:rPr>
          <w:rFonts w:hint="eastAsia" w:ascii="宋体" w:hAnsi="宋体" w:cs="宋体"/>
          <w:sz w:val="28"/>
          <w:szCs w:val="28"/>
          <w:vertAlign w:val="superscript"/>
        </w:rPr>
        <w:t>2</w:t>
      </w:r>
      <w:r>
        <w:rPr>
          <w:rFonts w:hint="eastAsia" w:ascii="宋体" w:hAnsi="宋体" w:cs="宋体"/>
          <w:sz w:val="28"/>
          <w:szCs w:val="28"/>
        </w:rPr>
        <w:t>，占总面积53.4%；泊洼地位于县域东部和东南部，面积109.8 km</w:t>
      </w:r>
      <w:r>
        <w:rPr>
          <w:rFonts w:hint="eastAsia" w:ascii="宋体" w:hAnsi="宋体" w:cs="宋体"/>
          <w:sz w:val="28"/>
          <w:szCs w:val="28"/>
          <w:vertAlign w:val="superscript"/>
        </w:rPr>
        <w:t>2</w:t>
      </w:r>
      <w:r>
        <w:rPr>
          <w:rFonts w:hint="eastAsia" w:ascii="宋体" w:hAnsi="宋体" w:cs="宋体"/>
          <w:sz w:val="28"/>
          <w:szCs w:val="28"/>
        </w:rPr>
        <w:t>，占总面积的17%。</w:t>
      </w:r>
    </w:p>
    <w:p>
      <w:pPr>
        <w:spacing w:line="360" w:lineRule="auto"/>
        <w:ind w:firstLine="560" w:firstLineChars="200"/>
        <w:rPr>
          <w:rFonts w:asciiTheme="minorEastAsia" w:hAnsiTheme="minorEastAsia" w:eastAsiaTheme="minorEastAsia"/>
          <w:sz w:val="28"/>
          <w:szCs w:val="28"/>
        </w:rPr>
      </w:pPr>
      <w:r>
        <w:rPr>
          <w:rFonts w:hint="eastAsia" w:ascii="宋体" w:hAnsi="宋体" w:cs="宋体"/>
          <w:sz w:val="28"/>
          <w:szCs w:val="28"/>
        </w:rPr>
        <w:t>（3）区位优势</w:t>
      </w:r>
    </w:p>
    <w:p>
      <w:pPr>
        <w:spacing w:line="360" w:lineRule="auto"/>
        <w:ind w:firstLine="560" w:firstLineChars="200"/>
        <w:rPr>
          <w:rFonts w:ascii="宋体" w:hAnsi="宋体" w:cs="宋体"/>
          <w:sz w:val="28"/>
          <w:szCs w:val="28"/>
        </w:rPr>
      </w:pPr>
      <w:r>
        <w:rPr>
          <w:rFonts w:hint="eastAsia" w:ascii="宋体" w:hAnsi="宋体" w:cs="宋体"/>
          <w:sz w:val="28"/>
          <w:szCs w:val="28"/>
        </w:rPr>
        <w:t>汤阴县位于河南省北部，行政隶属安阳市，属于华北平原与太行山麓交界地带，地处安阳、鹤壁、濮阳三市交汇中心，自古就是南北通衢要道。京港澳高速、107国道、中华路纵贯南北，302省道、219省道横贯东西，京广铁路、京广客运、晋豫鲁铁路在汤阴形成双十字交叉状，铁路口岸、安阳机场、安罗高速、城际铁路开工或者即将开工建设，万庄物流完成混合所有制改革，保税仓申报成功并投入运营，铁路专用线开通，安阳东向出海国际物流大通道正式打通，汤阴公铁空海“四港联运”区位优势和承东启西的区域性战略价值日益凸显。“南水北调”“西气东输”“晋煤东运”等国家重大能源工程贯穿全境，冀鲁豫成品油储备库建在汤阴，投资7.8亿元的华能安阳热电项目，发电机组已通过验收并开始发电。建成开通5G基站137个。为汤阴未来的经济发展提供了强力的能源支撑。</w:t>
      </w:r>
    </w:p>
    <w:p>
      <w:pPr>
        <w:spacing w:line="360" w:lineRule="auto"/>
        <w:ind w:firstLine="560" w:firstLineChars="200"/>
        <w:jc w:val="center"/>
        <w:rPr>
          <w:rFonts w:ascii="宋体" w:hAnsi="宋体" w:cs="宋体"/>
          <w:sz w:val="28"/>
          <w:szCs w:val="28"/>
        </w:rPr>
      </w:pPr>
      <w:r>
        <w:rPr>
          <w:rFonts w:ascii="宋体" w:hAnsi="宋体" w:cs="宋体"/>
          <w:sz w:val="28"/>
          <w:szCs w:val="28"/>
        </w:rPr>
        <mc:AlternateContent>
          <mc:Choice Requires="wps">
            <w:drawing>
              <wp:anchor distT="0" distB="0" distL="114300" distR="114300" simplePos="0" relativeHeight="251664384" behindDoc="0" locked="0" layoutInCell="1" allowOverlap="1">
                <wp:simplePos x="0" y="0"/>
                <wp:positionH relativeFrom="column">
                  <wp:posOffset>2854960</wp:posOffset>
                </wp:positionH>
                <wp:positionV relativeFrom="paragraph">
                  <wp:posOffset>1657350</wp:posOffset>
                </wp:positionV>
                <wp:extent cx="647700" cy="323850"/>
                <wp:effectExtent l="0" t="0" r="0" b="0"/>
                <wp:wrapNone/>
                <wp:docPr id="6" name="文本框 139"/>
                <wp:cNvGraphicFramePr/>
                <a:graphic xmlns:a="http://schemas.openxmlformats.org/drawingml/2006/main">
                  <a:graphicData uri="http://schemas.microsoft.com/office/word/2010/wordprocessingShape">
                    <wps:wsp>
                      <wps:cNvSpPr txBox="1"/>
                      <wps:spPr>
                        <a:xfrm>
                          <a:off x="0" y="0"/>
                          <a:ext cx="647700" cy="323850"/>
                        </a:xfrm>
                        <a:prstGeom prst="rect">
                          <a:avLst/>
                        </a:prstGeom>
                        <a:noFill/>
                        <a:ln>
                          <a:noFill/>
                        </a:ln>
                      </wps:spPr>
                      <wps:txbx>
                        <w:txbxContent>
                          <w:p>
                            <w:pPr>
                              <w:rPr>
                                <w:spacing w:val="-10"/>
                              </w:rPr>
                            </w:pPr>
                            <w:r>
                              <w:rPr>
                                <w:rFonts w:hint="eastAsia"/>
                                <w:spacing w:val="-10"/>
                              </w:rPr>
                              <w:t>汤阴县</w:t>
                            </w:r>
                          </w:p>
                        </w:txbxContent>
                      </wps:txbx>
                      <wps:bodyPr upright="1"/>
                    </wps:wsp>
                  </a:graphicData>
                </a:graphic>
              </wp:anchor>
            </w:drawing>
          </mc:Choice>
          <mc:Fallback>
            <w:pict>
              <v:shape id="文本框 139" o:spid="_x0000_s1026" o:spt="202" type="#_x0000_t202" style="position:absolute;left:0pt;margin-left:224.8pt;margin-top:130.5pt;height:25.5pt;width:51pt;z-index:251664384;mso-width-relative:page;mso-height-relative:page;" filled="f" stroked="f" coordsize="21600,21600" o:gfxdata="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KRf1jX&#10;AAAACwEAAA8AAAAAAAAAAQAgAAAAIgAAAGRycy9kb3ducmV2LnhtbFBLAQIUABQAAAAIAIdO4kD+&#10;8SR+rwEAAE8DAAAOAAAAAAAAAAEAIAAAACYBAABkcnMvZTJvRG9jLnhtbFBLBQYAAAAABgAGAFkB&#10;AABHBQAAAAA=&#10;">
                <v:fill on="f" focussize="0,0"/>
                <v:stroke on="f"/>
                <v:imagedata o:title=""/>
                <o:lock v:ext="edit" aspectratio="f"/>
                <v:textbox>
                  <w:txbxContent>
                    <w:p>
                      <w:pPr>
                        <w:rPr>
                          <w:spacing w:val="-10"/>
                        </w:rPr>
                      </w:pPr>
                      <w:r>
                        <w:rPr>
                          <w:rFonts w:hint="eastAsia"/>
                          <w:spacing w:val="-10"/>
                        </w:rPr>
                        <w:t>汤阴县</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63360" behindDoc="0" locked="0" layoutInCell="1" allowOverlap="1">
                <wp:simplePos x="0" y="0"/>
                <wp:positionH relativeFrom="column">
                  <wp:posOffset>3331210</wp:posOffset>
                </wp:positionH>
                <wp:positionV relativeFrom="paragraph">
                  <wp:posOffset>2990850</wp:posOffset>
                </wp:positionV>
                <wp:extent cx="476250" cy="257175"/>
                <wp:effectExtent l="0" t="0" r="0" b="0"/>
                <wp:wrapNone/>
                <wp:docPr id="5" name="文本框 138"/>
                <wp:cNvGraphicFramePr/>
                <a:graphic xmlns:a="http://schemas.openxmlformats.org/drawingml/2006/main">
                  <a:graphicData uri="http://schemas.microsoft.com/office/word/2010/wordprocessingShape">
                    <wps:wsp>
                      <wps:cNvSpPr txBox="1"/>
                      <wps:spPr>
                        <a:xfrm>
                          <a:off x="0" y="0"/>
                          <a:ext cx="476250" cy="257175"/>
                        </a:xfrm>
                        <a:prstGeom prst="rect">
                          <a:avLst/>
                        </a:prstGeom>
                        <a:noFill/>
                        <a:ln>
                          <a:noFill/>
                        </a:ln>
                      </wps:spPr>
                      <wps:txbx>
                        <w:txbxContent>
                          <w:p>
                            <w:r>
                              <w:rPr>
                                <w:rFonts w:hint="eastAsia"/>
                              </w:rPr>
                              <w:t>滑县</w:t>
                            </w:r>
                          </w:p>
                        </w:txbxContent>
                      </wps:txbx>
                      <wps:bodyPr upright="1"/>
                    </wps:wsp>
                  </a:graphicData>
                </a:graphic>
              </wp:anchor>
            </w:drawing>
          </mc:Choice>
          <mc:Fallback>
            <w:pict>
              <v:shape id="文本框 138" o:spid="_x0000_s1026" o:spt="202" type="#_x0000_t202" style="position:absolute;left:0pt;margin-left:262.3pt;margin-top:235.5pt;height:20.25pt;width:37.5pt;z-index:251663360;mso-width-relative:page;mso-height-relative:page;" filled="f" stroked="f" coordsize="21600,21600" o:gfxdata="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QROL9cA&#10;AAALAQAADwAAAAAAAAABACAAAAAiAAAAZHJzL2Rvd25yZXYueG1sUEsBAhQAFAAAAAgAh07iQN6E&#10;OBKuAQAATwMAAA4AAAAAAAAAAQAgAAAAJgEAAGRycy9lMm9Eb2MueG1sUEsFBgAAAAAGAAYAWQEA&#10;AEYFAAAAAA==&#10;">
                <v:fill on="f" focussize="0,0"/>
                <v:stroke on="f"/>
                <v:imagedata o:title=""/>
                <o:lock v:ext="edit" aspectratio="f"/>
                <v:textbox>
                  <w:txbxContent>
                    <w:p>
                      <w:r>
                        <w:rPr>
                          <w:rFonts w:hint="eastAsia"/>
                        </w:rPr>
                        <w:t>滑县</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62336" behindDoc="0" locked="0" layoutInCell="1" allowOverlap="1">
                <wp:simplePos x="0" y="0"/>
                <wp:positionH relativeFrom="column">
                  <wp:posOffset>3893185</wp:posOffset>
                </wp:positionH>
                <wp:positionV relativeFrom="paragraph">
                  <wp:posOffset>1628775</wp:posOffset>
                </wp:positionV>
                <wp:extent cx="628650" cy="266700"/>
                <wp:effectExtent l="0" t="0" r="0" b="0"/>
                <wp:wrapNone/>
                <wp:docPr id="4" name="文本框 137"/>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a:noFill/>
                        </a:ln>
                      </wps:spPr>
                      <wps:txbx>
                        <w:txbxContent>
                          <w:p>
                            <w:pPr>
                              <w:rPr>
                                <w:spacing w:val="-10"/>
                              </w:rPr>
                            </w:pPr>
                            <w:r>
                              <w:rPr>
                                <w:rFonts w:hint="eastAsia"/>
                                <w:spacing w:val="-10"/>
                              </w:rPr>
                              <w:t>内黄县</w:t>
                            </w:r>
                          </w:p>
                        </w:txbxContent>
                      </wps:txbx>
                      <wps:bodyPr upright="1"/>
                    </wps:wsp>
                  </a:graphicData>
                </a:graphic>
              </wp:anchor>
            </w:drawing>
          </mc:Choice>
          <mc:Fallback>
            <w:pict>
              <v:shape id="文本框 137" o:spid="_x0000_s1026" o:spt="202" type="#_x0000_t202" style="position:absolute;left:0pt;margin-left:306.55pt;margin-top:128.25pt;height:21pt;width:49.5pt;z-index:251662336;mso-width-relative:page;mso-height-relative:page;" filled="f" stroked="f" coordsize="21600,21600" o:gfxdata="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TZ14NcA&#10;AAALAQAADwAAAAAAAAABACAAAAAiAAAAZHJzL2Rvd25yZXYueG1sUEsBAhQAFAAAAAgAh07iQCzp&#10;q32uAQAATwMAAA4AAAAAAAAAAQAgAAAAJgEAAGRycy9lMm9Eb2MueG1sUEsFBgAAAAAGAAYAWQEA&#10;AEYFAAAAAA==&#10;">
                <v:fill on="f" focussize="0,0"/>
                <v:stroke on="f"/>
                <v:imagedata o:title=""/>
                <o:lock v:ext="edit" aspectratio="f"/>
                <v:textbox>
                  <w:txbxContent>
                    <w:p>
                      <w:pPr>
                        <w:rPr>
                          <w:spacing w:val="-10"/>
                        </w:rPr>
                      </w:pPr>
                      <w:r>
                        <w:rPr>
                          <w:rFonts w:hint="eastAsia"/>
                          <w:spacing w:val="-10"/>
                        </w:rPr>
                        <w:t>内黄县</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61312" behindDoc="0" locked="0" layoutInCell="1" allowOverlap="1">
                <wp:simplePos x="0" y="0"/>
                <wp:positionH relativeFrom="column">
                  <wp:posOffset>2073910</wp:posOffset>
                </wp:positionH>
                <wp:positionV relativeFrom="paragraph">
                  <wp:posOffset>685800</wp:posOffset>
                </wp:positionV>
                <wp:extent cx="561975" cy="238125"/>
                <wp:effectExtent l="0" t="0" r="0" b="0"/>
                <wp:wrapNone/>
                <wp:docPr id="3" name="文本框 136"/>
                <wp:cNvGraphicFramePr/>
                <a:graphic xmlns:a="http://schemas.openxmlformats.org/drawingml/2006/main">
                  <a:graphicData uri="http://schemas.microsoft.com/office/word/2010/wordprocessingShape">
                    <wps:wsp>
                      <wps:cNvSpPr txBox="1"/>
                      <wps:spPr>
                        <a:xfrm>
                          <a:off x="0" y="0"/>
                          <a:ext cx="561975" cy="238125"/>
                        </a:xfrm>
                        <a:prstGeom prst="rect">
                          <a:avLst/>
                        </a:prstGeom>
                        <a:noFill/>
                        <a:ln>
                          <a:noFill/>
                        </a:ln>
                      </wps:spPr>
                      <wps:txbx>
                        <w:txbxContent>
                          <w:p>
                            <w:pPr>
                              <w:rPr>
                                <w:spacing w:val="-10"/>
                              </w:rPr>
                            </w:pPr>
                            <w:r>
                              <w:rPr>
                                <w:rFonts w:hint="eastAsia"/>
                                <w:spacing w:val="-10"/>
                              </w:rPr>
                              <w:t>安阳县</w:t>
                            </w:r>
                          </w:p>
                        </w:txbxContent>
                      </wps:txbx>
                      <wps:bodyPr upright="1"/>
                    </wps:wsp>
                  </a:graphicData>
                </a:graphic>
              </wp:anchor>
            </w:drawing>
          </mc:Choice>
          <mc:Fallback>
            <w:pict>
              <v:shape id="文本框 136" o:spid="_x0000_s1026" o:spt="202" type="#_x0000_t202" style="position:absolute;left:0pt;margin-left:163.3pt;margin-top:54pt;height:18.75pt;width:44.25pt;z-index:251661312;mso-width-relative:page;mso-height-relative:page;" filled="f" stroked="f" coordsize="21600,21600" o:gfxdata="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VDKUvX&#10;AAAACwEAAA8AAAAAAAAAAQAgAAAAIgAAAGRycy9kb3ducmV2LnhtbFBLAQIUABQAAAAIAIdO4kBw&#10;k920rwEAAE8DAAAOAAAAAAAAAAEAIAAAACYBAABkcnMvZTJvRG9jLnhtbFBLBQYAAAAABgAGAFkB&#10;AABHBQAAAAA=&#10;">
                <v:fill on="f" focussize="0,0"/>
                <v:stroke on="f"/>
                <v:imagedata o:title=""/>
                <o:lock v:ext="edit" aspectratio="f"/>
                <v:textbox>
                  <w:txbxContent>
                    <w:p>
                      <w:pPr>
                        <w:rPr>
                          <w:spacing w:val="-10"/>
                        </w:rPr>
                      </w:pPr>
                      <w:r>
                        <w:rPr>
                          <w:rFonts w:hint="eastAsia"/>
                          <w:spacing w:val="-10"/>
                        </w:rPr>
                        <w:t>安阳县</w:t>
                      </w:r>
                    </w:p>
                  </w:txbxContent>
                </v:textbox>
              </v:shape>
            </w:pict>
          </mc:Fallback>
        </mc:AlternateContent>
      </w:r>
      <w:r>
        <w:rPr>
          <w:rFonts w:ascii="宋体" w:hAnsi="宋体" w:cs="宋体"/>
          <w:sz w:val="28"/>
          <w:szCs w:val="28"/>
        </w:rPr>
        <mc:AlternateContent>
          <mc:Choice Requires="wps">
            <w:drawing>
              <wp:anchor distT="0" distB="0" distL="114300" distR="114300" simplePos="0" relativeHeight="251660288" behindDoc="0" locked="0" layoutInCell="1" allowOverlap="1">
                <wp:simplePos x="0" y="0"/>
                <wp:positionH relativeFrom="column">
                  <wp:posOffset>1235710</wp:posOffset>
                </wp:positionH>
                <wp:positionV relativeFrom="paragraph">
                  <wp:posOffset>1323975</wp:posOffset>
                </wp:positionV>
                <wp:extent cx="581025" cy="276225"/>
                <wp:effectExtent l="0" t="0" r="0" b="0"/>
                <wp:wrapNone/>
                <wp:docPr id="2" name="文本框 135"/>
                <wp:cNvGraphicFramePr/>
                <a:graphic xmlns:a="http://schemas.openxmlformats.org/drawingml/2006/main">
                  <a:graphicData uri="http://schemas.microsoft.com/office/word/2010/wordprocessingShape">
                    <wps:wsp>
                      <wps:cNvSpPr txBox="1"/>
                      <wps:spPr>
                        <a:xfrm>
                          <a:off x="0" y="0"/>
                          <a:ext cx="581025" cy="276225"/>
                        </a:xfrm>
                        <a:prstGeom prst="rect">
                          <a:avLst/>
                        </a:prstGeom>
                        <a:noFill/>
                        <a:ln>
                          <a:noFill/>
                        </a:ln>
                      </wps:spPr>
                      <wps:txbx>
                        <w:txbxContent>
                          <w:p>
                            <w:pPr>
                              <w:rPr>
                                <w:spacing w:val="-10"/>
                              </w:rPr>
                            </w:pPr>
                            <w:r>
                              <w:rPr>
                                <w:rFonts w:hint="eastAsia"/>
                                <w:spacing w:val="-10"/>
                              </w:rPr>
                              <w:t>林州市</w:t>
                            </w:r>
                          </w:p>
                        </w:txbxContent>
                      </wps:txbx>
                      <wps:bodyPr upright="1"/>
                    </wps:wsp>
                  </a:graphicData>
                </a:graphic>
              </wp:anchor>
            </w:drawing>
          </mc:Choice>
          <mc:Fallback>
            <w:pict>
              <v:shape id="文本框 135" o:spid="_x0000_s1026" o:spt="202" type="#_x0000_t202" style="position:absolute;left:0pt;margin-left:97.3pt;margin-top:104.25pt;height:21.75pt;width:45.75pt;z-index:251660288;mso-width-relative:page;mso-height-relative:page;" filled="f" stroked="f" coordsize="21600,21600" o:gfxdata="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UgLFtcA&#10;AAALAQAADwAAAAAAAAABACAAAAAiAAAAZHJzL2Rvd25yZXYueG1sUEsBAhQAFAAAAAgAh07iQJda&#10;ATWuAQAATwMAAA4AAAAAAAAAAQAgAAAAJgEAAGRycy9lMm9Eb2MueG1sUEsFBgAAAAAGAAYAWQEA&#10;AEYFAAAAAA==&#10;">
                <v:fill on="f" focussize="0,0"/>
                <v:stroke on="f"/>
                <v:imagedata o:title=""/>
                <o:lock v:ext="edit" aspectratio="f"/>
                <v:textbox>
                  <w:txbxContent>
                    <w:p>
                      <w:pPr>
                        <w:rPr>
                          <w:spacing w:val="-10"/>
                        </w:rPr>
                      </w:pPr>
                      <w:r>
                        <w:rPr>
                          <w:rFonts w:hint="eastAsia"/>
                          <w:spacing w:val="-10"/>
                        </w:rPr>
                        <w:t>林州市</w:t>
                      </w:r>
                    </w:p>
                  </w:txbxContent>
                </v:textbox>
              </v:shape>
            </w:pict>
          </mc:Fallback>
        </mc:AlternateContent>
      </w:r>
      <w:r>
        <w:rPr>
          <w:rFonts w:ascii="宋体" w:hAnsi="宋体" w:cs="宋体"/>
          <w:sz w:val="28"/>
          <w:szCs w:val="28"/>
        </w:rPr>
        <w:drawing>
          <wp:inline distT="0" distB="0" distL="0" distR="0">
            <wp:extent cx="5688330" cy="4260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88330" cy="4260215"/>
                    </a:xfrm>
                    <a:prstGeom prst="rect">
                      <a:avLst/>
                    </a:prstGeom>
                  </pic:spPr>
                </pic:pic>
              </a:graphicData>
            </a:graphic>
          </wp:inline>
        </w:drawing>
      </w:r>
    </w:p>
    <w:p>
      <w:pPr>
        <w:spacing w:line="360" w:lineRule="auto"/>
        <w:ind w:firstLine="560" w:firstLineChars="200"/>
        <w:jc w:val="center"/>
        <w:rPr>
          <w:rFonts w:ascii="宋体" w:hAnsi="宋体" w:cs="宋体"/>
          <w:sz w:val="28"/>
          <w:szCs w:val="28"/>
        </w:rPr>
      </w:pPr>
      <w:r>
        <w:rPr>
          <w:rFonts w:hint="eastAsia" w:ascii="宋体" w:hAnsi="宋体" w:cs="宋体"/>
          <w:sz w:val="28"/>
          <w:szCs w:val="28"/>
        </w:rPr>
        <w:t>图1</w:t>
      </w:r>
      <w:r>
        <w:rPr>
          <w:rFonts w:ascii="宋体" w:hAnsi="宋体" w:cs="宋体"/>
          <w:sz w:val="28"/>
          <w:szCs w:val="28"/>
        </w:rPr>
        <w:t>.1</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汤阴县地理位置图</w:t>
      </w:r>
    </w:p>
    <w:p>
      <w:pPr>
        <w:pStyle w:val="3"/>
        <w:spacing w:before="0" w:after="0" w:line="360" w:lineRule="auto"/>
        <w:rPr>
          <w:rFonts w:asciiTheme="minorEastAsia" w:hAnsiTheme="minorEastAsia" w:eastAsiaTheme="minorEastAsia"/>
        </w:rPr>
      </w:pPr>
      <w:r>
        <w:fldChar w:fldCharType="begin"/>
      </w:r>
      <w:r>
        <w:instrText xml:space="preserve"> HYPERLINK \l "_Toc92618401" </w:instrText>
      </w:r>
      <w:r>
        <w:fldChar w:fldCharType="separate"/>
      </w:r>
      <w:bookmarkStart w:id="13" w:name="_Toc144903147"/>
      <w:r>
        <w:rPr>
          <w:rFonts w:asciiTheme="minorEastAsia" w:hAnsiTheme="minorEastAsia" w:eastAsiaTheme="minorEastAsia"/>
        </w:rPr>
        <w:t xml:space="preserve">1.2 </w:t>
      </w:r>
      <w:r>
        <w:rPr>
          <w:rFonts w:hint="eastAsia" w:asciiTheme="minorEastAsia" w:hAnsiTheme="minorEastAsia" w:eastAsiaTheme="minorEastAsia"/>
        </w:rPr>
        <w:t>自然条件</w:t>
      </w:r>
      <w:bookmarkEnd w:id="13"/>
      <w:r>
        <w:rPr>
          <w:rFonts w:hint="eastAsia" w:asciiTheme="minorEastAsia" w:hAnsiTheme="minorEastAsia" w:eastAsiaTheme="minorEastAsia"/>
        </w:rPr>
        <w:fldChar w:fldCharType="end"/>
      </w:r>
    </w:p>
    <w:p>
      <w:pPr>
        <w:spacing w:line="360" w:lineRule="auto"/>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）地形地貌</w:t>
      </w:r>
    </w:p>
    <w:p>
      <w:pPr>
        <w:spacing w:line="360" w:lineRule="auto"/>
        <w:ind w:firstLine="560" w:firstLineChars="200"/>
        <w:rPr>
          <w:rFonts w:ascii="宋体" w:hAnsi="宋体" w:cs="宋体"/>
          <w:snapToGrid w:val="0"/>
          <w:kern w:val="0"/>
          <w:sz w:val="28"/>
          <w:szCs w:val="28"/>
        </w:rPr>
      </w:pPr>
      <w:r>
        <w:rPr>
          <w:rFonts w:hint="eastAsia" w:ascii="宋体" w:hAnsi="宋体" w:cs="宋体"/>
          <w:sz w:val="28"/>
          <w:szCs w:val="28"/>
        </w:rPr>
        <w:t>汤阴县以平原</w:t>
      </w:r>
      <w:r>
        <w:rPr>
          <w:rFonts w:hint="eastAsia" w:ascii="宋体" w:hAnsi="宋体" w:cs="宋体"/>
          <w:snapToGrid w:val="0"/>
          <w:kern w:val="0"/>
          <w:sz w:val="28"/>
          <w:szCs w:val="28"/>
        </w:rPr>
        <w:t>为主，京广铁路以西为太行山东麓丘陵，铁路以东距县城约10公里处，势跨浚、汤两县之火龙岗，纵贯其间，其余皆为平原，属太行山麓的洪积-冲积平原，其海拔一般在53～100米之间。汤阴县境东界为卫河，卫河之滨属砂碱地带，为黄河故道。地势西部南部略高于东部北部，坡度在1/200～1/2000之间。</w:t>
      </w:r>
    </w:p>
    <w:p>
      <w:pPr>
        <w:spacing w:line="360" w:lineRule="auto"/>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）水文气象</w:t>
      </w:r>
    </w:p>
    <w:p>
      <w:pPr>
        <w:spacing w:line="360" w:lineRule="auto"/>
        <w:ind w:firstLine="560" w:firstLineChars="200"/>
        <w:rPr>
          <w:rFonts w:ascii="宋体" w:hAnsi="宋体" w:cs="宋体"/>
          <w:sz w:val="28"/>
          <w:szCs w:val="28"/>
        </w:rPr>
      </w:pPr>
      <w:r>
        <w:rPr>
          <w:rFonts w:hint="eastAsia" w:ascii="宋体" w:hAnsi="宋体" w:cs="宋体"/>
          <w:snapToGrid w:val="0"/>
          <w:kern w:val="0"/>
          <w:sz w:val="28"/>
          <w:szCs w:val="28"/>
        </w:rPr>
        <w:t>汤阴县属暖温带大陆性季风气候，兼有丘陵向平原过渡的地方性气候特征，一年四季分</w:t>
      </w:r>
      <w:r>
        <w:rPr>
          <w:rFonts w:hint="eastAsia" w:ascii="宋体" w:hAnsi="宋体" w:cs="宋体"/>
          <w:sz w:val="28"/>
          <w:szCs w:val="28"/>
        </w:rPr>
        <w:t>明，春季干旱风沙多，夏季炎热降雨集中，秋季温差大，冬季寒冷雨雪少。多年平均气温为13.4℃，相对湿度66％，全年平均无霜期为206天，年平均日照时间2369.9小时，春冬多北风，频率为11.4％，夏秋多南风，频率为18.5％，最大风速22m/s。据气象资料统计分析，元月份平均气温-1.8℃，极端最低气温-21.7℃，七月份平均气温26.9℃，极端最高气温41.7℃，最大冻土深度为0.5m。</w:t>
      </w:r>
    </w:p>
    <w:p>
      <w:pPr>
        <w:spacing w:line="360" w:lineRule="auto"/>
        <w:ind w:firstLine="560" w:firstLineChars="200"/>
        <w:rPr>
          <w:rFonts w:asciiTheme="minorEastAsia" w:hAnsiTheme="minorEastAsia" w:eastAsiaTheme="minorEastAsia"/>
          <w:sz w:val="28"/>
          <w:szCs w:val="28"/>
        </w:rPr>
      </w:pPr>
      <w:r>
        <w:rPr>
          <w:rFonts w:hint="eastAsia" w:ascii="宋体" w:hAnsi="宋体" w:cs="宋体"/>
          <w:sz w:val="28"/>
          <w:szCs w:val="28"/>
        </w:rPr>
        <w:t>全县多年平均降水量597.2mm，降水主要集中在6～8月间，其中汛期占全年的63%，冬春季占17.7%，而年平均蒸发量为1240mm，历史上频繁出现季节性干旱。初夏期干旱平均2～3年一遇，盛夏伏旱五年两遇，尤其是7月下旬到8月下旬的伏秋旱，危害更为明显</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（3）土壤</w:t>
      </w:r>
    </w:p>
    <w:p>
      <w:pPr>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汤阴县地表主要是第四系覆盖层，主要为重粉质壤土、轻粉质壤土、粉细砂和碎石土。按农业土壤分类，区内主要为褐土，在县域内分布较广，尤其是东部平原；有少部分潮土、立黄土分布在山前洪积平原；在丘陵较高的部位局部分布有白面土；尚有大片非耕地的褐土性黄土分布于丘陵西南。</w:t>
      </w:r>
    </w:p>
    <w:p>
      <w:pPr>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（4）植被</w:t>
      </w:r>
    </w:p>
    <w:p>
      <w:pPr>
        <w:spacing w:line="360" w:lineRule="auto"/>
        <w:ind w:firstLine="560" w:firstLineChars="200"/>
        <w:rPr>
          <w:rFonts w:asciiTheme="minorEastAsia" w:hAnsiTheme="minorEastAsia" w:eastAsiaTheme="minorEastAsia"/>
          <w:sz w:val="28"/>
          <w:szCs w:val="28"/>
        </w:rPr>
      </w:pPr>
      <w:r>
        <w:rPr>
          <w:rFonts w:hint="eastAsia" w:ascii="宋体" w:hAnsi="宋体" w:cs="宋体"/>
          <w:snapToGrid w:val="0"/>
          <w:kern w:val="0"/>
          <w:sz w:val="28"/>
          <w:szCs w:val="28"/>
        </w:rPr>
        <w:t>植被类型为暖温带阔叶林，优势树种为杨树和泡桐，另有栎、槐、榆、椿等阔杂树种及桃、梨等经济树种，全部为人工林。</w:t>
      </w:r>
    </w:p>
    <w:p>
      <w:pPr>
        <w:pStyle w:val="3"/>
        <w:spacing w:before="0" w:after="0" w:line="360" w:lineRule="auto"/>
        <w:rPr>
          <w:rFonts w:asciiTheme="minorEastAsia" w:hAnsiTheme="minorEastAsia" w:eastAsiaTheme="minorEastAsia"/>
        </w:rPr>
      </w:pPr>
      <w:bookmarkStart w:id="14" w:name="_Toc66885643"/>
      <w:bookmarkStart w:id="15" w:name="_Toc65609827"/>
      <w:bookmarkStart w:id="16" w:name="_Toc75444755"/>
      <w:bookmarkStart w:id="17" w:name="_Toc61802077"/>
      <w:bookmarkStart w:id="18" w:name="_Toc144903148"/>
      <w:r>
        <w:rPr>
          <w:rFonts w:asciiTheme="minorEastAsia" w:hAnsiTheme="minorEastAsia" w:eastAsiaTheme="minorEastAsia"/>
        </w:rPr>
        <w:t xml:space="preserve">1.3 </w:t>
      </w:r>
      <w:bookmarkEnd w:id="14"/>
      <w:bookmarkEnd w:id="15"/>
      <w:bookmarkEnd w:id="16"/>
      <w:bookmarkEnd w:id="17"/>
      <w:r>
        <w:rPr>
          <w:rFonts w:hint="eastAsia" w:asciiTheme="minorEastAsia" w:hAnsiTheme="minorEastAsia" w:eastAsiaTheme="minorEastAsia"/>
        </w:rPr>
        <w:t>水土资源条件</w:t>
      </w:r>
      <w:bookmarkEnd w:id="18"/>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.3.1</w:t>
      </w:r>
      <w:r>
        <w:rPr>
          <w:rFonts w:hint="eastAsia" w:asciiTheme="minorEastAsia" w:hAnsiTheme="minorEastAsia" w:eastAsiaTheme="minorEastAsia"/>
          <w:sz w:val="28"/>
          <w:szCs w:val="28"/>
        </w:rPr>
        <w:t>土地资源及农用地、各类耕地面积</w:t>
      </w:r>
    </w:p>
    <w:p>
      <w:pPr>
        <w:spacing w:line="360" w:lineRule="auto"/>
        <w:ind w:firstLine="560" w:firstLineChars="200"/>
        <w:rPr>
          <w:rFonts w:ascii="宋体" w:hAnsi="宋体" w:cs="宋体"/>
          <w:sz w:val="28"/>
          <w:szCs w:val="28"/>
        </w:rPr>
      </w:pPr>
      <w:r>
        <w:rPr>
          <w:rFonts w:hint="eastAsia" w:ascii="宋体" w:hAnsi="宋体" w:cs="宋体"/>
          <w:sz w:val="28"/>
          <w:szCs w:val="28"/>
        </w:rPr>
        <w:t>根据《汤阴县统计年鉴》（2</w:t>
      </w:r>
      <w:r>
        <w:rPr>
          <w:rFonts w:ascii="宋体" w:hAnsi="宋体" w:cs="宋体"/>
          <w:sz w:val="28"/>
          <w:szCs w:val="28"/>
        </w:rPr>
        <w:t>020</w:t>
      </w:r>
      <w:r>
        <w:rPr>
          <w:rFonts w:hint="eastAsia" w:ascii="宋体" w:hAnsi="宋体" w:cs="宋体"/>
          <w:sz w:val="28"/>
          <w:szCs w:val="28"/>
        </w:rPr>
        <w:t>），汤阴县土地总面积为</w:t>
      </w:r>
      <w:r>
        <w:rPr>
          <w:rFonts w:ascii="宋体" w:hAnsi="宋体" w:cs="宋体"/>
          <w:sz w:val="28"/>
          <w:szCs w:val="28"/>
        </w:rPr>
        <w:t>95.49</w:t>
      </w:r>
      <w:r>
        <w:rPr>
          <w:rFonts w:hint="eastAsia" w:ascii="宋体" w:hAnsi="宋体" w:cs="宋体"/>
          <w:sz w:val="28"/>
          <w:szCs w:val="28"/>
        </w:rPr>
        <w:t>万亩。各用地类型结构与分布情况如下：</w:t>
      </w:r>
    </w:p>
    <w:p>
      <w:pPr>
        <w:spacing w:line="360" w:lineRule="auto"/>
        <w:ind w:firstLine="560" w:firstLineChars="200"/>
        <w:rPr>
          <w:rFonts w:ascii="宋体" w:hAnsi="宋体" w:cs="宋体"/>
          <w:sz w:val="28"/>
          <w:szCs w:val="28"/>
        </w:rPr>
      </w:pPr>
      <w:r>
        <w:rPr>
          <w:rFonts w:hint="eastAsia" w:ascii="宋体" w:hAnsi="宋体" w:cs="宋体"/>
          <w:sz w:val="28"/>
          <w:szCs w:val="28"/>
        </w:rPr>
        <w:t>（1）农用地</w:t>
      </w:r>
    </w:p>
    <w:p>
      <w:pPr>
        <w:spacing w:line="360" w:lineRule="auto"/>
        <w:ind w:firstLine="560" w:firstLineChars="200"/>
        <w:rPr>
          <w:rFonts w:ascii="宋体" w:hAnsi="宋体" w:cs="宋体"/>
          <w:sz w:val="28"/>
          <w:szCs w:val="28"/>
        </w:rPr>
      </w:pPr>
      <w:r>
        <w:rPr>
          <w:rFonts w:hint="eastAsia" w:ascii="宋体" w:hAnsi="宋体" w:cs="宋体"/>
          <w:sz w:val="28"/>
          <w:szCs w:val="28"/>
        </w:rPr>
        <w:t>农用地面积为</w:t>
      </w:r>
      <w:r>
        <w:rPr>
          <w:rFonts w:ascii="宋体" w:hAnsi="宋体" w:cs="宋体"/>
          <w:sz w:val="28"/>
          <w:szCs w:val="28"/>
        </w:rPr>
        <w:t>73.65</w:t>
      </w:r>
      <w:r>
        <w:rPr>
          <w:rFonts w:hint="eastAsia" w:ascii="宋体" w:hAnsi="宋体" w:cs="宋体"/>
          <w:sz w:val="28"/>
          <w:szCs w:val="28"/>
        </w:rPr>
        <w:t>万亩，占全县土地总面积的</w:t>
      </w:r>
      <w:r>
        <w:rPr>
          <w:rFonts w:ascii="宋体" w:hAnsi="宋体" w:cs="宋体"/>
          <w:sz w:val="28"/>
          <w:szCs w:val="28"/>
        </w:rPr>
        <w:t>77.13</w:t>
      </w:r>
      <w:r>
        <w:rPr>
          <w:rFonts w:hint="eastAsia" w:ascii="宋体" w:hAnsi="宋体" w:cs="宋体"/>
          <w:sz w:val="28"/>
          <w:szCs w:val="28"/>
        </w:rPr>
        <w:t>%，其中：耕地面积</w:t>
      </w:r>
      <w:r>
        <w:rPr>
          <w:rFonts w:ascii="宋体" w:hAnsi="宋体" w:cs="宋体"/>
          <w:sz w:val="28"/>
          <w:szCs w:val="28"/>
        </w:rPr>
        <w:t>64.28</w:t>
      </w:r>
      <w:r>
        <w:rPr>
          <w:rFonts w:hint="eastAsia" w:ascii="宋体" w:hAnsi="宋体" w:cs="宋体"/>
          <w:sz w:val="28"/>
          <w:szCs w:val="28"/>
        </w:rPr>
        <w:t>万亩，占全县土地总面积的</w:t>
      </w:r>
      <w:r>
        <w:rPr>
          <w:rFonts w:ascii="宋体" w:hAnsi="宋体" w:cs="宋体"/>
          <w:sz w:val="28"/>
          <w:szCs w:val="28"/>
        </w:rPr>
        <w:t>64.73</w:t>
      </w:r>
      <w:r>
        <w:rPr>
          <w:rFonts w:hint="eastAsia" w:ascii="宋体" w:hAnsi="宋体" w:cs="宋体"/>
          <w:sz w:val="28"/>
          <w:szCs w:val="28"/>
        </w:rPr>
        <w:t>%；园地面积为</w:t>
      </w:r>
      <w:r>
        <w:rPr>
          <w:rFonts w:ascii="宋体" w:hAnsi="宋体" w:cs="宋体"/>
          <w:sz w:val="28"/>
          <w:szCs w:val="28"/>
        </w:rPr>
        <w:t>1.57</w:t>
      </w:r>
      <w:r>
        <w:rPr>
          <w:rFonts w:hint="eastAsia" w:ascii="宋体" w:hAnsi="宋体" w:cs="宋体"/>
          <w:sz w:val="28"/>
          <w:szCs w:val="28"/>
        </w:rPr>
        <w:t>万亩，占全县土地总面积的1.</w:t>
      </w:r>
      <w:r>
        <w:rPr>
          <w:rFonts w:ascii="宋体" w:hAnsi="宋体" w:cs="宋体"/>
          <w:sz w:val="28"/>
          <w:szCs w:val="28"/>
        </w:rPr>
        <w:t>64</w:t>
      </w:r>
      <w:r>
        <w:rPr>
          <w:rFonts w:hint="eastAsia" w:ascii="宋体" w:hAnsi="宋体" w:cs="宋体"/>
          <w:sz w:val="28"/>
          <w:szCs w:val="28"/>
        </w:rPr>
        <w:t>%；林地面积为</w:t>
      </w:r>
      <w:r>
        <w:rPr>
          <w:rFonts w:ascii="宋体" w:hAnsi="宋体" w:cs="宋体"/>
          <w:sz w:val="28"/>
          <w:szCs w:val="28"/>
        </w:rPr>
        <w:t>6.8</w:t>
      </w:r>
      <w:r>
        <w:rPr>
          <w:rFonts w:hint="eastAsia" w:ascii="宋体" w:hAnsi="宋体" w:cs="宋体"/>
          <w:sz w:val="28"/>
          <w:szCs w:val="28"/>
        </w:rPr>
        <w:t>万亩，占全县土地总面积的</w:t>
      </w:r>
      <w:r>
        <w:rPr>
          <w:rFonts w:ascii="宋体" w:hAnsi="宋体" w:cs="宋体"/>
          <w:sz w:val="28"/>
          <w:szCs w:val="28"/>
        </w:rPr>
        <w:t>7.12</w:t>
      </w:r>
      <w:r>
        <w:rPr>
          <w:rFonts w:hint="eastAsia" w:ascii="宋体" w:hAnsi="宋体" w:cs="宋体"/>
          <w:sz w:val="28"/>
          <w:szCs w:val="28"/>
        </w:rPr>
        <w:t>%，草地面积0</w:t>
      </w:r>
      <w:r>
        <w:rPr>
          <w:rFonts w:ascii="宋体" w:hAnsi="宋体" w:cs="宋体"/>
          <w:sz w:val="28"/>
          <w:szCs w:val="28"/>
        </w:rPr>
        <w:t>.12</w:t>
      </w:r>
      <w:r>
        <w:rPr>
          <w:rFonts w:hint="eastAsia" w:ascii="宋体" w:hAnsi="宋体" w:cs="宋体"/>
          <w:sz w:val="28"/>
          <w:szCs w:val="28"/>
        </w:rPr>
        <w:t>万亩，占全县土地面积的0</w:t>
      </w:r>
      <w:r>
        <w:rPr>
          <w:rFonts w:ascii="宋体" w:hAnsi="宋体" w:cs="宋体"/>
          <w:sz w:val="28"/>
          <w:szCs w:val="28"/>
        </w:rPr>
        <w:t>.13</w:t>
      </w:r>
      <w:r>
        <w:rPr>
          <w:rFonts w:hint="eastAsia" w:ascii="宋体" w:hAnsi="宋体" w:cs="宋体"/>
          <w:sz w:val="28"/>
          <w:szCs w:val="28"/>
        </w:rPr>
        <w:t>%，其它农用地面积</w:t>
      </w:r>
      <w:r>
        <w:rPr>
          <w:rFonts w:ascii="宋体" w:hAnsi="宋体" w:cs="宋体"/>
          <w:sz w:val="28"/>
          <w:szCs w:val="28"/>
        </w:rPr>
        <w:t>0.88</w:t>
      </w:r>
      <w:r>
        <w:rPr>
          <w:rFonts w:hint="eastAsia" w:ascii="宋体" w:hAnsi="宋体" w:cs="宋体"/>
          <w:sz w:val="28"/>
          <w:szCs w:val="28"/>
        </w:rPr>
        <w:t>万亩，占全县土地总面积的</w:t>
      </w:r>
      <w:r>
        <w:rPr>
          <w:rFonts w:ascii="宋体" w:hAnsi="宋体" w:cs="宋体"/>
          <w:sz w:val="28"/>
          <w:szCs w:val="28"/>
        </w:rPr>
        <w:t>0.92</w:t>
      </w:r>
      <w:r>
        <w:rPr>
          <w:rFonts w:hint="eastAsia" w:ascii="宋体" w:hAnsi="宋体" w:cs="宋体"/>
          <w:sz w:val="28"/>
          <w:szCs w:val="28"/>
        </w:rPr>
        <w:t>%。详见图1</w:t>
      </w:r>
      <w:r>
        <w:rPr>
          <w:rFonts w:ascii="宋体" w:hAnsi="宋体" w:cs="宋体"/>
          <w:sz w:val="28"/>
          <w:szCs w:val="28"/>
        </w:rPr>
        <w:t>.3</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（2）水域用地</w:t>
      </w:r>
    </w:p>
    <w:p>
      <w:pPr>
        <w:spacing w:line="360" w:lineRule="auto"/>
        <w:ind w:firstLine="560" w:firstLineChars="200"/>
        <w:rPr>
          <w:rFonts w:ascii="宋体" w:hAnsi="宋体" w:cs="宋体"/>
          <w:sz w:val="28"/>
          <w:szCs w:val="28"/>
        </w:rPr>
      </w:pPr>
      <w:r>
        <w:rPr>
          <w:rFonts w:hint="eastAsia" w:ascii="宋体" w:hAnsi="宋体" w:cs="宋体"/>
          <w:sz w:val="28"/>
          <w:szCs w:val="28"/>
        </w:rPr>
        <w:t>水域用地面积为2</w:t>
      </w:r>
      <w:r>
        <w:rPr>
          <w:rFonts w:ascii="宋体" w:hAnsi="宋体" w:cs="宋体"/>
          <w:sz w:val="28"/>
          <w:szCs w:val="28"/>
        </w:rPr>
        <w:t>.93</w:t>
      </w:r>
      <w:r>
        <w:rPr>
          <w:rFonts w:hint="eastAsia" w:ascii="宋体" w:hAnsi="宋体" w:cs="宋体"/>
          <w:sz w:val="28"/>
          <w:szCs w:val="28"/>
        </w:rPr>
        <w:t>万亩，占全县土地面积的</w:t>
      </w:r>
      <w:r>
        <w:rPr>
          <w:rFonts w:ascii="宋体" w:hAnsi="宋体" w:cs="宋体"/>
          <w:sz w:val="28"/>
          <w:szCs w:val="28"/>
        </w:rPr>
        <w:t>3.07</w:t>
      </w:r>
      <w:r>
        <w:rPr>
          <w:rFonts w:hint="eastAsia" w:ascii="宋体" w:hAnsi="宋体" w:cs="宋体"/>
          <w:sz w:val="28"/>
          <w:szCs w:val="28"/>
        </w:rPr>
        <w:t>%，其中：水域面积2</w:t>
      </w:r>
      <w:r>
        <w:rPr>
          <w:rFonts w:ascii="宋体" w:hAnsi="宋体" w:cs="宋体"/>
          <w:sz w:val="28"/>
          <w:szCs w:val="28"/>
        </w:rPr>
        <w:t>.41</w:t>
      </w:r>
      <w:r>
        <w:rPr>
          <w:rFonts w:hint="eastAsia" w:ascii="宋体" w:hAnsi="宋体" w:cs="宋体"/>
          <w:sz w:val="28"/>
          <w:szCs w:val="28"/>
        </w:rPr>
        <w:t>万亩，占全县土地面积的</w:t>
      </w:r>
      <w:r>
        <w:rPr>
          <w:rFonts w:ascii="宋体" w:hAnsi="宋体" w:cs="宋体"/>
          <w:sz w:val="28"/>
          <w:szCs w:val="28"/>
        </w:rPr>
        <w:t>2.52</w:t>
      </w:r>
      <w:r>
        <w:rPr>
          <w:rFonts w:hint="eastAsia" w:ascii="宋体" w:hAnsi="宋体" w:cs="宋体"/>
          <w:sz w:val="28"/>
          <w:szCs w:val="28"/>
        </w:rPr>
        <w:t>%，水库面积0</w:t>
      </w:r>
      <w:r>
        <w:rPr>
          <w:rFonts w:ascii="宋体" w:hAnsi="宋体" w:cs="宋体"/>
          <w:sz w:val="28"/>
          <w:szCs w:val="28"/>
        </w:rPr>
        <w:t>.52</w:t>
      </w:r>
      <w:r>
        <w:rPr>
          <w:rFonts w:hint="eastAsia" w:ascii="宋体" w:hAnsi="宋体" w:cs="宋体"/>
          <w:sz w:val="28"/>
          <w:szCs w:val="28"/>
        </w:rPr>
        <w:t>万亩，占全县土地面积的0</w:t>
      </w:r>
      <w:r>
        <w:rPr>
          <w:rFonts w:ascii="宋体" w:hAnsi="宋体" w:cs="宋体"/>
          <w:sz w:val="28"/>
          <w:szCs w:val="28"/>
        </w:rPr>
        <w:t>.54</w:t>
      </w:r>
      <w:r>
        <w:rPr>
          <w:rFonts w:hint="eastAsia" w:ascii="宋体" w:hAnsi="宋体" w:cs="宋体"/>
          <w:sz w:val="28"/>
          <w:szCs w:val="28"/>
        </w:rPr>
        <w:t>%。详见图1</w:t>
      </w:r>
      <w:r>
        <w:rPr>
          <w:rFonts w:ascii="宋体" w:hAnsi="宋体" w:cs="宋体"/>
          <w:sz w:val="28"/>
          <w:szCs w:val="28"/>
        </w:rPr>
        <w:t>.3</w:t>
      </w: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（3）建设用地</w:t>
      </w:r>
    </w:p>
    <w:p>
      <w:pPr>
        <w:spacing w:line="360" w:lineRule="auto"/>
        <w:ind w:firstLine="560" w:firstLineChars="200"/>
        <w:rPr>
          <w:rFonts w:ascii="宋体" w:hAnsi="宋体" w:cs="宋体"/>
          <w:sz w:val="28"/>
          <w:szCs w:val="28"/>
        </w:rPr>
      </w:pPr>
      <w:r>
        <w:rPr>
          <w:rFonts w:hint="eastAsia" w:ascii="宋体" w:hAnsi="宋体" w:cs="宋体"/>
          <w:sz w:val="28"/>
          <w:szCs w:val="28"/>
        </w:rPr>
        <w:t>建设用地面积为</w:t>
      </w:r>
      <w:r>
        <w:rPr>
          <w:rFonts w:ascii="宋体" w:hAnsi="宋体" w:cs="宋体"/>
          <w:sz w:val="28"/>
          <w:szCs w:val="28"/>
        </w:rPr>
        <w:t>14.07</w:t>
      </w:r>
      <w:r>
        <w:rPr>
          <w:rFonts w:hint="eastAsia" w:ascii="宋体" w:hAnsi="宋体" w:cs="宋体"/>
          <w:sz w:val="28"/>
          <w:szCs w:val="28"/>
        </w:rPr>
        <w:t>万亩，占全县土地总面积的</w:t>
      </w:r>
      <w:r>
        <w:rPr>
          <w:rFonts w:ascii="宋体" w:hAnsi="宋体" w:cs="宋体"/>
          <w:sz w:val="28"/>
          <w:szCs w:val="28"/>
        </w:rPr>
        <w:t>14.73</w:t>
      </w:r>
      <w:r>
        <w:rPr>
          <w:rFonts w:hint="eastAsia" w:ascii="宋体" w:hAnsi="宋体" w:cs="宋体"/>
          <w:sz w:val="28"/>
          <w:szCs w:val="28"/>
        </w:rPr>
        <w:t>%。详见图1</w:t>
      </w:r>
      <w:r>
        <w:rPr>
          <w:rFonts w:ascii="宋体" w:hAnsi="宋体" w:cs="宋体"/>
          <w:sz w:val="28"/>
          <w:szCs w:val="28"/>
        </w:rPr>
        <w:t>.3</w:t>
      </w: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）未利用地</w:t>
      </w:r>
    </w:p>
    <w:p>
      <w:pPr>
        <w:spacing w:line="360" w:lineRule="auto"/>
        <w:ind w:firstLine="560" w:firstLineChars="200"/>
        <w:rPr>
          <w:rFonts w:ascii="宋体" w:hAnsi="宋体" w:cs="宋体"/>
          <w:sz w:val="28"/>
          <w:szCs w:val="28"/>
        </w:rPr>
      </w:pPr>
      <w:r>
        <w:rPr>
          <w:rFonts w:hint="eastAsia" w:ascii="宋体" w:hAnsi="宋体" w:cs="宋体"/>
          <w:sz w:val="28"/>
          <w:szCs w:val="28"/>
        </w:rPr>
        <w:t>未利用地面积为</w:t>
      </w:r>
      <w:r>
        <w:rPr>
          <w:rFonts w:ascii="宋体" w:hAnsi="宋体" w:cs="宋体"/>
          <w:sz w:val="28"/>
          <w:szCs w:val="28"/>
        </w:rPr>
        <w:t>4.84</w:t>
      </w:r>
      <w:r>
        <w:rPr>
          <w:rFonts w:hint="eastAsia" w:ascii="宋体" w:hAnsi="宋体" w:cs="宋体"/>
          <w:sz w:val="28"/>
          <w:szCs w:val="28"/>
        </w:rPr>
        <w:t>万亩，占全县土地总面积的</w:t>
      </w:r>
      <w:r>
        <w:rPr>
          <w:rFonts w:ascii="宋体" w:hAnsi="宋体" w:cs="宋体"/>
          <w:sz w:val="28"/>
          <w:szCs w:val="28"/>
        </w:rPr>
        <w:t>5.07</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汤阴县土地资源利用情况见下表：</w:t>
      </w:r>
    </w:p>
    <w:p>
      <w:pPr>
        <w:spacing w:line="360" w:lineRule="auto"/>
        <w:jc w:val="center"/>
        <w:rPr>
          <w:rFonts w:ascii="宋体" w:hAnsi="宋体" w:cs="宋体"/>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1  </w:t>
      </w:r>
      <w:r>
        <w:rPr>
          <w:rFonts w:hint="eastAsia" w:asciiTheme="minorEastAsia" w:hAnsiTheme="minorEastAsia" w:eastAsiaTheme="minorEastAsia"/>
          <w:sz w:val="28"/>
          <w:szCs w:val="28"/>
        </w:rPr>
        <w:t>汤阴县土地资源利用状况表</w:t>
      </w:r>
    </w:p>
    <w:tbl>
      <w:tblPr>
        <w:tblStyle w:val="26"/>
        <w:tblW w:w="5500" w:type="pct"/>
        <w:jc w:val="center"/>
        <w:tblLayout w:type="autofit"/>
        <w:tblCellMar>
          <w:top w:w="0" w:type="dxa"/>
          <w:left w:w="108" w:type="dxa"/>
          <w:bottom w:w="0" w:type="dxa"/>
          <w:right w:w="108" w:type="dxa"/>
        </w:tblCellMar>
      </w:tblPr>
      <w:tblGrid>
        <w:gridCol w:w="715"/>
        <w:gridCol w:w="760"/>
        <w:gridCol w:w="786"/>
        <w:gridCol w:w="716"/>
        <w:gridCol w:w="716"/>
        <w:gridCol w:w="616"/>
        <w:gridCol w:w="616"/>
        <w:gridCol w:w="616"/>
        <w:gridCol w:w="616"/>
        <w:gridCol w:w="618"/>
        <w:gridCol w:w="640"/>
        <w:gridCol w:w="670"/>
        <w:gridCol w:w="674"/>
        <w:gridCol w:w="716"/>
        <w:gridCol w:w="616"/>
      </w:tblGrid>
      <w:tr>
        <w:tblPrEx>
          <w:tblCellMar>
            <w:top w:w="0" w:type="dxa"/>
            <w:left w:w="108" w:type="dxa"/>
            <w:bottom w:w="0" w:type="dxa"/>
            <w:right w:w="108" w:type="dxa"/>
          </w:tblCellMar>
        </w:tblPrEx>
        <w:trPr>
          <w:trHeight w:val="194" w:hRule="atLeast"/>
          <w:jc w:val="center"/>
        </w:trPr>
        <w:tc>
          <w:tcPr>
            <w:tcW w:w="3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国土面积（万亩）</w:t>
            </w:r>
          </w:p>
        </w:tc>
        <w:tc>
          <w:tcPr>
            <w:tcW w:w="3003" w:type="pct"/>
            <w:gridSpan w:val="9"/>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农用地（万亩）</w:t>
            </w:r>
          </w:p>
        </w:tc>
        <w:tc>
          <w:tcPr>
            <w:tcW w:w="983"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水域用地</w:t>
            </w:r>
          </w:p>
        </w:tc>
        <w:tc>
          <w:tcPr>
            <w:tcW w:w="3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建设用地（万亩）</w:t>
            </w:r>
          </w:p>
        </w:tc>
        <w:tc>
          <w:tcPr>
            <w:tcW w:w="3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未开发地（万亩）</w:t>
            </w:r>
          </w:p>
        </w:tc>
      </w:tr>
      <w:tr>
        <w:tblPrEx>
          <w:tblCellMar>
            <w:top w:w="0" w:type="dxa"/>
            <w:left w:w="108" w:type="dxa"/>
            <w:bottom w:w="0" w:type="dxa"/>
            <w:right w:w="108" w:type="dxa"/>
          </w:tblCellMar>
        </w:tblPrEx>
        <w:trPr>
          <w:trHeight w:val="194" w:hRule="atLeast"/>
          <w:jc w:val="center"/>
        </w:trPr>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7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合计</w:t>
            </w:r>
          </w:p>
        </w:tc>
        <w:tc>
          <w:tcPr>
            <w:tcW w:w="109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耕地</w:t>
            </w:r>
          </w:p>
        </w:tc>
        <w:tc>
          <w:tcPr>
            <w:tcW w:w="1526" w:type="pct"/>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非耕地</w:t>
            </w:r>
          </w:p>
        </w:tc>
        <w:tc>
          <w:tcPr>
            <w:tcW w:w="31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水域</w:t>
            </w:r>
          </w:p>
        </w:tc>
        <w:tc>
          <w:tcPr>
            <w:tcW w:w="332"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水库面积</w:t>
            </w:r>
          </w:p>
        </w:tc>
        <w:tc>
          <w:tcPr>
            <w:tcW w:w="33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小计</w:t>
            </w:r>
          </w:p>
        </w:tc>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0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r>
      <w:tr>
        <w:tblPrEx>
          <w:tblCellMar>
            <w:top w:w="0" w:type="dxa"/>
            <w:left w:w="108" w:type="dxa"/>
            <w:bottom w:w="0" w:type="dxa"/>
            <w:right w:w="108" w:type="dxa"/>
          </w:tblCellMar>
        </w:tblPrEx>
        <w:trPr>
          <w:trHeight w:val="194" w:hRule="atLeast"/>
          <w:jc w:val="center"/>
        </w:trPr>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77"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小计</w:t>
            </w:r>
          </w:p>
        </w:tc>
        <w:tc>
          <w:tcPr>
            <w:tcW w:w="35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永久基本农田保护区</w:t>
            </w:r>
          </w:p>
        </w:tc>
        <w:tc>
          <w:tcPr>
            <w:tcW w:w="35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一般农田</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林地</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园地</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牧草地</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其它农业用地</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小计</w:t>
            </w:r>
          </w:p>
        </w:tc>
        <w:tc>
          <w:tcPr>
            <w:tcW w:w="317"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32"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33"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30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r>
      <w:tr>
        <w:tblPrEx>
          <w:tblCellMar>
            <w:top w:w="0" w:type="dxa"/>
            <w:left w:w="108" w:type="dxa"/>
            <w:bottom w:w="0" w:type="dxa"/>
            <w:right w:w="108" w:type="dxa"/>
          </w:tblCellMar>
        </w:tblPrEx>
        <w:trPr>
          <w:trHeight w:val="424" w:hRule="atLeast"/>
          <w:jc w:val="center"/>
        </w:trPr>
        <w:tc>
          <w:tcPr>
            <w:tcW w:w="35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95.49</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7</w:t>
            </w:r>
            <w:r>
              <w:rPr>
                <w:color w:val="000000"/>
                <w:sz w:val="20"/>
              </w:rPr>
              <w:t>3.65</w:t>
            </w: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6</w:t>
            </w:r>
            <w:r>
              <w:rPr>
                <w:color w:val="000000"/>
                <w:sz w:val="20"/>
              </w:rPr>
              <w:t>4.28</w:t>
            </w:r>
          </w:p>
        </w:tc>
        <w:tc>
          <w:tcPr>
            <w:tcW w:w="35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5</w:t>
            </w:r>
            <w:r>
              <w:rPr>
                <w:color w:val="000000"/>
                <w:sz w:val="20"/>
              </w:rPr>
              <w:t>3.40</w:t>
            </w:r>
          </w:p>
        </w:tc>
        <w:tc>
          <w:tcPr>
            <w:tcW w:w="35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color w:val="000000"/>
                <w:sz w:val="20"/>
              </w:rPr>
              <w:t>10.88</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6.8</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1.57</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0.12</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0.88</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9.37</w:t>
            </w:r>
          </w:p>
        </w:tc>
        <w:tc>
          <w:tcPr>
            <w:tcW w:w="31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2.41</w:t>
            </w:r>
          </w:p>
        </w:tc>
        <w:tc>
          <w:tcPr>
            <w:tcW w:w="33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0.52</w:t>
            </w:r>
          </w:p>
        </w:tc>
        <w:tc>
          <w:tcPr>
            <w:tcW w:w="33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2.93</w:t>
            </w:r>
          </w:p>
        </w:tc>
        <w:tc>
          <w:tcPr>
            <w:tcW w:w="35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olor w:val="000000"/>
                <w:sz w:val="20"/>
              </w:rPr>
              <w:t>14.07</w:t>
            </w:r>
          </w:p>
        </w:tc>
        <w:tc>
          <w:tcPr>
            <w:tcW w:w="3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color w:val="000000"/>
                <w:sz w:val="20"/>
              </w:rPr>
              <w:t>4.84</w:t>
            </w:r>
          </w:p>
        </w:tc>
      </w:tr>
    </w:tbl>
    <w:p>
      <w:pPr>
        <w:spacing w:line="360" w:lineRule="auto"/>
        <w:ind w:firstLine="560" w:firstLineChars="200"/>
        <w:rPr>
          <w:rFonts w:ascii="宋体" w:hAnsi="宋体" w:cs="宋体"/>
          <w:sz w:val="28"/>
          <w:szCs w:val="28"/>
        </w:rPr>
        <w:sectPr>
          <w:pgSz w:w="11906" w:h="16838"/>
          <w:pgMar w:top="1474" w:right="1474" w:bottom="1474" w:left="1474" w:header="851" w:footer="850" w:gutter="0"/>
          <w:pgNumType w:start="1"/>
          <w:cols w:space="720" w:num="1"/>
          <w:docGrid w:linePitch="326" w:charSpace="0"/>
        </w:sectPr>
      </w:pPr>
    </w:p>
    <w:p>
      <w:pPr>
        <w:tabs>
          <w:tab w:val="left" w:pos="2985"/>
        </w:tabs>
        <w:snapToGrid w:val="0"/>
        <w:jc w:val="center"/>
        <w:rPr>
          <w:rFonts w:ascii="宋体" w:hAnsi="宋体" w:cs="宋体"/>
          <w:sz w:val="28"/>
          <w:szCs w:val="28"/>
        </w:rPr>
      </w:pPr>
      <w:r>
        <w:rPr>
          <w:rFonts w:ascii="宋体" w:hAnsi="宋体" w:cs="宋体"/>
          <w:sz w:val="28"/>
          <w:szCs w:val="28"/>
        </w:rPr>
        <w:drawing>
          <wp:inline distT="0" distB="0" distL="0" distR="0">
            <wp:extent cx="7282815" cy="52292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rcRect l="5422" t="3566" r="2916" b="3384"/>
                    <a:stretch>
                      <a:fillRect/>
                    </a:stretch>
                  </pic:blipFill>
                  <pic:spPr>
                    <a:xfrm>
                      <a:off x="0" y="0"/>
                      <a:ext cx="7319964" cy="5255876"/>
                    </a:xfrm>
                    <a:prstGeom prst="rect">
                      <a:avLst/>
                    </a:prstGeom>
                    <a:ln>
                      <a:noFill/>
                    </a:ln>
                  </pic:spPr>
                </pic:pic>
              </a:graphicData>
            </a:graphic>
          </wp:inline>
        </w:drawing>
      </w:r>
    </w:p>
    <w:p>
      <w:pPr>
        <w:tabs>
          <w:tab w:val="left" w:pos="2985"/>
        </w:tabs>
        <w:snapToGrid w:val="0"/>
        <w:jc w:val="center"/>
        <w:rPr>
          <w:rFonts w:ascii="宋体" w:hAnsi="宋体" w:cs="宋体"/>
          <w:sz w:val="24"/>
          <w:szCs w:val="24"/>
        </w:rPr>
        <w:sectPr>
          <w:headerReference r:id="rId5" w:type="default"/>
          <w:footerReference r:id="rId6" w:type="default"/>
          <w:pgSz w:w="16838" w:h="11906" w:orient="landscape"/>
          <w:pgMar w:top="1474" w:right="1474" w:bottom="1474" w:left="1474" w:header="851" w:footer="851" w:gutter="0"/>
          <w:cols w:space="720" w:num="1"/>
          <w:docGrid w:linePitch="326" w:charSpace="0"/>
        </w:sectPr>
      </w:pPr>
      <w:r>
        <w:rPr>
          <w:rFonts w:hint="eastAsia" w:ascii="宋体" w:hAnsi="宋体" w:cs="宋体"/>
          <w:sz w:val="24"/>
          <w:szCs w:val="24"/>
        </w:rPr>
        <w:t>图1</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 xml:space="preserve">1 </w:t>
      </w:r>
      <w:r>
        <w:rPr>
          <w:rFonts w:hint="eastAsia" w:ascii="宋体" w:hAnsi="宋体" w:cs="宋体"/>
          <w:sz w:val="24"/>
          <w:szCs w:val="24"/>
        </w:rPr>
        <w:t>汤阴县农用地分布图</w:t>
      </w:r>
    </w:p>
    <w:p>
      <w:pPr>
        <w:tabs>
          <w:tab w:val="left" w:pos="2055"/>
        </w:tabs>
        <w:snapToGrid w:val="0"/>
        <w:jc w:val="center"/>
        <w:rPr>
          <w:rFonts w:ascii="宋体" w:hAnsi="宋体" w:cs="宋体"/>
          <w:sz w:val="28"/>
          <w:szCs w:val="28"/>
        </w:rPr>
      </w:pPr>
      <w:r>
        <w:rPr>
          <w:rFonts w:ascii="宋体" w:hAnsi="宋体" w:cs="宋体"/>
          <w:sz w:val="28"/>
          <w:szCs w:val="28"/>
        </w:rPr>
        <w:drawing>
          <wp:inline distT="0" distB="0" distL="0" distR="0">
            <wp:extent cx="7277100" cy="5221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rcRect l="5558" t="3667" r="3037" b="3609"/>
                    <a:stretch>
                      <a:fillRect/>
                    </a:stretch>
                  </pic:blipFill>
                  <pic:spPr>
                    <a:xfrm>
                      <a:off x="0" y="0"/>
                      <a:ext cx="7288882" cy="5230265"/>
                    </a:xfrm>
                    <a:prstGeom prst="rect">
                      <a:avLst/>
                    </a:prstGeom>
                    <a:ln>
                      <a:noFill/>
                    </a:ln>
                  </pic:spPr>
                </pic:pic>
              </a:graphicData>
            </a:graphic>
          </wp:inline>
        </w:drawing>
      </w:r>
      <w:r>
        <w:rPr>
          <w:rFonts w:ascii="宋体" w:hAnsi="宋体" w:cs="宋体"/>
          <w:sz w:val="28"/>
          <w:szCs w:val="28"/>
        </w:rPr>
        <w:tab/>
      </w:r>
    </w:p>
    <w:p>
      <w:pPr>
        <w:tabs>
          <w:tab w:val="left" w:pos="2985"/>
        </w:tabs>
        <w:snapToGrid w:val="0"/>
        <w:jc w:val="center"/>
        <w:rPr>
          <w:rFonts w:ascii="宋体" w:hAnsi="宋体" w:cs="宋体"/>
          <w:sz w:val="24"/>
          <w:szCs w:val="24"/>
        </w:rPr>
        <w:sectPr>
          <w:pgSz w:w="16838" w:h="11906" w:orient="landscape"/>
          <w:pgMar w:top="1474" w:right="1474" w:bottom="1474" w:left="1474" w:header="851" w:footer="851" w:gutter="0"/>
          <w:cols w:space="720" w:num="1"/>
          <w:docGrid w:linePitch="326" w:charSpace="0"/>
        </w:sectPr>
      </w:pPr>
      <w:r>
        <w:rPr>
          <w:rFonts w:hint="eastAsia" w:ascii="宋体" w:hAnsi="宋体" w:cs="宋体"/>
          <w:sz w:val="24"/>
          <w:szCs w:val="24"/>
        </w:rPr>
        <w:t>图1</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汤阴县水域用地分布图</w:t>
      </w:r>
    </w:p>
    <w:p>
      <w:pPr>
        <w:tabs>
          <w:tab w:val="left" w:pos="1250"/>
        </w:tabs>
        <w:snapToGrid w:val="0"/>
        <w:ind w:firstLine="560" w:firstLineChars="200"/>
        <w:jc w:val="center"/>
        <w:rPr>
          <w:rFonts w:ascii="宋体" w:hAnsi="宋体" w:cs="宋体"/>
          <w:sz w:val="28"/>
          <w:szCs w:val="28"/>
        </w:rPr>
      </w:pPr>
      <w:r>
        <w:rPr>
          <w:rFonts w:ascii="宋体" w:hAnsi="宋体" w:cs="宋体"/>
          <w:sz w:val="28"/>
          <w:szCs w:val="28"/>
        </w:rPr>
        <w:drawing>
          <wp:inline distT="0" distB="0" distL="0" distR="0">
            <wp:extent cx="7286625" cy="52254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rcRect l="5527" t="3647" r="2850" b="3461"/>
                    <a:stretch>
                      <a:fillRect/>
                    </a:stretch>
                  </pic:blipFill>
                  <pic:spPr>
                    <a:xfrm>
                      <a:off x="0" y="0"/>
                      <a:ext cx="7302960" cy="5237377"/>
                    </a:xfrm>
                    <a:prstGeom prst="rect">
                      <a:avLst/>
                    </a:prstGeom>
                    <a:ln>
                      <a:noFill/>
                    </a:ln>
                  </pic:spPr>
                </pic:pic>
              </a:graphicData>
            </a:graphic>
          </wp:inline>
        </w:drawing>
      </w:r>
      <w:r>
        <w:rPr>
          <w:rFonts w:ascii="宋体" w:hAnsi="宋体" w:cs="宋体"/>
          <w:sz w:val="28"/>
          <w:szCs w:val="28"/>
        </w:rPr>
        <w:tab/>
      </w:r>
    </w:p>
    <w:p>
      <w:pPr>
        <w:tabs>
          <w:tab w:val="left" w:pos="2985"/>
        </w:tabs>
        <w:snapToGrid w:val="0"/>
        <w:jc w:val="center"/>
        <w:rPr>
          <w:rFonts w:ascii="宋体" w:hAnsi="宋体" w:cs="宋体"/>
          <w:sz w:val="28"/>
          <w:szCs w:val="28"/>
        </w:rPr>
        <w:sectPr>
          <w:pgSz w:w="16838" w:h="11906" w:orient="landscape"/>
          <w:pgMar w:top="1474" w:right="1474" w:bottom="1474" w:left="1474" w:header="851" w:footer="851" w:gutter="0"/>
          <w:cols w:space="720" w:num="1"/>
          <w:docGrid w:linePitch="326" w:charSpace="0"/>
        </w:sectPr>
      </w:pPr>
      <w:r>
        <w:rPr>
          <w:rFonts w:hint="eastAsia" w:ascii="宋体" w:hAnsi="宋体" w:cs="宋体"/>
          <w:sz w:val="24"/>
          <w:szCs w:val="24"/>
        </w:rPr>
        <w:t>图1</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汤阴县建设用地分布图</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.3.2</w:t>
      </w:r>
      <w:r>
        <w:rPr>
          <w:rFonts w:hint="eastAsia" w:asciiTheme="minorEastAsia" w:hAnsiTheme="minorEastAsia" w:eastAsiaTheme="minorEastAsia"/>
          <w:sz w:val="28"/>
          <w:szCs w:val="28"/>
        </w:rPr>
        <w:t>水资源及水利工程、灌溉面积等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（1）河流水系</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汤阴县境内的主要河流均位于海河流域漳卫河水系，涉及卫河、永通河、汤河、羑河、洪河。</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卫河发源于山西省陵川县，流经河南省博爱、焦作、武陟、修武、获嘉、辉县、新乡、卫辉、浚县、内黄、清丰、南乐，入河北省大名县，在河北省馆陶县徐万仓与漳河汇流，干流自干流自合河镇至徐万仓，长度1</w:t>
      </w:r>
      <w:r>
        <w:rPr>
          <w:rFonts w:asciiTheme="minorEastAsia" w:hAnsiTheme="minorEastAsia" w:eastAsiaTheme="minorEastAsia"/>
          <w:sz w:val="28"/>
          <w:szCs w:val="28"/>
        </w:rPr>
        <w:t>0</w:t>
      </w:r>
      <w:r>
        <w:rPr>
          <w:rFonts w:hint="eastAsia" w:asciiTheme="minorEastAsia" w:hAnsiTheme="minorEastAsia" w:eastAsiaTheme="minorEastAsia"/>
          <w:sz w:val="28"/>
          <w:szCs w:val="28"/>
        </w:rPr>
        <w:t>km，流域面积1</w:t>
      </w:r>
      <w:r>
        <w:rPr>
          <w:rFonts w:asciiTheme="minorEastAsia" w:hAnsiTheme="minorEastAsia" w:eastAsiaTheme="minorEastAsia"/>
          <w:sz w:val="28"/>
          <w:szCs w:val="28"/>
        </w:rPr>
        <w:t>5229</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。河南省境内流域面积1</w:t>
      </w:r>
      <w:r>
        <w:rPr>
          <w:rFonts w:asciiTheme="minorEastAsia" w:hAnsiTheme="minorEastAsia" w:eastAsiaTheme="minorEastAsia"/>
          <w:sz w:val="28"/>
          <w:szCs w:val="28"/>
        </w:rPr>
        <w:t>2921</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，约占全流域面积的8</w:t>
      </w:r>
      <w:r>
        <w:rPr>
          <w:rFonts w:asciiTheme="minorEastAsia" w:hAnsiTheme="minorEastAsia" w:eastAsiaTheme="minorEastAsia"/>
          <w:sz w:val="28"/>
          <w:szCs w:val="28"/>
        </w:rPr>
        <w:t>5</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永通河发源于鹤壁市山城区鹿楼乡西扒厂，经鹤壁市山城区、淇滨区、汤阴县、安阳县，流域面积1</w:t>
      </w:r>
      <w:r>
        <w:rPr>
          <w:rFonts w:asciiTheme="minorEastAsia" w:hAnsiTheme="minorEastAsia" w:eastAsiaTheme="minorEastAsia"/>
          <w:sz w:val="28"/>
          <w:szCs w:val="28"/>
        </w:rPr>
        <w:t>323.5</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，干流全长6</w:t>
      </w:r>
      <w:r>
        <w:rPr>
          <w:rFonts w:asciiTheme="minorEastAsia" w:hAnsiTheme="minorEastAsia" w:eastAsiaTheme="minorEastAsia"/>
          <w:sz w:val="28"/>
          <w:szCs w:val="28"/>
        </w:rPr>
        <w:t>4</w:t>
      </w:r>
      <w:r>
        <w:rPr>
          <w:rFonts w:hint="eastAsia" w:asciiTheme="minorEastAsia" w:hAnsiTheme="minorEastAsia" w:eastAsiaTheme="minorEastAsia"/>
          <w:sz w:val="28"/>
          <w:szCs w:val="28"/>
        </w:rPr>
        <w:t>km，其中汤阴县境内4</w:t>
      </w:r>
      <w:r>
        <w:rPr>
          <w:rFonts w:asciiTheme="minorEastAsia" w:hAnsiTheme="minorEastAsia" w:eastAsiaTheme="minorEastAsia"/>
          <w:sz w:val="28"/>
          <w:szCs w:val="28"/>
        </w:rPr>
        <w:t>.7</w:t>
      </w:r>
      <w:r>
        <w:rPr>
          <w:rFonts w:hint="eastAsia" w:asciiTheme="minorEastAsia" w:hAnsiTheme="minorEastAsia" w:eastAsiaTheme="minorEastAsia"/>
          <w:sz w:val="28"/>
          <w:szCs w:val="28"/>
        </w:rPr>
        <w:t>km。永通河双石桥以下左岸为广润坡蓄滞洪区，右岸为任固坡蓄滞洪区。永通河上游建有中型水库-琵琶寺水库。</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汤河发源于太行山东麓，鹤壁市张公堰牟山脚下，曲折向东北流经鹤壁市、汤阴县，至汤阴县后高汉村西双石桥与永通河汇合，在汤阴县西园村入卫河，流域面积2</w:t>
      </w:r>
      <w:r>
        <w:rPr>
          <w:rFonts w:asciiTheme="minorEastAsia" w:hAnsiTheme="minorEastAsia" w:eastAsiaTheme="minorEastAsia"/>
          <w:sz w:val="28"/>
          <w:szCs w:val="28"/>
        </w:rPr>
        <w:t>11.5</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，全长4</w:t>
      </w:r>
      <w:r>
        <w:rPr>
          <w:rFonts w:asciiTheme="minorEastAsia" w:hAnsiTheme="minorEastAsia" w:eastAsiaTheme="minorEastAsia"/>
          <w:sz w:val="28"/>
          <w:szCs w:val="28"/>
        </w:rPr>
        <w:t>9</w:t>
      </w:r>
      <w:r>
        <w:rPr>
          <w:rFonts w:hint="eastAsia" w:asciiTheme="minorEastAsia" w:hAnsiTheme="minorEastAsia" w:eastAsiaTheme="minorEastAsia"/>
          <w:sz w:val="28"/>
          <w:szCs w:val="28"/>
        </w:rPr>
        <w:t>km，其中汤阴县3</w:t>
      </w:r>
      <w:r>
        <w:rPr>
          <w:rFonts w:asciiTheme="minorEastAsia" w:hAnsiTheme="minorEastAsia" w:eastAsiaTheme="minorEastAsia"/>
          <w:sz w:val="28"/>
          <w:szCs w:val="28"/>
        </w:rPr>
        <w:t>9.9</w:t>
      </w:r>
      <w:r>
        <w:rPr>
          <w:rFonts w:hint="eastAsia" w:asciiTheme="minorEastAsia" w:hAnsiTheme="minorEastAsia" w:eastAsiaTheme="minorEastAsia"/>
          <w:sz w:val="28"/>
          <w:szCs w:val="28"/>
        </w:rPr>
        <w:t>km。汤河上游建有中型水库-汤河水库，双石桥以下左岸有广润坡蓄滞洪区。目前汤河京广铁路以下已基本上完成治理。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羑河发源于鹤壁市鹤壁集，流经汤阴县。安阳市文峰区，经过京广铁路后，经任村、黎官屯村进入广润坡蓄滞洪区，至城乡一体化示范区汪柳屯出汇入洪河，长4</w:t>
      </w:r>
      <w:r>
        <w:rPr>
          <w:rFonts w:asciiTheme="minorEastAsia" w:hAnsiTheme="minorEastAsia" w:eastAsiaTheme="minorEastAsia"/>
          <w:sz w:val="28"/>
          <w:szCs w:val="28"/>
        </w:rPr>
        <w:t>5</w:t>
      </w:r>
      <w:r>
        <w:rPr>
          <w:rFonts w:hint="eastAsia" w:asciiTheme="minorEastAsia" w:hAnsiTheme="minorEastAsia" w:eastAsiaTheme="minorEastAsia"/>
          <w:sz w:val="28"/>
          <w:szCs w:val="28"/>
        </w:rPr>
        <w:t>km，流域面积1</w:t>
      </w:r>
      <w:r>
        <w:rPr>
          <w:rFonts w:asciiTheme="minorEastAsia" w:hAnsiTheme="minorEastAsia" w:eastAsiaTheme="minorEastAsia"/>
          <w:sz w:val="28"/>
          <w:szCs w:val="28"/>
        </w:rPr>
        <w:t>884</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.其中广润坡蓄滞洪区以上河段长度2</w:t>
      </w:r>
      <w:r>
        <w:rPr>
          <w:rFonts w:asciiTheme="minorEastAsia" w:hAnsiTheme="minorEastAsia" w:eastAsiaTheme="minorEastAsia"/>
          <w:sz w:val="28"/>
          <w:szCs w:val="28"/>
        </w:rPr>
        <w:t>8.5</w:t>
      </w:r>
      <w:r>
        <w:rPr>
          <w:rFonts w:hint="eastAsia" w:asciiTheme="minorEastAsia" w:hAnsiTheme="minorEastAsia" w:eastAsiaTheme="minorEastAsia"/>
          <w:sz w:val="28"/>
          <w:szCs w:val="28"/>
        </w:rPr>
        <w:t>km，主要功能为排泄山区洪水。滞洪区段河道长度3</w:t>
      </w:r>
      <w:r>
        <w:rPr>
          <w:rFonts w:asciiTheme="minorEastAsia" w:hAnsiTheme="minorEastAsia" w:eastAsiaTheme="minorEastAsia"/>
          <w:sz w:val="28"/>
          <w:szCs w:val="28"/>
        </w:rPr>
        <w:t>.9</w:t>
      </w:r>
      <w:r>
        <w:rPr>
          <w:rFonts w:hint="eastAsia" w:asciiTheme="minorEastAsia" w:hAnsiTheme="minorEastAsia" w:eastAsiaTheme="minorEastAsia"/>
          <w:sz w:val="28"/>
          <w:szCs w:val="28"/>
        </w:rPr>
        <w:t>km，主要功能为排泄上游来水及蓄滞洪区内涝水。目前，羑河京广铁路以下河段已按照2</w:t>
      </w:r>
      <w:r>
        <w:rPr>
          <w:rFonts w:asciiTheme="minorEastAsia" w:hAnsiTheme="minorEastAsia" w:eastAsiaTheme="minorEastAsia"/>
          <w:sz w:val="28"/>
          <w:szCs w:val="28"/>
        </w:rPr>
        <w:t>0</w:t>
      </w:r>
      <w:r>
        <w:rPr>
          <w:rFonts w:hint="eastAsia" w:asciiTheme="minorEastAsia" w:hAnsiTheme="minorEastAsia" w:eastAsiaTheme="minorEastAsia"/>
          <w:sz w:val="28"/>
          <w:szCs w:val="28"/>
        </w:rPr>
        <w:t>年一遇防洪标准完成治理。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洪河发源于安阳市龙安区马投涧乡郭家村的浅山区丘陵地带，自西向东穿过开发区，至示范区高庄乡汪流屯村羑河汇入后，进入广润坡蓄滞洪区，而后流经中扬庄、万庄，自四伏厂汇入汤永河，全长4</w:t>
      </w:r>
      <w:r>
        <w:rPr>
          <w:rFonts w:asciiTheme="minorEastAsia" w:hAnsiTheme="minorEastAsia" w:eastAsiaTheme="minorEastAsia"/>
          <w:sz w:val="28"/>
          <w:szCs w:val="28"/>
        </w:rPr>
        <w:t>2</w:t>
      </w:r>
      <w:r>
        <w:rPr>
          <w:rFonts w:hint="eastAsia" w:asciiTheme="minorEastAsia" w:hAnsiTheme="minorEastAsia" w:eastAsiaTheme="minorEastAsia"/>
          <w:sz w:val="28"/>
          <w:szCs w:val="28"/>
        </w:rPr>
        <w:t>km，流域面积6</w:t>
      </w:r>
      <w:r>
        <w:rPr>
          <w:rFonts w:asciiTheme="minorEastAsia" w:hAnsiTheme="minorEastAsia" w:eastAsiaTheme="minorEastAsia"/>
          <w:sz w:val="28"/>
          <w:szCs w:val="28"/>
        </w:rPr>
        <w:t>74.8</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w:t>
      </w:r>
    </w:p>
    <w:p>
      <w:pPr>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表1</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汤阴县主要河流基本情况表</w:t>
      </w:r>
    </w:p>
    <w:tbl>
      <w:tblPr>
        <w:tblStyle w:val="26"/>
        <w:tblW w:w="4990" w:type="pct"/>
        <w:tblInd w:w="0" w:type="dxa"/>
        <w:tblLayout w:type="autofit"/>
        <w:tblCellMar>
          <w:top w:w="0" w:type="dxa"/>
          <w:left w:w="108" w:type="dxa"/>
          <w:bottom w:w="0" w:type="dxa"/>
          <w:right w:w="108" w:type="dxa"/>
        </w:tblCellMar>
      </w:tblPr>
      <w:tblGrid>
        <w:gridCol w:w="1100"/>
        <w:gridCol w:w="1269"/>
        <w:gridCol w:w="1699"/>
        <w:gridCol w:w="1275"/>
        <w:gridCol w:w="2121"/>
        <w:gridCol w:w="1692"/>
      </w:tblGrid>
      <w:tr>
        <w:tblPrEx>
          <w:tblCellMar>
            <w:top w:w="0" w:type="dxa"/>
            <w:left w:w="108" w:type="dxa"/>
            <w:bottom w:w="0" w:type="dxa"/>
            <w:right w:w="108" w:type="dxa"/>
          </w:tblCellMar>
        </w:tblPrEx>
        <w:trPr>
          <w:trHeight w:val="211" w:hRule="atLeast"/>
        </w:trPr>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河流</w:t>
            </w:r>
          </w:p>
        </w:tc>
        <w:tc>
          <w:tcPr>
            <w:tcW w:w="69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流域</w:t>
            </w:r>
          </w:p>
        </w:tc>
        <w:tc>
          <w:tcPr>
            <w:tcW w:w="92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起源</w:t>
            </w:r>
          </w:p>
        </w:tc>
        <w:tc>
          <w:tcPr>
            <w:tcW w:w="6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汇入河流</w:t>
            </w:r>
          </w:p>
        </w:tc>
        <w:tc>
          <w:tcPr>
            <w:tcW w:w="11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流域面积（km</w:t>
            </w:r>
            <w:r>
              <w:rPr>
                <w:rFonts w:hint="eastAsia" w:ascii="等线" w:hAnsi="等线" w:eastAsia="等线" w:cs="宋体"/>
                <w:color w:val="000000"/>
                <w:kern w:val="0"/>
                <w:sz w:val="22"/>
                <w:szCs w:val="22"/>
                <w:vertAlign w:val="superscript"/>
              </w:rPr>
              <w:t>2</w:t>
            </w:r>
            <w:r>
              <w:rPr>
                <w:rFonts w:hint="eastAsia" w:ascii="等线" w:hAnsi="等线" w:eastAsia="等线" w:cs="宋体"/>
                <w:color w:val="000000"/>
                <w:kern w:val="0"/>
                <w:sz w:val="22"/>
                <w:szCs w:val="22"/>
              </w:rPr>
              <w:t>）</w:t>
            </w:r>
          </w:p>
        </w:tc>
        <w:tc>
          <w:tcPr>
            <w:tcW w:w="9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河道长度（km）</w:t>
            </w:r>
          </w:p>
        </w:tc>
      </w:tr>
      <w:tr>
        <w:tblPrEx>
          <w:tblCellMar>
            <w:top w:w="0" w:type="dxa"/>
            <w:left w:w="108" w:type="dxa"/>
            <w:bottom w:w="0" w:type="dxa"/>
            <w:right w:w="108" w:type="dxa"/>
          </w:tblCellMar>
        </w:tblPrEx>
        <w:trPr>
          <w:trHeight w:val="424" w:hRule="atLeast"/>
        </w:trPr>
        <w:tc>
          <w:tcPr>
            <w:tcW w:w="60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卫河</w:t>
            </w:r>
          </w:p>
        </w:tc>
        <w:tc>
          <w:tcPr>
            <w:tcW w:w="69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海河流域</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山西省陵川县</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漳卫河</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15229</w:t>
            </w:r>
          </w:p>
        </w:tc>
        <w:tc>
          <w:tcPr>
            <w:tcW w:w="92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310</w:t>
            </w:r>
          </w:p>
        </w:tc>
      </w:tr>
      <w:tr>
        <w:tblPrEx>
          <w:tblCellMar>
            <w:top w:w="0" w:type="dxa"/>
            <w:left w:w="108" w:type="dxa"/>
            <w:bottom w:w="0" w:type="dxa"/>
            <w:right w:w="108" w:type="dxa"/>
          </w:tblCellMar>
        </w:tblPrEx>
        <w:trPr>
          <w:trHeight w:val="424" w:hRule="atLeast"/>
        </w:trPr>
        <w:tc>
          <w:tcPr>
            <w:tcW w:w="60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永通河</w:t>
            </w:r>
          </w:p>
        </w:tc>
        <w:tc>
          <w:tcPr>
            <w:tcW w:w="69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海河流域</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鹤壁市山城区</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1323.5</w:t>
            </w:r>
          </w:p>
        </w:tc>
        <w:tc>
          <w:tcPr>
            <w:tcW w:w="92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64</w:t>
            </w:r>
          </w:p>
        </w:tc>
      </w:tr>
      <w:tr>
        <w:tblPrEx>
          <w:tblCellMar>
            <w:top w:w="0" w:type="dxa"/>
            <w:left w:w="108" w:type="dxa"/>
            <w:bottom w:w="0" w:type="dxa"/>
            <w:right w:w="108" w:type="dxa"/>
          </w:tblCellMar>
        </w:tblPrEx>
        <w:trPr>
          <w:trHeight w:val="424" w:hRule="atLeast"/>
        </w:trPr>
        <w:tc>
          <w:tcPr>
            <w:tcW w:w="60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w:t>
            </w:r>
          </w:p>
        </w:tc>
        <w:tc>
          <w:tcPr>
            <w:tcW w:w="69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海河流域</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鹤壁市山城区</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卫河</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211.5</w:t>
            </w:r>
          </w:p>
        </w:tc>
        <w:tc>
          <w:tcPr>
            <w:tcW w:w="92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49</w:t>
            </w:r>
          </w:p>
        </w:tc>
      </w:tr>
      <w:tr>
        <w:tblPrEx>
          <w:tblCellMar>
            <w:top w:w="0" w:type="dxa"/>
            <w:left w:w="108" w:type="dxa"/>
            <w:bottom w:w="0" w:type="dxa"/>
            <w:right w:w="108" w:type="dxa"/>
          </w:tblCellMar>
        </w:tblPrEx>
        <w:trPr>
          <w:trHeight w:val="424" w:hRule="atLeast"/>
        </w:trPr>
        <w:tc>
          <w:tcPr>
            <w:tcW w:w="60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羑河</w:t>
            </w:r>
          </w:p>
        </w:tc>
        <w:tc>
          <w:tcPr>
            <w:tcW w:w="69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海河流域</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鹤壁市鹤壁集</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洪河</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188.4</w:t>
            </w:r>
          </w:p>
        </w:tc>
        <w:tc>
          <w:tcPr>
            <w:tcW w:w="92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45</w:t>
            </w:r>
          </w:p>
        </w:tc>
      </w:tr>
      <w:tr>
        <w:tblPrEx>
          <w:tblCellMar>
            <w:top w:w="0" w:type="dxa"/>
            <w:left w:w="108" w:type="dxa"/>
            <w:bottom w:w="0" w:type="dxa"/>
            <w:right w:w="108" w:type="dxa"/>
          </w:tblCellMar>
        </w:tblPrEx>
        <w:trPr>
          <w:trHeight w:val="424" w:hRule="atLeast"/>
        </w:trPr>
        <w:tc>
          <w:tcPr>
            <w:tcW w:w="60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洪河</w:t>
            </w:r>
          </w:p>
        </w:tc>
        <w:tc>
          <w:tcPr>
            <w:tcW w:w="69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海河流域</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安阳市龙安区</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674.8</w:t>
            </w:r>
          </w:p>
        </w:tc>
        <w:tc>
          <w:tcPr>
            <w:tcW w:w="92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r>
    </w:tbl>
    <w:p>
      <w:pPr>
        <w:spacing w:line="360" w:lineRule="auto"/>
        <w:ind w:firstLine="560" w:firstLineChars="200"/>
        <w:rPr>
          <w:rFonts w:asciiTheme="minorEastAsia" w:hAnsiTheme="minorEastAsia" w:eastAsiaTheme="minorEastAsia"/>
          <w:sz w:val="28"/>
          <w:szCs w:val="28"/>
          <w:highlight w:val="yellow"/>
        </w:rPr>
        <w:sectPr>
          <w:pgSz w:w="11906" w:h="16838"/>
          <w:pgMar w:top="1474" w:right="1474" w:bottom="1474" w:left="1474" w:header="851" w:footer="850" w:gutter="0"/>
          <w:cols w:space="720" w:num="1"/>
          <w:docGrid w:linePitch="326" w:charSpace="0"/>
        </w:sectPr>
      </w:pPr>
    </w:p>
    <w:p>
      <w:pPr>
        <w:tabs>
          <w:tab w:val="left" w:pos="2985"/>
        </w:tabs>
        <w:snapToGrid w:val="0"/>
        <w:jc w:val="center"/>
        <w:rPr>
          <w:rFonts w:ascii="宋体" w:hAnsi="宋体" w:cs="宋体"/>
          <w:sz w:val="24"/>
          <w:szCs w:val="24"/>
        </w:rPr>
      </w:pPr>
      <w:r>
        <w:rPr>
          <w:rFonts w:ascii="宋体" w:hAnsi="宋体" w:cs="宋体"/>
          <w:sz w:val="24"/>
          <w:szCs w:val="24"/>
        </w:rPr>
        <w:drawing>
          <wp:inline distT="0" distB="0" distL="0" distR="0">
            <wp:extent cx="7315200" cy="5239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rcRect l="2722" t="1842" r="2588" b="2210"/>
                    <a:stretch>
                      <a:fillRect/>
                    </a:stretch>
                  </pic:blipFill>
                  <pic:spPr>
                    <a:xfrm>
                      <a:off x="0" y="0"/>
                      <a:ext cx="7324211" cy="5245966"/>
                    </a:xfrm>
                    <a:prstGeom prst="rect">
                      <a:avLst/>
                    </a:prstGeom>
                    <a:ln>
                      <a:noFill/>
                    </a:ln>
                  </pic:spPr>
                </pic:pic>
              </a:graphicData>
            </a:graphic>
          </wp:inline>
        </w:drawing>
      </w:r>
    </w:p>
    <w:p>
      <w:pPr>
        <w:tabs>
          <w:tab w:val="left" w:pos="2985"/>
        </w:tabs>
        <w:snapToGrid w:val="0"/>
        <w:jc w:val="center"/>
        <w:rPr>
          <w:rFonts w:ascii="宋体" w:hAnsi="宋体" w:cs="宋体"/>
          <w:sz w:val="24"/>
          <w:szCs w:val="24"/>
        </w:rPr>
      </w:pPr>
      <w:r>
        <w:rPr>
          <w:rFonts w:hint="eastAsia" w:ascii="宋体" w:hAnsi="宋体" w:cs="宋体"/>
          <w:sz w:val="24"/>
          <w:szCs w:val="24"/>
        </w:rPr>
        <w:t>图1</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 xml:space="preserve">1 </w:t>
      </w:r>
      <w:r>
        <w:rPr>
          <w:rFonts w:hint="eastAsia" w:ascii="宋体" w:hAnsi="宋体" w:cs="宋体"/>
          <w:sz w:val="24"/>
          <w:szCs w:val="24"/>
        </w:rPr>
        <w:t>汤阴县水系图</w:t>
      </w:r>
    </w:p>
    <w:p>
      <w:pPr>
        <w:spacing w:line="360" w:lineRule="auto"/>
        <w:ind w:firstLine="560" w:firstLineChars="200"/>
        <w:rPr>
          <w:rFonts w:asciiTheme="minorEastAsia" w:hAnsiTheme="minorEastAsia" w:eastAsiaTheme="minorEastAsia"/>
          <w:sz w:val="28"/>
          <w:szCs w:val="28"/>
          <w:highlight w:val="yellow"/>
        </w:rPr>
        <w:sectPr>
          <w:pgSz w:w="16838" w:h="11906" w:orient="landscape"/>
          <w:pgMar w:top="1474" w:right="1474" w:bottom="1474" w:left="1474" w:header="851" w:footer="851" w:gutter="0"/>
          <w:cols w:space="720" w:num="1"/>
          <w:docGrid w:linePitch="326" w:charSpace="0"/>
        </w:sectPr>
      </w:pP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（2）水利工程</w:t>
      </w:r>
    </w:p>
    <w:p>
      <w:pPr>
        <w:spacing w:line="360" w:lineRule="auto"/>
        <w:ind w:firstLine="560" w:firstLineChars="200"/>
        <w:rPr>
          <w:rFonts w:ascii="宋体" w:hAnsi="宋体" w:cs="宋体"/>
          <w:sz w:val="28"/>
          <w:szCs w:val="28"/>
        </w:rPr>
      </w:pPr>
      <w:r>
        <w:rPr>
          <w:rFonts w:hint="eastAsia" w:ascii="宋体" w:hAnsi="宋体" w:cs="宋体"/>
          <w:sz w:val="28"/>
          <w:szCs w:val="28"/>
        </w:rPr>
        <w:t>1）水库</w:t>
      </w:r>
    </w:p>
    <w:p>
      <w:pPr>
        <w:spacing w:line="360" w:lineRule="auto"/>
        <w:ind w:firstLine="560" w:firstLineChars="200"/>
        <w:rPr>
          <w:rFonts w:ascii="宋体" w:hAnsi="宋体" w:cs="宋体"/>
          <w:sz w:val="28"/>
          <w:szCs w:val="28"/>
        </w:rPr>
      </w:pPr>
      <w:r>
        <w:rPr>
          <w:rFonts w:hint="eastAsia" w:ascii="宋体" w:hAnsi="宋体" w:cs="宋体"/>
          <w:sz w:val="28"/>
          <w:szCs w:val="28"/>
        </w:rPr>
        <w:t>目前，汤阴县已建成水库3座，其中汤河上2座，永通河上1座。汤河水库和琵琶寺水库为中型水库，中张贾水库为小（1）型水库。</w:t>
      </w:r>
    </w:p>
    <w:p>
      <w:pPr>
        <w:spacing w:line="360" w:lineRule="auto"/>
        <w:ind w:firstLine="560" w:firstLineChars="200"/>
        <w:rPr>
          <w:rFonts w:ascii="宋体" w:hAnsi="宋体" w:cs="宋体"/>
          <w:sz w:val="28"/>
          <w:szCs w:val="28"/>
        </w:rPr>
      </w:pPr>
      <w:r>
        <w:rPr>
          <w:rFonts w:hint="eastAsia" w:ascii="宋体" w:hAnsi="宋体" w:cs="宋体"/>
          <w:sz w:val="28"/>
          <w:szCs w:val="28"/>
        </w:rPr>
        <w:t>①汤河水库</w:t>
      </w:r>
    </w:p>
    <w:p>
      <w:pPr>
        <w:spacing w:line="360" w:lineRule="auto"/>
        <w:ind w:firstLine="560" w:firstLineChars="200"/>
        <w:rPr>
          <w:rFonts w:ascii="宋体" w:hAnsi="宋体" w:cs="宋体"/>
          <w:sz w:val="28"/>
          <w:szCs w:val="28"/>
        </w:rPr>
      </w:pPr>
      <w:r>
        <w:rPr>
          <w:rFonts w:hint="eastAsia" w:ascii="宋体" w:hAnsi="宋体" w:cs="宋体"/>
          <w:sz w:val="28"/>
          <w:szCs w:val="28"/>
        </w:rPr>
        <w:t>汤河水库位于汤阴县西南约7km，坐落与汤河干流上游，是一座以防洪、灌溉为主，兼顾旅游开发综合利用的中型水库。水库控制流域面积1</w:t>
      </w:r>
      <w:r>
        <w:rPr>
          <w:rFonts w:ascii="宋体" w:hAnsi="宋体" w:cs="宋体"/>
          <w:sz w:val="28"/>
          <w:szCs w:val="28"/>
        </w:rPr>
        <w:t>62</w:t>
      </w:r>
      <w:r>
        <w:rPr>
          <w:rFonts w:hint="eastAsia" w:ascii="宋体" w:hAnsi="宋体" w:cs="宋体"/>
          <w:sz w:val="28"/>
          <w:szCs w:val="28"/>
        </w:rPr>
        <w:t>km</w:t>
      </w:r>
      <w:r>
        <w:rPr>
          <w:rFonts w:hint="eastAsia" w:ascii="宋体" w:hAnsi="宋体" w:cs="宋体"/>
          <w:sz w:val="28"/>
          <w:szCs w:val="28"/>
          <w:vertAlign w:val="superscript"/>
        </w:rPr>
        <w:t>2</w:t>
      </w:r>
      <w:r>
        <w:rPr>
          <w:rFonts w:hint="eastAsia" w:ascii="宋体" w:hAnsi="宋体" w:cs="宋体"/>
          <w:sz w:val="28"/>
          <w:szCs w:val="28"/>
        </w:rPr>
        <w:t>，水库设计死水位1</w:t>
      </w:r>
      <w:r>
        <w:rPr>
          <w:rFonts w:ascii="宋体" w:hAnsi="宋体" w:cs="宋体"/>
          <w:sz w:val="28"/>
          <w:szCs w:val="28"/>
        </w:rPr>
        <w:t>03</w:t>
      </w:r>
      <w:r>
        <w:rPr>
          <w:rFonts w:hint="eastAsia" w:ascii="宋体" w:hAnsi="宋体" w:cs="宋体"/>
          <w:sz w:val="28"/>
          <w:szCs w:val="28"/>
        </w:rPr>
        <w:t>m，相应的死库容1</w:t>
      </w:r>
      <w:r>
        <w:rPr>
          <w:rFonts w:ascii="宋体" w:hAnsi="宋体" w:cs="宋体"/>
          <w:sz w:val="28"/>
          <w:szCs w:val="28"/>
        </w:rPr>
        <w:t>44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，兴利水位1</w:t>
      </w:r>
      <w:r>
        <w:rPr>
          <w:rFonts w:ascii="宋体" w:hAnsi="宋体" w:cs="宋体"/>
          <w:sz w:val="28"/>
          <w:szCs w:val="28"/>
        </w:rPr>
        <w:t>14.2</w:t>
      </w:r>
      <w:r>
        <w:rPr>
          <w:rFonts w:hint="eastAsia" w:ascii="宋体" w:hAnsi="宋体" w:cs="宋体"/>
          <w:sz w:val="28"/>
          <w:szCs w:val="28"/>
        </w:rPr>
        <w:t>m，兴利库容2</w:t>
      </w:r>
      <w:r>
        <w:rPr>
          <w:rFonts w:ascii="宋体" w:hAnsi="宋体" w:cs="宋体"/>
          <w:sz w:val="28"/>
          <w:szCs w:val="28"/>
        </w:rPr>
        <w:t>069</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。水库设计1</w:t>
      </w:r>
      <w:r>
        <w:rPr>
          <w:rFonts w:ascii="宋体" w:hAnsi="宋体" w:cs="宋体"/>
          <w:sz w:val="28"/>
          <w:szCs w:val="28"/>
        </w:rPr>
        <w:t>00</w:t>
      </w:r>
      <w:r>
        <w:rPr>
          <w:rFonts w:hint="eastAsia" w:ascii="宋体" w:hAnsi="宋体" w:cs="宋体"/>
          <w:sz w:val="28"/>
          <w:szCs w:val="28"/>
        </w:rPr>
        <w:t>年一遇洪水位1</w:t>
      </w:r>
      <w:r>
        <w:rPr>
          <w:rFonts w:ascii="宋体" w:hAnsi="宋体" w:cs="宋体"/>
          <w:sz w:val="28"/>
          <w:szCs w:val="28"/>
        </w:rPr>
        <w:t>18.35</w:t>
      </w:r>
      <w:r>
        <w:rPr>
          <w:rFonts w:hint="eastAsia" w:ascii="宋体" w:hAnsi="宋体" w:cs="宋体"/>
          <w:sz w:val="28"/>
          <w:szCs w:val="28"/>
        </w:rPr>
        <w:t>m，相应库容4</w:t>
      </w:r>
      <w:r>
        <w:rPr>
          <w:rFonts w:ascii="宋体" w:hAnsi="宋体" w:cs="宋体"/>
          <w:sz w:val="28"/>
          <w:szCs w:val="28"/>
        </w:rPr>
        <w:t>217</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，水库校核2</w:t>
      </w:r>
      <w:r>
        <w:rPr>
          <w:rFonts w:ascii="宋体" w:hAnsi="宋体" w:cs="宋体"/>
          <w:sz w:val="28"/>
          <w:szCs w:val="28"/>
        </w:rPr>
        <w:t>000</w:t>
      </w:r>
      <w:r>
        <w:rPr>
          <w:rFonts w:hint="eastAsia" w:ascii="宋体" w:hAnsi="宋体" w:cs="宋体"/>
          <w:sz w:val="28"/>
          <w:szCs w:val="28"/>
        </w:rPr>
        <w:t>年一遇洪水位1</w:t>
      </w:r>
      <w:r>
        <w:rPr>
          <w:rFonts w:ascii="宋体" w:hAnsi="宋体" w:cs="宋体"/>
          <w:sz w:val="28"/>
          <w:szCs w:val="28"/>
        </w:rPr>
        <w:t>20.33</w:t>
      </w:r>
      <w:r>
        <w:rPr>
          <w:rFonts w:hint="eastAsia" w:ascii="宋体" w:hAnsi="宋体" w:cs="宋体"/>
          <w:sz w:val="28"/>
          <w:szCs w:val="28"/>
        </w:rPr>
        <w:t>m，相应库容5</w:t>
      </w:r>
      <w:r>
        <w:rPr>
          <w:rFonts w:ascii="宋体" w:hAnsi="宋体" w:cs="宋体"/>
          <w:sz w:val="28"/>
          <w:szCs w:val="28"/>
        </w:rPr>
        <w:t>615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②琵琶寺水库</w:t>
      </w:r>
    </w:p>
    <w:p>
      <w:pPr>
        <w:spacing w:line="360" w:lineRule="auto"/>
        <w:ind w:firstLine="560" w:firstLineChars="200"/>
        <w:rPr>
          <w:rFonts w:ascii="宋体" w:hAnsi="宋体" w:cs="宋体"/>
          <w:sz w:val="28"/>
          <w:szCs w:val="28"/>
        </w:rPr>
      </w:pPr>
      <w:r>
        <w:rPr>
          <w:rFonts w:hint="eastAsia" w:ascii="宋体" w:hAnsi="宋体" w:cs="宋体"/>
          <w:sz w:val="28"/>
          <w:szCs w:val="28"/>
        </w:rPr>
        <w:t>琵琶寺水库位于永通河上，始建于1</w:t>
      </w:r>
      <w:r>
        <w:rPr>
          <w:rFonts w:ascii="宋体" w:hAnsi="宋体" w:cs="宋体"/>
          <w:sz w:val="28"/>
          <w:szCs w:val="28"/>
        </w:rPr>
        <w:t>957</w:t>
      </w:r>
      <w:r>
        <w:rPr>
          <w:rFonts w:hint="eastAsia" w:ascii="宋体" w:hAnsi="宋体" w:cs="宋体"/>
          <w:sz w:val="28"/>
          <w:szCs w:val="28"/>
        </w:rPr>
        <w:t>年，地处汤阴县宜沟镇西部约6km，控制流域面积3</w:t>
      </w:r>
      <w:r>
        <w:rPr>
          <w:rFonts w:ascii="宋体" w:hAnsi="宋体" w:cs="宋体"/>
          <w:sz w:val="28"/>
          <w:szCs w:val="28"/>
        </w:rPr>
        <w:t>0</w:t>
      </w:r>
      <w:r>
        <w:rPr>
          <w:rFonts w:hint="eastAsia" w:ascii="宋体" w:hAnsi="宋体" w:cs="宋体"/>
          <w:sz w:val="28"/>
          <w:szCs w:val="28"/>
        </w:rPr>
        <w:t>km</w:t>
      </w:r>
      <w:r>
        <w:rPr>
          <w:rFonts w:hint="eastAsia" w:ascii="宋体" w:hAnsi="宋体" w:cs="宋体"/>
          <w:sz w:val="28"/>
          <w:szCs w:val="28"/>
          <w:vertAlign w:val="superscript"/>
        </w:rPr>
        <w:t>2</w:t>
      </w:r>
      <w:r>
        <w:rPr>
          <w:rFonts w:hint="eastAsia" w:ascii="宋体" w:hAnsi="宋体" w:cs="宋体"/>
          <w:sz w:val="28"/>
          <w:szCs w:val="28"/>
        </w:rPr>
        <w:t>，总库容2</w:t>
      </w:r>
      <w:r>
        <w:rPr>
          <w:rFonts w:ascii="宋体" w:hAnsi="宋体" w:cs="宋体"/>
          <w:sz w:val="28"/>
          <w:szCs w:val="28"/>
        </w:rPr>
        <w:t>054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，兴利库容1</w:t>
      </w:r>
      <w:r>
        <w:rPr>
          <w:rFonts w:ascii="宋体" w:hAnsi="宋体" w:cs="宋体"/>
          <w:sz w:val="28"/>
          <w:szCs w:val="28"/>
        </w:rPr>
        <w:t>105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，是一座以防洪、灌溉为主，兼顾发电等综合利用的中型水库。水库经过历年的数次扩、续建和除险加固，现已达到1</w:t>
      </w:r>
      <w:r>
        <w:rPr>
          <w:rFonts w:ascii="宋体" w:hAnsi="宋体" w:cs="宋体"/>
          <w:sz w:val="28"/>
          <w:szCs w:val="28"/>
        </w:rPr>
        <w:t>00</w:t>
      </w:r>
      <w:r>
        <w:rPr>
          <w:rFonts w:hint="eastAsia" w:ascii="宋体" w:hAnsi="宋体" w:cs="宋体"/>
          <w:sz w:val="28"/>
          <w:szCs w:val="28"/>
        </w:rPr>
        <w:t>年一遇设计洪水标准、1</w:t>
      </w:r>
      <w:r>
        <w:rPr>
          <w:rFonts w:ascii="宋体" w:hAnsi="宋体" w:cs="宋体"/>
          <w:sz w:val="28"/>
          <w:szCs w:val="28"/>
        </w:rPr>
        <w:t>000</w:t>
      </w:r>
      <w:r>
        <w:rPr>
          <w:rFonts w:hint="eastAsia" w:ascii="宋体" w:hAnsi="宋体" w:cs="宋体"/>
          <w:sz w:val="28"/>
          <w:szCs w:val="28"/>
        </w:rPr>
        <w:t>年一遇校核洪水标准。</w:t>
      </w:r>
    </w:p>
    <w:p>
      <w:pPr>
        <w:spacing w:line="360" w:lineRule="auto"/>
        <w:ind w:firstLine="560" w:firstLineChars="200"/>
        <w:rPr>
          <w:rFonts w:ascii="宋体" w:hAnsi="宋体" w:cs="宋体"/>
          <w:sz w:val="28"/>
          <w:szCs w:val="28"/>
        </w:rPr>
      </w:pPr>
      <w:r>
        <w:rPr>
          <w:rFonts w:hint="eastAsia" w:ascii="宋体" w:hAnsi="宋体" w:cs="宋体"/>
          <w:sz w:val="28"/>
          <w:szCs w:val="28"/>
        </w:rPr>
        <w:t>③中张贾水库</w:t>
      </w:r>
    </w:p>
    <w:p>
      <w:pPr>
        <w:spacing w:line="360" w:lineRule="auto"/>
        <w:ind w:firstLine="560" w:firstLineChars="200"/>
        <w:rPr>
          <w:rFonts w:ascii="宋体" w:hAnsi="宋体" w:cs="宋体"/>
          <w:sz w:val="28"/>
          <w:szCs w:val="28"/>
        </w:rPr>
      </w:pPr>
      <w:r>
        <w:rPr>
          <w:rFonts w:hint="eastAsia" w:ascii="宋体" w:hAnsi="宋体" w:cs="宋体"/>
          <w:sz w:val="28"/>
          <w:szCs w:val="28"/>
        </w:rPr>
        <w:t>中张贾水库坐落于汤河上游，汤河水库下游中张贾村，控制流域面积2</w:t>
      </w:r>
      <w:r>
        <w:rPr>
          <w:rFonts w:ascii="宋体" w:hAnsi="宋体" w:cs="宋体"/>
          <w:sz w:val="28"/>
          <w:szCs w:val="28"/>
        </w:rPr>
        <w:t>9.3</w:t>
      </w:r>
      <w:r>
        <w:rPr>
          <w:rFonts w:hint="eastAsia" w:ascii="宋体" w:hAnsi="宋体" w:cs="宋体"/>
          <w:sz w:val="28"/>
          <w:szCs w:val="28"/>
        </w:rPr>
        <w:t>km</w:t>
      </w:r>
      <w:r>
        <w:rPr>
          <w:rFonts w:ascii="宋体" w:hAnsi="宋体" w:cs="宋体"/>
          <w:sz w:val="28"/>
          <w:szCs w:val="28"/>
          <w:vertAlign w:val="superscript"/>
        </w:rPr>
        <w:t>2</w:t>
      </w:r>
      <w:r>
        <w:rPr>
          <w:rFonts w:hint="eastAsia" w:ascii="宋体" w:hAnsi="宋体" w:cs="宋体"/>
          <w:sz w:val="28"/>
          <w:szCs w:val="28"/>
        </w:rPr>
        <w:t>，总库容3</w:t>
      </w:r>
      <w:r>
        <w:rPr>
          <w:rFonts w:ascii="宋体" w:hAnsi="宋体" w:cs="宋体"/>
          <w:sz w:val="28"/>
          <w:szCs w:val="28"/>
        </w:rPr>
        <w:t>76</w:t>
      </w:r>
      <w:r>
        <w:rPr>
          <w:rFonts w:hint="eastAsia" w:ascii="宋体" w:hAnsi="宋体" w:cs="宋体"/>
          <w:sz w:val="28"/>
          <w:szCs w:val="28"/>
        </w:rPr>
        <w:t>万m</w:t>
      </w:r>
      <w:r>
        <w:rPr>
          <w:rFonts w:ascii="宋体" w:hAnsi="宋体" w:cs="宋体"/>
          <w:sz w:val="28"/>
          <w:szCs w:val="28"/>
          <w:vertAlign w:val="superscript"/>
        </w:rPr>
        <w:t>3</w:t>
      </w:r>
      <w:r>
        <w:rPr>
          <w:rFonts w:hint="eastAsia" w:ascii="宋体" w:hAnsi="宋体" w:cs="宋体"/>
          <w:sz w:val="28"/>
          <w:szCs w:val="28"/>
        </w:rPr>
        <w:t>，兴利库容3</w:t>
      </w:r>
      <w:r>
        <w:rPr>
          <w:rFonts w:ascii="宋体" w:hAnsi="宋体" w:cs="宋体"/>
          <w:sz w:val="28"/>
          <w:szCs w:val="28"/>
        </w:rPr>
        <w:t>2</w:t>
      </w:r>
      <w:r>
        <w:rPr>
          <w:rFonts w:hint="eastAsia" w:ascii="宋体" w:hAnsi="宋体" w:cs="宋体"/>
          <w:sz w:val="28"/>
          <w:szCs w:val="28"/>
        </w:rPr>
        <w:t>万m</w:t>
      </w:r>
      <w:r>
        <w:rPr>
          <w:rFonts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各水库基本情况见下表：</w:t>
      </w:r>
    </w:p>
    <w:p>
      <w:pPr>
        <w:ind w:firstLine="560" w:firstLineChars="200"/>
        <w:jc w:val="center"/>
        <w:rPr>
          <w:rFonts w:ascii="宋体" w:hAnsi="宋体" w:cs="宋体"/>
          <w:sz w:val="28"/>
          <w:szCs w:val="28"/>
        </w:rPr>
      </w:pPr>
      <w:r>
        <w:rPr>
          <w:rFonts w:hint="eastAsia" w:ascii="宋体" w:hAnsi="宋体" w:cs="宋体"/>
          <w:sz w:val="28"/>
          <w:szCs w:val="28"/>
        </w:rPr>
        <w:t>表</w:t>
      </w:r>
      <w:r>
        <w:rPr>
          <w:rFonts w:ascii="宋体" w:hAnsi="宋体" w:cs="宋体"/>
          <w:sz w:val="28"/>
          <w:szCs w:val="28"/>
        </w:rPr>
        <w:t>1.3</w:t>
      </w: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汤阴县境内水库工程基本情况表</w:t>
      </w:r>
    </w:p>
    <w:tbl>
      <w:tblPr>
        <w:tblStyle w:val="26"/>
        <w:tblW w:w="5000" w:type="pct"/>
        <w:tblInd w:w="0" w:type="dxa"/>
        <w:tblLayout w:type="autofit"/>
        <w:tblCellMar>
          <w:top w:w="0" w:type="dxa"/>
          <w:left w:w="108" w:type="dxa"/>
          <w:bottom w:w="0" w:type="dxa"/>
          <w:right w:w="108" w:type="dxa"/>
        </w:tblCellMar>
      </w:tblPr>
      <w:tblGrid>
        <w:gridCol w:w="675"/>
        <w:gridCol w:w="1418"/>
        <w:gridCol w:w="1134"/>
        <w:gridCol w:w="993"/>
        <w:gridCol w:w="1277"/>
        <w:gridCol w:w="1416"/>
        <w:gridCol w:w="1121"/>
        <w:gridCol w:w="1140"/>
      </w:tblGrid>
      <w:tr>
        <w:tblPrEx>
          <w:tblCellMar>
            <w:top w:w="0" w:type="dxa"/>
            <w:left w:w="108" w:type="dxa"/>
            <w:bottom w:w="0" w:type="dxa"/>
            <w:right w:w="108" w:type="dxa"/>
          </w:tblCellMar>
        </w:tblPrEx>
        <w:trPr>
          <w:trHeight w:val="570" w:hRule="atLeast"/>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77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名称</w:t>
            </w:r>
          </w:p>
        </w:tc>
        <w:tc>
          <w:tcPr>
            <w:tcW w:w="6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规模</w:t>
            </w:r>
          </w:p>
        </w:tc>
        <w:tc>
          <w:tcPr>
            <w:tcW w:w="5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所在河流</w:t>
            </w:r>
          </w:p>
        </w:tc>
        <w:tc>
          <w:tcPr>
            <w:tcW w:w="6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总库容（万m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77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兴利库容（万m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61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流域面积（km</w:t>
            </w:r>
            <w:r>
              <w:rPr>
                <w:rFonts w:hint="eastAsia" w:ascii="等线" w:hAnsi="等线" w:eastAsia="等线" w:cs="宋体"/>
                <w:color w:val="000000"/>
                <w:kern w:val="0"/>
                <w:sz w:val="22"/>
                <w:szCs w:val="22"/>
                <w:vertAlign w:val="superscript"/>
              </w:rPr>
              <w:t>2</w:t>
            </w:r>
            <w:r>
              <w:rPr>
                <w:rFonts w:hint="eastAsia" w:ascii="等线" w:hAnsi="等线" w:eastAsia="等线" w:cs="宋体"/>
                <w:color w:val="000000"/>
                <w:kern w:val="0"/>
                <w:sz w:val="22"/>
                <w:szCs w:val="22"/>
              </w:rPr>
              <w:t>）</w:t>
            </w:r>
          </w:p>
        </w:tc>
        <w:tc>
          <w:tcPr>
            <w:tcW w:w="62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功能</w:t>
            </w:r>
          </w:p>
        </w:tc>
      </w:tr>
      <w:tr>
        <w:tblPrEx>
          <w:tblCellMar>
            <w:top w:w="0" w:type="dxa"/>
            <w:left w:w="108" w:type="dxa"/>
            <w:bottom w:w="0" w:type="dxa"/>
            <w:right w:w="108" w:type="dxa"/>
          </w:tblCellMar>
        </w:tblPrEx>
        <w:trPr>
          <w:trHeight w:val="285"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汤河水库</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w:t>
            </w:r>
          </w:p>
        </w:tc>
        <w:tc>
          <w:tcPr>
            <w:tcW w:w="54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5615</w:t>
            </w:r>
          </w:p>
        </w:tc>
        <w:tc>
          <w:tcPr>
            <w:tcW w:w="77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2069</w:t>
            </w:r>
          </w:p>
        </w:tc>
        <w:tc>
          <w:tcPr>
            <w:tcW w:w="61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162</w:t>
            </w:r>
          </w:p>
        </w:tc>
        <w:tc>
          <w:tcPr>
            <w:tcW w:w="6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防洪灌溉</w:t>
            </w:r>
          </w:p>
        </w:tc>
      </w:tr>
      <w:tr>
        <w:tblPrEx>
          <w:tblCellMar>
            <w:top w:w="0" w:type="dxa"/>
            <w:left w:w="108" w:type="dxa"/>
            <w:bottom w:w="0" w:type="dxa"/>
            <w:right w:w="108" w:type="dxa"/>
          </w:tblCellMar>
        </w:tblPrEx>
        <w:trPr>
          <w:trHeight w:val="299"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琵琶寺水库</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w:t>
            </w:r>
          </w:p>
        </w:tc>
        <w:tc>
          <w:tcPr>
            <w:tcW w:w="54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永通河</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2054</w:t>
            </w:r>
          </w:p>
        </w:tc>
        <w:tc>
          <w:tcPr>
            <w:tcW w:w="77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1105</w:t>
            </w:r>
          </w:p>
        </w:tc>
        <w:tc>
          <w:tcPr>
            <w:tcW w:w="61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w:t>
            </w:r>
          </w:p>
        </w:tc>
        <w:tc>
          <w:tcPr>
            <w:tcW w:w="6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防洪灌溉</w:t>
            </w:r>
          </w:p>
        </w:tc>
      </w:tr>
      <w:tr>
        <w:tblPrEx>
          <w:tblCellMar>
            <w:top w:w="0" w:type="dxa"/>
            <w:left w:w="108" w:type="dxa"/>
            <w:bottom w:w="0" w:type="dxa"/>
            <w:right w:w="108" w:type="dxa"/>
          </w:tblCellMar>
        </w:tblPrEx>
        <w:trPr>
          <w:trHeight w:val="417" w:hRule="atLeast"/>
        </w:trPr>
        <w:tc>
          <w:tcPr>
            <w:tcW w:w="36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中张贾水库</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小（1）</w:t>
            </w:r>
          </w:p>
        </w:tc>
        <w:tc>
          <w:tcPr>
            <w:tcW w:w="54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w:t>
            </w:r>
          </w:p>
        </w:tc>
        <w:tc>
          <w:tcPr>
            <w:tcW w:w="6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376</w:t>
            </w:r>
          </w:p>
        </w:tc>
        <w:tc>
          <w:tcPr>
            <w:tcW w:w="77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61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29.3</w:t>
            </w:r>
          </w:p>
        </w:tc>
        <w:tc>
          <w:tcPr>
            <w:tcW w:w="6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防洪</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2）灌区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①汤河灌区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河灌区是漳南灌区的子灌区。汤河灌区位于羑河以南，淤泥河、永通河以北，分布于汤河上游南北两岸，设计灌溉面积10.7万亩，有效灌溉面积7.0万亩，是一处以自流灌溉为主、自流与提灌相结合的中型灌区。灌区有总干渠一条，长2.5km，有汤北干渠、五里岗干渠、汤南干渠三条干渠，总长48.1km，各干渠建有支、斗渠，共有支渠20条，长61.5km，斗渠78条，长148km。沿渠建有提灌站6处，干支渠建有桥、涵、闸建筑物747座。</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②琵琶寺灌区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琵琶寺灌区初建于1958年，1959年建成并投入使用，主要承担着宜沟镇所辖23个村庄的灌溉和乡镇企业供水。灌区于七十年代中期进行了改、扩建，对三条干渠进行了改造，使灌区灌溉面积增至8.0万亩，但当时由于受资金和施工条件限制，建筑材料和施工质量差，灌区不能正常发挥效益，实际面积只有4万亩。灌区骨干工程现有总干渠、南干渠、北干三条干渠，总长度22.1km，支渠12条，总长度50.27km，砌石渠道的完好率仅为30％：共有渠系建筑物103座，工程完好率仅为2</w:t>
      </w:r>
      <w:r>
        <w:rPr>
          <w:rFonts w:asciiTheme="minorEastAsia" w:hAnsiTheme="minorEastAsia" w:eastAsiaTheme="minorEastAsia"/>
          <w:sz w:val="28"/>
          <w:szCs w:val="28"/>
        </w:rPr>
        <w:t>0</w:t>
      </w:r>
      <w:r>
        <w:rPr>
          <w:rFonts w:hint="eastAsia" w:asciiTheme="minorEastAsia" w:hAnsiTheme="minorEastAsia" w:eastAsiaTheme="minorEastAsia"/>
          <w:sz w:val="28"/>
          <w:szCs w:val="28"/>
        </w:rPr>
        <w:t>%。其中总干渠从琵琶寺水库泄洪洞引水口至营耳，总长度6.6km，比降1/6600，设计流量5m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/s，三条支渠分别自总干渠4＋100、4＋100、5+</w:t>
      </w:r>
      <w:r>
        <w:rPr>
          <w:rFonts w:asciiTheme="minorEastAsia" w:hAnsiTheme="minorEastAsia" w:eastAsiaTheme="minorEastAsia"/>
          <w:sz w:val="28"/>
          <w:szCs w:val="28"/>
        </w:rPr>
        <w:t>85</w:t>
      </w:r>
      <w:r>
        <w:rPr>
          <w:rFonts w:hint="eastAsia" w:asciiTheme="minorEastAsia" w:hAnsiTheme="minorEastAsia" w:eastAsiaTheme="minorEastAsia"/>
          <w:sz w:val="28"/>
          <w:szCs w:val="28"/>
        </w:rPr>
        <w:t>0处引水，总长12.97km；北千渠从琵琶寺水库北灌溉洞引水至南阳庄，总长度10.0km，比降1/2500，设计流量1.1m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/s，四条支采分别自总干渠0＋010、2＋200、6＋600处及干渠末引水，总长19.25km；南干渠从琵琶寺水库南灌溉洞引至盖族，总长度5.5km，比降1/4000，设计流量1.0m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/s，五条支渠分别自总干渠2＋200、2＋650、4＋600、6＋120处及干渠末引水，总长18.05km。</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田间配水渠道斗渠116条，总长度88.1km，农渠共有306条，总长度70.9km，现状均为土渠；配水渠系共有建筑物839座，已全部损毁。</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目前，汤阴县琵琶寺灌区节水配套改造项目正在实施，主要内容为对琵琶寺灌区北干渠、南干渠、北干一支渠骨干工程进行节水配套改造。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③五陵灌区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五陵南小章电灌站灌区位于汤阴县五陵镇南小章村卫河左岸，通过提灌泵站引卫河水灌溉，涉及五陵镇1个乡镇，灌区内共有</w:t>
      </w:r>
      <w:r>
        <w:rPr>
          <w:rFonts w:asciiTheme="minorEastAsia" w:hAnsiTheme="minorEastAsia" w:eastAsiaTheme="minorEastAsia"/>
          <w:sz w:val="28"/>
          <w:szCs w:val="28"/>
        </w:rPr>
        <w:t>1</w:t>
      </w:r>
      <w:r>
        <w:rPr>
          <w:rFonts w:hint="eastAsia" w:asciiTheme="minorEastAsia" w:hAnsiTheme="minorEastAsia" w:eastAsiaTheme="minorEastAsia"/>
          <w:sz w:val="28"/>
          <w:szCs w:val="28"/>
        </w:rPr>
        <w:t>4个自然村，总人口2.42万人，其中农业人口2.42万人。五陵灌区设计扬程26m，装机6台，装机容量690千瓦，配有500千伏安变压器2台，设计提水流量3.0m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/s，80年配套有效灌溉面积2.0万亩，2000年后有效面积1.3万亩，2015年实际灌溉面积0.75万亩。目前，灌区内有干渠1条，长8.8km；支渠2条，长18.5km；斗、农渠143.5km；渠系配套建筑物112座。</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2015年～2020年，汤阴县水利局对五陵灌区进行了节水技术改造。目前，尚有部分干支渠未改造。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④瓦岗灌区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瓦岗灌区位于汤阴县东南部火龙岗地区，灌区控制面积</w:t>
      </w:r>
      <w:r>
        <w:rPr>
          <w:rFonts w:asciiTheme="minorEastAsia" w:hAnsiTheme="minorEastAsia" w:eastAsiaTheme="minorEastAsia"/>
          <w:sz w:val="28"/>
          <w:szCs w:val="28"/>
        </w:rPr>
        <w:t>59.78</w:t>
      </w:r>
      <w:r>
        <w:rPr>
          <w:rFonts w:hint="eastAsia" w:asciiTheme="minorEastAsia" w:hAnsiTheme="minorEastAsia" w:eastAsiaTheme="minorEastAsia"/>
          <w:sz w:val="28"/>
          <w:szCs w:val="28"/>
        </w:rPr>
        <w:t>km</w:t>
      </w:r>
      <w:r>
        <w:rPr>
          <w:rFonts w:hint="eastAsia" w:asciiTheme="minorEastAsia" w:hAnsiTheme="minorEastAsia" w:eastAsiaTheme="minorEastAsia"/>
          <w:sz w:val="28"/>
          <w:szCs w:val="28"/>
          <w:vertAlign w:val="superscript"/>
        </w:rPr>
        <w:t>2</w:t>
      </w:r>
      <w:r>
        <w:rPr>
          <w:rFonts w:hint="eastAsia" w:asciiTheme="minorEastAsia" w:hAnsiTheme="minorEastAsia" w:eastAsiaTheme="minorEastAsia"/>
          <w:sz w:val="28"/>
          <w:szCs w:val="28"/>
        </w:rPr>
        <w:t>，总耕地面积6</w:t>
      </w:r>
      <w:r>
        <w:rPr>
          <w:rFonts w:asciiTheme="minorEastAsia" w:hAnsiTheme="minorEastAsia" w:eastAsiaTheme="minorEastAsia"/>
          <w:sz w:val="28"/>
          <w:szCs w:val="28"/>
        </w:rPr>
        <w:t>.76</w:t>
      </w:r>
      <w:r>
        <w:rPr>
          <w:rFonts w:hint="eastAsia" w:asciiTheme="minorEastAsia" w:hAnsiTheme="minorEastAsia" w:eastAsiaTheme="minorEastAsia"/>
          <w:sz w:val="28"/>
          <w:szCs w:val="28"/>
        </w:rPr>
        <w:t>万亩，设计灌溉面积6.4万亩，有效灌溉面积0.87万亩。涉及瓦岗1乡19个行政村，总人口3.73万人。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瓦岗灌区始建于1966年，灌区与火龙岗东侧修建五级提灌站提卫河水灌溉，灌区1～5级提灌站总装机容量1810KW，干渠10条，共38.16km，支渠63条，共25.44km，斗、农、毛渠35km。渠系建筑物63座，机房及生活用房66间，面积1864㎡。</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灌区经过2016年节水技改及2018～2020年地下水压采方案的治理后，灌区内渠系基本完整，能够正常运行。</w:t>
      </w:r>
    </w:p>
    <w:p>
      <w:pPr>
        <w:spacing w:line="360" w:lineRule="auto"/>
        <w:ind w:firstLine="560" w:firstLineChars="200"/>
        <w:rPr>
          <w:rFonts w:asciiTheme="minorEastAsia" w:hAnsiTheme="minorEastAsia" w:eastAsiaTheme="minorEastAsia"/>
          <w:sz w:val="28"/>
          <w:szCs w:val="28"/>
        </w:rPr>
      </w:pPr>
    </w:p>
    <w:p>
      <w:pPr>
        <w:ind w:firstLine="560" w:firstLineChars="200"/>
        <w:jc w:val="center"/>
        <w:rPr>
          <w:rFonts w:ascii="宋体" w:hAnsi="宋体" w:cs="宋体"/>
          <w:sz w:val="28"/>
          <w:szCs w:val="28"/>
        </w:rPr>
      </w:pPr>
      <w:r>
        <w:rPr>
          <w:rFonts w:hint="eastAsia" w:ascii="宋体" w:hAnsi="宋体" w:cs="宋体"/>
          <w:sz w:val="28"/>
          <w:szCs w:val="28"/>
        </w:rPr>
        <w:t>表</w:t>
      </w:r>
      <w:r>
        <w:rPr>
          <w:rFonts w:ascii="宋体" w:hAnsi="宋体" w:cs="宋体"/>
          <w:sz w:val="28"/>
          <w:szCs w:val="28"/>
        </w:rPr>
        <w:t>1.3</w:t>
      </w: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汤阴县大中型灌区基本情况表</w:t>
      </w:r>
    </w:p>
    <w:tbl>
      <w:tblPr>
        <w:tblStyle w:val="26"/>
        <w:tblW w:w="5000" w:type="pct"/>
        <w:tblInd w:w="0" w:type="dxa"/>
        <w:tblLayout w:type="autofit"/>
        <w:tblCellMar>
          <w:top w:w="0" w:type="dxa"/>
          <w:left w:w="108" w:type="dxa"/>
          <w:bottom w:w="0" w:type="dxa"/>
          <w:right w:w="108" w:type="dxa"/>
        </w:tblCellMar>
      </w:tblPr>
      <w:tblGrid>
        <w:gridCol w:w="1497"/>
        <w:gridCol w:w="1227"/>
        <w:gridCol w:w="1538"/>
        <w:gridCol w:w="1536"/>
        <w:gridCol w:w="1226"/>
        <w:gridCol w:w="921"/>
        <w:gridCol w:w="1229"/>
      </w:tblGrid>
      <w:tr>
        <w:tblPrEx>
          <w:tblCellMar>
            <w:top w:w="0" w:type="dxa"/>
            <w:left w:w="108" w:type="dxa"/>
            <w:bottom w:w="0" w:type="dxa"/>
            <w:right w:w="108" w:type="dxa"/>
          </w:tblCellMar>
        </w:tblPrEx>
        <w:trPr>
          <w:trHeight w:val="855" w:hRule="atLeast"/>
        </w:trPr>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灌区名称</w:t>
            </w:r>
          </w:p>
        </w:tc>
        <w:tc>
          <w:tcPr>
            <w:tcW w:w="6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类型</w:t>
            </w:r>
          </w:p>
        </w:tc>
        <w:tc>
          <w:tcPr>
            <w:tcW w:w="8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设计灌溉面积（万亩）</w:t>
            </w:r>
          </w:p>
        </w:tc>
        <w:tc>
          <w:tcPr>
            <w:tcW w:w="83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有效灌溉面积（万亩）</w:t>
            </w:r>
          </w:p>
        </w:tc>
        <w:tc>
          <w:tcPr>
            <w:tcW w:w="6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水源</w:t>
            </w:r>
          </w:p>
        </w:tc>
        <w:tc>
          <w:tcPr>
            <w:tcW w:w="5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灌溉型式</w:t>
            </w:r>
          </w:p>
        </w:tc>
        <w:tc>
          <w:tcPr>
            <w:tcW w:w="67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干渠长度（km）</w:t>
            </w:r>
          </w:p>
        </w:tc>
      </w:tr>
      <w:tr>
        <w:tblPrEx>
          <w:tblCellMar>
            <w:top w:w="0" w:type="dxa"/>
            <w:left w:w="108" w:type="dxa"/>
            <w:bottom w:w="0" w:type="dxa"/>
            <w:right w:w="108" w:type="dxa"/>
          </w:tblCellMar>
        </w:tblPrEx>
        <w:trPr>
          <w:trHeight w:val="285" w:hRule="atLeast"/>
        </w:trPr>
        <w:tc>
          <w:tcPr>
            <w:tcW w:w="81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汤河灌区</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中型灌区</w:t>
            </w:r>
          </w:p>
        </w:tc>
        <w:tc>
          <w:tcPr>
            <w:tcW w:w="83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10.7</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6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汤河水库</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6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2.5</w:t>
            </w:r>
          </w:p>
        </w:tc>
      </w:tr>
      <w:tr>
        <w:tblPrEx>
          <w:tblCellMar>
            <w:top w:w="0" w:type="dxa"/>
            <w:left w:w="108" w:type="dxa"/>
            <w:bottom w:w="0" w:type="dxa"/>
            <w:right w:w="108" w:type="dxa"/>
          </w:tblCellMar>
        </w:tblPrEx>
        <w:trPr>
          <w:trHeight w:val="570" w:hRule="atLeast"/>
        </w:trPr>
        <w:tc>
          <w:tcPr>
            <w:tcW w:w="81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琵琶寺灌区</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中型灌区</w:t>
            </w:r>
          </w:p>
        </w:tc>
        <w:tc>
          <w:tcPr>
            <w:tcW w:w="83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6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淇河</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6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22.1</w:t>
            </w:r>
          </w:p>
        </w:tc>
      </w:tr>
      <w:tr>
        <w:tblPrEx>
          <w:tblCellMar>
            <w:top w:w="0" w:type="dxa"/>
            <w:left w:w="108" w:type="dxa"/>
            <w:bottom w:w="0" w:type="dxa"/>
            <w:right w:w="108" w:type="dxa"/>
          </w:tblCellMar>
        </w:tblPrEx>
        <w:trPr>
          <w:trHeight w:val="285" w:hRule="atLeast"/>
        </w:trPr>
        <w:tc>
          <w:tcPr>
            <w:tcW w:w="81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五陵灌区</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中型灌区</w:t>
            </w:r>
          </w:p>
        </w:tc>
        <w:tc>
          <w:tcPr>
            <w:tcW w:w="83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6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卫河</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6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8.8</w:t>
            </w:r>
          </w:p>
        </w:tc>
      </w:tr>
      <w:tr>
        <w:tblPrEx>
          <w:tblCellMar>
            <w:top w:w="0" w:type="dxa"/>
            <w:left w:w="108" w:type="dxa"/>
            <w:bottom w:w="0" w:type="dxa"/>
            <w:right w:w="108" w:type="dxa"/>
          </w:tblCellMar>
        </w:tblPrEx>
        <w:trPr>
          <w:trHeight w:val="285" w:hRule="atLeast"/>
        </w:trPr>
        <w:tc>
          <w:tcPr>
            <w:tcW w:w="81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瓦岗灌区</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中型灌区</w:t>
            </w:r>
          </w:p>
        </w:tc>
        <w:tc>
          <w:tcPr>
            <w:tcW w:w="83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6.4</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0.87</w:t>
            </w:r>
          </w:p>
        </w:tc>
        <w:tc>
          <w:tcPr>
            <w:tcW w:w="6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卫河</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6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38.16</w:t>
            </w:r>
          </w:p>
        </w:tc>
      </w:tr>
      <w:tr>
        <w:tblPrEx>
          <w:tblCellMar>
            <w:top w:w="0" w:type="dxa"/>
            <w:left w:w="108" w:type="dxa"/>
            <w:bottom w:w="0" w:type="dxa"/>
            <w:right w:w="108" w:type="dxa"/>
          </w:tblCellMar>
        </w:tblPrEx>
        <w:trPr>
          <w:trHeight w:val="285" w:hRule="atLeast"/>
        </w:trPr>
        <w:tc>
          <w:tcPr>
            <w:tcW w:w="81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3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27.1</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13.17</w:t>
            </w:r>
          </w:p>
        </w:tc>
        <w:tc>
          <w:tcPr>
            <w:tcW w:w="6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71.56</w:t>
            </w:r>
          </w:p>
        </w:tc>
      </w:tr>
    </w:tbl>
    <w:p>
      <w:pPr>
        <w:spacing w:line="360" w:lineRule="auto"/>
        <w:ind w:firstLine="560" w:firstLineChars="200"/>
        <w:rPr>
          <w:rFonts w:ascii="宋体" w:hAnsi="宋体" w:cs="宋体"/>
          <w:sz w:val="28"/>
          <w:szCs w:val="28"/>
        </w:rPr>
      </w:pPr>
      <w:r>
        <w:rPr>
          <w:rFonts w:ascii="宋体" w:hAnsi="宋体" w:cs="宋体"/>
          <w:sz w:val="28"/>
          <w:szCs w:val="28"/>
        </w:rPr>
        <w:t>3</w:t>
      </w:r>
      <w:r>
        <w:rPr>
          <w:rFonts w:hint="eastAsia" w:ascii="宋体" w:hAnsi="宋体" w:cs="宋体"/>
          <w:sz w:val="28"/>
          <w:szCs w:val="28"/>
        </w:rPr>
        <w:t>）地下水工程</w:t>
      </w:r>
    </w:p>
    <w:p>
      <w:pPr>
        <w:spacing w:line="360" w:lineRule="auto"/>
        <w:ind w:firstLine="560" w:firstLineChars="200"/>
        <w:rPr>
          <w:rFonts w:ascii="宋体" w:hAnsi="宋体" w:cs="宋体"/>
          <w:sz w:val="28"/>
          <w:szCs w:val="28"/>
        </w:rPr>
      </w:pPr>
      <w:r>
        <w:rPr>
          <w:rFonts w:hint="eastAsia" w:ascii="宋体" w:hAnsi="宋体" w:cs="宋体"/>
          <w:sz w:val="28"/>
          <w:szCs w:val="28"/>
        </w:rPr>
        <w:t>现状年全县灌溉机电井5</w:t>
      </w:r>
      <w:r>
        <w:rPr>
          <w:rFonts w:ascii="宋体" w:hAnsi="宋体" w:cs="宋体"/>
          <w:sz w:val="28"/>
          <w:szCs w:val="28"/>
        </w:rPr>
        <w:t>791</w:t>
      </w:r>
      <w:r>
        <w:rPr>
          <w:rFonts w:hint="eastAsia" w:ascii="宋体" w:hAnsi="宋体" w:cs="宋体"/>
          <w:sz w:val="28"/>
          <w:szCs w:val="28"/>
        </w:rPr>
        <w:t>眼，均为浅层地下水机电井。</w:t>
      </w:r>
    </w:p>
    <w:p>
      <w:pPr>
        <w:ind w:firstLine="560" w:firstLineChars="200"/>
        <w:jc w:val="center"/>
        <w:rPr>
          <w:rFonts w:ascii="宋体" w:hAnsi="宋体" w:cs="宋体"/>
          <w:sz w:val="28"/>
          <w:szCs w:val="28"/>
        </w:rPr>
      </w:pPr>
      <w:r>
        <w:rPr>
          <w:rFonts w:hint="eastAsia" w:ascii="宋体" w:hAnsi="宋体" w:cs="宋体"/>
          <w:sz w:val="28"/>
          <w:szCs w:val="28"/>
        </w:rPr>
        <w:t>表</w:t>
      </w:r>
      <w:r>
        <w:rPr>
          <w:rFonts w:ascii="宋体" w:hAnsi="宋体" w:cs="宋体"/>
          <w:sz w:val="28"/>
          <w:szCs w:val="28"/>
        </w:rPr>
        <w:t>1.3</w:t>
      </w:r>
      <w:r>
        <w:rPr>
          <w:rFonts w:hint="eastAsia" w:ascii="宋体" w:hAnsi="宋体" w:cs="宋体"/>
          <w:sz w:val="28"/>
          <w:szCs w:val="28"/>
        </w:rPr>
        <w:t>-</w:t>
      </w:r>
      <w:r>
        <w:rPr>
          <w:rFonts w:ascii="宋体" w:hAnsi="宋体" w:cs="宋体"/>
          <w:sz w:val="28"/>
          <w:szCs w:val="28"/>
        </w:rPr>
        <w:t xml:space="preserve">4  </w:t>
      </w:r>
      <w:r>
        <w:rPr>
          <w:rFonts w:hint="eastAsia" w:ascii="宋体" w:hAnsi="宋体" w:cs="宋体"/>
          <w:sz w:val="28"/>
          <w:szCs w:val="28"/>
        </w:rPr>
        <w:t>汤阴县灌溉机井情况表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26"/>
        <w:gridCol w:w="827"/>
        <w:gridCol w:w="827"/>
        <w:gridCol w:w="827"/>
        <w:gridCol w:w="888"/>
        <w:gridCol w:w="844"/>
        <w:gridCol w:w="844"/>
        <w:gridCol w:w="844"/>
        <w:gridCol w:w="844"/>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77"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453"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菜园镇</w:t>
            </w:r>
          </w:p>
        </w:tc>
        <w:tc>
          <w:tcPr>
            <w:tcW w:w="453"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任固镇</w:t>
            </w:r>
          </w:p>
        </w:tc>
        <w:tc>
          <w:tcPr>
            <w:tcW w:w="453"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宜沟镇</w:t>
            </w:r>
          </w:p>
        </w:tc>
        <w:tc>
          <w:tcPr>
            <w:tcW w:w="453"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五陵镇</w:t>
            </w:r>
          </w:p>
        </w:tc>
        <w:tc>
          <w:tcPr>
            <w:tcW w:w="486"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韩庄乡</w:t>
            </w:r>
          </w:p>
        </w:tc>
        <w:tc>
          <w:tcPr>
            <w:tcW w:w="462"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白营乡</w:t>
            </w:r>
          </w:p>
        </w:tc>
        <w:tc>
          <w:tcPr>
            <w:tcW w:w="462"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古贤乡</w:t>
            </w:r>
          </w:p>
        </w:tc>
        <w:tc>
          <w:tcPr>
            <w:tcW w:w="462"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伏道乡</w:t>
            </w:r>
          </w:p>
        </w:tc>
        <w:tc>
          <w:tcPr>
            <w:tcW w:w="462"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瓦岗乡</w:t>
            </w:r>
          </w:p>
        </w:tc>
        <w:tc>
          <w:tcPr>
            <w:tcW w:w="377" w:type="pct"/>
            <w:shd w:val="clear" w:color="auto" w:fill="auto"/>
            <w:vAlign w:val="center"/>
          </w:tcPr>
          <w:p>
            <w:pPr>
              <w:widowControl/>
              <w:jc w:val="center"/>
              <w:rPr>
                <w:rFonts w:ascii="微软雅黑" w:hAnsi="微软雅黑" w:eastAsia="微软雅黑" w:cs="宋体"/>
                <w:color w:val="000000"/>
                <w:kern w:val="0"/>
                <w:sz w:val="20"/>
              </w:rPr>
            </w:pPr>
            <w:r>
              <w:rPr>
                <w:rFonts w:hint="eastAsia" w:ascii="微软雅黑" w:hAnsi="微软雅黑" w:eastAsia="微软雅黑" w:cs="宋体"/>
                <w:color w:val="000000"/>
                <w:kern w:val="0"/>
                <w:sz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77"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可用机井</w:t>
            </w:r>
          </w:p>
        </w:tc>
        <w:tc>
          <w:tcPr>
            <w:tcW w:w="45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1068</w:t>
            </w:r>
          </w:p>
        </w:tc>
        <w:tc>
          <w:tcPr>
            <w:tcW w:w="45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1081</w:t>
            </w:r>
          </w:p>
        </w:tc>
        <w:tc>
          <w:tcPr>
            <w:tcW w:w="45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380</w:t>
            </w:r>
          </w:p>
        </w:tc>
        <w:tc>
          <w:tcPr>
            <w:tcW w:w="45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906</w:t>
            </w:r>
          </w:p>
        </w:tc>
        <w:tc>
          <w:tcPr>
            <w:tcW w:w="48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97</w:t>
            </w:r>
          </w:p>
        </w:tc>
        <w:tc>
          <w:tcPr>
            <w:tcW w:w="46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431</w:t>
            </w:r>
          </w:p>
        </w:tc>
        <w:tc>
          <w:tcPr>
            <w:tcW w:w="46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876</w:t>
            </w:r>
          </w:p>
        </w:tc>
        <w:tc>
          <w:tcPr>
            <w:tcW w:w="46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556</w:t>
            </w:r>
          </w:p>
        </w:tc>
        <w:tc>
          <w:tcPr>
            <w:tcW w:w="46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396</w:t>
            </w:r>
          </w:p>
        </w:tc>
        <w:tc>
          <w:tcPr>
            <w:tcW w:w="377"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5791</w:t>
            </w:r>
          </w:p>
        </w:tc>
      </w:tr>
    </w:tbl>
    <w:p>
      <w:pPr>
        <w:spacing w:line="360" w:lineRule="auto"/>
        <w:ind w:firstLine="560" w:firstLineChars="200"/>
        <w:rPr>
          <w:rFonts w:ascii="宋体" w:hAnsi="宋体" w:cs="宋体"/>
          <w:sz w:val="28"/>
          <w:szCs w:val="28"/>
        </w:rPr>
      </w:pPr>
      <w:r>
        <w:rPr>
          <w:rFonts w:ascii="宋体" w:hAnsi="宋体" w:cs="宋体"/>
          <w:sz w:val="28"/>
          <w:szCs w:val="28"/>
        </w:rPr>
        <w:t>4</w:t>
      </w:r>
      <w:r>
        <w:rPr>
          <w:rFonts w:hint="eastAsia" w:ascii="宋体" w:hAnsi="宋体" w:cs="宋体"/>
          <w:sz w:val="28"/>
          <w:szCs w:val="28"/>
        </w:rPr>
        <w:t>）水闸、泵站、塘坝等工程</w:t>
      </w:r>
    </w:p>
    <w:p>
      <w:pPr>
        <w:spacing w:line="360" w:lineRule="auto"/>
        <w:ind w:firstLine="560" w:firstLineChars="200"/>
        <w:rPr>
          <w:rFonts w:ascii="宋体" w:hAnsi="宋体" w:cs="宋体"/>
          <w:sz w:val="28"/>
          <w:szCs w:val="28"/>
        </w:rPr>
      </w:pPr>
      <w:r>
        <w:rPr>
          <w:rFonts w:hint="eastAsia" w:ascii="宋体" w:hAnsi="宋体" w:cs="宋体"/>
          <w:sz w:val="28"/>
          <w:szCs w:val="28"/>
        </w:rPr>
        <w:t>汤阴县境内目前建有规模以上的水闸工程2</w:t>
      </w:r>
      <w:r>
        <w:rPr>
          <w:rFonts w:ascii="宋体" w:hAnsi="宋体" w:cs="宋体"/>
          <w:sz w:val="28"/>
          <w:szCs w:val="28"/>
        </w:rPr>
        <w:t>8</w:t>
      </w:r>
      <w:r>
        <w:rPr>
          <w:rFonts w:hint="eastAsia" w:ascii="宋体" w:hAnsi="宋体" w:cs="宋体"/>
          <w:sz w:val="28"/>
          <w:szCs w:val="28"/>
        </w:rPr>
        <w:t>座，泵站工程5</w:t>
      </w:r>
      <w:r>
        <w:rPr>
          <w:rFonts w:ascii="宋体" w:hAnsi="宋体" w:cs="宋体"/>
          <w:sz w:val="28"/>
          <w:szCs w:val="28"/>
        </w:rPr>
        <w:t>5</w:t>
      </w:r>
      <w:r>
        <w:rPr>
          <w:rFonts w:hint="eastAsia" w:ascii="宋体" w:hAnsi="宋体" w:cs="宋体"/>
          <w:sz w:val="28"/>
          <w:szCs w:val="28"/>
        </w:rPr>
        <w:t>处（规模以上的1</w:t>
      </w:r>
      <w:r>
        <w:rPr>
          <w:rFonts w:ascii="宋体" w:hAnsi="宋体" w:cs="宋体"/>
          <w:sz w:val="28"/>
          <w:szCs w:val="28"/>
        </w:rPr>
        <w:t>8</w:t>
      </w:r>
      <w:r>
        <w:rPr>
          <w:rFonts w:hint="eastAsia" w:ascii="宋体" w:hAnsi="宋体" w:cs="宋体"/>
          <w:sz w:val="28"/>
          <w:szCs w:val="28"/>
        </w:rPr>
        <w:t>处），塘坝工程2</w:t>
      </w:r>
      <w:r>
        <w:rPr>
          <w:rFonts w:ascii="宋体" w:hAnsi="宋体" w:cs="宋体"/>
          <w:sz w:val="28"/>
          <w:szCs w:val="28"/>
        </w:rPr>
        <w:t>2</w:t>
      </w:r>
      <w:r>
        <w:rPr>
          <w:rFonts w:hint="eastAsia" w:ascii="宋体" w:hAnsi="宋体" w:cs="宋体"/>
          <w:sz w:val="28"/>
          <w:szCs w:val="28"/>
        </w:rPr>
        <w:t>处（主要分布于丘陵区及羑河上），河湖取水口5</w:t>
      </w:r>
      <w:r>
        <w:rPr>
          <w:rFonts w:ascii="宋体" w:hAnsi="宋体" w:cs="宋体"/>
          <w:sz w:val="28"/>
          <w:szCs w:val="28"/>
        </w:rPr>
        <w:t>8</w:t>
      </w:r>
      <w:r>
        <w:rPr>
          <w:rFonts w:hint="eastAsia" w:ascii="宋体" w:hAnsi="宋体" w:cs="宋体"/>
          <w:sz w:val="28"/>
          <w:szCs w:val="28"/>
        </w:rPr>
        <w:t>个（规模以上的1</w:t>
      </w:r>
      <w:r>
        <w:rPr>
          <w:rFonts w:ascii="宋体" w:hAnsi="宋体" w:cs="宋体"/>
          <w:sz w:val="28"/>
          <w:szCs w:val="28"/>
        </w:rPr>
        <w:t>7</w:t>
      </w:r>
      <w:r>
        <w:rPr>
          <w:rFonts w:hint="eastAsia" w:ascii="宋体" w:hAnsi="宋体" w:cs="宋体"/>
          <w:sz w:val="28"/>
          <w:szCs w:val="28"/>
        </w:rPr>
        <w:t>个）。</w:t>
      </w:r>
    </w:p>
    <w:p>
      <w:pPr>
        <w:spacing w:line="360" w:lineRule="auto"/>
        <w:ind w:firstLine="560" w:firstLineChars="200"/>
        <w:rPr>
          <w:rFonts w:ascii="宋体" w:hAnsi="宋体" w:cs="宋体"/>
          <w:sz w:val="28"/>
          <w:szCs w:val="28"/>
        </w:rPr>
      </w:pPr>
      <w:r>
        <w:rPr>
          <w:rFonts w:hint="eastAsia" w:ascii="宋体" w:hAnsi="宋体" w:cs="宋体"/>
          <w:sz w:val="28"/>
          <w:szCs w:val="28"/>
        </w:rPr>
        <w:t>5）其他水源工程</w:t>
      </w:r>
    </w:p>
    <w:p>
      <w:pPr>
        <w:spacing w:line="360" w:lineRule="auto"/>
        <w:ind w:firstLine="560" w:firstLineChars="200"/>
        <w:rPr>
          <w:rFonts w:ascii="宋体" w:hAnsi="宋体" w:cs="宋体"/>
          <w:sz w:val="28"/>
          <w:szCs w:val="28"/>
        </w:rPr>
      </w:pPr>
      <w:r>
        <w:rPr>
          <w:rFonts w:hint="eastAsia" w:ascii="宋体" w:hAnsi="宋体" w:cs="宋体"/>
          <w:sz w:val="28"/>
          <w:szCs w:val="28"/>
        </w:rPr>
        <w:t>汤阴县其他水源工程主要为污水处理以及再生水利用、雨水资源利用等非常规水资源利用工程。</w:t>
      </w:r>
    </w:p>
    <w:p>
      <w:pPr>
        <w:spacing w:line="360" w:lineRule="auto"/>
        <w:ind w:firstLine="560" w:firstLineChars="200"/>
        <w:rPr>
          <w:rFonts w:ascii="宋体" w:hAnsi="宋体" w:cs="宋体"/>
          <w:sz w:val="28"/>
          <w:szCs w:val="28"/>
        </w:rPr>
      </w:pPr>
      <w:r>
        <w:rPr>
          <w:rFonts w:hint="eastAsia" w:ascii="宋体" w:hAnsi="宋体" w:cs="宋体"/>
          <w:sz w:val="28"/>
          <w:szCs w:val="28"/>
        </w:rPr>
        <w:t>目前汤阴县城区的污水处理厂主要为①城东污水处理厂，日处理污水量4万吨，②东方环宇污水处理厂，日处理污水3万吨，③天雨工业污水处理厂，日处理污水量1万吨。④固现工业污水处理厂，日处理污水量0</w:t>
      </w:r>
      <w:r>
        <w:rPr>
          <w:rFonts w:ascii="宋体" w:hAnsi="宋体" w:cs="宋体"/>
          <w:sz w:val="28"/>
          <w:szCs w:val="28"/>
        </w:rPr>
        <w:t>.5</w:t>
      </w:r>
      <w:r>
        <w:rPr>
          <w:rFonts w:hint="eastAsia" w:ascii="宋体" w:hAnsi="宋体" w:cs="宋体"/>
          <w:sz w:val="28"/>
          <w:szCs w:val="28"/>
        </w:rPr>
        <w:t>万吨，⑤德威华泰梦幻泉污水处理厂，日处理污水量0</w:t>
      </w:r>
      <w:r>
        <w:rPr>
          <w:rFonts w:ascii="宋体" w:hAnsi="宋体" w:cs="宋体"/>
          <w:sz w:val="28"/>
          <w:szCs w:val="28"/>
        </w:rPr>
        <w:t>.5</w:t>
      </w:r>
      <w:r>
        <w:rPr>
          <w:rFonts w:hint="eastAsia" w:ascii="宋体" w:hAnsi="宋体" w:cs="宋体"/>
          <w:sz w:val="28"/>
          <w:szCs w:val="28"/>
        </w:rPr>
        <w:t>万吨。污水排放标准均达到一级A类排放标准。</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.3.3</w:t>
      </w:r>
      <w:r>
        <w:rPr>
          <w:rFonts w:hint="eastAsia" w:asciiTheme="minorEastAsia" w:hAnsiTheme="minorEastAsia" w:eastAsiaTheme="minorEastAsia"/>
          <w:sz w:val="28"/>
          <w:szCs w:val="28"/>
        </w:rPr>
        <w:t>水资源量及灌溉面积</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（1）地表水资源量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地表水资源是指河流、湖泊、冰川等地表水体中当地降水形成的，可以逐年更新的动态水量，用河川天然径流量表示。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根据《安阳市水资源调查评价及综合利用规划》，汤阴县多年平均地表水资源量为4</w:t>
      </w:r>
      <w:r>
        <w:rPr>
          <w:rFonts w:asciiTheme="minorEastAsia" w:hAnsiTheme="minorEastAsia" w:eastAsiaTheme="minorEastAsia"/>
          <w:sz w:val="28"/>
          <w:szCs w:val="28"/>
        </w:rPr>
        <w:t>473</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，折合径流深为7</w:t>
      </w:r>
      <w:r>
        <w:rPr>
          <w:rFonts w:asciiTheme="minorEastAsia" w:hAnsiTheme="minorEastAsia" w:eastAsiaTheme="minorEastAsia"/>
          <w:sz w:val="28"/>
          <w:szCs w:val="28"/>
        </w:rPr>
        <w:t>0.3</w:t>
      </w:r>
      <w:r>
        <w:rPr>
          <w:rFonts w:hint="eastAsia" w:asciiTheme="minorEastAsia" w:hAnsiTheme="minorEastAsia" w:eastAsiaTheme="minorEastAsia"/>
          <w:sz w:val="28"/>
          <w:szCs w:val="28"/>
        </w:rPr>
        <w:t>mm，5</w:t>
      </w:r>
      <w:r>
        <w:rPr>
          <w:rFonts w:asciiTheme="minorEastAsia" w:hAnsiTheme="minorEastAsia" w:eastAsiaTheme="minorEastAsia"/>
          <w:sz w:val="28"/>
          <w:szCs w:val="28"/>
        </w:rPr>
        <w:t>0</w:t>
      </w:r>
      <w:r>
        <w:rPr>
          <w:rFonts w:hint="eastAsia" w:asciiTheme="minorEastAsia" w:hAnsiTheme="minorEastAsia" w:eastAsiaTheme="minorEastAsia"/>
          <w:sz w:val="28"/>
          <w:szCs w:val="28"/>
        </w:rPr>
        <w:t>%、7</w:t>
      </w:r>
      <w:r>
        <w:rPr>
          <w:rFonts w:asciiTheme="minorEastAsia" w:hAnsiTheme="minorEastAsia" w:eastAsiaTheme="minorEastAsia"/>
          <w:sz w:val="28"/>
          <w:szCs w:val="28"/>
        </w:rPr>
        <w:t>5</w:t>
      </w:r>
      <w:r>
        <w:rPr>
          <w:rFonts w:hint="eastAsia" w:asciiTheme="minorEastAsia" w:hAnsiTheme="minorEastAsia" w:eastAsiaTheme="minorEastAsia"/>
          <w:sz w:val="28"/>
          <w:szCs w:val="28"/>
        </w:rPr>
        <w:t>%、9</w:t>
      </w:r>
      <w:r>
        <w:rPr>
          <w:rFonts w:asciiTheme="minorEastAsia" w:hAnsiTheme="minorEastAsia" w:eastAsiaTheme="minorEastAsia"/>
          <w:sz w:val="28"/>
          <w:szCs w:val="28"/>
        </w:rPr>
        <w:t>5</w:t>
      </w:r>
      <w:r>
        <w:rPr>
          <w:rFonts w:hint="eastAsia" w:asciiTheme="minorEastAsia" w:hAnsiTheme="minorEastAsia" w:eastAsiaTheme="minorEastAsia"/>
          <w:sz w:val="28"/>
          <w:szCs w:val="28"/>
        </w:rPr>
        <w:t>%频率的径流量分别为3</w:t>
      </w:r>
      <w:r>
        <w:rPr>
          <w:rFonts w:asciiTheme="minorEastAsia" w:hAnsiTheme="minorEastAsia" w:eastAsiaTheme="minorEastAsia"/>
          <w:sz w:val="28"/>
          <w:szCs w:val="28"/>
        </w:rPr>
        <w:t>885</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、2</w:t>
      </w:r>
      <w:r>
        <w:rPr>
          <w:rFonts w:asciiTheme="minorEastAsia" w:hAnsiTheme="minorEastAsia" w:eastAsiaTheme="minorEastAsia"/>
          <w:sz w:val="28"/>
          <w:szCs w:val="28"/>
        </w:rPr>
        <w:t>669</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658</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。具体结果见下表：</w:t>
      </w:r>
    </w:p>
    <w:p>
      <w:pPr>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5  </w:t>
      </w:r>
      <w:r>
        <w:rPr>
          <w:rFonts w:hint="eastAsia" w:asciiTheme="minorEastAsia" w:hAnsiTheme="minorEastAsia" w:eastAsiaTheme="minorEastAsia"/>
          <w:sz w:val="28"/>
          <w:szCs w:val="28"/>
        </w:rPr>
        <w:t>汤阴县地表水资源量</w:t>
      </w:r>
    </w:p>
    <w:tbl>
      <w:tblPr>
        <w:tblStyle w:val="26"/>
        <w:tblW w:w="5000" w:type="pct"/>
        <w:tblInd w:w="0" w:type="dxa"/>
        <w:tblLayout w:type="autofit"/>
        <w:tblCellMar>
          <w:top w:w="0" w:type="dxa"/>
          <w:left w:w="108" w:type="dxa"/>
          <w:bottom w:w="0" w:type="dxa"/>
          <w:right w:w="108" w:type="dxa"/>
        </w:tblCellMar>
      </w:tblPr>
      <w:tblGrid>
        <w:gridCol w:w="1807"/>
        <w:gridCol w:w="1561"/>
        <w:gridCol w:w="1536"/>
        <w:gridCol w:w="1424"/>
        <w:gridCol w:w="1424"/>
        <w:gridCol w:w="1422"/>
      </w:tblGrid>
      <w:tr>
        <w:tblPrEx>
          <w:tblCellMar>
            <w:top w:w="0" w:type="dxa"/>
            <w:left w:w="108" w:type="dxa"/>
            <w:bottom w:w="0" w:type="dxa"/>
            <w:right w:w="108" w:type="dxa"/>
          </w:tblCellMar>
        </w:tblPrEx>
        <w:trPr>
          <w:trHeight w:val="184" w:hRule="atLeast"/>
        </w:trPr>
        <w:tc>
          <w:tcPr>
            <w:tcW w:w="9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水资源分区</w:t>
            </w:r>
          </w:p>
        </w:tc>
        <w:tc>
          <w:tcPr>
            <w:tcW w:w="8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面积（km</w:t>
            </w:r>
            <w:r>
              <w:rPr>
                <w:rFonts w:hint="eastAsia" w:cs="宋体" w:asciiTheme="minorEastAsia" w:hAnsiTheme="minorEastAsia" w:eastAsiaTheme="minorEastAsia"/>
                <w:kern w:val="0"/>
                <w:sz w:val="20"/>
                <w:vertAlign w:val="superscript"/>
              </w:rPr>
              <w:t>2</w:t>
            </w:r>
            <w:r>
              <w:rPr>
                <w:rFonts w:hint="eastAsia" w:cs="宋体" w:asciiTheme="minorEastAsia" w:hAnsiTheme="minorEastAsia" w:eastAsiaTheme="minorEastAsia"/>
                <w:kern w:val="0"/>
                <w:sz w:val="20"/>
              </w:rPr>
              <w:t>）</w:t>
            </w:r>
          </w:p>
        </w:tc>
        <w:tc>
          <w:tcPr>
            <w:tcW w:w="8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均值（万m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2327"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不同频率地表水资源量（万m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r>
      <w:tr>
        <w:tblPrEx>
          <w:tblCellMar>
            <w:top w:w="0" w:type="dxa"/>
            <w:left w:w="108" w:type="dxa"/>
            <w:bottom w:w="0" w:type="dxa"/>
            <w:right w:w="108" w:type="dxa"/>
          </w:tblCellMar>
        </w:tblPrEx>
        <w:trPr>
          <w:trHeight w:val="184" w:hRule="atLeast"/>
        </w:trPr>
        <w:tc>
          <w:tcPr>
            <w:tcW w:w="98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85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83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0"/>
              </w:rPr>
            </w:pP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50%</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75%</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95%</w:t>
            </w:r>
          </w:p>
        </w:tc>
      </w:tr>
      <w:tr>
        <w:tblPrEx>
          <w:tblCellMar>
            <w:top w:w="0" w:type="dxa"/>
            <w:left w:w="108" w:type="dxa"/>
            <w:bottom w:w="0" w:type="dxa"/>
            <w:right w:w="108" w:type="dxa"/>
          </w:tblCellMar>
        </w:tblPrEx>
        <w:trPr>
          <w:trHeight w:val="368" w:hRule="atLeast"/>
        </w:trPr>
        <w:tc>
          <w:tcPr>
            <w:tcW w:w="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汤卫河山丘区</w:t>
            </w:r>
          </w:p>
        </w:tc>
        <w:tc>
          <w:tcPr>
            <w:tcW w:w="85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126</w:t>
            </w:r>
            <w:r>
              <w:rPr>
                <w:rFonts w:cs="宋体" w:asciiTheme="minorEastAsia" w:hAnsiTheme="minorEastAsia" w:eastAsiaTheme="minorEastAsia"/>
                <w:kern w:val="0"/>
                <w:sz w:val="20"/>
              </w:rPr>
              <w:t>.2</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1823</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1510</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1033</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642</w:t>
            </w:r>
          </w:p>
        </w:tc>
      </w:tr>
      <w:tr>
        <w:tblPrEx>
          <w:tblCellMar>
            <w:top w:w="0" w:type="dxa"/>
            <w:left w:w="108" w:type="dxa"/>
            <w:bottom w:w="0" w:type="dxa"/>
            <w:right w:w="108" w:type="dxa"/>
          </w:tblCellMar>
        </w:tblPrEx>
        <w:trPr>
          <w:trHeight w:val="368" w:hRule="atLeast"/>
        </w:trPr>
        <w:tc>
          <w:tcPr>
            <w:tcW w:w="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汤卫河平原区</w:t>
            </w:r>
          </w:p>
        </w:tc>
        <w:tc>
          <w:tcPr>
            <w:tcW w:w="85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510</w:t>
            </w:r>
            <w:r>
              <w:rPr>
                <w:rFonts w:cs="宋体" w:asciiTheme="minorEastAsia" w:hAnsiTheme="minorEastAsia" w:eastAsiaTheme="minorEastAsia"/>
                <w:kern w:val="0"/>
                <w:sz w:val="20"/>
              </w:rPr>
              <w:t>.4</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2650</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2375</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1636</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1016</w:t>
            </w:r>
          </w:p>
        </w:tc>
      </w:tr>
      <w:tr>
        <w:tblPrEx>
          <w:tblCellMar>
            <w:top w:w="0" w:type="dxa"/>
            <w:left w:w="108" w:type="dxa"/>
            <w:bottom w:w="0" w:type="dxa"/>
            <w:right w:w="108" w:type="dxa"/>
          </w:tblCellMar>
        </w:tblPrEx>
        <w:trPr>
          <w:trHeight w:val="184" w:hRule="atLeast"/>
        </w:trPr>
        <w:tc>
          <w:tcPr>
            <w:tcW w:w="98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合计</w:t>
            </w:r>
          </w:p>
        </w:tc>
        <w:tc>
          <w:tcPr>
            <w:tcW w:w="85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636</w:t>
            </w:r>
            <w:r>
              <w:rPr>
                <w:rFonts w:cs="宋体" w:asciiTheme="minorEastAsia" w:hAnsiTheme="minorEastAsia" w:eastAsiaTheme="minorEastAsia"/>
                <w:kern w:val="0"/>
                <w:sz w:val="20"/>
              </w:rPr>
              <w:t>.6</w:t>
            </w:r>
          </w:p>
        </w:tc>
        <w:tc>
          <w:tcPr>
            <w:tcW w:w="83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4473</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3885</w:t>
            </w:r>
          </w:p>
        </w:tc>
        <w:tc>
          <w:tcPr>
            <w:tcW w:w="7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2669</w:t>
            </w:r>
          </w:p>
        </w:tc>
        <w:tc>
          <w:tcPr>
            <w:tcW w:w="77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1658</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（2）地下水资源量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根据《安阳市水资源调查评价及综合利用规划》，汤阴县多年平均浅层地下水资源总量为9</w:t>
      </w:r>
      <w:r>
        <w:rPr>
          <w:rFonts w:asciiTheme="minorEastAsia" w:hAnsiTheme="minorEastAsia" w:eastAsiaTheme="minorEastAsia"/>
          <w:sz w:val="28"/>
          <w:szCs w:val="28"/>
        </w:rPr>
        <w:t>940</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。其中，平原区浅层地下水资源量为1</w:t>
      </w:r>
      <w:r>
        <w:rPr>
          <w:rFonts w:asciiTheme="minorEastAsia" w:hAnsiTheme="minorEastAsia" w:eastAsiaTheme="minorEastAsia"/>
          <w:sz w:val="28"/>
          <w:szCs w:val="28"/>
        </w:rPr>
        <w:t>2885</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，山丘区浅层地下水资源量为2</w:t>
      </w:r>
      <w:r>
        <w:rPr>
          <w:rFonts w:asciiTheme="minorEastAsia" w:hAnsiTheme="minorEastAsia" w:eastAsiaTheme="minorEastAsia"/>
          <w:sz w:val="28"/>
          <w:szCs w:val="28"/>
        </w:rPr>
        <w:t>593</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，山丘区与平原区之间重复量为5</w:t>
      </w:r>
      <w:r>
        <w:rPr>
          <w:rFonts w:asciiTheme="minorEastAsia" w:hAnsiTheme="minorEastAsia" w:eastAsiaTheme="minorEastAsia"/>
          <w:sz w:val="28"/>
          <w:szCs w:val="28"/>
        </w:rPr>
        <w:t>538</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。具体结果见下表：</w:t>
      </w:r>
    </w:p>
    <w:p>
      <w:pPr>
        <w:ind w:firstLine="560" w:firstLineChars="200"/>
        <w:jc w:val="center"/>
        <w:rPr>
          <w:rFonts w:ascii="宋体" w:hAnsi="宋体" w:cs="宋体"/>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6  </w:t>
      </w:r>
      <w:r>
        <w:rPr>
          <w:rFonts w:hint="eastAsia" w:asciiTheme="minorEastAsia" w:hAnsiTheme="minorEastAsia" w:eastAsiaTheme="minorEastAsia"/>
          <w:sz w:val="28"/>
          <w:szCs w:val="28"/>
        </w:rPr>
        <w:t>汤阴县地下水资源量</w:t>
      </w:r>
    </w:p>
    <w:tbl>
      <w:tblPr>
        <w:tblStyle w:val="26"/>
        <w:tblW w:w="50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559"/>
        <w:gridCol w:w="1560"/>
        <w:gridCol w:w="2835"/>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县区</w:t>
            </w:r>
          </w:p>
        </w:tc>
        <w:tc>
          <w:tcPr>
            <w:tcW w:w="8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平原区（万m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842"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山丘区（万m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153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山丘区与平原区重复量（万m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1346"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浅层地下水资源量（万m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汤阴县</w:t>
            </w:r>
          </w:p>
        </w:tc>
        <w:tc>
          <w:tcPr>
            <w:tcW w:w="8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12885</w:t>
            </w:r>
          </w:p>
        </w:tc>
        <w:tc>
          <w:tcPr>
            <w:tcW w:w="842"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2593</w:t>
            </w:r>
          </w:p>
        </w:tc>
        <w:tc>
          <w:tcPr>
            <w:tcW w:w="153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5538</w:t>
            </w:r>
          </w:p>
        </w:tc>
        <w:tc>
          <w:tcPr>
            <w:tcW w:w="1346"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9940</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（3）水资源总量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根据以上计算结果，汤阴县多年平均水资源量为1</w:t>
      </w:r>
      <w:r>
        <w:rPr>
          <w:rFonts w:asciiTheme="minorEastAsia" w:hAnsiTheme="minorEastAsia" w:eastAsiaTheme="minorEastAsia"/>
          <w:sz w:val="28"/>
          <w:szCs w:val="28"/>
        </w:rPr>
        <w:t>0650</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，其中地表水资源量4</w:t>
      </w:r>
      <w:r>
        <w:rPr>
          <w:rFonts w:asciiTheme="minorEastAsia" w:hAnsiTheme="minorEastAsia" w:eastAsiaTheme="minorEastAsia"/>
          <w:sz w:val="28"/>
          <w:szCs w:val="28"/>
        </w:rPr>
        <w:t>473</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，地下水资源量9</w:t>
      </w:r>
      <w:r>
        <w:rPr>
          <w:rFonts w:asciiTheme="minorEastAsia" w:hAnsiTheme="minorEastAsia" w:eastAsiaTheme="minorEastAsia"/>
          <w:sz w:val="28"/>
          <w:szCs w:val="28"/>
        </w:rPr>
        <w:t>940</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，重复计算量3</w:t>
      </w:r>
      <w:r>
        <w:rPr>
          <w:rFonts w:asciiTheme="minorEastAsia" w:hAnsiTheme="minorEastAsia" w:eastAsiaTheme="minorEastAsia"/>
          <w:sz w:val="28"/>
          <w:szCs w:val="28"/>
        </w:rPr>
        <w:t>763</w:t>
      </w:r>
      <w:r>
        <w:rPr>
          <w:rFonts w:hint="eastAsia" w:asciiTheme="minorEastAsia" w:hAnsiTheme="minorEastAsia" w:eastAsiaTheme="minorEastAsia"/>
          <w:sz w:val="28"/>
          <w:szCs w:val="28"/>
        </w:rPr>
        <w:t>万m</w:t>
      </w:r>
      <w:r>
        <w:rPr>
          <w:rFonts w:hint="eastAsia" w:asciiTheme="minorEastAsia" w:hAnsiTheme="minorEastAsia" w:eastAsiaTheme="minorEastAsia"/>
          <w:sz w:val="28"/>
          <w:szCs w:val="28"/>
          <w:vertAlign w:val="superscript"/>
        </w:rPr>
        <w:t>3</w:t>
      </w:r>
      <w:r>
        <w:rPr>
          <w:rFonts w:hint="eastAsia" w:asciiTheme="minorEastAsia" w:hAnsiTheme="minorEastAsia" w:eastAsiaTheme="minorEastAsia"/>
          <w:sz w:val="28"/>
          <w:szCs w:val="28"/>
        </w:rPr>
        <w:t>。具体结果见下表：</w:t>
      </w:r>
    </w:p>
    <w:p>
      <w:pPr>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7  </w:t>
      </w:r>
      <w:r>
        <w:rPr>
          <w:rFonts w:hint="eastAsia" w:asciiTheme="minorEastAsia" w:hAnsiTheme="minorEastAsia" w:eastAsiaTheme="minorEastAsia"/>
          <w:sz w:val="28"/>
          <w:szCs w:val="28"/>
        </w:rPr>
        <w:t>汤阴县水资源总量表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68"/>
        <w:gridCol w:w="2277"/>
        <w:gridCol w:w="1835"/>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23"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县区</w:t>
            </w:r>
          </w:p>
        </w:tc>
        <w:tc>
          <w:tcPr>
            <w:tcW w:w="1236"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地表水资源量（万m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12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地下水资源量（万m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100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重复计算量（万m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c>
          <w:tcPr>
            <w:tcW w:w="100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水资源总量（万m</w:t>
            </w:r>
            <w:r>
              <w:rPr>
                <w:rFonts w:hint="eastAsia" w:cs="宋体" w:asciiTheme="minorEastAsia" w:hAnsiTheme="minorEastAsia" w:eastAsiaTheme="minorEastAsia"/>
                <w:kern w:val="0"/>
                <w:sz w:val="20"/>
                <w:vertAlign w:val="superscript"/>
              </w:rPr>
              <w:t>3</w:t>
            </w:r>
            <w:r>
              <w:rPr>
                <w:rFonts w:hint="eastAsia" w:cs="宋体" w:asciiTheme="minorEastAsia" w:hAnsiTheme="minorEastAsia" w:eastAsiaTheme="minorEastAsia"/>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3"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汤阴县</w:t>
            </w:r>
          </w:p>
        </w:tc>
        <w:tc>
          <w:tcPr>
            <w:tcW w:w="1236"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4473</w:t>
            </w:r>
          </w:p>
        </w:tc>
        <w:tc>
          <w:tcPr>
            <w:tcW w:w="1241"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9940</w:t>
            </w:r>
          </w:p>
        </w:tc>
        <w:tc>
          <w:tcPr>
            <w:tcW w:w="100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3763</w:t>
            </w:r>
          </w:p>
        </w:tc>
        <w:tc>
          <w:tcPr>
            <w:tcW w:w="1000" w:type="pct"/>
            <w:shd w:val="clear" w:color="auto" w:fill="auto"/>
            <w:vAlign w:val="center"/>
          </w:tcPr>
          <w:p>
            <w:pPr>
              <w:widowControl/>
              <w:jc w:val="center"/>
              <w:rPr>
                <w:rFonts w:cs="宋体" w:asciiTheme="minorEastAsia" w:hAnsiTheme="minorEastAsia" w:eastAsiaTheme="minorEastAsia"/>
                <w:kern w:val="0"/>
                <w:sz w:val="20"/>
              </w:rPr>
            </w:pPr>
            <w:r>
              <w:rPr>
                <w:rFonts w:hint="eastAsia" w:cs="宋体" w:asciiTheme="minorEastAsia" w:hAnsiTheme="minorEastAsia" w:eastAsiaTheme="minorEastAsia"/>
                <w:kern w:val="0"/>
                <w:sz w:val="20"/>
              </w:rPr>
              <w:t>10650</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4</w:t>
      </w:r>
      <w:r>
        <w:rPr>
          <w:rFonts w:hint="eastAsia" w:asciiTheme="minorEastAsia" w:hAnsiTheme="minorEastAsia" w:eastAsiaTheme="minorEastAsia"/>
          <w:sz w:val="28"/>
          <w:szCs w:val="28"/>
        </w:rPr>
        <w:t>）灌溉面积</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汤阴县全县耕地面积6</w:t>
      </w:r>
      <w:r>
        <w:rPr>
          <w:rFonts w:asciiTheme="minorEastAsia" w:hAnsiTheme="minorEastAsia" w:eastAsiaTheme="minorEastAsia"/>
          <w:sz w:val="28"/>
          <w:szCs w:val="28"/>
        </w:rPr>
        <w:t>4.28</w:t>
      </w:r>
      <w:r>
        <w:rPr>
          <w:rFonts w:hint="eastAsia" w:asciiTheme="minorEastAsia" w:hAnsiTheme="minorEastAsia" w:eastAsiaTheme="minorEastAsia"/>
          <w:sz w:val="28"/>
          <w:szCs w:val="28"/>
        </w:rPr>
        <w:t>万亩，截止2</w:t>
      </w:r>
      <w:r>
        <w:rPr>
          <w:rFonts w:asciiTheme="minorEastAsia" w:hAnsiTheme="minorEastAsia" w:eastAsiaTheme="minorEastAsia"/>
          <w:sz w:val="28"/>
          <w:szCs w:val="28"/>
        </w:rPr>
        <w:t>020</w:t>
      </w:r>
      <w:r>
        <w:rPr>
          <w:rFonts w:hint="eastAsia" w:asciiTheme="minorEastAsia" w:hAnsiTheme="minorEastAsia" w:eastAsiaTheme="minorEastAsia"/>
          <w:sz w:val="28"/>
          <w:szCs w:val="28"/>
        </w:rPr>
        <w:t>年，全县共已建成高标准农田面积5</w:t>
      </w:r>
      <w:r>
        <w:rPr>
          <w:rFonts w:asciiTheme="minorEastAsia" w:hAnsiTheme="minorEastAsia" w:eastAsiaTheme="minorEastAsia"/>
          <w:sz w:val="28"/>
          <w:szCs w:val="28"/>
        </w:rPr>
        <w:t>1.17</w:t>
      </w:r>
      <w:r>
        <w:rPr>
          <w:rFonts w:hint="eastAsia" w:asciiTheme="minorEastAsia" w:hAnsiTheme="minorEastAsia" w:eastAsiaTheme="minorEastAsia"/>
          <w:sz w:val="28"/>
          <w:szCs w:val="28"/>
        </w:rPr>
        <w:t>万亩，其中渠灌面积</w:t>
      </w:r>
      <w:r>
        <w:rPr>
          <w:rFonts w:asciiTheme="minorEastAsia" w:hAnsiTheme="minorEastAsia" w:eastAsiaTheme="minorEastAsia"/>
          <w:sz w:val="28"/>
          <w:szCs w:val="28"/>
        </w:rPr>
        <w:t>15.5</w:t>
      </w:r>
      <w:r>
        <w:rPr>
          <w:rFonts w:hint="eastAsia" w:asciiTheme="minorEastAsia" w:hAnsiTheme="minorEastAsia" w:eastAsiaTheme="minorEastAsia"/>
          <w:sz w:val="28"/>
          <w:szCs w:val="28"/>
        </w:rPr>
        <w:t>万亩，井灌面积3</w:t>
      </w:r>
      <w:r>
        <w:rPr>
          <w:rFonts w:asciiTheme="minorEastAsia" w:hAnsiTheme="minorEastAsia" w:eastAsiaTheme="minorEastAsia"/>
          <w:sz w:val="28"/>
          <w:szCs w:val="28"/>
        </w:rPr>
        <w:t>5.67</w:t>
      </w:r>
      <w:r>
        <w:rPr>
          <w:rFonts w:hint="eastAsia" w:asciiTheme="minorEastAsia" w:hAnsiTheme="minorEastAsia" w:eastAsiaTheme="minorEastAsia"/>
          <w:sz w:val="28"/>
          <w:szCs w:val="28"/>
        </w:rPr>
        <w:t>万亩。</w:t>
      </w:r>
    </w:p>
    <w:p>
      <w:pPr>
        <w:pStyle w:val="3"/>
        <w:spacing w:before="0" w:after="0" w:line="360" w:lineRule="auto"/>
        <w:rPr>
          <w:rFonts w:asciiTheme="minorEastAsia" w:hAnsiTheme="minorEastAsia" w:eastAsiaTheme="minorEastAsia"/>
        </w:rPr>
      </w:pPr>
      <w:r>
        <w:fldChar w:fldCharType="begin"/>
      </w:r>
      <w:r>
        <w:instrText xml:space="preserve"> HYPERLINK \l "_Toc92618401" </w:instrText>
      </w:r>
      <w:r>
        <w:fldChar w:fldCharType="separate"/>
      </w:r>
      <w:bookmarkStart w:id="19" w:name="_Toc144903149"/>
      <w:r>
        <w:rPr>
          <w:rFonts w:asciiTheme="minorEastAsia" w:hAnsiTheme="minorEastAsia" w:eastAsiaTheme="minorEastAsia"/>
        </w:rPr>
        <w:t>1.4</w:t>
      </w:r>
      <w:r>
        <w:rPr>
          <w:rFonts w:asciiTheme="minorEastAsia" w:hAnsiTheme="minorEastAsia" w:eastAsiaTheme="minorEastAsia"/>
        </w:rPr>
        <w:fldChar w:fldCharType="end"/>
      </w:r>
      <w:r>
        <w:rPr>
          <w:rFonts w:hint="eastAsia" w:asciiTheme="minorEastAsia" w:hAnsiTheme="minorEastAsia" w:eastAsiaTheme="minorEastAsia"/>
        </w:rPr>
        <w:t>农业生产</w:t>
      </w:r>
      <w:bookmarkEnd w:id="19"/>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.4.1</w:t>
      </w:r>
      <w:r>
        <w:rPr>
          <w:rFonts w:hint="eastAsia" w:asciiTheme="minorEastAsia" w:hAnsiTheme="minorEastAsia" w:eastAsiaTheme="minorEastAsia"/>
          <w:sz w:val="28"/>
          <w:szCs w:val="28"/>
        </w:rPr>
        <w:t>农业种植面积及农作物产量、产值</w:t>
      </w:r>
    </w:p>
    <w:p>
      <w:pPr>
        <w:spacing w:line="360" w:lineRule="auto"/>
        <w:ind w:firstLine="560" w:firstLineChars="200"/>
        <w:rPr>
          <w:rFonts w:ascii="宋体" w:hAnsi="宋体" w:cs="宋体"/>
          <w:sz w:val="28"/>
          <w:szCs w:val="28"/>
        </w:rPr>
      </w:pPr>
      <w:r>
        <w:rPr>
          <w:rFonts w:hint="eastAsia" w:ascii="宋体" w:hAnsi="宋体" w:cs="宋体"/>
          <w:sz w:val="28"/>
          <w:szCs w:val="28"/>
        </w:rPr>
        <w:t>根据《汤阴县统计年鉴》2</w:t>
      </w:r>
      <w:r>
        <w:rPr>
          <w:rFonts w:ascii="宋体" w:hAnsi="宋体" w:cs="宋体"/>
          <w:sz w:val="28"/>
          <w:szCs w:val="28"/>
        </w:rPr>
        <w:t>018</w:t>
      </w:r>
      <w:r>
        <w:rPr>
          <w:rFonts w:hint="eastAsia" w:ascii="宋体" w:hAnsi="宋体" w:cs="宋体"/>
          <w:sz w:val="28"/>
          <w:szCs w:val="28"/>
        </w:rPr>
        <w:t>-</w:t>
      </w:r>
      <w:r>
        <w:rPr>
          <w:rFonts w:ascii="宋体" w:hAnsi="宋体" w:cs="宋体"/>
          <w:sz w:val="28"/>
          <w:szCs w:val="28"/>
        </w:rPr>
        <w:t>2020</w:t>
      </w:r>
      <w:r>
        <w:rPr>
          <w:rFonts w:hint="eastAsia" w:ascii="宋体" w:hAnsi="宋体" w:cs="宋体"/>
          <w:sz w:val="28"/>
          <w:szCs w:val="28"/>
        </w:rPr>
        <w:t>年的统计数据，汤阴县粮食作物播种面积1</w:t>
      </w:r>
      <w:r>
        <w:rPr>
          <w:rFonts w:ascii="宋体" w:hAnsi="宋体" w:cs="宋体"/>
          <w:sz w:val="28"/>
          <w:szCs w:val="28"/>
        </w:rPr>
        <w:t>09.43</w:t>
      </w:r>
      <w:r>
        <w:rPr>
          <w:rFonts w:hint="eastAsia" w:ascii="宋体" w:hAnsi="宋体" w:cs="宋体"/>
          <w:sz w:val="28"/>
          <w:szCs w:val="28"/>
        </w:rPr>
        <w:t>万亩，经济作物播种面积1</w:t>
      </w:r>
      <w:r>
        <w:rPr>
          <w:rFonts w:ascii="宋体" w:hAnsi="宋体" w:cs="宋体"/>
          <w:sz w:val="28"/>
          <w:szCs w:val="28"/>
        </w:rPr>
        <w:t>9.24</w:t>
      </w:r>
      <w:r>
        <w:rPr>
          <w:rFonts w:hint="eastAsia" w:ascii="宋体" w:hAnsi="宋体" w:cs="宋体"/>
          <w:sz w:val="28"/>
          <w:szCs w:val="28"/>
        </w:rPr>
        <w:t>万亩，共计播种，面积1</w:t>
      </w:r>
      <w:r>
        <w:rPr>
          <w:rFonts w:ascii="宋体" w:hAnsi="宋体" w:cs="宋体"/>
          <w:sz w:val="28"/>
          <w:szCs w:val="28"/>
        </w:rPr>
        <w:t>28.67万亩，复种指数</w:t>
      </w:r>
      <w:r>
        <w:rPr>
          <w:rFonts w:hint="eastAsia" w:ascii="宋体" w:hAnsi="宋体" w:cs="宋体"/>
          <w:sz w:val="28"/>
          <w:szCs w:val="28"/>
        </w:rPr>
        <w:t>1</w:t>
      </w:r>
      <w:r>
        <w:rPr>
          <w:rFonts w:ascii="宋体" w:hAnsi="宋体" w:cs="宋体"/>
          <w:sz w:val="28"/>
          <w:szCs w:val="28"/>
        </w:rPr>
        <w:t>.86，粮经比例</w:t>
      </w:r>
      <w:r>
        <w:rPr>
          <w:rFonts w:hint="eastAsia" w:ascii="宋体" w:hAnsi="宋体" w:cs="宋体"/>
          <w:sz w:val="28"/>
          <w:szCs w:val="28"/>
        </w:rPr>
        <w:t>5</w:t>
      </w:r>
      <w:r>
        <w:rPr>
          <w:rFonts w:ascii="宋体" w:hAnsi="宋体" w:cs="宋体"/>
          <w:sz w:val="28"/>
          <w:szCs w:val="28"/>
        </w:rPr>
        <w:t>.7</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w:t>
      </w:r>
    </w:p>
    <w:p>
      <w:pPr>
        <w:widowControl/>
        <w:jc w:val="left"/>
        <w:rPr>
          <w:rFonts w:asciiTheme="minorEastAsia" w:hAnsiTheme="minorEastAsia" w:eastAsiaTheme="minorEastAsia"/>
          <w:sz w:val="28"/>
          <w:szCs w:val="28"/>
        </w:rPr>
        <w:sectPr>
          <w:pgSz w:w="11906" w:h="16838"/>
          <w:pgMar w:top="1474" w:right="1474" w:bottom="1474" w:left="1474" w:header="851" w:footer="850" w:gutter="0"/>
          <w:cols w:space="720" w:num="1"/>
          <w:docGrid w:linePitch="326" w:charSpace="0"/>
        </w:sectPr>
      </w:pPr>
    </w:p>
    <w:p>
      <w:pPr>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w:t>
      </w:r>
      <w:r>
        <w:rPr>
          <w:rFonts w:asciiTheme="minorEastAsia" w:hAnsiTheme="minorEastAsia" w:eastAsiaTheme="minorEastAsia"/>
          <w:sz w:val="28"/>
          <w:szCs w:val="28"/>
        </w:rPr>
        <w:t>1.4</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1  </w:t>
      </w:r>
      <w:r>
        <w:rPr>
          <w:rFonts w:hint="eastAsia" w:asciiTheme="minorEastAsia" w:hAnsiTheme="minorEastAsia" w:eastAsiaTheme="minorEastAsia"/>
          <w:sz w:val="28"/>
          <w:szCs w:val="28"/>
        </w:rPr>
        <w:t>汤阴县粮经作物种植表</w:t>
      </w:r>
    </w:p>
    <w:tbl>
      <w:tblPr>
        <w:tblStyle w:val="26"/>
        <w:tblW w:w="5000" w:type="pct"/>
        <w:tblInd w:w="0" w:type="dxa"/>
        <w:tblLayout w:type="autofit"/>
        <w:tblCellMar>
          <w:top w:w="0" w:type="dxa"/>
          <w:left w:w="108" w:type="dxa"/>
          <w:bottom w:w="0" w:type="dxa"/>
          <w:right w:w="108" w:type="dxa"/>
        </w:tblCellMar>
      </w:tblPr>
      <w:tblGrid>
        <w:gridCol w:w="1385"/>
        <w:gridCol w:w="1134"/>
        <w:gridCol w:w="1275"/>
        <w:gridCol w:w="993"/>
        <w:gridCol w:w="993"/>
        <w:gridCol w:w="849"/>
        <w:gridCol w:w="993"/>
        <w:gridCol w:w="1134"/>
        <w:gridCol w:w="708"/>
        <w:gridCol w:w="993"/>
        <w:gridCol w:w="1134"/>
        <w:gridCol w:w="993"/>
        <w:gridCol w:w="850"/>
        <w:gridCol w:w="672"/>
      </w:tblGrid>
      <w:tr>
        <w:tblPrEx>
          <w:tblCellMar>
            <w:top w:w="0" w:type="dxa"/>
            <w:left w:w="108" w:type="dxa"/>
            <w:bottom w:w="0" w:type="dxa"/>
            <w:right w:w="108" w:type="dxa"/>
          </w:tblCellMar>
        </w:tblPrEx>
        <w:trPr>
          <w:trHeight w:val="300" w:hRule="atLeast"/>
        </w:trPr>
        <w:tc>
          <w:tcPr>
            <w:tcW w:w="49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年份</w:t>
            </w:r>
          </w:p>
        </w:tc>
        <w:tc>
          <w:tcPr>
            <w:tcW w:w="40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耕地面积（万亩）</w:t>
            </w:r>
          </w:p>
        </w:tc>
        <w:tc>
          <w:tcPr>
            <w:tcW w:w="4106" w:type="pct"/>
            <w:gridSpan w:val="1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播种面积（万亩）　</w:t>
            </w:r>
          </w:p>
        </w:tc>
      </w:tr>
      <w:tr>
        <w:tblPrEx>
          <w:tblCellMar>
            <w:top w:w="0" w:type="dxa"/>
            <w:left w:w="108" w:type="dxa"/>
            <w:bottom w:w="0" w:type="dxa"/>
            <w:right w:w="108" w:type="dxa"/>
          </w:tblCellMar>
        </w:tblPrEx>
        <w:trPr>
          <w:trHeight w:val="300" w:hRule="atLeast"/>
        </w:trPr>
        <w:tc>
          <w:tcPr>
            <w:tcW w:w="491"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02"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1809" w:type="pct"/>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粮食作物</w:t>
            </w:r>
          </w:p>
        </w:tc>
        <w:tc>
          <w:tcPr>
            <w:tcW w:w="1759" w:type="pct"/>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经济作物</w:t>
            </w:r>
          </w:p>
        </w:tc>
        <w:tc>
          <w:tcPr>
            <w:tcW w:w="301" w:type="pct"/>
            <w:vMerge w:val="restart"/>
            <w:tcBorders>
              <w:top w:val="nil"/>
              <w:left w:val="nil"/>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复种指数</w:t>
            </w:r>
          </w:p>
        </w:tc>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粮经比例</w:t>
            </w:r>
          </w:p>
        </w:tc>
      </w:tr>
      <w:tr>
        <w:tblPrEx>
          <w:tblCellMar>
            <w:top w:w="0" w:type="dxa"/>
            <w:left w:w="108" w:type="dxa"/>
            <w:bottom w:w="0" w:type="dxa"/>
            <w:right w:w="108" w:type="dxa"/>
          </w:tblCellMar>
        </w:tblPrEx>
        <w:trPr>
          <w:trHeight w:val="525" w:hRule="atLeast"/>
        </w:trPr>
        <w:tc>
          <w:tcPr>
            <w:tcW w:w="491"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02"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总播种面积</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小麦</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玉米</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总播种面积</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花生</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蔬菜（白菜）</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301" w:type="pct"/>
            <w:vMerge w:val="continue"/>
            <w:tcBorders>
              <w:top w:val="nil"/>
              <w:left w:val="nil"/>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2018</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109.32</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56.79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82.00%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52.53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19.86</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2.47</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17.39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1.87</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2019</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109.43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57.08</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83.00%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52.35</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20.09</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2.71</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17.38</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1.87</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5.45</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69.14</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109.53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53.89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78.00%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55.64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17.77</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14.74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1.84</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6.16</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三年均值</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109.43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55.92</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81.00%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53.51</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77.00%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19.24</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16.5</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1.86</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w:t>
            </w:r>
          </w:p>
        </w:tc>
      </w:tr>
    </w:tbl>
    <w:p>
      <w:pPr>
        <w:ind w:firstLine="560" w:firstLineChars="200"/>
        <w:jc w:val="center"/>
        <w:rPr>
          <w:rFonts w:asciiTheme="minorEastAsia" w:hAnsiTheme="minorEastAsia" w:eastAsiaTheme="minorEastAsia"/>
          <w:sz w:val="28"/>
          <w:szCs w:val="28"/>
        </w:rPr>
      </w:pPr>
    </w:p>
    <w:p>
      <w:pPr>
        <w:ind w:firstLine="560" w:firstLineChars="200"/>
        <w:jc w:val="center"/>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sectPr>
          <w:headerReference r:id="rId7" w:type="default"/>
          <w:pgSz w:w="16838" w:h="11906" w:orient="landscape"/>
          <w:pgMar w:top="1474" w:right="1474" w:bottom="1474" w:left="1474" w:header="851" w:footer="851" w:gutter="0"/>
          <w:cols w:space="720" w:num="1"/>
          <w:docGrid w:linePitch="326" w:charSpace="0"/>
        </w:sectPr>
      </w:pP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.4.2</w:t>
      </w:r>
      <w:r>
        <w:rPr>
          <w:rFonts w:hint="eastAsia" w:asciiTheme="minorEastAsia" w:hAnsiTheme="minorEastAsia" w:eastAsiaTheme="minorEastAsia"/>
          <w:sz w:val="28"/>
          <w:szCs w:val="28"/>
        </w:rPr>
        <w:t>两区划分面积及重要农产品、特色农产品</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根据国土调查数据，汤阴县重要农产品保护区面积</w:t>
      </w:r>
      <w:r>
        <w:rPr>
          <w:rFonts w:asciiTheme="minorEastAsia" w:hAnsiTheme="minorEastAsia" w:eastAsiaTheme="minorEastAsia"/>
          <w:sz w:val="28"/>
          <w:szCs w:val="28"/>
        </w:rPr>
        <w:t>2.81</w:t>
      </w:r>
      <w:r>
        <w:rPr>
          <w:rFonts w:hint="eastAsia" w:asciiTheme="minorEastAsia" w:hAnsiTheme="minorEastAsia" w:eastAsiaTheme="minorEastAsia"/>
          <w:sz w:val="28"/>
          <w:szCs w:val="28"/>
        </w:rPr>
        <w:t>万亩，粮食生产功能区面积</w:t>
      </w:r>
      <w:r>
        <w:rPr>
          <w:rFonts w:asciiTheme="minorEastAsia" w:hAnsiTheme="minorEastAsia" w:eastAsiaTheme="minorEastAsia"/>
          <w:sz w:val="28"/>
          <w:szCs w:val="28"/>
        </w:rPr>
        <w:t>53.24</w:t>
      </w:r>
      <w:r>
        <w:rPr>
          <w:rFonts w:hint="eastAsia" w:asciiTheme="minorEastAsia" w:hAnsiTheme="minorEastAsia" w:eastAsiaTheme="minorEastAsia"/>
          <w:sz w:val="28"/>
          <w:szCs w:val="28"/>
        </w:rPr>
        <w:t>万亩，两区面积共5</w:t>
      </w:r>
      <w:r>
        <w:rPr>
          <w:rFonts w:asciiTheme="minorEastAsia" w:hAnsiTheme="minorEastAsia" w:eastAsiaTheme="minorEastAsia"/>
          <w:sz w:val="28"/>
          <w:szCs w:val="28"/>
        </w:rPr>
        <w:t>6.05</w:t>
      </w:r>
      <w:r>
        <w:rPr>
          <w:rFonts w:hint="eastAsia" w:asciiTheme="minorEastAsia" w:hAnsiTheme="minorEastAsia" w:eastAsiaTheme="minorEastAsia"/>
          <w:sz w:val="28"/>
          <w:szCs w:val="28"/>
        </w:rPr>
        <w:t>万亩。重要农产品及特设农产品主要有</w:t>
      </w:r>
      <w:r>
        <w:rPr>
          <w:rFonts w:asciiTheme="minorEastAsia" w:hAnsiTheme="minorEastAsia" w:eastAsiaTheme="minorEastAsia"/>
          <w:sz w:val="28"/>
          <w:szCs w:val="28"/>
        </w:rPr>
        <w:t>强筋小麦、林果、蔬菜、食用菌、艾草、花生</w:t>
      </w:r>
      <w:r>
        <w:rPr>
          <w:rFonts w:hint="eastAsia" w:asciiTheme="minorEastAsia" w:hAnsiTheme="minorEastAsia" w:eastAsiaTheme="minorEastAsia"/>
          <w:sz w:val="28"/>
          <w:szCs w:val="28"/>
        </w:rPr>
        <w:t>等。</w:t>
      </w:r>
    </w:p>
    <w:p>
      <w:pPr>
        <w:snapToGrid w:val="0"/>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表1</w:t>
      </w:r>
      <w:r>
        <w:rPr>
          <w:rFonts w:asciiTheme="minorEastAsia" w:hAnsiTheme="minorEastAsia" w:eastAsiaTheme="minorEastAsia"/>
          <w:sz w:val="28"/>
          <w:szCs w:val="28"/>
        </w:rPr>
        <w:t>.4</w:t>
      </w: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汤阴县两区划分面积表</w:t>
      </w:r>
    </w:p>
    <w:tbl>
      <w:tblPr>
        <w:tblStyle w:val="26"/>
        <w:tblW w:w="5000" w:type="pct"/>
        <w:tblInd w:w="0" w:type="dxa"/>
        <w:tblLayout w:type="autofit"/>
        <w:tblCellMar>
          <w:top w:w="0" w:type="dxa"/>
          <w:left w:w="108" w:type="dxa"/>
          <w:bottom w:w="0" w:type="dxa"/>
          <w:right w:w="108" w:type="dxa"/>
        </w:tblCellMar>
      </w:tblPr>
      <w:tblGrid>
        <w:gridCol w:w="960"/>
        <w:gridCol w:w="1416"/>
        <w:gridCol w:w="2409"/>
        <w:gridCol w:w="2552"/>
        <w:gridCol w:w="1837"/>
      </w:tblGrid>
      <w:tr>
        <w:tblPrEx>
          <w:tblCellMar>
            <w:top w:w="0" w:type="dxa"/>
            <w:left w:w="108" w:type="dxa"/>
            <w:bottom w:w="0" w:type="dxa"/>
            <w:right w:w="108" w:type="dxa"/>
          </w:tblCellMar>
        </w:tblPrEx>
        <w:trPr>
          <w:trHeight w:val="300" w:hRule="atLeast"/>
        </w:trPr>
        <w:tc>
          <w:tcPr>
            <w:tcW w:w="52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77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3705"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两区面积（万亩）</w:t>
            </w:r>
          </w:p>
        </w:tc>
      </w:tr>
      <w:tr>
        <w:tblPrEx>
          <w:tblCellMar>
            <w:top w:w="0" w:type="dxa"/>
            <w:left w:w="108" w:type="dxa"/>
            <w:bottom w:w="0" w:type="dxa"/>
            <w:right w:w="108" w:type="dxa"/>
          </w:tblCellMar>
        </w:tblPrEx>
        <w:trPr>
          <w:trHeight w:val="431" w:hRule="atLeast"/>
        </w:trPr>
        <w:tc>
          <w:tcPr>
            <w:tcW w:w="523"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22"/>
                <w:szCs w:val="22"/>
              </w:rPr>
            </w:pPr>
          </w:p>
        </w:tc>
        <w:tc>
          <w:tcPr>
            <w:tcW w:w="772"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22"/>
                <w:szCs w:val="22"/>
              </w:rPr>
            </w:pP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重要农产品保护区</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粮食生产功能区</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0.86</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7.34</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8.2</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　</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2.06</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2.06</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　</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8.53</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8.53</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　</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6.56</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6.56</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　</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3.83</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3.83</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0.21</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3.19</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0.49</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5.85</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6.34</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0.33</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6.7</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7.03</w:t>
            </w:r>
          </w:p>
        </w:tc>
      </w:tr>
      <w:tr>
        <w:tblPrEx>
          <w:tblCellMar>
            <w:top w:w="0" w:type="dxa"/>
            <w:left w:w="108" w:type="dxa"/>
            <w:bottom w:w="0" w:type="dxa"/>
            <w:right w:w="108" w:type="dxa"/>
          </w:tblCellMar>
        </w:tblPrEx>
        <w:trPr>
          <w:trHeight w:val="300" w:hRule="atLeast"/>
        </w:trPr>
        <w:tc>
          <w:tcPr>
            <w:tcW w:w="52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77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0.92</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9.18</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10.1</w:t>
            </w:r>
          </w:p>
        </w:tc>
      </w:tr>
      <w:tr>
        <w:tblPrEx>
          <w:tblCellMar>
            <w:top w:w="0" w:type="dxa"/>
            <w:left w:w="108" w:type="dxa"/>
            <w:bottom w:w="0" w:type="dxa"/>
            <w:right w:w="108" w:type="dxa"/>
          </w:tblCellMar>
        </w:tblPrEx>
        <w:trPr>
          <w:trHeight w:val="300" w:hRule="atLeast"/>
        </w:trPr>
        <w:tc>
          <w:tcPr>
            <w:tcW w:w="1295"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总计</w:t>
            </w:r>
          </w:p>
        </w:tc>
        <w:tc>
          <w:tcPr>
            <w:tcW w:w="1313"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2.81</w:t>
            </w:r>
          </w:p>
        </w:tc>
        <w:tc>
          <w:tcPr>
            <w:tcW w:w="139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53.24</w:t>
            </w:r>
          </w:p>
        </w:tc>
        <w:tc>
          <w:tcPr>
            <w:tcW w:w="10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56.05</w:t>
            </w:r>
          </w:p>
        </w:tc>
      </w:tr>
    </w:tbl>
    <w:p>
      <w:pPr>
        <w:pStyle w:val="3"/>
        <w:spacing w:before="0" w:after="0" w:line="360" w:lineRule="auto"/>
        <w:rPr>
          <w:rFonts w:asciiTheme="minorEastAsia" w:hAnsiTheme="minorEastAsia" w:eastAsiaTheme="minorEastAsia"/>
        </w:rPr>
      </w:pPr>
      <w:bookmarkStart w:id="20" w:name="_Toc144903150"/>
      <w:r>
        <w:rPr>
          <w:rFonts w:hint="eastAsia" w:asciiTheme="minorEastAsia" w:hAnsiTheme="minorEastAsia" w:eastAsiaTheme="minorEastAsia"/>
        </w:rPr>
        <w:t>1</w:t>
      </w:r>
      <w:r>
        <w:rPr>
          <w:rFonts w:asciiTheme="minorEastAsia" w:hAnsiTheme="minorEastAsia" w:eastAsiaTheme="minorEastAsia"/>
        </w:rPr>
        <w:t>.5</w:t>
      </w:r>
      <w:r>
        <w:rPr>
          <w:rFonts w:hint="eastAsia" w:asciiTheme="minorEastAsia" w:hAnsiTheme="minorEastAsia" w:eastAsiaTheme="minorEastAsia"/>
        </w:rPr>
        <w:t>经济社会</w:t>
      </w:r>
      <w:bookmarkEnd w:id="20"/>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.5.1</w:t>
      </w:r>
      <w:r>
        <w:rPr>
          <w:rFonts w:hint="eastAsia" w:asciiTheme="minorEastAsia" w:hAnsiTheme="minorEastAsia" w:eastAsiaTheme="minorEastAsia"/>
          <w:sz w:val="28"/>
          <w:szCs w:val="28"/>
        </w:rPr>
        <w:t>行政区划、乡镇及行政村数量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汤阴县辖9个镇、1个乡。9个镇分别为：</w:t>
      </w:r>
      <w:r>
        <w:rPr>
          <w:rFonts w:asciiTheme="minorEastAsia" w:hAnsiTheme="minorEastAsia" w:eastAsiaTheme="minorEastAsia"/>
          <w:sz w:val="28"/>
          <w:szCs w:val="28"/>
        </w:rPr>
        <w:t>城关镇、韩庄镇、白营镇、古贤镇、菜园镇、任固镇、五陵镇、伏道镇、宜沟镇</w:t>
      </w:r>
      <w:r>
        <w:rPr>
          <w:rFonts w:hint="eastAsia" w:asciiTheme="minorEastAsia" w:hAnsiTheme="minorEastAsia" w:eastAsiaTheme="minorEastAsia"/>
          <w:sz w:val="28"/>
          <w:szCs w:val="28"/>
        </w:rPr>
        <w:t>，1个乡为瓦岗乡，共2</w:t>
      </w:r>
      <w:r>
        <w:rPr>
          <w:rFonts w:asciiTheme="minorEastAsia" w:hAnsiTheme="minorEastAsia" w:eastAsiaTheme="minorEastAsia"/>
          <w:sz w:val="28"/>
          <w:szCs w:val="28"/>
        </w:rPr>
        <w:t>98</w:t>
      </w:r>
      <w:r>
        <w:rPr>
          <w:rFonts w:hint="eastAsia" w:asciiTheme="minorEastAsia" w:hAnsiTheme="minorEastAsia" w:eastAsiaTheme="minorEastAsia"/>
          <w:sz w:val="28"/>
          <w:szCs w:val="28"/>
        </w:rPr>
        <w:t>个行政村。</w:t>
      </w: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表1</w:t>
      </w:r>
      <w:r>
        <w:rPr>
          <w:rFonts w:asciiTheme="minorEastAsia" w:hAnsiTheme="minorEastAsia" w:eastAsiaTheme="minorEastAsia"/>
          <w:sz w:val="28"/>
          <w:szCs w:val="28"/>
        </w:rPr>
        <w:t>.5</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1 </w:t>
      </w:r>
      <w:r>
        <w:rPr>
          <w:rFonts w:hint="eastAsia" w:asciiTheme="minorEastAsia" w:hAnsiTheme="minorEastAsia" w:eastAsiaTheme="minorEastAsia"/>
          <w:sz w:val="28"/>
          <w:szCs w:val="28"/>
        </w:rPr>
        <w:t>汤阴县行政区划表</w:t>
      </w:r>
    </w:p>
    <w:tbl>
      <w:tblPr>
        <w:tblStyle w:val="26"/>
        <w:tblW w:w="5000" w:type="pct"/>
        <w:tblInd w:w="0" w:type="dxa"/>
        <w:tblLayout w:type="autofit"/>
        <w:tblCellMar>
          <w:top w:w="0" w:type="dxa"/>
          <w:left w:w="108" w:type="dxa"/>
          <w:bottom w:w="0" w:type="dxa"/>
          <w:right w:w="108" w:type="dxa"/>
        </w:tblCellMar>
      </w:tblPr>
      <w:tblGrid>
        <w:gridCol w:w="612"/>
        <w:gridCol w:w="914"/>
        <w:gridCol w:w="850"/>
        <w:gridCol w:w="6798"/>
      </w:tblGrid>
      <w:tr>
        <w:tblPrEx>
          <w:tblCellMar>
            <w:top w:w="0" w:type="dxa"/>
            <w:left w:w="108" w:type="dxa"/>
            <w:bottom w:w="0" w:type="dxa"/>
            <w:right w:w="108" w:type="dxa"/>
          </w:tblCellMar>
        </w:tblPrEx>
        <w:trPr>
          <w:trHeight w:val="570" w:hRule="atLeast"/>
          <w:tblHeader/>
        </w:trPr>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县区</w:t>
            </w:r>
          </w:p>
        </w:tc>
        <w:tc>
          <w:tcPr>
            <w:tcW w:w="49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乡镇</w:t>
            </w:r>
          </w:p>
        </w:tc>
        <w:tc>
          <w:tcPr>
            <w:tcW w:w="46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行政村个数</w:t>
            </w:r>
          </w:p>
        </w:tc>
        <w:tc>
          <w:tcPr>
            <w:tcW w:w="37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村名</w:t>
            </w:r>
          </w:p>
        </w:tc>
      </w:tr>
      <w:tr>
        <w:tblPrEx>
          <w:tblCellMar>
            <w:top w:w="0" w:type="dxa"/>
            <w:left w:w="108" w:type="dxa"/>
            <w:bottom w:w="0" w:type="dxa"/>
            <w:right w:w="108" w:type="dxa"/>
          </w:tblCellMar>
        </w:tblPrEx>
        <w:trPr>
          <w:trHeight w:val="285" w:hRule="atLeast"/>
        </w:trPr>
        <w:tc>
          <w:tcPr>
            <w:tcW w:w="33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汤阴县</w:t>
            </w: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汤阴县</w:t>
            </w: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p>
            <w:pPr>
              <w:widowControl/>
              <w:jc w:val="center"/>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城关镇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16</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西关、北关、五里村、武家庄、李孔村、杨孔村、苏孔村、陈孔村、焦孔村、张庄、东关、南关东、南关西、南园、石家庄、段庄</w:t>
            </w:r>
          </w:p>
        </w:tc>
      </w:tr>
      <w:tr>
        <w:tblPrEx>
          <w:tblCellMar>
            <w:top w:w="0" w:type="dxa"/>
            <w:left w:w="108" w:type="dxa"/>
            <w:bottom w:w="0" w:type="dxa"/>
            <w:right w:w="108" w:type="dxa"/>
          </w:tblCellMar>
        </w:tblPrEx>
        <w:trPr>
          <w:trHeight w:val="855"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韩庄镇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33</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韩庄、庵上、康洼、娄湾、王佐、驸马营、北张贾、南张贾、大光村、西苏庄、  部落、羑河、武洼、樊庄、李家湾、曹庄、中张贾、大云村、小光村、大黄村、  七里铺、小傅庄、孙庄、西云村、西冢上、小庄、庞洼、刘黄村、东酒寺、工官屯、小河、董庄、三里村</w:t>
            </w:r>
          </w:p>
        </w:tc>
      </w:tr>
      <w:tr>
        <w:tblPrEx>
          <w:tblCellMar>
            <w:top w:w="0" w:type="dxa"/>
            <w:left w:w="108" w:type="dxa"/>
            <w:bottom w:w="0" w:type="dxa"/>
            <w:right w:w="108" w:type="dxa"/>
          </w:tblCellMar>
        </w:tblPrEx>
        <w:trPr>
          <w:trHeight w:val="570"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白营镇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26</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白营、胡营、戴村、徐庄、北店、杨庄、杨村、李营、东木佛、西木佛、小张盖、大张盖、花耳庄、后湾张、张官屯、大傅庄、东兰村、西兰村、北陈王、南陈王、尧石得、闻石得、西石得、仝家庄、西隆化、南店</w:t>
            </w:r>
          </w:p>
        </w:tc>
      </w:tr>
      <w:tr>
        <w:tblPrEx>
          <w:tblCellMar>
            <w:top w:w="0" w:type="dxa"/>
            <w:left w:w="108" w:type="dxa"/>
            <w:bottom w:w="0" w:type="dxa"/>
            <w:right w:w="108" w:type="dxa"/>
          </w:tblCellMar>
        </w:tblPrEx>
        <w:trPr>
          <w:trHeight w:val="570"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古贤镇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21</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古贤、河岸、支村、枣园、东隆化、瓦子岗、东冢上、北韩庄、东段村、西段村、北士昌、南士昌、北周流、南周流、大朱庄、小朱庄、前路村、后路村、士昌屯、南韩庄、李庄</w:t>
            </w:r>
          </w:p>
        </w:tc>
      </w:tr>
      <w:tr>
        <w:tblPrEx>
          <w:tblCellMar>
            <w:top w:w="0" w:type="dxa"/>
            <w:left w:w="108" w:type="dxa"/>
            <w:bottom w:w="0" w:type="dxa"/>
            <w:right w:w="108" w:type="dxa"/>
          </w:tblCellMar>
        </w:tblPrEx>
        <w:trPr>
          <w:trHeight w:val="855"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菜园镇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36</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菜园西街、菜园东街、菜园南街、菜园北街、尚金寨、石辛庄、大偏店、东岗头、后岗头、官司、后庄、程岗、同庄、杨辛庄、北青村、广平厂、小偏店、前岗头、李尧会、东尧会、报马厂、前皇甫、后皇甫、前高汉、后高汉、葛庄、大坡、小坡、西河、西尧会、东杨庄、中杨庄、西杨庄、三八、马营、南青村</w:t>
            </w:r>
          </w:p>
        </w:tc>
      </w:tr>
      <w:tr>
        <w:tblPrEx>
          <w:tblCellMar>
            <w:top w:w="0" w:type="dxa"/>
            <w:left w:w="108" w:type="dxa"/>
            <w:bottom w:w="0" w:type="dxa"/>
            <w:right w:w="108" w:type="dxa"/>
          </w:tblCellMar>
        </w:tblPrEx>
        <w:trPr>
          <w:trHeight w:val="855"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任固镇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任固一街、任固二街、任固三街、任固四街、任固五街、任固六街、岳儿寨南、  岳儿寨北、南故城沟南、南故城沟北、白龙一街、白龙二街、白龙三街、梁儿寨、孟庄、赵庄、苏胡、綦逐、商城、辛留、顾德、南庄、季庄、东小庄、冯家巷、北故城、前故城、后故城、杜故城、蔡故城、王施济、杜施济、姬施济、李施济、王辛庄</w:t>
            </w:r>
          </w:p>
        </w:tc>
      </w:tr>
      <w:tr>
        <w:tblPrEx>
          <w:tblCellMar>
            <w:top w:w="0" w:type="dxa"/>
            <w:left w:w="108" w:type="dxa"/>
            <w:bottom w:w="0" w:type="dxa"/>
            <w:right w:w="108" w:type="dxa"/>
          </w:tblCellMar>
        </w:tblPrEx>
        <w:trPr>
          <w:trHeight w:val="855"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五陵镇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27</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五陵一街、五陵二街、五陵三街、五陵四街、水塔河一街、水塔河二街、水塔河三街、东小章、西小章、南小章、大宋村、小宋村、旱塔河、镇抚寨、麻廷寨、小葛寨、阎庄、北五陵南街、北五陵中街、北五陵前街、北五陵后街、瓦查、翟庄、屯庄、俎佐、朱家营、农场</w:t>
            </w:r>
          </w:p>
        </w:tc>
      </w:tr>
      <w:tr>
        <w:tblPrEx>
          <w:tblCellMar>
            <w:top w:w="0" w:type="dxa"/>
            <w:left w:w="108" w:type="dxa"/>
            <w:bottom w:w="0" w:type="dxa"/>
            <w:right w:w="108" w:type="dxa"/>
          </w:tblCellMar>
        </w:tblPrEx>
        <w:trPr>
          <w:trHeight w:val="570"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瓦岗乡</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19</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瓦岗村、小元、南里于、东江尧、东苏庄、大江尧、邶城、李五屯、马岗、龙虎、大寒泉、冯村、西柳圈、东柳圈、岳营、南寒泉、郑家屯、辛庄、夏庄</w:t>
            </w:r>
          </w:p>
        </w:tc>
      </w:tr>
      <w:tr>
        <w:tblPrEx>
          <w:tblCellMar>
            <w:top w:w="0" w:type="dxa"/>
            <w:left w:w="108" w:type="dxa"/>
            <w:bottom w:w="0" w:type="dxa"/>
            <w:right w:w="108" w:type="dxa"/>
          </w:tblCellMar>
        </w:tblPrEx>
        <w:trPr>
          <w:trHeight w:val="855"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伏道镇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29</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伏道一街、伏道二街、伏道三街、伏道四街、后小滩、东官庄、前攸昙、北里于、西水磨湾、辉泉、东水磨湾、夹河、东师庄、南阳、南申庄、寺台寺、前小滩、  西官庄、小贺屯、后攸昙、大性南、大性中、大性北、司马、七涧、岗阳南街、岗阳北街、侯庄、小屯</w:t>
            </w:r>
          </w:p>
        </w:tc>
      </w:tr>
      <w:tr>
        <w:tblPrEx>
          <w:tblCellMar>
            <w:top w:w="0" w:type="dxa"/>
            <w:left w:w="108" w:type="dxa"/>
            <w:bottom w:w="0" w:type="dxa"/>
            <w:right w:w="108" w:type="dxa"/>
          </w:tblCellMar>
        </w:tblPrEx>
        <w:trPr>
          <w:trHeight w:val="1140"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宜沟镇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56</w:t>
            </w:r>
          </w:p>
        </w:tc>
        <w:tc>
          <w:tcPr>
            <w:tcW w:w="3705"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Cs w:val="21"/>
              </w:rPr>
            </w:pPr>
            <w:r>
              <w:rPr>
                <w:rFonts w:hint="eastAsia" w:ascii="等线" w:hAnsi="等线" w:eastAsia="等线" w:cs="宋体"/>
                <w:color w:val="000000"/>
                <w:kern w:val="0"/>
                <w:szCs w:val="21"/>
              </w:rPr>
              <w:t>翻身街、解放街、芦胜街、胡勇街、新华街、前进街、胜利街、谷多、赵窑、长沙、牛村、陈庄、赵屯、将城、刘庄、马屯、车屯、香寺、段庄、大洼、魏城、石庙、冯岗、三里屯、向阳庄、前李朱、江王庄、小青山、黄下扣、王下扣、张家庄、尚家庵、王老屯、王军庄、棘针庄、吴指挥营、小莲庄、东黄鹿厂、李河、东蚕姑冢、高耳庄、后李朱、大寺台、大青山、索下扣、陈下扣、霍家洼、唐王庄、王武岗、大盖族、琵琶寺、赵河、小洼、肖下扣、西蚕姑冢、西黄鹿厂</w:t>
            </w:r>
          </w:p>
        </w:tc>
      </w:tr>
      <w:tr>
        <w:tblPrEx>
          <w:tblCellMar>
            <w:top w:w="0" w:type="dxa"/>
            <w:left w:w="108" w:type="dxa"/>
            <w:bottom w:w="0" w:type="dxa"/>
            <w:right w:w="108" w:type="dxa"/>
          </w:tblCellMar>
        </w:tblPrEx>
        <w:trPr>
          <w:trHeight w:val="429" w:hRule="atLeast"/>
        </w:trPr>
        <w:tc>
          <w:tcPr>
            <w:tcW w:w="334"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合计</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298</w:t>
            </w:r>
          </w:p>
        </w:tc>
        <w:tc>
          <w:tcPr>
            <w:tcW w:w="370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r>
    </w:tbl>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 xml:space="preserve">.5.2 </w:t>
      </w:r>
      <w:r>
        <w:rPr>
          <w:rFonts w:hint="eastAsia" w:asciiTheme="minorEastAsia" w:hAnsiTheme="minorEastAsia" w:eastAsiaTheme="minorEastAsia"/>
          <w:sz w:val="28"/>
          <w:szCs w:val="28"/>
        </w:rPr>
        <w:t>总人口及农村人口</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汤阴县共计1</w:t>
      </w:r>
      <w:r>
        <w:rPr>
          <w:rFonts w:asciiTheme="minorEastAsia" w:hAnsiTheme="minorEastAsia" w:eastAsiaTheme="minorEastAsia"/>
          <w:sz w:val="28"/>
          <w:szCs w:val="28"/>
        </w:rPr>
        <w:t>44957</w:t>
      </w:r>
      <w:r>
        <w:rPr>
          <w:rFonts w:hint="eastAsia" w:asciiTheme="minorEastAsia" w:hAnsiTheme="minorEastAsia" w:eastAsiaTheme="minorEastAsia"/>
          <w:sz w:val="28"/>
          <w:szCs w:val="28"/>
        </w:rPr>
        <w:t>户，总人口5</w:t>
      </w:r>
      <w:r>
        <w:rPr>
          <w:rFonts w:asciiTheme="minorEastAsia" w:hAnsiTheme="minorEastAsia" w:eastAsiaTheme="minorEastAsia"/>
          <w:sz w:val="28"/>
          <w:szCs w:val="28"/>
        </w:rPr>
        <w:t>23377</w:t>
      </w:r>
      <w:r>
        <w:rPr>
          <w:rFonts w:hint="eastAsia" w:asciiTheme="minorEastAsia" w:hAnsiTheme="minorEastAsia" w:eastAsiaTheme="minorEastAsia"/>
          <w:sz w:val="28"/>
          <w:szCs w:val="28"/>
        </w:rPr>
        <w:t>人，其中城镇人口</w:t>
      </w:r>
      <w:r>
        <w:rPr>
          <w:rFonts w:asciiTheme="minorEastAsia" w:hAnsiTheme="minorEastAsia" w:eastAsiaTheme="minorEastAsia"/>
          <w:sz w:val="28"/>
          <w:szCs w:val="28"/>
        </w:rPr>
        <w:t>112654</w:t>
      </w:r>
      <w:r>
        <w:rPr>
          <w:rFonts w:hint="eastAsia" w:asciiTheme="minorEastAsia" w:hAnsiTheme="minorEastAsia" w:eastAsiaTheme="minorEastAsia"/>
          <w:sz w:val="28"/>
          <w:szCs w:val="28"/>
        </w:rPr>
        <w:t>人，农村人口</w:t>
      </w:r>
      <w:r>
        <w:rPr>
          <w:rFonts w:asciiTheme="minorEastAsia" w:hAnsiTheme="minorEastAsia" w:eastAsiaTheme="minorEastAsia"/>
          <w:sz w:val="28"/>
          <w:szCs w:val="28"/>
        </w:rPr>
        <w:t>410723</w:t>
      </w:r>
      <w:r>
        <w:rPr>
          <w:rFonts w:hint="eastAsia" w:asciiTheme="minorEastAsia" w:hAnsiTheme="minorEastAsia" w:eastAsiaTheme="minorEastAsia"/>
          <w:sz w:val="28"/>
          <w:szCs w:val="28"/>
        </w:rPr>
        <w:t>人。</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表1</w:t>
      </w:r>
      <w:r>
        <w:rPr>
          <w:rFonts w:asciiTheme="minorEastAsia" w:hAnsiTheme="minorEastAsia" w:eastAsiaTheme="minorEastAsia"/>
          <w:sz w:val="28"/>
          <w:szCs w:val="28"/>
        </w:rPr>
        <w:t>.5</w:t>
      </w: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汤阴县人口数量表</w:t>
      </w:r>
    </w:p>
    <w:tbl>
      <w:tblPr>
        <w:tblStyle w:val="26"/>
        <w:tblW w:w="5000" w:type="pct"/>
        <w:tblInd w:w="0" w:type="dxa"/>
        <w:tblLayout w:type="autofit"/>
        <w:tblCellMar>
          <w:top w:w="0" w:type="dxa"/>
          <w:left w:w="108" w:type="dxa"/>
          <w:bottom w:w="0" w:type="dxa"/>
          <w:right w:w="108" w:type="dxa"/>
        </w:tblCellMar>
      </w:tblPr>
      <w:tblGrid>
        <w:gridCol w:w="1529"/>
        <w:gridCol w:w="1529"/>
        <w:gridCol w:w="1529"/>
        <w:gridCol w:w="1529"/>
        <w:gridCol w:w="1529"/>
        <w:gridCol w:w="1529"/>
      </w:tblGrid>
      <w:tr>
        <w:tblPrEx>
          <w:tblCellMar>
            <w:top w:w="0" w:type="dxa"/>
            <w:left w:w="108" w:type="dxa"/>
            <w:bottom w:w="0" w:type="dxa"/>
            <w:right w:w="108" w:type="dxa"/>
          </w:tblCellMar>
        </w:tblPrEx>
        <w:trPr>
          <w:trHeight w:val="285" w:hRule="atLeast"/>
        </w:trPr>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县区</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户数</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人口</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城镇人口</w:t>
            </w:r>
          </w:p>
        </w:tc>
        <w:tc>
          <w:tcPr>
            <w:tcW w:w="83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农村人口</w:t>
            </w:r>
          </w:p>
        </w:tc>
      </w:tr>
      <w:tr>
        <w:tblPrEx>
          <w:tblCellMar>
            <w:top w:w="0" w:type="dxa"/>
            <w:left w:w="108" w:type="dxa"/>
            <w:bottom w:w="0" w:type="dxa"/>
            <w:right w:w="108" w:type="dxa"/>
          </w:tblCellMar>
        </w:tblPrEx>
        <w:trPr>
          <w:trHeight w:val="285" w:hRule="atLeast"/>
        </w:trPr>
        <w:tc>
          <w:tcPr>
            <w:tcW w:w="83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23705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74506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62274</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12232</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白营镇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11555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42215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7812</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34403</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古贤镇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9676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35308</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2415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32893</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菜园镇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13251</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58334</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6108</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52226</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任固镇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14141</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58938</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11016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47922</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五陵镇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13876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52041</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4435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47606</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瓦岗乡</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11653</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40406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5256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35150</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伏道镇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14314</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49919</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5998</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43921</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宜沟镇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18837</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64434</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4077</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60357</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韩庄镇</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13949</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47276</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3263</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44013</w:t>
            </w:r>
          </w:p>
        </w:tc>
      </w:tr>
      <w:tr>
        <w:tblPrEx>
          <w:tblCellMar>
            <w:top w:w="0" w:type="dxa"/>
            <w:left w:w="108" w:type="dxa"/>
            <w:bottom w:w="0" w:type="dxa"/>
            <w:right w:w="108" w:type="dxa"/>
          </w:tblCellMar>
        </w:tblPrEx>
        <w:trPr>
          <w:trHeight w:val="285"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合计</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144957</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523377</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112654</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410723</w:t>
            </w:r>
          </w:p>
        </w:tc>
      </w:tr>
    </w:tbl>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 xml:space="preserve">.5.3 </w:t>
      </w:r>
      <w:r>
        <w:rPr>
          <w:rFonts w:hint="eastAsia" w:asciiTheme="minorEastAsia" w:hAnsiTheme="minorEastAsia" w:eastAsiaTheme="minorEastAsia"/>
          <w:sz w:val="28"/>
          <w:szCs w:val="28"/>
        </w:rPr>
        <w:t>县域经济及预算收入</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汤阴县2</w:t>
      </w:r>
      <w:r>
        <w:rPr>
          <w:rFonts w:asciiTheme="minorEastAsia" w:hAnsiTheme="minorEastAsia" w:eastAsiaTheme="minorEastAsia"/>
          <w:sz w:val="28"/>
          <w:szCs w:val="28"/>
        </w:rPr>
        <w:t>020</w:t>
      </w:r>
      <w:r>
        <w:rPr>
          <w:rFonts w:hint="eastAsia" w:asciiTheme="minorEastAsia" w:hAnsiTheme="minorEastAsia" w:eastAsiaTheme="minorEastAsia"/>
          <w:sz w:val="28"/>
          <w:szCs w:val="28"/>
        </w:rPr>
        <w:t>年生产总值1</w:t>
      </w:r>
      <w:r>
        <w:rPr>
          <w:rFonts w:asciiTheme="minorEastAsia" w:hAnsiTheme="minorEastAsia" w:eastAsiaTheme="minorEastAsia"/>
          <w:sz w:val="28"/>
          <w:szCs w:val="28"/>
        </w:rPr>
        <w:t>624934</w:t>
      </w:r>
      <w:r>
        <w:rPr>
          <w:rFonts w:hint="eastAsia" w:asciiTheme="minorEastAsia" w:hAnsiTheme="minorEastAsia" w:eastAsiaTheme="minorEastAsia"/>
          <w:sz w:val="28"/>
          <w:szCs w:val="28"/>
        </w:rPr>
        <w:t>万元，其中第一产业2</w:t>
      </w:r>
      <w:r>
        <w:rPr>
          <w:rFonts w:asciiTheme="minorEastAsia" w:hAnsiTheme="minorEastAsia" w:eastAsiaTheme="minorEastAsia"/>
          <w:sz w:val="28"/>
          <w:szCs w:val="28"/>
        </w:rPr>
        <w:t>57672</w:t>
      </w:r>
      <w:r>
        <w:rPr>
          <w:rFonts w:hint="eastAsia" w:asciiTheme="minorEastAsia" w:hAnsiTheme="minorEastAsia" w:eastAsiaTheme="minorEastAsia"/>
          <w:sz w:val="28"/>
          <w:szCs w:val="28"/>
        </w:rPr>
        <w:t>万元，第二产业6</w:t>
      </w:r>
      <w:r>
        <w:rPr>
          <w:rFonts w:asciiTheme="minorEastAsia" w:hAnsiTheme="minorEastAsia" w:eastAsiaTheme="minorEastAsia"/>
          <w:sz w:val="28"/>
          <w:szCs w:val="28"/>
        </w:rPr>
        <w:t>36107</w:t>
      </w:r>
      <w:r>
        <w:rPr>
          <w:rFonts w:hint="eastAsia" w:asciiTheme="minorEastAsia" w:hAnsiTheme="minorEastAsia" w:eastAsiaTheme="minorEastAsia"/>
          <w:sz w:val="28"/>
          <w:szCs w:val="28"/>
        </w:rPr>
        <w:t>万元，第三产业</w:t>
      </w:r>
      <w:r>
        <w:rPr>
          <w:rFonts w:asciiTheme="minorEastAsia" w:hAnsiTheme="minorEastAsia" w:eastAsiaTheme="minorEastAsia"/>
          <w:sz w:val="28"/>
          <w:szCs w:val="28"/>
        </w:rPr>
        <w:t>731155</w:t>
      </w:r>
      <w:r>
        <w:rPr>
          <w:rFonts w:hint="eastAsia" w:asciiTheme="minorEastAsia" w:hAnsiTheme="minorEastAsia" w:eastAsiaTheme="minorEastAsia"/>
          <w:sz w:val="28"/>
          <w:szCs w:val="28"/>
        </w:rPr>
        <w:t>万元，人均生产总值3</w:t>
      </w:r>
      <w:r>
        <w:rPr>
          <w:rFonts w:asciiTheme="minorEastAsia" w:hAnsiTheme="minorEastAsia" w:eastAsiaTheme="minorEastAsia"/>
          <w:sz w:val="28"/>
          <w:szCs w:val="28"/>
        </w:rPr>
        <w:t>6688</w:t>
      </w:r>
      <w:r>
        <w:rPr>
          <w:rFonts w:hint="eastAsia" w:asciiTheme="minorEastAsia" w:hAnsiTheme="minorEastAsia" w:eastAsiaTheme="minorEastAsia"/>
          <w:sz w:val="28"/>
          <w:szCs w:val="28"/>
        </w:rPr>
        <w:t>元。详见下表：</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表1</w:t>
      </w:r>
      <w:r>
        <w:rPr>
          <w:rFonts w:asciiTheme="minorEastAsia" w:hAnsiTheme="minorEastAsia" w:eastAsiaTheme="minorEastAsia"/>
          <w:sz w:val="28"/>
          <w:szCs w:val="28"/>
        </w:rPr>
        <w:t>.5</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汤阴县经济构成表</w:t>
      </w:r>
    </w:p>
    <w:tbl>
      <w:tblPr>
        <w:tblStyle w:val="26"/>
        <w:tblW w:w="5000" w:type="pct"/>
        <w:tblInd w:w="0" w:type="dxa"/>
        <w:tblLayout w:type="autofit"/>
        <w:tblCellMar>
          <w:top w:w="0" w:type="dxa"/>
          <w:left w:w="108" w:type="dxa"/>
          <w:bottom w:w="0" w:type="dxa"/>
          <w:right w:w="108" w:type="dxa"/>
        </w:tblCellMar>
      </w:tblPr>
      <w:tblGrid>
        <w:gridCol w:w="1147"/>
        <w:gridCol w:w="1372"/>
        <w:gridCol w:w="921"/>
        <w:gridCol w:w="1347"/>
        <w:gridCol w:w="947"/>
        <w:gridCol w:w="1321"/>
        <w:gridCol w:w="972"/>
        <w:gridCol w:w="1147"/>
      </w:tblGrid>
      <w:tr>
        <w:tblPrEx>
          <w:tblCellMar>
            <w:top w:w="0" w:type="dxa"/>
            <w:left w:w="108" w:type="dxa"/>
            <w:bottom w:w="0" w:type="dxa"/>
            <w:right w:w="108" w:type="dxa"/>
          </w:tblCellMar>
        </w:tblPrEx>
        <w:trPr>
          <w:trHeight w:val="285" w:hRule="atLeast"/>
        </w:trPr>
        <w:tc>
          <w:tcPr>
            <w:tcW w:w="6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生产总值（万元）</w:t>
            </w:r>
          </w:p>
        </w:tc>
        <w:tc>
          <w:tcPr>
            <w:tcW w:w="125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第一产业</w:t>
            </w:r>
          </w:p>
        </w:tc>
        <w:tc>
          <w:tcPr>
            <w:tcW w:w="125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第二产业</w:t>
            </w:r>
          </w:p>
        </w:tc>
        <w:tc>
          <w:tcPr>
            <w:tcW w:w="125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第三产业</w:t>
            </w:r>
          </w:p>
        </w:tc>
        <w:tc>
          <w:tcPr>
            <w:tcW w:w="6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人均收入（元）</w:t>
            </w:r>
          </w:p>
        </w:tc>
      </w:tr>
      <w:tr>
        <w:tblPrEx>
          <w:tblCellMar>
            <w:top w:w="0" w:type="dxa"/>
            <w:left w:w="108" w:type="dxa"/>
            <w:bottom w:w="0" w:type="dxa"/>
            <w:right w:w="108" w:type="dxa"/>
          </w:tblCellMar>
        </w:tblPrEx>
        <w:trPr>
          <w:trHeight w:val="226" w:hRule="atLeast"/>
        </w:trPr>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产值</w:t>
            </w:r>
          </w:p>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（万元）</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比例</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产值</w:t>
            </w:r>
          </w:p>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（万元）</w:t>
            </w:r>
          </w:p>
        </w:tc>
        <w:tc>
          <w:tcPr>
            <w:tcW w:w="51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比例</w:t>
            </w:r>
          </w:p>
        </w:tc>
        <w:tc>
          <w:tcPr>
            <w:tcW w:w="72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产值</w:t>
            </w:r>
          </w:p>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（万元）</w:t>
            </w:r>
          </w:p>
        </w:tc>
        <w:tc>
          <w:tcPr>
            <w:tcW w:w="5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比例</w:t>
            </w: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r>
      <w:tr>
        <w:tblPrEx>
          <w:tblCellMar>
            <w:top w:w="0" w:type="dxa"/>
            <w:left w:w="108" w:type="dxa"/>
            <w:bottom w:w="0" w:type="dxa"/>
            <w:right w:w="108" w:type="dxa"/>
          </w:tblCellMar>
        </w:tblPrEx>
        <w:trPr>
          <w:trHeight w:val="285" w:hRule="atLeast"/>
        </w:trPr>
        <w:tc>
          <w:tcPr>
            <w:tcW w:w="62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1624934</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257672</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15.9%</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636107</w:t>
            </w:r>
          </w:p>
        </w:tc>
        <w:tc>
          <w:tcPr>
            <w:tcW w:w="51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39.1%</w:t>
            </w:r>
          </w:p>
        </w:tc>
        <w:tc>
          <w:tcPr>
            <w:tcW w:w="72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731155</w:t>
            </w:r>
          </w:p>
        </w:tc>
        <w:tc>
          <w:tcPr>
            <w:tcW w:w="5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45.00%</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36688</w:t>
            </w:r>
          </w:p>
        </w:tc>
      </w:tr>
    </w:tbl>
    <w:p>
      <w:pPr>
        <w:pStyle w:val="3"/>
        <w:spacing w:before="0" w:after="0" w:line="360" w:lineRule="auto"/>
        <w:rPr>
          <w:rFonts w:asciiTheme="minorEastAsia" w:hAnsiTheme="minorEastAsia" w:eastAsiaTheme="minorEastAsia"/>
        </w:rPr>
      </w:pPr>
      <w:bookmarkStart w:id="21" w:name="_Toc65609830"/>
      <w:bookmarkStart w:id="22" w:name="_Toc61802080"/>
      <w:bookmarkStart w:id="23" w:name="_Toc75444758"/>
      <w:bookmarkStart w:id="24" w:name="_Toc66885646"/>
      <w:bookmarkStart w:id="25" w:name="_Toc144903151"/>
      <w:r>
        <w:rPr>
          <w:rFonts w:asciiTheme="minorEastAsia" w:hAnsiTheme="minorEastAsia" w:eastAsiaTheme="minorEastAsia"/>
        </w:rPr>
        <w:t xml:space="preserve">1.6 </w:t>
      </w:r>
      <w:bookmarkEnd w:id="21"/>
      <w:bookmarkEnd w:id="22"/>
      <w:bookmarkEnd w:id="23"/>
      <w:bookmarkEnd w:id="24"/>
      <w:r>
        <w:rPr>
          <w:rFonts w:hint="eastAsia" w:asciiTheme="minorEastAsia" w:hAnsiTheme="minorEastAsia" w:eastAsiaTheme="minorEastAsia"/>
        </w:rPr>
        <w:t>农业旱涝自然灾害</w:t>
      </w:r>
      <w:bookmarkEnd w:id="25"/>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（1）旱灾</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干旱灾害主要指很长一段时间内降水稀少或者无降水，导致土壤水分不足，农作物水分平衡受到破坏而减产或歉收从而带来的农业生产灾害问题。汤阴县由于降水时空分布不够均匀，干旱灾害频繁发生，一年四季均可能会出现干旱天气。汤阴县一旦发生干旱天气，常常导致大部分河流湖泊干枯现象严重，水库</w:t>
      </w:r>
      <w:r>
        <w:rPr>
          <w:rFonts w:hint="eastAsia" w:asciiTheme="minorEastAsia" w:hAnsiTheme="minorEastAsia" w:eastAsiaTheme="minorEastAsia"/>
          <w:sz w:val="28"/>
          <w:szCs w:val="28"/>
        </w:rPr>
        <w:t>蓄</w:t>
      </w:r>
      <w:r>
        <w:rPr>
          <w:rFonts w:asciiTheme="minorEastAsia" w:hAnsiTheme="minorEastAsia" w:eastAsiaTheme="minorEastAsia"/>
          <w:sz w:val="28"/>
          <w:szCs w:val="28"/>
        </w:rPr>
        <w:t>水量减少，不仅人畜饮水面临着很大的困难，而且给当地的农业生产造成特别严重的危害</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008</w:t>
      </w:r>
      <w:r>
        <w:rPr>
          <w:rFonts w:hint="eastAsia" w:asciiTheme="minorEastAsia" w:hAnsiTheme="minorEastAsia" w:eastAsiaTheme="minorEastAsia"/>
          <w:sz w:val="28"/>
          <w:szCs w:val="28"/>
        </w:rPr>
        <w:t>年1</w:t>
      </w:r>
      <w:r>
        <w:rPr>
          <w:rFonts w:asciiTheme="minorEastAsia" w:hAnsiTheme="minorEastAsia" w:eastAsiaTheme="minorEastAsia"/>
          <w:sz w:val="28"/>
          <w:szCs w:val="28"/>
        </w:rPr>
        <w:t>1</w:t>
      </w:r>
      <w:r>
        <w:rPr>
          <w:rFonts w:hint="eastAsia" w:asciiTheme="minorEastAsia" w:hAnsiTheme="minorEastAsia" w:eastAsiaTheme="minorEastAsia"/>
          <w:sz w:val="28"/>
          <w:szCs w:val="28"/>
        </w:rPr>
        <w:t>月中旬至2</w:t>
      </w:r>
      <w:r>
        <w:rPr>
          <w:rFonts w:asciiTheme="minorEastAsia" w:hAnsiTheme="minorEastAsia" w:eastAsiaTheme="minorEastAsia"/>
          <w:sz w:val="28"/>
          <w:szCs w:val="28"/>
        </w:rPr>
        <w:t>009</w:t>
      </w:r>
      <w:r>
        <w:rPr>
          <w:rFonts w:hint="eastAsia" w:asciiTheme="minorEastAsia" w:hAnsiTheme="minorEastAsia" w:eastAsiaTheme="minorEastAsia"/>
          <w:sz w:val="28"/>
          <w:szCs w:val="28"/>
        </w:rPr>
        <w:t>年初，汤阴县降水较常年同期平均值减少9成，全县最大的汤河水库和部分机井干涸，小麦受灾面积达总面积的6</w:t>
      </w:r>
      <w:r>
        <w:rPr>
          <w:rFonts w:asciiTheme="minorEastAsia" w:hAnsiTheme="minorEastAsia" w:eastAsiaTheme="minorEastAsia"/>
          <w:sz w:val="28"/>
          <w:szCs w:val="28"/>
        </w:rPr>
        <w:t>0</w:t>
      </w:r>
      <w:r>
        <w:rPr>
          <w:rFonts w:hint="eastAsia" w:asciiTheme="minorEastAsia" w:hAnsiTheme="minorEastAsia" w:eastAsiaTheme="minorEastAsia"/>
          <w:sz w:val="28"/>
          <w:szCs w:val="28"/>
        </w:rPr>
        <w:t>%以上，农业生产遭受巨大损失。</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气象部</w:t>
      </w:r>
      <w:r>
        <w:rPr>
          <w:rFonts w:hint="eastAsia" w:asciiTheme="minorEastAsia" w:hAnsiTheme="minorEastAsia" w:eastAsiaTheme="minorEastAsia"/>
          <w:sz w:val="28"/>
          <w:szCs w:val="28"/>
        </w:rPr>
        <w:t>门</w:t>
      </w:r>
      <w:r>
        <w:rPr>
          <w:rFonts w:asciiTheme="minorEastAsia" w:hAnsiTheme="minorEastAsia" w:eastAsiaTheme="minorEastAsia"/>
          <w:sz w:val="28"/>
          <w:szCs w:val="28"/>
        </w:rPr>
        <w:t>应强化汤阴县土壤墒情的监测，一旦出现干旱灾害，应充分借助于农业气象信息服务平台以及手机短信发布千旱灾害预测预报，使农户及时应对，并且根据天气情况适时开展人工增雨作业。</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（2）水灾</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汤阴县农业水灾一半由持续暴雨引起，</w:t>
      </w:r>
      <w:r>
        <w:rPr>
          <w:rFonts w:asciiTheme="minorEastAsia" w:hAnsiTheme="minorEastAsia" w:eastAsiaTheme="minorEastAsia"/>
          <w:sz w:val="28"/>
          <w:szCs w:val="28"/>
        </w:rPr>
        <w:t>暴雨是汤阴县夏季经常发生的一类气象灾害，暴雨来得快、雨势猛、危害严重，特别是大范围持续性暴雨以及集中的特大暴雨，不但会对工农业生产造成影响，而且还会对人民的生命构成威胁，造成严重的经济损失。暴雨对农作物的危害主要有2种：一方面由于暴雨急而大，排水不畅易引起积水成涝，土壤孔隙被水充满，导致农作物根系缺氧，使根系生理活动受到抑制而滋生病虫害，造成农作物受害而大幅减产;另一方面因暴雨引起洪涝淹没农田，使农作物新陈代谢无法正常开展而发生各种伤害，淹水愈深、淹没时间愈长，则危害更重</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2021</w:t>
      </w:r>
      <w:r>
        <w:rPr>
          <w:rFonts w:hint="eastAsia" w:asciiTheme="minorEastAsia" w:hAnsiTheme="minorEastAsia" w:eastAsiaTheme="minorEastAsia"/>
          <w:sz w:val="28"/>
          <w:szCs w:val="28"/>
        </w:rPr>
        <w:t>年</w:t>
      </w:r>
      <w:r>
        <w:rPr>
          <w:rFonts w:asciiTheme="minorEastAsia" w:hAnsiTheme="minorEastAsia" w:eastAsiaTheme="minorEastAsia"/>
          <w:sz w:val="28"/>
          <w:szCs w:val="28"/>
        </w:rPr>
        <w:t>7月20日，汤阴县遭遇连续强降雨天气，全县受灾范围涉及10个乡镇，农作物受灾面积56万亩，成灾46万亩，绝收12万亩，受灾人口38万人</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气象部门应密切关注雨情、水情，及时发布强降雨预警信息以及防御要求。积水严重的田地应及时清沟排水，避免积水形成渍涝灾害</w:t>
      </w:r>
      <w:r>
        <w:rPr>
          <w:rFonts w:hint="eastAsia" w:asciiTheme="minorEastAsia" w:hAnsiTheme="minorEastAsia" w:eastAsiaTheme="minorEastAsia"/>
          <w:sz w:val="28"/>
          <w:szCs w:val="28"/>
        </w:rPr>
        <w:t>；</w:t>
      </w:r>
      <w:r>
        <w:rPr>
          <w:rFonts w:asciiTheme="minorEastAsia" w:hAnsiTheme="minorEastAsia" w:eastAsiaTheme="minorEastAsia"/>
          <w:sz w:val="28"/>
          <w:szCs w:val="28"/>
        </w:rPr>
        <w:t>对于受灾作物，应科学指导农户做好田间管理，确保农作物的正常生长发育</w:t>
      </w:r>
      <w:r>
        <w:rPr>
          <w:rFonts w:hint="eastAsia" w:asciiTheme="minorEastAsia" w:hAnsiTheme="minorEastAsia" w:eastAsiaTheme="minorEastAsia"/>
          <w:sz w:val="28"/>
          <w:szCs w:val="28"/>
        </w:rPr>
        <w:t>。</w:t>
      </w:r>
    </w:p>
    <w:p>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br w:type="page"/>
      </w:r>
    </w:p>
    <w:p>
      <w:pPr>
        <w:spacing w:line="360" w:lineRule="auto"/>
        <w:outlineLvl w:val="0"/>
        <w:rPr>
          <w:rFonts w:asciiTheme="minorEastAsia" w:hAnsiTheme="minorEastAsia" w:eastAsiaTheme="minorEastAsia"/>
          <w:b/>
          <w:sz w:val="36"/>
          <w:szCs w:val="36"/>
        </w:rPr>
      </w:pPr>
      <w:bookmarkStart w:id="26" w:name="_Toc144903152"/>
      <w:r>
        <w:rPr>
          <w:rFonts w:asciiTheme="minorEastAsia" w:hAnsiTheme="minorEastAsia" w:eastAsiaTheme="minorEastAsia"/>
          <w:b/>
          <w:sz w:val="36"/>
          <w:szCs w:val="36"/>
        </w:rPr>
        <w:t>2.</w:t>
      </w:r>
      <w:r>
        <w:rPr>
          <w:rFonts w:hint="eastAsia" w:asciiTheme="minorEastAsia" w:hAnsiTheme="minorEastAsia" w:eastAsiaTheme="minorEastAsia"/>
          <w:b/>
          <w:sz w:val="36"/>
          <w:szCs w:val="36"/>
        </w:rPr>
        <w:t>建设发展</w:t>
      </w:r>
      <w:bookmarkEnd w:id="26"/>
    </w:p>
    <w:p>
      <w:pPr>
        <w:pStyle w:val="3"/>
        <w:spacing w:before="0" w:after="0" w:line="360" w:lineRule="auto"/>
        <w:rPr>
          <w:rFonts w:ascii="宋体" w:hAnsi="宋体" w:cs="宋体"/>
          <w:spacing w:val="-4"/>
          <w:sz w:val="28"/>
          <w:szCs w:val="28"/>
        </w:rPr>
      </w:pPr>
      <w:bookmarkStart w:id="27" w:name="_Toc144903153"/>
      <w:r>
        <w:rPr>
          <w:rFonts w:hint="eastAsia" w:asciiTheme="minorEastAsia" w:hAnsiTheme="minorEastAsia" w:eastAsiaTheme="minorEastAsia"/>
        </w:rPr>
        <w:t>2</w:t>
      </w:r>
      <w:r>
        <w:rPr>
          <w:rFonts w:asciiTheme="minorEastAsia" w:hAnsiTheme="minorEastAsia" w:eastAsiaTheme="minorEastAsia"/>
        </w:rPr>
        <w:t>.1</w:t>
      </w:r>
      <w:r>
        <w:rPr>
          <w:rFonts w:hint="eastAsia" w:asciiTheme="minorEastAsia" w:hAnsiTheme="minorEastAsia" w:eastAsiaTheme="minorEastAsia"/>
        </w:rPr>
        <w:t>总体建设情况</w:t>
      </w:r>
      <w:bookmarkEnd w:id="27"/>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2011</w:t>
      </w:r>
      <w:r>
        <w:rPr>
          <w:rFonts w:hint="eastAsia" w:asciiTheme="minorEastAsia" w:hAnsiTheme="minorEastAsia" w:eastAsiaTheme="minorEastAsia"/>
          <w:sz w:val="28"/>
          <w:szCs w:val="28"/>
        </w:rPr>
        <w:t>年以来，汤阴县县委、县政府、县农业农村局高度重视高标准农田建设，全县积极组织申报并整合各方面的项目资金，加大农业基础设施投入，通过农业综合开发、新增千亿斤粮食产能规划田间工程、高效节水工程、中央小农水重点县、高标准农田等项目的实施，采取治水、改土、整田等工程、生物和技术措施，提高了农田配套水平和保障能力，提升了农田产出率和效益，对全县农业农村经济发展和生态环境保护和改善起到了重要作用。截止至</w:t>
      </w:r>
      <w:r>
        <w:rPr>
          <w:rFonts w:asciiTheme="minorEastAsia" w:hAnsiTheme="minorEastAsia" w:eastAsiaTheme="minorEastAsia"/>
          <w:sz w:val="28"/>
          <w:szCs w:val="28"/>
        </w:rPr>
        <w:t xml:space="preserve">2020 </w:t>
      </w:r>
      <w:r>
        <w:rPr>
          <w:rFonts w:hint="eastAsia" w:asciiTheme="minorEastAsia" w:hAnsiTheme="minorEastAsia" w:eastAsiaTheme="minorEastAsia"/>
          <w:sz w:val="28"/>
          <w:szCs w:val="28"/>
        </w:rPr>
        <w:t>年年底，全县新建高标准农田面积51.</w:t>
      </w:r>
      <w:r>
        <w:rPr>
          <w:rFonts w:asciiTheme="minorEastAsia" w:hAnsiTheme="minorEastAsia" w:eastAsiaTheme="minorEastAsia"/>
          <w:sz w:val="28"/>
          <w:szCs w:val="28"/>
        </w:rPr>
        <w:t>17</w:t>
      </w:r>
      <w:r>
        <w:rPr>
          <w:rFonts w:hint="eastAsia" w:asciiTheme="minorEastAsia" w:hAnsiTheme="minorEastAsia" w:eastAsiaTheme="minorEastAsia"/>
          <w:sz w:val="28"/>
          <w:szCs w:val="28"/>
        </w:rPr>
        <w:t>万亩，占全县耕地面积的79.65</w:t>
      </w:r>
      <w:r>
        <w:rPr>
          <w:rFonts w:asciiTheme="minorEastAsia" w:hAnsiTheme="minorEastAsia" w:eastAsiaTheme="minorEastAsia"/>
          <w:sz w:val="28"/>
          <w:szCs w:val="28"/>
        </w:rPr>
        <w:t>%</w:t>
      </w:r>
      <w:r>
        <w:rPr>
          <w:rFonts w:hint="eastAsia" w:asciiTheme="minorEastAsia" w:hAnsiTheme="minorEastAsia" w:eastAsiaTheme="minorEastAsia"/>
          <w:sz w:val="28"/>
          <w:szCs w:val="28"/>
        </w:rPr>
        <w:t>（耕地面积64.28万亩）。其中管灌区面积35.</w:t>
      </w:r>
      <w:r>
        <w:rPr>
          <w:rFonts w:asciiTheme="minorEastAsia" w:hAnsiTheme="minorEastAsia" w:eastAsiaTheme="minorEastAsia"/>
          <w:sz w:val="28"/>
          <w:szCs w:val="28"/>
        </w:rPr>
        <w:t>6</w:t>
      </w:r>
      <w:r>
        <w:rPr>
          <w:rFonts w:hint="eastAsia" w:asciiTheme="minorEastAsia" w:hAnsiTheme="minorEastAsia" w:eastAsiaTheme="minorEastAsia"/>
          <w:sz w:val="28"/>
          <w:szCs w:val="28"/>
        </w:rPr>
        <w:t>7万亩，渠灌区15.5万亩。</w:t>
      </w:r>
    </w:p>
    <w:p>
      <w:pPr>
        <w:snapToGrid w:val="0"/>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表2</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1 </w:t>
      </w:r>
      <w:r>
        <w:rPr>
          <w:rFonts w:hint="eastAsia" w:asciiTheme="minorEastAsia" w:hAnsiTheme="minorEastAsia" w:eastAsiaTheme="minorEastAsia"/>
          <w:sz w:val="28"/>
          <w:szCs w:val="28"/>
        </w:rPr>
        <w:t>高标准农田建设情况表</w:t>
      </w:r>
    </w:p>
    <w:tbl>
      <w:tblPr>
        <w:tblStyle w:val="26"/>
        <w:tblW w:w="5000" w:type="pct"/>
        <w:tblInd w:w="0" w:type="dxa"/>
        <w:tblLayout w:type="autofit"/>
        <w:tblCellMar>
          <w:top w:w="0" w:type="dxa"/>
          <w:left w:w="108" w:type="dxa"/>
          <w:bottom w:w="0" w:type="dxa"/>
          <w:right w:w="108" w:type="dxa"/>
        </w:tblCellMar>
      </w:tblPr>
      <w:tblGrid>
        <w:gridCol w:w="426"/>
        <w:gridCol w:w="933"/>
        <w:gridCol w:w="826"/>
        <w:gridCol w:w="855"/>
        <w:gridCol w:w="800"/>
        <w:gridCol w:w="1029"/>
        <w:gridCol w:w="709"/>
        <w:gridCol w:w="709"/>
        <w:gridCol w:w="709"/>
        <w:gridCol w:w="709"/>
        <w:gridCol w:w="709"/>
        <w:gridCol w:w="760"/>
      </w:tblGrid>
      <w:tr>
        <w:tblPrEx>
          <w:tblCellMar>
            <w:top w:w="0" w:type="dxa"/>
            <w:left w:w="108" w:type="dxa"/>
            <w:bottom w:w="0" w:type="dxa"/>
            <w:right w:w="108" w:type="dxa"/>
          </w:tblCellMar>
        </w:tblPrEx>
        <w:trPr>
          <w:trHeight w:val="285" w:hRule="atLeast"/>
        </w:trPr>
        <w:tc>
          <w:tcPr>
            <w:tcW w:w="2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县</w:t>
            </w:r>
          </w:p>
        </w:tc>
        <w:tc>
          <w:tcPr>
            <w:tcW w:w="5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乡镇</w:t>
            </w:r>
          </w:p>
        </w:tc>
        <w:tc>
          <w:tcPr>
            <w:tcW w:w="1390"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耕地面积（万亩）</w:t>
            </w:r>
          </w:p>
        </w:tc>
        <w:tc>
          <w:tcPr>
            <w:tcW w:w="574" w:type="pct"/>
            <w:vMerge w:val="restart"/>
            <w:tcBorders>
              <w:top w:val="single" w:color="auto" w:sz="4" w:space="0"/>
              <w:left w:val="nil"/>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2011-2015年</w:t>
            </w:r>
          </w:p>
        </w:tc>
        <w:tc>
          <w:tcPr>
            <w:tcW w:w="2282" w:type="pct"/>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十三五期间新发展高标准农田面积（万亩）</w:t>
            </w:r>
          </w:p>
        </w:tc>
      </w:tr>
      <w:tr>
        <w:tblPrEx>
          <w:tblCellMar>
            <w:top w:w="0" w:type="dxa"/>
            <w:left w:w="108" w:type="dxa"/>
            <w:bottom w:w="0" w:type="dxa"/>
            <w:right w:w="108" w:type="dxa"/>
          </w:tblCellMar>
        </w:tblPrEx>
        <w:trPr>
          <w:trHeight w:val="570" w:hRule="atLeast"/>
        </w:trPr>
        <w:tc>
          <w:tcPr>
            <w:tcW w:w="23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永久基本农田面积</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一般农田面积</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合计</w:t>
            </w:r>
          </w:p>
        </w:tc>
        <w:tc>
          <w:tcPr>
            <w:tcW w:w="574" w:type="pct"/>
            <w:vMerge w:val="continue"/>
            <w:tcBorders>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2016</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2018</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2019</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2020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合计</w:t>
            </w:r>
          </w:p>
        </w:tc>
      </w:tr>
      <w:tr>
        <w:tblPrEx>
          <w:tblCellMar>
            <w:top w:w="0" w:type="dxa"/>
            <w:left w:w="108" w:type="dxa"/>
            <w:bottom w:w="0" w:type="dxa"/>
            <w:right w:w="108" w:type="dxa"/>
          </w:tblCellMar>
        </w:tblPrEx>
        <w:trPr>
          <w:trHeight w:val="285" w:hRule="atLeast"/>
        </w:trPr>
        <w:tc>
          <w:tcPr>
            <w:tcW w:w="232"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汤阴县</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城关镇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0.01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0.63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0.63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0.04</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0.04</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白营镇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2.86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1.07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3.93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1.19</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0.64</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1.83</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古贤镇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6.45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0.52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6.97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3.54</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0.07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3.61</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菜园镇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8.71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0.44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9.15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9.09</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9.09</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任固镇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7.84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0.68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8.52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8.18</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0.07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8.25</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五陵镇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9.06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0.56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9.62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6.49</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0.17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0.4</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7.06</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瓦岗乡</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6.23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0.95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7.18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7.13</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7.13</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伏道镇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1.81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1.65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3.46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2.77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2.77</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宜沟镇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6.82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3.01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9.83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2.95</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3.3</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2.3</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8.55</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韩庄镇</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3.60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1.38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4.98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2.18</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0.66</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2.84</w:t>
            </w:r>
          </w:p>
        </w:tc>
      </w:tr>
      <w:tr>
        <w:tblPrEx>
          <w:tblCellMar>
            <w:top w:w="0" w:type="dxa"/>
            <w:left w:w="108" w:type="dxa"/>
            <w:bottom w:w="0" w:type="dxa"/>
            <w:right w:w="108" w:type="dxa"/>
          </w:tblCellMar>
        </w:tblPrEx>
        <w:trPr>
          <w:trHeight w:val="285" w:hRule="atLeast"/>
        </w:trPr>
        <w:tc>
          <w:tcPr>
            <w:tcW w:w="232"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合计</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53.40 </w:t>
            </w:r>
          </w:p>
        </w:tc>
        <w:tc>
          <w:tcPr>
            <w:tcW w:w="4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10.88 </w:t>
            </w:r>
          </w:p>
        </w:tc>
        <w:tc>
          <w:tcPr>
            <w:tcW w:w="4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64.28 </w:t>
            </w:r>
          </w:p>
        </w:tc>
        <w:tc>
          <w:tcPr>
            <w:tcW w:w="5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43.56</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4.77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2.77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0.07</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w:t>
            </w:r>
          </w:p>
        </w:tc>
        <w:tc>
          <w:tcPr>
            <w:tcW w:w="37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w:t>
            </w:r>
          </w:p>
        </w:tc>
        <w:tc>
          <w:tcPr>
            <w:tcW w:w="3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51.17</w:t>
            </w:r>
          </w:p>
        </w:tc>
      </w:tr>
    </w:tbl>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pacing w:line="360" w:lineRule="auto"/>
        <w:ind w:firstLine="560" w:firstLineChars="200"/>
        <w:rPr>
          <w:rFonts w:asciiTheme="minorEastAsia" w:hAnsiTheme="minorEastAsia" w:eastAsiaTheme="minorEastAsia"/>
          <w:sz w:val="28"/>
          <w:szCs w:val="28"/>
        </w:rPr>
      </w:pPr>
    </w:p>
    <w:p>
      <w:pPr>
        <w:snapToGrid w:val="0"/>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表2.1-</w:t>
      </w:r>
      <w:r>
        <w:rPr>
          <w:rFonts w:asciiTheme="minorEastAsia" w:hAnsiTheme="minorEastAsia" w:eastAsiaTheme="minorEastAsia"/>
          <w:sz w:val="28"/>
          <w:szCs w:val="28"/>
        </w:rPr>
        <w:t>2</w:t>
      </w:r>
      <w:r>
        <w:rPr>
          <w:rFonts w:hint="eastAsia" w:asciiTheme="minorEastAsia" w:hAnsiTheme="minorEastAsia" w:eastAsiaTheme="minorEastAsia"/>
          <w:sz w:val="28"/>
          <w:szCs w:val="28"/>
        </w:rPr>
        <w:t>汤阴县各年度建设高标准农田面积情况</w:t>
      </w:r>
    </w:p>
    <w:tbl>
      <w:tblPr>
        <w:tblStyle w:val="26"/>
        <w:tblW w:w="5105" w:type="pct"/>
        <w:tblInd w:w="0" w:type="dxa"/>
        <w:tblLayout w:type="autofit"/>
        <w:tblCellMar>
          <w:top w:w="0" w:type="dxa"/>
          <w:left w:w="108" w:type="dxa"/>
          <w:bottom w:w="0" w:type="dxa"/>
          <w:right w:w="108" w:type="dxa"/>
        </w:tblCellMar>
      </w:tblPr>
      <w:tblGrid>
        <w:gridCol w:w="660"/>
        <w:gridCol w:w="5943"/>
        <w:gridCol w:w="916"/>
        <w:gridCol w:w="733"/>
        <w:gridCol w:w="1115"/>
      </w:tblGrid>
      <w:tr>
        <w:tblPrEx>
          <w:tblCellMar>
            <w:top w:w="0" w:type="dxa"/>
            <w:left w:w="108" w:type="dxa"/>
            <w:bottom w:w="0" w:type="dxa"/>
            <w:right w:w="108" w:type="dxa"/>
          </w:tblCellMar>
        </w:tblPrEx>
        <w:trPr>
          <w:trHeight w:val="563" w:hRule="atLeast"/>
          <w:tblHeader/>
        </w:trPr>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317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项目名称</w:t>
            </w:r>
          </w:p>
        </w:tc>
        <w:tc>
          <w:tcPr>
            <w:tcW w:w="4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主管单位</w:t>
            </w:r>
          </w:p>
        </w:tc>
        <w:tc>
          <w:tcPr>
            <w:tcW w:w="36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实施年度</w:t>
            </w:r>
          </w:p>
        </w:tc>
        <w:tc>
          <w:tcPr>
            <w:tcW w:w="60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建设面积（万亩）</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汤阴县2012年农业综合开发土地治理项目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2012</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0.53</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汤阴县第六批小型农田水利重点县2016年度建设项目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水利局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1.84</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汤阴县宜沟镇高标准农田建设项目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217</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2.11</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汤阴县2011年新增千亿斤粮食田间工程项目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2011</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2.81</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汤阴县菜园镇等四乡镇土地整治项目第一年度工程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2012</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4.25</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汤阴县2012年新增千亿斤粮食田间工程项目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2012</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2.22</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汤阴县2013年新增千亿斤粮食田间工程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2013</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1.67</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汤阴县2014年第一批农业综合开发土地治理项目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0.84</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汤阴县2014年新增千亿斤粮食田间工程项目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0.78</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汤阴县2014年第二批农业综合开发0.8万亩高标准农田建设（提质更新）项目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0.71</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汤阴县2014年小型农田水利重点县工程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水利局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1.78</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汤阴县菜园镇等四乡镇土地整治项目第二年度工程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2013</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4.97</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汤阴县2015年农业综合开发存量资金土地治理项目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2015</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1.83</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汤阴县2015年新增千亿斤粮食田间工程项目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2015</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0.54</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汤阴县菜园镇等四乡镇土地整治项目第三年度</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13.06</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汤阴县2016年农业综合开发第一批土地治理项目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0.52</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汤阴县瓦岗乡土地整治项目第一年度</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2014</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3.18</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汤阴县第六批小型农田水利重点县2015年度工程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水利局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2015</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汤阴县2017年第一批农业综合开发1.3万亩土地治理项目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财政局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0.19</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汤阴县2018年农田水利项目县工程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水利局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汤阴县2017年新增千亿斤粮食田间工程项目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0.09</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汤阴县2016年度全国新增千亿斤粮食田间工程建设项目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发改委</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韩庄镇伏道镇2个乡（镇）土地整治项目</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2015</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4.25</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w:t>
            </w:r>
          </w:p>
        </w:tc>
        <w:tc>
          <w:tcPr>
            <w:tcW w:w="3179" w:type="pct"/>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汤阴县宜沟镇土地整治项目第一年度工程</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国土局</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2.06</w:t>
            </w:r>
          </w:p>
        </w:tc>
      </w:tr>
      <w:tr>
        <w:tblPrEx>
          <w:tblCellMar>
            <w:top w:w="0" w:type="dxa"/>
            <w:left w:w="108" w:type="dxa"/>
            <w:bottom w:w="0" w:type="dxa"/>
            <w:right w:w="108" w:type="dxa"/>
          </w:tblCellMar>
        </w:tblPrEx>
        <w:trPr>
          <w:trHeight w:val="281" w:hRule="atLeast"/>
        </w:trPr>
        <w:tc>
          <w:tcPr>
            <w:tcW w:w="36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31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9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6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51.17</w:t>
            </w:r>
          </w:p>
        </w:tc>
      </w:tr>
    </w:tbl>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高标准农田通过集中连片开展田块整治、土壤改良、配套设施建设等措施</w:t>
      </w:r>
      <w:r>
        <w:rPr>
          <w:rFonts w:hint="eastAsia" w:asciiTheme="minorEastAsia" w:hAnsiTheme="minorEastAsia" w:eastAsiaTheme="minorEastAsia"/>
          <w:sz w:val="28"/>
          <w:szCs w:val="28"/>
        </w:rPr>
        <w:t>，</w:t>
      </w:r>
      <w:r>
        <w:rPr>
          <w:rFonts w:asciiTheme="minorEastAsia" w:hAnsiTheme="minorEastAsia" w:eastAsiaTheme="minorEastAsia"/>
          <w:sz w:val="28"/>
          <w:szCs w:val="28"/>
        </w:rPr>
        <w:t>解决了耕地碎片化、质量下降、设施不配套等问题</w:t>
      </w:r>
      <w:r>
        <w:rPr>
          <w:rFonts w:hint="eastAsia" w:asciiTheme="minorEastAsia" w:hAnsiTheme="minorEastAsia" w:eastAsiaTheme="minorEastAsia"/>
          <w:sz w:val="28"/>
          <w:szCs w:val="28"/>
        </w:rPr>
        <w:t>，</w:t>
      </w:r>
      <w:r>
        <w:rPr>
          <w:rFonts w:asciiTheme="minorEastAsia" w:hAnsiTheme="minorEastAsia" w:eastAsiaTheme="minorEastAsia"/>
          <w:sz w:val="28"/>
          <w:szCs w:val="28"/>
        </w:rPr>
        <w:t>有效促进了农业规模化、标准化、专业化经营</w:t>
      </w:r>
      <w:r>
        <w:rPr>
          <w:rFonts w:hint="eastAsia" w:asciiTheme="minorEastAsia" w:hAnsiTheme="minorEastAsia" w:eastAsiaTheme="minorEastAsia"/>
          <w:sz w:val="28"/>
          <w:szCs w:val="28"/>
        </w:rPr>
        <w:t>，</w:t>
      </w:r>
      <w:r>
        <w:rPr>
          <w:rFonts w:asciiTheme="minorEastAsia" w:hAnsiTheme="minorEastAsia" w:eastAsiaTheme="minorEastAsia"/>
          <w:sz w:val="28"/>
          <w:szCs w:val="28"/>
        </w:rPr>
        <w:t>带动了农业机械化提档升级</w:t>
      </w:r>
      <w:r>
        <w:rPr>
          <w:rFonts w:hint="eastAsia" w:asciiTheme="minorEastAsia" w:hAnsiTheme="minorEastAsia" w:eastAsiaTheme="minorEastAsia"/>
          <w:sz w:val="28"/>
          <w:szCs w:val="28"/>
        </w:rPr>
        <w:t>，</w:t>
      </w:r>
      <w:r>
        <w:rPr>
          <w:rFonts w:asciiTheme="minorEastAsia" w:hAnsiTheme="minorEastAsia" w:eastAsiaTheme="minorEastAsia"/>
          <w:sz w:val="28"/>
          <w:szCs w:val="28"/>
        </w:rPr>
        <w:t>提高了水土资源利用效率和土地产出率</w:t>
      </w:r>
      <w:r>
        <w:rPr>
          <w:rFonts w:hint="eastAsia" w:asciiTheme="minorEastAsia" w:hAnsiTheme="minorEastAsia" w:eastAsiaTheme="minorEastAsia"/>
          <w:sz w:val="28"/>
          <w:szCs w:val="28"/>
        </w:rPr>
        <w:t>，</w:t>
      </w:r>
      <w:r>
        <w:rPr>
          <w:rFonts w:asciiTheme="minorEastAsia" w:hAnsiTheme="minorEastAsia" w:eastAsiaTheme="minorEastAsia"/>
          <w:sz w:val="28"/>
          <w:szCs w:val="28"/>
        </w:rPr>
        <w:t>加快了新型农业经营主体培育</w:t>
      </w:r>
      <w:r>
        <w:rPr>
          <w:rFonts w:hint="eastAsia" w:asciiTheme="minorEastAsia" w:hAnsiTheme="minorEastAsia" w:eastAsiaTheme="minorEastAsia"/>
          <w:sz w:val="28"/>
          <w:szCs w:val="28"/>
        </w:rPr>
        <w:t>，</w:t>
      </w:r>
      <w:r>
        <w:rPr>
          <w:rFonts w:asciiTheme="minorEastAsia" w:hAnsiTheme="minorEastAsia" w:eastAsiaTheme="minorEastAsia"/>
          <w:sz w:val="28"/>
          <w:szCs w:val="28"/>
        </w:rPr>
        <w:t>推动了农业经营方式、生产方式、资源利用方式的转变</w:t>
      </w:r>
      <w:r>
        <w:rPr>
          <w:rFonts w:hint="eastAsia" w:asciiTheme="minorEastAsia" w:hAnsiTheme="minorEastAsia" w:eastAsiaTheme="minorEastAsia"/>
          <w:sz w:val="28"/>
          <w:szCs w:val="28"/>
        </w:rPr>
        <w:t>，</w:t>
      </w:r>
      <w:r>
        <w:rPr>
          <w:rFonts w:asciiTheme="minorEastAsia" w:hAnsiTheme="minorEastAsia" w:eastAsiaTheme="minorEastAsia"/>
          <w:sz w:val="28"/>
          <w:szCs w:val="28"/>
        </w:rPr>
        <w:t>有效提高了农业综合效益和竞争力。</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通过沟渠配套、节水灌溉、林网建设和集成推广绿色农业技术等措施</w:t>
      </w:r>
      <w:r>
        <w:rPr>
          <w:rFonts w:hint="eastAsia" w:asciiTheme="minorEastAsia" w:hAnsiTheme="minorEastAsia" w:eastAsiaTheme="minorEastAsia"/>
          <w:sz w:val="28"/>
          <w:szCs w:val="28"/>
        </w:rPr>
        <w:t>，</w:t>
      </w:r>
      <w:r>
        <w:rPr>
          <w:rFonts w:asciiTheme="minorEastAsia" w:hAnsiTheme="minorEastAsia" w:eastAsiaTheme="minorEastAsia"/>
          <w:sz w:val="28"/>
          <w:szCs w:val="28"/>
        </w:rPr>
        <w:t>调整优化了农田生态格局</w:t>
      </w:r>
      <w:r>
        <w:rPr>
          <w:rFonts w:hint="eastAsia" w:asciiTheme="minorEastAsia" w:hAnsiTheme="minorEastAsia" w:eastAsiaTheme="minorEastAsia"/>
          <w:sz w:val="28"/>
          <w:szCs w:val="28"/>
        </w:rPr>
        <w:t>，</w:t>
      </w:r>
      <w:r>
        <w:rPr>
          <w:rFonts w:asciiTheme="minorEastAsia" w:hAnsiTheme="minorEastAsia" w:eastAsiaTheme="minorEastAsia"/>
          <w:sz w:val="28"/>
          <w:szCs w:val="28"/>
        </w:rPr>
        <w:t>增强了农田生态防护能力</w:t>
      </w:r>
      <w:r>
        <w:rPr>
          <w:rFonts w:hint="eastAsia" w:asciiTheme="minorEastAsia" w:hAnsiTheme="minorEastAsia" w:eastAsiaTheme="minorEastAsia"/>
          <w:sz w:val="28"/>
          <w:szCs w:val="28"/>
        </w:rPr>
        <w:t>，</w:t>
      </w:r>
      <w:r>
        <w:rPr>
          <w:rFonts w:asciiTheme="minorEastAsia" w:hAnsiTheme="minorEastAsia" w:eastAsiaTheme="minorEastAsia"/>
          <w:sz w:val="28"/>
          <w:szCs w:val="28"/>
        </w:rPr>
        <w:t>减少了农田水土流失</w:t>
      </w:r>
      <w:r>
        <w:rPr>
          <w:rFonts w:hint="eastAsia" w:asciiTheme="minorEastAsia" w:hAnsiTheme="minorEastAsia" w:eastAsiaTheme="minorEastAsia"/>
          <w:sz w:val="28"/>
          <w:szCs w:val="28"/>
        </w:rPr>
        <w:t>，</w:t>
      </w:r>
      <w:r>
        <w:rPr>
          <w:rFonts w:asciiTheme="minorEastAsia" w:hAnsiTheme="minorEastAsia" w:eastAsiaTheme="minorEastAsia"/>
          <w:sz w:val="28"/>
          <w:szCs w:val="28"/>
        </w:rPr>
        <w:t>提高了农业生产投入品利用率</w:t>
      </w:r>
      <w:r>
        <w:rPr>
          <w:rFonts w:hint="eastAsia" w:asciiTheme="minorEastAsia" w:hAnsiTheme="minorEastAsia" w:eastAsiaTheme="minorEastAsia"/>
          <w:sz w:val="28"/>
          <w:szCs w:val="28"/>
        </w:rPr>
        <w:t>，</w:t>
      </w:r>
      <w:r>
        <w:rPr>
          <w:rFonts w:asciiTheme="minorEastAsia" w:hAnsiTheme="minorEastAsia" w:eastAsiaTheme="minorEastAsia"/>
          <w:sz w:val="28"/>
          <w:szCs w:val="28"/>
        </w:rPr>
        <w:t>降低了农业面源污染</w:t>
      </w:r>
      <w:r>
        <w:rPr>
          <w:rFonts w:hint="eastAsia" w:asciiTheme="minorEastAsia" w:hAnsiTheme="minorEastAsia" w:eastAsiaTheme="minorEastAsia"/>
          <w:sz w:val="28"/>
          <w:szCs w:val="28"/>
        </w:rPr>
        <w:t>，</w:t>
      </w:r>
      <w:r>
        <w:rPr>
          <w:rFonts w:asciiTheme="minorEastAsia" w:hAnsiTheme="minorEastAsia" w:eastAsiaTheme="minorEastAsia"/>
          <w:sz w:val="28"/>
          <w:szCs w:val="28"/>
        </w:rPr>
        <w:t>保护了农田生态环境。建成后的高标准农田</w:t>
      </w:r>
      <w:r>
        <w:rPr>
          <w:rFonts w:hint="eastAsia" w:asciiTheme="minorEastAsia" w:hAnsiTheme="minorEastAsia" w:eastAsiaTheme="minorEastAsia"/>
          <w:sz w:val="28"/>
          <w:szCs w:val="28"/>
        </w:rPr>
        <w:t>，</w:t>
      </w:r>
      <w:r>
        <w:rPr>
          <w:rFonts w:asciiTheme="minorEastAsia" w:hAnsiTheme="minorEastAsia" w:eastAsiaTheme="minorEastAsia"/>
          <w:sz w:val="28"/>
          <w:szCs w:val="28"/>
        </w:rPr>
        <w:t>农业绿色发展水平显著提高</w:t>
      </w:r>
      <w:r>
        <w:rPr>
          <w:rFonts w:hint="eastAsia" w:asciiTheme="minorEastAsia" w:hAnsiTheme="minorEastAsia" w:eastAsiaTheme="minorEastAsia"/>
          <w:sz w:val="28"/>
          <w:szCs w:val="28"/>
        </w:rPr>
        <w:t>，</w:t>
      </w:r>
      <w:r>
        <w:rPr>
          <w:rFonts w:asciiTheme="minorEastAsia" w:hAnsiTheme="minorEastAsia" w:eastAsiaTheme="minorEastAsia"/>
          <w:sz w:val="28"/>
          <w:szCs w:val="28"/>
        </w:rPr>
        <w:t>节水、节电、节肥、节药效果明显</w:t>
      </w:r>
      <w:r>
        <w:rPr>
          <w:rFonts w:hint="eastAsia" w:asciiTheme="minorEastAsia" w:hAnsiTheme="minorEastAsia" w:eastAsiaTheme="minorEastAsia"/>
          <w:sz w:val="28"/>
          <w:szCs w:val="28"/>
        </w:rPr>
        <w:t>，</w:t>
      </w:r>
      <w:r>
        <w:rPr>
          <w:rFonts w:asciiTheme="minorEastAsia" w:hAnsiTheme="minorEastAsia" w:eastAsiaTheme="minorEastAsia"/>
          <w:sz w:val="28"/>
          <w:szCs w:val="28"/>
        </w:rPr>
        <w:t>同时促进了农村环境连片整治</w:t>
      </w:r>
      <w:r>
        <w:rPr>
          <w:rFonts w:hint="eastAsia" w:asciiTheme="minorEastAsia" w:hAnsiTheme="minorEastAsia" w:eastAsiaTheme="minorEastAsia"/>
          <w:sz w:val="28"/>
          <w:szCs w:val="28"/>
        </w:rPr>
        <w:t>，</w:t>
      </w:r>
      <w:r>
        <w:rPr>
          <w:rFonts w:asciiTheme="minorEastAsia" w:hAnsiTheme="minorEastAsia" w:eastAsiaTheme="minorEastAsia"/>
          <w:sz w:val="28"/>
          <w:szCs w:val="28"/>
        </w:rPr>
        <w:t>为实现生态宜居打下了坚实基础。</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通过建设高标准农田，</w:t>
      </w:r>
      <w:r>
        <w:rPr>
          <w:rFonts w:hint="eastAsia" w:asciiTheme="minorEastAsia" w:hAnsiTheme="minorEastAsia" w:eastAsiaTheme="minorEastAsia"/>
          <w:sz w:val="28"/>
          <w:szCs w:val="28"/>
        </w:rPr>
        <w:t>汤阴</w:t>
      </w:r>
      <w:r>
        <w:rPr>
          <w:rFonts w:asciiTheme="minorEastAsia" w:hAnsiTheme="minorEastAsia" w:eastAsiaTheme="minorEastAsia"/>
          <w:sz w:val="28"/>
          <w:szCs w:val="28"/>
        </w:rPr>
        <w:t>县项目区内道路平直、通畅，农田林网纵横交错，道路两旁树木整齐挺拔，真正形成田成方、林成网；渠相通、路相连；旱能浇、涝能排；行路易、农机化；品种优、科技新；设施配套、功能齐全；稳产高产、节本高效；生态和谐、持续发展的现代农业新格局。农田形象大幅度提升，产出效益明显提高，推进全县农业生产整体水平的提高，实现农村经济持续健康发展。</w:t>
      </w:r>
    </w:p>
    <w:p>
      <w:pPr>
        <w:snapToGrid w:val="0"/>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表2</w:t>
      </w:r>
      <w:r>
        <w:rPr>
          <w:rFonts w:asciiTheme="minorEastAsia" w:hAnsiTheme="minorEastAsia" w:eastAsiaTheme="minorEastAsia"/>
          <w:sz w:val="28"/>
          <w:szCs w:val="28"/>
        </w:rPr>
        <w:t>.1</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高标准农田建设田间工程配套表</w:t>
      </w:r>
    </w:p>
    <w:tbl>
      <w:tblPr>
        <w:tblStyle w:val="26"/>
        <w:tblW w:w="5000" w:type="pct"/>
        <w:tblInd w:w="0" w:type="dxa"/>
        <w:tblLayout w:type="autofit"/>
        <w:tblCellMar>
          <w:top w:w="0" w:type="dxa"/>
          <w:left w:w="108" w:type="dxa"/>
          <w:bottom w:w="0" w:type="dxa"/>
          <w:right w:w="108" w:type="dxa"/>
        </w:tblCellMar>
      </w:tblPr>
      <w:tblGrid>
        <w:gridCol w:w="2293"/>
        <w:gridCol w:w="2293"/>
        <w:gridCol w:w="2294"/>
        <w:gridCol w:w="2294"/>
      </w:tblGrid>
      <w:tr>
        <w:tblPrEx>
          <w:tblCellMar>
            <w:top w:w="0" w:type="dxa"/>
            <w:left w:w="108" w:type="dxa"/>
            <w:bottom w:w="0" w:type="dxa"/>
            <w:right w:w="108" w:type="dxa"/>
          </w:tblCellMar>
        </w:tblPrEx>
        <w:trPr>
          <w:trHeight w:val="343"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县</w:t>
            </w:r>
          </w:p>
        </w:tc>
        <w:tc>
          <w:tcPr>
            <w:tcW w:w="1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1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1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343" w:hRule="atLeast"/>
        </w:trPr>
        <w:tc>
          <w:tcPr>
            <w:tcW w:w="125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机电井</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座</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861</w:t>
            </w:r>
          </w:p>
        </w:tc>
      </w:tr>
      <w:tr>
        <w:tblPrEx>
          <w:tblCellMar>
            <w:top w:w="0" w:type="dxa"/>
            <w:left w:w="108" w:type="dxa"/>
            <w:bottom w:w="0" w:type="dxa"/>
            <w:right w:w="108" w:type="dxa"/>
          </w:tblCellMar>
        </w:tblPrEx>
        <w:trPr>
          <w:trHeight w:val="343" w:hRule="atLeast"/>
        </w:trPr>
        <w:tc>
          <w:tcPr>
            <w:tcW w:w="1250"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硬化道路</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m</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22842</w:t>
            </w:r>
          </w:p>
        </w:tc>
      </w:tr>
      <w:tr>
        <w:tblPrEx>
          <w:tblCellMar>
            <w:top w:w="0" w:type="dxa"/>
            <w:left w:w="108" w:type="dxa"/>
            <w:bottom w:w="0" w:type="dxa"/>
            <w:right w:w="108" w:type="dxa"/>
          </w:tblCellMar>
        </w:tblPrEx>
        <w:trPr>
          <w:trHeight w:val="343" w:hRule="atLeast"/>
        </w:trPr>
        <w:tc>
          <w:tcPr>
            <w:tcW w:w="1250"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地埋管道</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km</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442.74</w:t>
            </w:r>
          </w:p>
        </w:tc>
      </w:tr>
      <w:tr>
        <w:tblPrEx>
          <w:tblCellMar>
            <w:top w:w="0" w:type="dxa"/>
            <w:left w:w="108" w:type="dxa"/>
            <w:bottom w:w="0" w:type="dxa"/>
            <w:right w:w="108" w:type="dxa"/>
          </w:tblCellMar>
        </w:tblPrEx>
        <w:trPr>
          <w:trHeight w:val="343" w:hRule="atLeast"/>
        </w:trPr>
        <w:tc>
          <w:tcPr>
            <w:tcW w:w="1250"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地埋电缆</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km</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314.054</w:t>
            </w:r>
          </w:p>
        </w:tc>
      </w:tr>
      <w:tr>
        <w:tblPrEx>
          <w:tblCellMar>
            <w:top w:w="0" w:type="dxa"/>
            <w:left w:w="108" w:type="dxa"/>
            <w:bottom w:w="0" w:type="dxa"/>
            <w:right w:w="108" w:type="dxa"/>
          </w:tblCellMar>
        </w:tblPrEx>
        <w:trPr>
          <w:trHeight w:val="343" w:hRule="atLeast"/>
        </w:trPr>
        <w:tc>
          <w:tcPr>
            <w:tcW w:w="1250"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变压器台区</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个</w:t>
            </w:r>
          </w:p>
        </w:tc>
        <w:tc>
          <w:tcPr>
            <w:tcW w:w="12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78</w:t>
            </w:r>
          </w:p>
        </w:tc>
      </w:tr>
    </w:tbl>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高标准农田建设通过完善农田基础设施、提升耕地质量、改善农业生产条件</w:t>
      </w:r>
      <w:r>
        <w:rPr>
          <w:rFonts w:hint="eastAsia" w:asciiTheme="minorEastAsia" w:hAnsiTheme="minorEastAsia" w:eastAsiaTheme="minorEastAsia"/>
          <w:sz w:val="28"/>
          <w:szCs w:val="28"/>
        </w:rPr>
        <w:t>，</w:t>
      </w:r>
      <w:r>
        <w:rPr>
          <w:rFonts w:asciiTheme="minorEastAsia" w:hAnsiTheme="minorEastAsia" w:eastAsiaTheme="minorEastAsia"/>
          <w:sz w:val="28"/>
          <w:szCs w:val="28"/>
        </w:rPr>
        <w:t>降低了农业生产成本、提高了产出效率、增加了土地流转收入</w:t>
      </w:r>
      <w:r>
        <w:rPr>
          <w:rFonts w:hint="eastAsia" w:asciiTheme="minorEastAsia" w:hAnsiTheme="minorEastAsia" w:eastAsiaTheme="minorEastAsia"/>
          <w:sz w:val="28"/>
          <w:szCs w:val="28"/>
        </w:rPr>
        <w:t>，</w:t>
      </w:r>
      <w:r>
        <w:rPr>
          <w:rFonts w:asciiTheme="minorEastAsia" w:hAnsiTheme="minorEastAsia" w:eastAsiaTheme="minorEastAsia"/>
          <w:sz w:val="28"/>
          <w:szCs w:val="28"/>
        </w:rPr>
        <w:t>显著提高了农业生产综合效益</w:t>
      </w:r>
      <w:r>
        <w:rPr>
          <w:rFonts w:hint="eastAsia" w:asciiTheme="minorEastAsia" w:hAnsiTheme="minorEastAsia" w:eastAsiaTheme="minorEastAsia"/>
          <w:sz w:val="28"/>
          <w:szCs w:val="28"/>
        </w:rPr>
        <w:t>，</w:t>
      </w:r>
      <w:r>
        <w:rPr>
          <w:rFonts w:asciiTheme="minorEastAsia" w:hAnsiTheme="minorEastAsia" w:eastAsiaTheme="minorEastAsia"/>
          <w:sz w:val="28"/>
          <w:szCs w:val="28"/>
        </w:rPr>
        <w:t>从各项目实践来看</w:t>
      </w:r>
      <w:r>
        <w:rPr>
          <w:rFonts w:hint="eastAsia" w:asciiTheme="minorEastAsia" w:hAnsiTheme="minorEastAsia" w:eastAsiaTheme="minorEastAsia"/>
          <w:sz w:val="28"/>
          <w:szCs w:val="28"/>
        </w:rPr>
        <w:t>，</w:t>
      </w:r>
      <w:r>
        <w:rPr>
          <w:rFonts w:asciiTheme="minorEastAsia" w:hAnsiTheme="minorEastAsia" w:eastAsiaTheme="minorEastAsia"/>
          <w:sz w:val="28"/>
          <w:szCs w:val="28"/>
        </w:rPr>
        <w:t>平均每亩节本增效约500元</w:t>
      </w:r>
      <w:r>
        <w:rPr>
          <w:rFonts w:hint="eastAsia" w:asciiTheme="minorEastAsia" w:hAnsiTheme="minorEastAsia" w:eastAsiaTheme="minorEastAsia"/>
          <w:sz w:val="28"/>
          <w:szCs w:val="28"/>
        </w:rPr>
        <w:t>，</w:t>
      </w:r>
      <w:r>
        <w:rPr>
          <w:rFonts w:asciiTheme="minorEastAsia" w:hAnsiTheme="minorEastAsia" w:eastAsiaTheme="minorEastAsia"/>
          <w:sz w:val="28"/>
          <w:szCs w:val="28"/>
        </w:rPr>
        <w:t>有效增加了农民生产经营性收入</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截至202</w:t>
      </w:r>
      <w:r>
        <w:rPr>
          <w:rFonts w:hint="eastAsia" w:asciiTheme="minorEastAsia" w:hAnsiTheme="minorEastAsia" w:eastAsiaTheme="minorEastAsia"/>
          <w:sz w:val="28"/>
          <w:szCs w:val="28"/>
        </w:rPr>
        <w:t>0</w:t>
      </w:r>
      <w:r>
        <w:rPr>
          <w:rFonts w:asciiTheme="minorEastAsia" w:hAnsiTheme="minorEastAsia" w:eastAsiaTheme="minorEastAsia"/>
          <w:sz w:val="28"/>
          <w:szCs w:val="28"/>
        </w:rPr>
        <w:t>年累计建成高标准农田51.17万亩，通过完善农田基础设施</w:t>
      </w:r>
      <w:r>
        <w:rPr>
          <w:rFonts w:hint="eastAsia" w:asciiTheme="minorEastAsia" w:hAnsiTheme="minorEastAsia" w:eastAsiaTheme="minorEastAsia"/>
          <w:sz w:val="28"/>
          <w:szCs w:val="28"/>
        </w:rPr>
        <w:t>，</w:t>
      </w:r>
      <w:r>
        <w:rPr>
          <w:rFonts w:asciiTheme="minorEastAsia" w:hAnsiTheme="minorEastAsia" w:eastAsiaTheme="minorEastAsia"/>
          <w:sz w:val="28"/>
          <w:szCs w:val="28"/>
        </w:rPr>
        <w:t>改善农业生产条件</w:t>
      </w:r>
      <w:r>
        <w:rPr>
          <w:rFonts w:hint="eastAsia" w:asciiTheme="minorEastAsia" w:hAnsiTheme="minorEastAsia" w:eastAsiaTheme="minorEastAsia"/>
          <w:sz w:val="28"/>
          <w:szCs w:val="28"/>
        </w:rPr>
        <w:t>，</w:t>
      </w:r>
      <w:r>
        <w:rPr>
          <w:rFonts w:asciiTheme="minorEastAsia" w:hAnsiTheme="minorEastAsia" w:eastAsiaTheme="minorEastAsia"/>
          <w:sz w:val="28"/>
          <w:szCs w:val="28"/>
        </w:rPr>
        <w:t>增强了农田防灾抗灾减灾能力</w:t>
      </w:r>
      <w:r>
        <w:rPr>
          <w:rFonts w:hint="eastAsia" w:asciiTheme="minorEastAsia" w:hAnsiTheme="minorEastAsia" w:eastAsiaTheme="minorEastAsia"/>
          <w:sz w:val="28"/>
          <w:szCs w:val="28"/>
        </w:rPr>
        <w:t>，</w:t>
      </w:r>
      <w:r>
        <w:rPr>
          <w:rFonts w:asciiTheme="minorEastAsia" w:hAnsiTheme="minorEastAsia" w:eastAsiaTheme="minorEastAsia"/>
          <w:sz w:val="28"/>
          <w:szCs w:val="28"/>
        </w:rPr>
        <w:t>使粮食的综合生产能力大大提高，产业结构全面优化，实现经济、社会、生态效益的高度统一。建成后的高标准农田</w:t>
      </w:r>
      <w:r>
        <w:rPr>
          <w:rFonts w:hint="eastAsia" w:asciiTheme="minorEastAsia" w:hAnsiTheme="minorEastAsia" w:eastAsiaTheme="minorEastAsia"/>
          <w:sz w:val="28"/>
          <w:szCs w:val="28"/>
        </w:rPr>
        <w:t>，</w:t>
      </w:r>
      <w:r>
        <w:rPr>
          <w:rFonts w:asciiTheme="minorEastAsia" w:hAnsiTheme="minorEastAsia" w:eastAsiaTheme="minorEastAsia"/>
          <w:sz w:val="28"/>
          <w:szCs w:val="28"/>
        </w:rPr>
        <w:t>亩均粮食产能增加10%</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20% </w:t>
      </w:r>
      <w:r>
        <w:rPr>
          <w:rFonts w:hint="eastAsia" w:asciiTheme="minorEastAsia" w:hAnsiTheme="minorEastAsia" w:eastAsiaTheme="minorEastAsia"/>
          <w:sz w:val="28"/>
          <w:szCs w:val="28"/>
        </w:rPr>
        <w:t>，</w:t>
      </w:r>
      <w:r>
        <w:rPr>
          <w:rFonts w:asciiTheme="minorEastAsia" w:hAnsiTheme="minorEastAsia" w:eastAsiaTheme="minorEastAsia"/>
          <w:sz w:val="28"/>
          <w:szCs w:val="28"/>
        </w:rPr>
        <w:t>稳定了农民种粮的积极性</w:t>
      </w:r>
      <w:r>
        <w:rPr>
          <w:rFonts w:hint="eastAsia" w:asciiTheme="minorEastAsia" w:hAnsiTheme="minorEastAsia" w:eastAsiaTheme="minorEastAsia"/>
          <w:sz w:val="28"/>
          <w:szCs w:val="28"/>
        </w:rPr>
        <w:t>，</w:t>
      </w:r>
      <w:r>
        <w:rPr>
          <w:rFonts w:asciiTheme="minorEastAsia" w:hAnsiTheme="minorEastAsia" w:eastAsiaTheme="minorEastAsia"/>
          <w:sz w:val="28"/>
          <w:szCs w:val="28"/>
        </w:rPr>
        <w:t>为粮食多年丰收提供了重要支撑。</w:t>
      </w:r>
    </w:p>
    <w:p>
      <w:pPr>
        <w:pStyle w:val="3"/>
        <w:spacing w:before="0" w:after="0" w:line="360" w:lineRule="auto"/>
        <w:rPr>
          <w:rFonts w:asciiTheme="minorEastAsia" w:hAnsiTheme="minorEastAsia" w:eastAsiaTheme="minorEastAsia"/>
        </w:rPr>
      </w:pPr>
      <w:bookmarkStart w:id="28" w:name="_Toc144903154"/>
      <w:r>
        <w:rPr>
          <w:rFonts w:hint="eastAsia" w:asciiTheme="minorEastAsia" w:hAnsiTheme="minorEastAsia" w:eastAsiaTheme="minorEastAsia"/>
        </w:rPr>
        <w:t>2</w:t>
      </w:r>
      <w:r>
        <w:rPr>
          <w:rFonts w:asciiTheme="minorEastAsia" w:hAnsiTheme="minorEastAsia" w:eastAsiaTheme="minorEastAsia"/>
        </w:rPr>
        <w:t xml:space="preserve">.2 </w:t>
      </w:r>
      <w:r>
        <w:rPr>
          <w:rFonts w:hint="eastAsia" w:asciiTheme="minorEastAsia" w:hAnsiTheme="minorEastAsia" w:eastAsiaTheme="minorEastAsia"/>
        </w:rPr>
        <w:t>十三五规划评估</w:t>
      </w:r>
      <w:bookmarkEnd w:id="28"/>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 xml:space="preserve">.2.1 </w:t>
      </w:r>
      <w:r>
        <w:rPr>
          <w:rFonts w:hint="eastAsia" w:asciiTheme="minorEastAsia" w:hAnsiTheme="minorEastAsia" w:eastAsiaTheme="minorEastAsia"/>
          <w:sz w:val="28"/>
          <w:szCs w:val="28"/>
        </w:rPr>
        <w:t>十三五期间高标准农田建设情况</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“十三五”期间，汤阴县新建设高标准农田面积为</w:t>
      </w:r>
      <w:r>
        <w:rPr>
          <w:rFonts w:asciiTheme="minorEastAsia" w:hAnsiTheme="minorEastAsia" w:eastAsiaTheme="minorEastAsia"/>
          <w:sz w:val="28"/>
          <w:szCs w:val="28"/>
        </w:rPr>
        <w:t>7.61</w:t>
      </w:r>
      <w:r>
        <w:rPr>
          <w:rFonts w:hint="eastAsia" w:asciiTheme="minorEastAsia" w:hAnsiTheme="minorEastAsia" w:eastAsiaTheme="minorEastAsia"/>
          <w:sz w:val="28"/>
          <w:szCs w:val="28"/>
        </w:rPr>
        <w:t>万亩，主要分布在白营镇、古贤镇、任固镇、五陵镇、宜沟镇、韩庄镇。2016 年成建成高标准农田面积</w:t>
      </w:r>
      <w:r>
        <w:rPr>
          <w:rFonts w:asciiTheme="minorEastAsia" w:hAnsiTheme="minorEastAsia" w:eastAsiaTheme="minorEastAsia"/>
          <w:sz w:val="28"/>
          <w:szCs w:val="28"/>
        </w:rPr>
        <w:t>4.77</w:t>
      </w:r>
      <w:r>
        <w:rPr>
          <w:rFonts w:hint="eastAsia" w:asciiTheme="minorEastAsia" w:hAnsiTheme="minorEastAsia" w:eastAsiaTheme="minorEastAsia"/>
          <w:sz w:val="28"/>
          <w:szCs w:val="28"/>
        </w:rPr>
        <w:t>万亩，2017 年建成高标准农田面积</w:t>
      </w:r>
      <w:r>
        <w:rPr>
          <w:rFonts w:asciiTheme="minorEastAsia" w:hAnsiTheme="minorEastAsia" w:eastAsiaTheme="minorEastAsia"/>
          <w:sz w:val="28"/>
          <w:szCs w:val="28"/>
        </w:rPr>
        <w:t>2.77</w:t>
      </w:r>
      <w:r>
        <w:rPr>
          <w:rFonts w:hint="eastAsia" w:asciiTheme="minorEastAsia" w:hAnsiTheme="minorEastAsia" w:eastAsiaTheme="minorEastAsia"/>
          <w:sz w:val="28"/>
          <w:szCs w:val="28"/>
        </w:rPr>
        <w:t>万亩，201</w:t>
      </w:r>
      <w:r>
        <w:rPr>
          <w:rFonts w:asciiTheme="minorEastAsia" w:hAnsiTheme="minorEastAsia" w:eastAsiaTheme="minorEastAsia"/>
          <w:sz w:val="28"/>
          <w:szCs w:val="28"/>
        </w:rPr>
        <w:t>8</w:t>
      </w:r>
      <w:r>
        <w:rPr>
          <w:rFonts w:hint="eastAsia" w:asciiTheme="minorEastAsia" w:hAnsiTheme="minorEastAsia" w:eastAsiaTheme="minorEastAsia"/>
          <w:sz w:val="28"/>
          <w:szCs w:val="28"/>
        </w:rPr>
        <w:t>年建成高标准农田面积</w:t>
      </w:r>
      <w:r>
        <w:rPr>
          <w:rFonts w:asciiTheme="minorEastAsia" w:hAnsiTheme="minorEastAsia" w:eastAsiaTheme="minorEastAsia"/>
          <w:sz w:val="28"/>
          <w:szCs w:val="28"/>
        </w:rPr>
        <w:t>0.07</w:t>
      </w:r>
      <w:r>
        <w:rPr>
          <w:rFonts w:hint="eastAsia" w:asciiTheme="minorEastAsia" w:hAnsiTheme="minorEastAsia" w:eastAsiaTheme="minorEastAsia"/>
          <w:sz w:val="28"/>
          <w:szCs w:val="28"/>
        </w:rPr>
        <w:t>万亩。</w:t>
      </w:r>
    </w:p>
    <w:p>
      <w:pPr>
        <w:snapToGrid w:val="0"/>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表2.</w:t>
      </w:r>
      <w:r>
        <w:rPr>
          <w:rFonts w:asciiTheme="minorEastAsia" w:hAnsiTheme="minorEastAsia" w:eastAsiaTheme="minorEastAsia"/>
          <w:sz w:val="28"/>
          <w:szCs w:val="28"/>
        </w:rPr>
        <w:t>2</w:t>
      </w:r>
      <w:r>
        <w:rPr>
          <w:rFonts w:hint="eastAsia" w:asciiTheme="minorEastAsia" w:hAnsiTheme="minorEastAsia" w:eastAsiaTheme="minorEastAsia"/>
          <w:sz w:val="28"/>
          <w:szCs w:val="28"/>
        </w:rPr>
        <w:t>-1 十三五期间汤阴县建设高标准农田面积表</w:t>
      </w:r>
    </w:p>
    <w:tbl>
      <w:tblPr>
        <w:tblStyle w:val="26"/>
        <w:tblW w:w="5000" w:type="pct"/>
        <w:tblInd w:w="0" w:type="dxa"/>
        <w:tblLayout w:type="autofit"/>
        <w:tblCellMar>
          <w:top w:w="0" w:type="dxa"/>
          <w:left w:w="108" w:type="dxa"/>
          <w:bottom w:w="0" w:type="dxa"/>
          <w:right w:w="108" w:type="dxa"/>
        </w:tblCellMar>
      </w:tblPr>
      <w:tblGrid>
        <w:gridCol w:w="1146"/>
        <w:gridCol w:w="1146"/>
        <w:gridCol w:w="1147"/>
        <w:gridCol w:w="1147"/>
        <w:gridCol w:w="1147"/>
        <w:gridCol w:w="1147"/>
        <w:gridCol w:w="1147"/>
        <w:gridCol w:w="1147"/>
      </w:tblGrid>
      <w:tr>
        <w:tblPrEx>
          <w:tblCellMar>
            <w:top w:w="0" w:type="dxa"/>
            <w:left w:w="108" w:type="dxa"/>
            <w:bottom w:w="0" w:type="dxa"/>
            <w:right w:w="108" w:type="dxa"/>
          </w:tblCellMar>
        </w:tblPrEx>
        <w:trPr>
          <w:trHeight w:val="285" w:hRule="atLeast"/>
        </w:trPr>
        <w:tc>
          <w:tcPr>
            <w:tcW w:w="6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县</w:t>
            </w:r>
          </w:p>
        </w:tc>
        <w:tc>
          <w:tcPr>
            <w:tcW w:w="6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3750" w:type="pct"/>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十三五期间建设高标准农田面积</w:t>
            </w:r>
          </w:p>
        </w:tc>
      </w:tr>
      <w:tr>
        <w:tblPrEx>
          <w:tblCellMar>
            <w:top w:w="0" w:type="dxa"/>
            <w:left w:w="108" w:type="dxa"/>
            <w:bottom w:w="0" w:type="dxa"/>
            <w:right w:w="108" w:type="dxa"/>
          </w:tblCellMar>
        </w:tblPrEx>
        <w:trPr>
          <w:trHeight w:val="285" w:hRule="atLeast"/>
        </w:trPr>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285" w:hRule="atLeast"/>
        </w:trPr>
        <w:tc>
          <w:tcPr>
            <w:tcW w:w="625"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0.64</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0.64</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0.17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0.4</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0.57</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2.3</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5.6</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0.66</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0.66</w:t>
            </w:r>
          </w:p>
        </w:tc>
      </w:tr>
      <w:tr>
        <w:tblPrEx>
          <w:tblCellMar>
            <w:top w:w="0" w:type="dxa"/>
            <w:left w:w="108" w:type="dxa"/>
            <w:bottom w:w="0" w:type="dxa"/>
            <w:right w:w="108" w:type="dxa"/>
          </w:tblCellMar>
        </w:tblPrEx>
        <w:trPr>
          <w:trHeight w:val="285" w:hRule="atLeast"/>
        </w:trPr>
        <w:tc>
          <w:tcPr>
            <w:tcW w:w="625" w:type="pct"/>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4.77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0.07</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7.61</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通过实施高标准农田建设，项目区土地平整肥沃、水利设施配套、田间道路畅通、林网建设适宜、科技先进适用、优质高产高效，解除了制约项目区农业和农村经济发展的关键障碍因素，项目区抵御自然灾害能力显著增强，粮食生产能力稳步提高，将达到旱涝保收、稳产高产的目标，经济、生态、社会效益十分显著。</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 xml:space="preserve">.2.2 </w:t>
      </w:r>
      <w:r>
        <w:rPr>
          <w:rFonts w:hint="eastAsia" w:asciiTheme="minorEastAsia" w:hAnsiTheme="minorEastAsia" w:eastAsiaTheme="minorEastAsia"/>
          <w:sz w:val="28"/>
          <w:szCs w:val="28"/>
        </w:rPr>
        <w:t>运行管理成效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运行管理上，经过多年的建设经验，管理上取得了丰富的成果，但仍然存在重建轻管和粗放管理的现象，影响水利工程设施效益的充分发挥，导致有限的水资源得不到充分地利用，粮食产量无法维持稳产高产，严重影响农村产业结构的优化调整和农民增收，也给社会增加不可忽视的不稳定因素。</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 xml:space="preserve">.2.3 </w:t>
      </w:r>
      <w:r>
        <w:rPr>
          <w:rFonts w:hint="eastAsia" w:asciiTheme="minorEastAsia" w:hAnsiTheme="minorEastAsia" w:eastAsiaTheme="minorEastAsia"/>
          <w:sz w:val="28"/>
          <w:szCs w:val="28"/>
        </w:rPr>
        <w:t>新型经营主体</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新型经营主体主要包括专业大户、家庭农场、农民合作组织和农业产业化龙头企业，是推进现代农业发展的主体基础和中坚力量。目前，新型经营主体进入快速发展时期，覆盖范围日益扩大，逐渐成为发展现代农业、促进农民增收、繁荣农村经济的重要力量。实践证明，新型经营主体是农业先进生产力的代表，支持新型经营主体发展是转变农业发展方式，解决当前农业成本高、品质差、风险大、效益低的有效组织形式；支持新型经营主体发展是稳定完善农村基本经营制度、分激发农村生产要素潜能、促进农业转型升级的重要举措，是优化农村资源配置、促进农业生产可持续发展的重要手段，是稳定农产品市场和价格、促进农民收入持续增长的重要措施。通过高标准农田建使耕地建成高标准农田，积极推行新型经营主体建设，加强宣传，扩大高标准农田管理面积。</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汤阴县是优质强筋小麦的重要产区，目前主要推广品种如西农2</w:t>
      </w:r>
      <w:r>
        <w:rPr>
          <w:rFonts w:asciiTheme="minorEastAsia" w:hAnsiTheme="minorEastAsia" w:eastAsiaTheme="minorEastAsia"/>
          <w:sz w:val="28"/>
          <w:szCs w:val="28"/>
        </w:rPr>
        <w:t>0</w:t>
      </w:r>
      <w:r>
        <w:rPr>
          <w:rFonts w:hint="eastAsia" w:asciiTheme="minorEastAsia" w:hAnsiTheme="minorEastAsia" w:eastAsiaTheme="minorEastAsia"/>
          <w:sz w:val="28"/>
          <w:szCs w:val="28"/>
        </w:rPr>
        <w:t>、伟隆1</w:t>
      </w:r>
      <w:r>
        <w:rPr>
          <w:rFonts w:asciiTheme="minorEastAsia" w:hAnsiTheme="minorEastAsia" w:eastAsiaTheme="minorEastAsia"/>
          <w:sz w:val="28"/>
          <w:szCs w:val="28"/>
        </w:rPr>
        <w:t>69</w:t>
      </w:r>
      <w:r>
        <w:rPr>
          <w:rFonts w:hint="eastAsia" w:asciiTheme="minorEastAsia" w:hAnsiTheme="minorEastAsia" w:eastAsiaTheme="minorEastAsia"/>
          <w:sz w:val="28"/>
          <w:szCs w:val="28"/>
        </w:rPr>
        <w:t>、郑麦3</w:t>
      </w:r>
      <w:r>
        <w:rPr>
          <w:rFonts w:asciiTheme="minorEastAsia" w:hAnsiTheme="minorEastAsia" w:eastAsiaTheme="minorEastAsia"/>
          <w:sz w:val="28"/>
          <w:szCs w:val="28"/>
        </w:rPr>
        <w:t>66</w:t>
      </w:r>
      <w:r>
        <w:rPr>
          <w:rFonts w:hint="eastAsia" w:asciiTheme="minorEastAsia" w:hAnsiTheme="minorEastAsia" w:eastAsiaTheme="minorEastAsia"/>
          <w:sz w:val="28"/>
          <w:szCs w:val="28"/>
        </w:rPr>
        <w:t>、新麦2</w:t>
      </w:r>
      <w:r>
        <w:rPr>
          <w:rFonts w:asciiTheme="minorEastAsia" w:hAnsiTheme="minorEastAsia" w:eastAsiaTheme="minorEastAsia"/>
          <w:sz w:val="28"/>
          <w:szCs w:val="28"/>
        </w:rPr>
        <w:t>6</w:t>
      </w:r>
      <w:r>
        <w:rPr>
          <w:rFonts w:hint="eastAsia" w:asciiTheme="minorEastAsia" w:hAnsiTheme="minorEastAsia" w:eastAsiaTheme="minorEastAsia"/>
          <w:sz w:val="28"/>
          <w:szCs w:val="28"/>
        </w:rPr>
        <w:t>、丰德存麦5号等多穗型强筋小麦，主要企业包括田丰粮业有限公司、大地粮业有限公司、康丰粮业有限公司、农茂粮业有限公司、汤阴县古贤镇小叶农业服务站、汤阴县航甫农贸有限公司等多家企业。</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 xml:space="preserve">.2.4 </w:t>
      </w:r>
      <w:r>
        <w:rPr>
          <w:rFonts w:hint="eastAsia" w:asciiTheme="minorEastAsia" w:hAnsiTheme="minorEastAsia" w:eastAsiaTheme="minorEastAsia"/>
          <w:sz w:val="28"/>
          <w:szCs w:val="28"/>
        </w:rPr>
        <w:t>农业水价综合改革</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由国务院办公厅《关于推进水价综合改革的意见》国办发【2016】2 号文作为政策支持，汤阴县正在开展农业水价综合改革工作，灌溉采用电表、水表双计量方式收取水费。随着农业水价综合改革工作的不断开展，各种问题也开始逐一暴露，一是农经管理队伍不健全，管理和专业技术人才严重不足；二是个别村农业水价综合改革程序必备资料缺失问题整改不到位；三是部分村相关制度建立不够完善；四是部分村集体经济组织公章刻制、银行开户不及时；五是个别乡村《农村集体经济股份合作组织股权证》发放不及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经调查，现状灌溉模式中灌溉水价及水价到位率偏低，一贯制灌溉水价不适应于市场经济，灌溉水价结构单一，水费计收难、收取率较低。灌溉水价应由三部分组成，即资源水价、工程水价和环境水价。工程水价是根据各供水工程运行的单位成本、费用、利润、税金计算形成的。水利工程供水的价格构成中应包括资源水价(水资源费），但现行水价中尚未考虑到环境水价的问题。现状并无灌溉计量设施，多数为村民自行用泵抽水浇灌，大多采用大水漫灌的灌溉方式，节水意识薄弱，水资源浪费问题严峻，亟需推行农业水价综合改革政策，唤醒群众的节水意识，提高水资源利用率。</w:t>
      </w:r>
    </w:p>
    <w:p>
      <w:pPr>
        <w:pStyle w:val="3"/>
        <w:spacing w:before="0" w:after="0" w:line="360" w:lineRule="auto"/>
        <w:rPr>
          <w:rFonts w:ascii="宋体" w:hAnsi="宋体" w:cs="宋体"/>
          <w:spacing w:val="-4"/>
          <w:sz w:val="28"/>
          <w:szCs w:val="28"/>
        </w:rPr>
      </w:pPr>
      <w:bookmarkStart w:id="29" w:name="_Toc144903155"/>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实施效果</w:t>
      </w:r>
      <w:bookmarkEnd w:id="29"/>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2.3.1 保障粮食安全和重要农产品有效供给</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高标准农田建设是实施“藏粮于地、藏粮于技战略”的重要举措，是稳定提升农业综合生产能力、保障国家粮食安全、推动现代农业高质量发展的关键途径。我县认真贯彻落实中央及河南省决策部署，坚持将高标准农田建设放在全县“三农”工作全局中谋划推动，始终将高标准农田建设作为农村产业发展的基础性工程，狠抓各项措施到位，取得明显成效。</w:t>
      </w:r>
    </w:p>
    <w:p>
      <w:pPr>
        <w:spacing w:line="360" w:lineRule="auto"/>
        <w:ind w:firstLine="544" w:firstLineChars="200"/>
        <w:rPr>
          <w:rFonts w:ascii="宋体" w:hAnsi="宋体" w:cs="宋体"/>
          <w:spacing w:val="-4"/>
          <w:sz w:val="28"/>
          <w:szCs w:val="28"/>
        </w:rPr>
      </w:pPr>
      <w:r>
        <w:rPr>
          <w:rFonts w:hint="eastAsia" w:ascii="宋体" w:hAnsi="宋体" w:cs="宋体"/>
          <w:spacing w:val="-4"/>
          <w:sz w:val="28"/>
          <w:szCs w:val="28"/>
        </w:rPr>
        <w:t>通过完善农田基础设施，改善农业生产条件，增强了农田防灾抗灾减灾能力，巩固和提升了粮食综合生产能力。建成后的高标准农田，亩均粮食产能增加，稳定了农民种粮的积极性，为我国粮食实现多年稳定增长提供了重要保障。</w:t>
      </w:r>
    </w:p>
    <w:p>
      <w:pPr>
        <w:spacing w:line="360" w:lineRule="auto"/>
        <w:ind w:firstLine="544" w:firstLineChars="200"/>
        <w:rPr>
          <w:rFonts w:ascii="宋体" w:hAnsi="宋体" w:cs="宋体"/>
          <w:spacing w:val="-4"/>
          <w:sz w:val="28"/>
          <w:szCs w:val="28"/>
        </w:rPr>
      </w:pPr>
      <w:r>
        <w:rPr>
          <w:rFonts w:hint="eastAsia" w:ascii="宋体" w:hAnsi="宋体" w:cs="宋体"/>
          <w:spacing w:val="-4"/>
          <w:sz w:val="28"/>
          <w:szCs w:val="28"/>
        </w:rPr>
        <w:t>通过实施土地平整、灌溉与排水、田间道路、农田防护与生态环境保护、耕地地力提升等五项工程，解决了耕地碎片化、质量下降、设施不配套等问题，有效促进了农业规模化、标准化、专业化经营，带动了农业机械化提档升级，将中低产田改造成旱涝保收的稳产田，提高了水土资源利用效率和土地产出率，建成后的高标准农田，能有效减少旱涝灾害带来的影响，减少粮食生产损失；项目区耕地质量和农业科技水平显著提高，能有效稳定粮食产能。</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2.3.3 促进农民增收</w:t>
      </w:r>
    </w:p>
    <w:p>
      <w:pPr>
        <w:spacing w:line="360" w:lineRule="auto"/>
        <w:ind w:firstLine="544" w:firstLineChars="200"/>
        <w:rPr>
          <w:rFonts w:ascii="宋体" w:hAnsi="宋体" w:cs="宋体"/>
          <w:spacing w:val="-4"/>
          <w:sz w:val="28"/>
          <w:szCs w:val="28"/>
        </w:rPr>
      </w:pPr>
      <w:r>
        <w:rPr>
          <w:rFonts w:hint="eastAsia" w:ascii="宋体" w:hAnsi="宋体" w:cs="宋体"/>
          <w:spacing w:val="-4"/>
          <w:sz w:val="28"/>
          <w:szCs w:val="28"/>
        </w:rPr>
        <w:t>通过高标准农田建设，在稳定粮食产能基础上，积极支持优质蔬菜、经济蔬果及其他优势农产品等特色产业发展，为建设优质粮食、蔬菜等生产基地夯实基础，有效推动山地特色高效农业发展，增加农民营业性收入。同时，通过工程建设，扩大农民二、三产业就业机会，增加农民工资性收入。</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2.3.4 改善生态环境</w:t>
      </w:r>
    </w:p>
    <w:p>
      <w:pPr>
        <w:spacing w:line="360" w:lineRule="auto"/>
        <w:ind w:firstLine="544" w:firstLineChars="200"/>
        <w:rPr>
          <w:rFonts w:ascii="宋体" w:hAnsi="宋体" w:cs="宋体"/>
          <w:spacing w:val="-4"/>
          <w:sz w:val="28"/>
          <w:szCs w:val="28"/>
        </w:rPr>
      </w:pPr>
      <w:r>
        <w:rPr>
          <w:rFonts w:hint="eastAsia" w:ascii="宋体" w:hAnsi="宋体" w:cs="宋体"/>
          <w:spacing w:val="-4"/>
          <w:sz w:val="28"/>
          <w:szCs w:val="28"/>
        </w:rPr>
        <w:t>通过高标准农田建设，切实优化和美化了农田空间格局，理顺了农田平面结构，改善了农田利用方式，实现了对山水林田湖草生态系统的有效修复和保护。通过农田灌排工程生态技术措施的推广，使农田生态友好型基础设施得到有效改善。通过农田林网建设，林网覆盖率明显提高，土壤理化性状得以改善，水土流失得到有效控制。通过推广良种良法、节水灌溉，减少了农业生产投入品的使用，全县化肥使用总量和强度保持“双减”态势，农产品质量安全水平明显提高。</w:t>
      </w:r>
    </w:p>
    <w:p>
      <w:pPr>
        <w:spacing w:line="360" w:lineRule="auto"/>
        <w:ind w:firstLine="544" w:firstLineChars="200"/>
        <w:rPr>
          <w:rFonts w:ascii="宋体" w:hAnsi="宋体" w:cs="宋体"/>
          <w:spacing w:val="-4"/>
          <w:sz w:val="28"/>
          <w:szCs w:val="28"/>
        </w:rPr>
      </w:pPr>
    </w:p>
    <w:p>
      <w:pPr>
        <w:spacing w:line="360" w:lineRule="auto"/>
        <w:ind w:firstLine="544" w:firstLineChars="200"/>
        <w:rPr>
          <w:rFonts w:ascii="宋体" w:hAnsi="宋体" w:cs="宋体"/>
          <w:spacing w:val="-4"/>
          <w:sz w:val="28"/>
          <w:szCs w:val="28"/>
        </w:rPr>
      </w:pPr>
    </w:p>
    <w:p>
      <w:pPr>
        <w:spacing w:line="360" w:lineRule="auto"/>
        <w:ind w:firstLine="544" w:firstLineChars="200"/>
        <w:rPr>
          <w:rFonts w:ascii="宋体" w:hAnsi="宋体" w:cs="宋体"/>
          <w:spacing w:val="-4"/>
          <w:sz w:val="28"/>
          <w:szCs w:val="28"/>
        </w:rPr>
      </w:pPr>
    </w:p>
    <w:p>
      <w:pPr>
        <w:widowControl/>
        <w:jc w:val="left"/>
        <w:rPr>
          <w:rFonts w:asciiTheme="minorEastAsia" w:hAnsiTheme="minorEastAsia" w:eastAsiaTheme="minorEastAsia"/>
          <w:b/>
          <w:sz w:val="36"/>
          <w:szCs w:val="36"/>
        </w:rPr>
      </w:pPr>
      <w:r>
        <w:rPr>
          <w:rFonts w:asciiTheme="minorEastAsia" w:hAnsiTheme="minorEastAsia" w:eastAsiaTheme="minorEastAsia"/>
          <w:b/>
          <w:sz w:val="36"/>
          <w:szCs w:val="36"/>
        </w:rPr>
        <w:br w:type="page"/>
      </w:r>
    </w:p>
    <w:p>
      <w:pPr>
        <w:spacing w:line="360" w:lineRule="auto"/>
        <w:outlineLvl w:val="0"/>
        <w:rPr>
          <w:rFonts w:asciiTheme="minorEastAsia" w:hAnsiTheme="minorEastAsia" w:eastAsiaTheme="minorEastAsia"/>
        </w:rPr>
      </w:pPr>
      <w:bookmarkStart w:id="30" w:name="_Toc144903156"/>
      <w:r>
        <w:rPr>
          <w:rFonts w:hint="eastAsia" w:asciiTheme="minorEastAsia" w:hAnsiTheme="minorEastAsia" w:eastAsiaTheme="minorEastAsia"/>
          <w:b/>
          <w:sz w:val="36"/>
          <w:szCs w:val="36"/>
        </w:rPr>
        <w:t>3.主要问题及需求分析</w:t>
      </w:r>
      <w:bookmarkEnd w:id="30"/>
    </w:p>
    <w:p>
      <w:pPr>
        <w:pStyle w:val="3"/>
        <w:spacing w:before="0" w:after="0" w:line="360" w:lineRule="auto"/>
        <w:rPr>
          <w:rFonts w:asciiTheme="minorEastAsia" w:hAnsiTheme="minorEastAsia" w:eastAsiaTheme="minorEastAsia"/>
        </w:rPr>
      </w:pPr>
      <w:bookmarkStart w:id="31" w:name="_Toc22171_WPSOffice_Level2"/>
      <w:bookmarkStart w:id="32" w:name="_Toc16541_WPSOffice_Level2"/>
      <w:bookmarkStart w:id="33" w:name="_Toc15205_WPSOffice_Level2"/>
      <w:bookmarkStart w:id="34" w:name="_Toc144903157"/>
      <w:r>
        <w:rPr>
          <w:rFonts w:asciiTheme="minorEastAsia" w:hAnsiTheme="minorEastAsia" w:eastAsiaTheme="minorEastAsia"/>
        </w:rPr>
        <w:t>3</w:t>
      </w:r>
      <w:r>
        <w:rPr>
          <w:rFonts w:hint="eastAsia" w:asciiTheme="minorEastAsia" w:hAnsiTheme="minorEastAsia" w:eastAsiaTheme="minorEastAsia"/>
        </w:rPr>
        <w:t>.1</w:t>
      </w:r>
      <w:bookmarkEnd w:id="31"/>
      <w:bookmarkEnd w:id="32"/>
      <w:bookmarkEnd w:id="33"/>
      <w:r>
        <w:rPr>
          <w:rFonts w:hint="eastAsia" w:asciiTheme="minorEastAsia" w:hAnsiTheme="minorEastAsia" w:eastAsiaTheme="minorEastAsia"/>
        </w:rPr>
        <w:t>主要问题</w:t>
      </w:r>
      <w:bookmarkEnd w:id="34"/>
    </w:p>
    <w:p>
      <w:pPr>
        <w:spacing w:line="360" w:lineRule="auto"/>
        <w:ind w:firstLine="560" w:firstLineChars="200"/>
        <w:rPr>
          <w:rFonts w:asciiTheme="minorEastAsia" w:hAnsiTheme="minorEastAsia" w:eastAsiaTheme="minorEastAsia"/>
          <w:sz w:val="28"/>
          <w:szCs w:val="28"/>
        </w:rPr>
      </w:pPr>
      <w:bookmarkStart w:id="35" w:name="_Toc29097"/>
      <w:bookmarkStart w:id="36" w:name="_Toc475009638"/>
      <w:bookmarkStart w:id="37" w:name="_Toc21522"/>
      <w:r>
        <w:rPr>
          <w:rFonts w:hint="eastAsia" w:asciiTheme="minorEastAsia" w:hAnsiTheme="minorEastAsia" w:eastAsiaTheme="minorEastAsia"/>
          <w:sz w:val="28"/>
          <w:szCs w:val="28"/>
        </w:rPr>
        <w:t>经过2</w:t>
      </w:r>
      <w:r>
        <w:rPr>
          <w:rFonts w:asciiTheme="minorEastAsia" w:hAnsiTheme="minorEastAsia" w:eastAsiaTheme="minorEastAsia"/>
          <w:sz w:val="28"/>
          <w:szCs w:val="28"/>
        </w:rPr>
        <w:t>011</w:t>
      </w:r>
      <w:r>
        <w:rPr>
          <w:rFonts w:hint="eastAsia" w:asciiTheme="minorEastAsia" w:hAnsiTheme="minorEastAsia" w:eastAsiaTheme="minorEastAsia"/>
          <w:sz w:val="28"/>
          <w:szCs w:val="28"/>
        </w:rPr>
        <w:t>年以来多部门的农田项目建设，全县农业基础设施水平与过去相比明显提高，但是还存在一些薄弱区域和薄弱环节，不能适应现代农业发展需要。部分地区农业基础设施相对比较落后，一些地方农业基础设施不足和损毁严重的状况没有得到有效改变，不能完全适应农业持续稳产高产，以及转变农业发展方式，加快农业供给结构调整的需要。</w:t>
      </w:r>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1</w:t>
      </w:r>
      <w:r>
        <w:rPr>
          <w:rFonts w:hint="eastAsia" w:asciiTheme="minorEastAsia" w:hAnsiTheme="minorEastAsia" w:eastAsiaTheme="minorEastAsia"/>
          <w:sz w:val="28"/>
          <w:szCs w:val="28"/>
        </w:rPr>
        <w:t>工程问题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（1）渠系工程</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目前全县有4处中型灌区和其他小型灌区。中型灌区分别为汤河灌区、琵琶寺灌区、五陵灌区和瓦岗灌区，设计总灌溉面积2</w:t>
      </w:r>
      <w:r>
        <w:rPr>
          <w:rFonts w:asciiTheme="minorEastAsia" w:hAnsiTheme="minorEastAsia" w:eastAsiaTheme="minorEastAsia"/>
          <w:sz w:val="28"/>
          <w:szCs w:val="28"/>
        </w:rPr>
        <w:t>7.1</w:t>
      </w:r>
      <w:r>
        <w:rPr>
          <w:rFonts w:hint="eastAsia" w:asciiTheme="minorEastAsia" w:hAnsiTheme="minorEastAsia" w:eastAsiaTheme="minorEastAsia"/>
          <w:sz w:val="28"/>
          <w:szCs w:val="28"/>
        </w:rPr>
        <w:t>万亩，有效灌溉面积</w:t>
      </w:r>
      <w:r>
        <w:rPr>
          <w:rFonts w:asciiTheme="minorEastAsia" w:hAnsiTheme="minorEastAsia" w:eastAsiaTheme="minorEastAsia"/>
          <w:sz w:val="28"/>
          <w:szCs w:val="28"/>
        </w:rPr>
        <w:t>13.17</w:t>
      </w:r>
      <w:r>
        <w:rPr>
          <w:rFonts w:hint="eastAsia" w:asciiTheme="minorEastAsia" w:hAnsiTheme="minorEastAsia" w:eastAsiaTheme="minorEastAsia"/>
          <w:sz w:val="28"/>
          <w:szCs w:val="28"/>
        </w:rPr>
        <w:t>万亩。设计渠道总长度2</w:t>
      </w:r>
      <w:r>
        <w:rPr>
          <w:rFonts w:asciiTheme="minorEastAsia" w:hAnsiTheme="minorEastAsia" w:eastAsiaTheme="minorEastAsia"/>
          <w:sz w:val="28"/>
          <w:szCs w:val="28"/>
        </w:rPr>
        <w:t>58.0</w:t>
      </w:r>
      <w:r>
        <w:rPr>
          <w:rFonts w:hint="eastAsia" w:asciiTheme="minorEastAsia" w:hAnsiTheme="minorEastAsia" w:eastAsiaTheme="minorEastAsia"/>
          <w:sz w:val="28"/>
          <w:szCs w:val="28"/>
        </w:rPr>
        <w:t>km，现有长度1</w:t>
      </w:r>
      <w:r>
        <w:rPr>
          <w:rFonts w:asciiTheme="minorEastAsia" w:hAnsiTheme="minorEastAsia" w:eastAsiaTheme="minorEastAsia"/>
          <w:sz w:val="28"/>
          <w:szCs w:val="28"/>
        </w:rPr>
        <w:t>10</w:t>
      </w:r>
      <w:r>
        <w:rPr>
          <w:rFonts w:hint="eastAsia" w:asciiTheme="minorEastAsia" w:hAnsiTheme="minorEastAsia" w:eastAsiaTheme="minorEastAsia"/>
          <w:sz w:val="28"/>
          <w:szCs w:val="28"/>
        </w:rPr>
        <w:t>km，已衬砌渠道长度5</w:t>
      </w:r>
      <w:r>
        <w:rPr>
          <w:rFonts w:asciiTheme="minorEastAsia" w:hAnsiTheme="minorEastAsia" w:eastAsiaTheme="minorEastAsia"/>
          <w:sz w:val="28"/>
          <w:szCs w:val="28"/>
        </w:rPr>
        <w:t>0.4</w:t>
      </w:r>
      <w:r>
        <w:rPr>
          <w:rFonts w:hint="eastAsia" w:asciiTheme="minorEastAsia" w:hAnsiTheme="minorEastAsia" w:eastAsiaTheme="minorEastAsia"/>
          <w:sz w:val="28"/>
          <w:szCs w:val="28"/>
        </w:rPr>
        <w:t>km，渠道完好率为4</w:t>
      </w:r>
      <w:r>
        <w:rPr>
          <w:rFonts w:asciiTheme="minorEastAsia" w:hAnsiTheme="minorEastAsia" w:eastAsiaTheme="minorEastAsia"/>
          <w:sz w:val="28"/>
          <w:szCs w:val="28"/>
        </w:rPr>
        <w:t>2.64</w:t>
      </w:r>
      <w:r>
        <w:rPr>
          <w:rFonts w:hint="eastAsia" w:asciiTheme="minorEastAsia" w:hAnsiTheme="minorEastAsia" w:eastAsiaTheme="minorEastAsia"/>
          <w:sz w:val="28"/>
          <w:szCs w:val="28"/>
        </w:rPr>
        <w:t>%。设计渠系建筑物3</w:t>
      </w:r>
      <w:r>
        <w:rPr>
          <w:rFonts w:asciiTheme="minorEastAsia" w:hAnsiTheme="minorEastAsia" w:eastAsiaTheme="minorEastAsia"/>
          <w:sz w:val="28"/>
          <w:szCs w:val="28"/>
        </w:rPr>
        <w:t>89</w:t>
      </w:r>
      <w:r>
        <w:rPr>
          <w:rFonts w:hint="eastAsia" w:asciiTheme="minorEastAsia" w:hAnsiTheme="minorEastAsia" w:eastAsiaTheme="minorEastAsia"/>
          <w:sz w:val="28"/>
          <w:szCs w:val="28"/>
        </w:rPr>
        <w:t>座，现有渠系建筑物1</w:t>
      </w:r>
      <w:r>
        <w:rPr>
          <w:rFonts w:asciiTheme="minorEastAsia" w:hAnsiTheme="minorEastAsia" w:eastAsiaTheme="minorEastAsia"/>
          <w:sz w:val="28"/>
          <w:szCs w:val="28"/>
        </w:rPr>
        <w:t>62</w:t>
      </w:r>
      <w:r>
        <w:rPr>
          <w:rFonts w:hint="eastAsia" w:asciiTheme="minorEastAsia" w:hAnsiTheme="minorEastAsia" w:eastAsiaTheme="minorEastAsia"/>
          <w:sz w:val="28"/>
          <w:szCs w:val="28"/>
        </w:rPr>
        <w:t>座，完好率4</w:t>
      </w:r>
      <w:r>
        <w:rPr>
          <w:rFonts w:asciiTheme="minorEastAsia" w:hAnsiTheme="minorEastAsia" w:eastAsiaTheme="minorEastAsia"/>
          <w:sz w:val="28"/>
          <w:szCs w:val="28"/>
        </w:rPr>
        <w:t>1.65</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1）汤河灌区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于汤河灌区于1959年兴建，资金短缺、物料贫乏，大部分建筑物为砖石结构，渠道多为土渠，实为“先天不足”。加上后期维修经费少，得不到及时维护，已衬砌渠段多已风化、脱落、损坏，土渠段淤积萎缩严重。灌区建筑物建设标准低、建筑材料落后，损坏严重，大部分已丧失其使用功能。目前汤河总干渠已完成技改工程，输水渗漏基本已得到解决。</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2）琵琶寺灌区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田间配水渠道斗渠116条，总长度88.1km，农渠共有306条，总长度70.9km，现状均为土渠；配水渠系共有建筑物839座，已全部损毁。</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3）五陵灌区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目前，灌区内有干渠1条，长8.8km；支渠2条，长18.5km；斗、农渠143.5km；渠系配套建筑物112座。2015年～2020年，汤阴县水利局对五陵灌区进行了节水技术改造。目前，尚有部分干支渠尚改造。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4）瓦岗灌区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瓦岗灌区始建于1966年，干渠10条，共38.16km，支渠63条，共25.44km，斗、农、毛渠35km。渠系建筑物63座，机房及生活用房66间，面积1864㎡。</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灌区经过2016年节水技改及2018～2020年地下水压采方案的治理后，灌区内渠系基本完整，能够正常运行。</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（2）排水工程</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现有排涝沟道9</w:t>
      </w:r>
      <w:r>
        <w:rPr>
          <w:rFonts w:asciiTheme="minorEastAsia" w:hAnsiTheme="minorEastAsia" w:eastAsiaTheme="minorEastAsia"/>
          <w:sz w:val="28"/>
          <w:szCs w:val="28"/>
        </w:rPr>
        <w:t>4.14</w:t>
      </w:r>
      <w:r>
        <w:rPr>
          <w:rFonts w:hint="eastAsia" w:asciiTheme="minorEastAsia" w:hAnsiTheme="minorEastAsia" w:eastAsiaTheme="minorEastAsia"/>
          <w:sz w:val="28"/>
          <w:szCs w:val="28"/>
        </w:rPr>
        <w:t>km，控制排涝面积1</w:t>
      </w:r>
      <w:r>
        <w:rPr>
          <w:rFonts w:asciiTheme="minorEastAsia" w:hAnsiTheme="minorEastAsia" w:eastAsiaTheme="minorEastAsia"/>
          <w:sz w:val="28"/>
          <w:szCs w:val="28"/>
        </w:rPr>
        <w:t>7.29</w:t>
      </w:r>
      <w:r>
        <w:rPr>
          <w:rFonts w:hint="eastAsia" w:asciiTheme="minorEastAsia" w:hAnsiTheme="minorEastAsia" w:eastAsiaTheme="minorEastAsia"/>
          <w:sz w:val="28"/>
          <w:szCs w:val="28"/>
        </w:rPr>
        <w:t>万亩，现状排涝沟道除涝标准低，排水体系不完整。</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（3）其他工程</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部分田间道路仍为土路、砂石路、且宽度小于</w:t>
      </w:r>
      <w:r>
        <w:rPr>
          <w:rFonts w:asciiTheme="minorEastAsia" w:hAnsiTheme="minorEastAsia" w:eastAsiaTheme="minorEastAsia"/>
          <w:sz w:val="28"/>
          <w:szCs w:val="28"/>
        </w:rPr>
        <w:t>3m</w:t>
      </w:r>
      <w:r>
        <w:rPr>
          <w:rFonts w:hint="eastAsia" w:asciiTheme="minorEastAsia" w:hAnsiTheme="minorEastAsia" w:eastAsiaTheme="minorEastAsia"/>
          <w:sz w:val="28"/>
          <w:szCs w:val="28"/>
        </w:rPr>
        <w:t>，难以满足机耕要求，部分道路虽为混凝土路面，但路面损坏、老化情况严重，难以满足机耕需求。</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田间生产桥多为砖砌板桥，年久失修，桥体开裂现象突出，部分排涝沟上的生产桥采用了涵管形式，限制了排涝沟的行洪能力。仍有区域的生产桥缺口较大。</w:t>
      </w:r>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2</w:t>
      </w:r>
      <w:r>
        <w:rPr>
          <w:rFonts w:hint="eastAsia" w:asciiTheme="minorEastAsia" w:hAnsiTheme="minorEastAsia" w:eastAsiaTheme="minorEastAsia"/>
          <w:sz w:val="28"/>
          <w:szCs w:val="28"/>
        </w:rPr>
        <w:t>耕地质量问题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汤阴县的耕地面积共64.28万亩，主要为水浇地和旱地，耕地质量等级在2～</w:t>
      </w:r>
      <w:r>
        <w:rPr>
          <w:rFonts w:asciiTheme="minorEastAsia" w:hAnsiTheme="minorEastAsia" w:eastAsiaTheme="minorEastAsia"/>
          <w:sz w:val="28"/>
          <w:szCs w:val="28"/>
        </w:rPr>
        <w:t>7</w:t>
      </w:r>
      <w:r>
        <w:rPr>
          <w:rFonts w:hint="eastAsia" w:asciiTheme="minorEastAsia" w:hAnsiTheme="minorEastAsia" w:eastAsiaTheme="minorEastAsia"/>
          <w:sz w:val="28"/>
          <w:szCs w:val="28"/>
        </w:rPr>
        <w:t>等。其中2等质量面积</w:t>
      </w:r>
      <w:r>
        <w:rPr>
          <w:rFonts w:asciiTheme="minorEastAsia" w:hAnsiTheme="minorEastAsia" w:eastAsiaTheme="minorEastAsia"/>
          <w:sz w:val="28"/>
          <w:szCs w:val="28"/>
        </w:rPr>
        <w:t>0.8</w:t>
      </w:r>
      <w:r>
        <w:rPr>
          <w:rFonts w:hint="eastAsia" w:asciiTheme="minorEastAsia" w:hAnsiTheme="minorEastAsia" w:eastAsiaTheme="minorEastAsia"/>
          <w:sz w:val="28"/>
          <w:szCs w:val="28"/>
        </w:rPr>
        <w:t>万亩，占耕地面积的1</w:t>
      </w:r>
      <w:r>
        <w:rPr>
          <w:rFonts w:asciiTheme="minorEastAsia" w:hAnsiTheme="minorEastAsia" w:eastAsiaTheme="minorEastAsia"/>
          <w:sz w:val="28"/>
          <w:szCs w:val="28"/>
        </w:rPr>
        <w:t>.25</w:t>
      </w: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等质量面积</w:t>
      </w:r>
      <w:r>
        <w:rPr>
          <w:rFonts w:asciiTheme="minorEastAsia" w:hAnsiTheme="minorEastAsia" w:eastAsiaTheme="minorEastAsia"/>
          <w:sz w:val="28"/>
          <w:szCs w:val="28"/>
        </w:rPr>
        <w:t>14.05</w:t>
      </w:r>
      <w:r>
        <w:rPr>
          <w:rFonts w:hint="eastAsia" w:asciiTheme="minorEastAsia" w:hAnsiTheme="minorEastAsia" w:eastAsiaTheme="minorEastAsia"/>
          <w:sz w:val="28"/>
          <w:szCs w:val="28"/>
        </w:rPr>
        <w:t>万亩，占耕地面积的</w:t>
      </w:r>
      <w:r>
        <w:rPr>
          <w:rFonts w:asciiTheme="minorEastAsia" w:hAnsiTheme="minorEastAsia" w:eastAsiaTheme="minorEastAsia"/>
          <w:sz w:val="28"/>
          <w:szCs w:val="28"/>
        </w:rPr>
        <w:t>21.86</w:t>
      </w:r>
      <w:r>
        <w:rPr>
          <w:rFonts w:hint="eastAsia" w:asciiTheme="minorEastAsia" w:hAnsiTheme="minorEastAsia" w:eastAsiaTheme="minorEastAsia"/>
          <w:sz w:val="28"/>
          <w:szCs w:val="28"/>
        </w:rPr>
        <w:t>%，</w:t>
      </w:r>
      <w:r>
        <w:rPr>
          <w:rFonts w:asciiTheme="minorEastAsia" w:hAnsiTheme="minorEastAsia" w:eastAsiaTheme="minorEastAsia"/>
          <w:sz w:val="28"/>
          <w:szCs w:val="28"/>
        </w:rPr>
        <w:t>4</w:t>
      </w:r>
      <w:r>
        <w:rPr>
          <w:rFonts w:hint="eastAsia" w:asciiTheme="minorEastAsia" w:hAnsiTheme="minorEastAsia" w:eastAsiaTheme="minorEastAsia"/>
          <w:sz w:val="28"/>
          <w:szCs w:val="28"/>
        </w:rPr>
        <w:t>等质量面积</w:t>
      </w:r>
      <w:r>
        <w:rPr>
          <w:rFonts w:asciiTheme="minorEastAsia" w:hAnsiTheme="minorEastAsia" w:eastAsiaTheme="minorEastAsia"/>
          <w:sz w:val="28"/>
          <w:szCs w:val="28"/>
        </w:rPr>
        <w:t>25.41</w:t>
      </w:r>
      <w:r>
        <w:rPr>
          <w:rFonts w:hint="eastAsia" w:asciiTheme="minorEastAsia" w:hAnsiTheme="minorEastAsia" w:eastAsiaTheme="minorEastAsia"/>
          <w:sz w:val="28"/>
          <w:szCs w:val="28"/>
        </w:rPr>
        <w:t>万亩，占耕地面积的</w:t>
      </w:r>
      <w:r>
        <w:rPr>
          <w:rFonts w:asciiTheme="minorEastAsia" w:hAnsiTheme="minorEastAsia" w:eastAsiaTheme="minorEastAsia"/>
          <w:sz w:val="28"/>
          <w:szCs w:val="28"/>
        </w:rPr>
        <w:t>39.52</w:t>
      </w:r>
      <w:r>
        <w:rPr>
          <w:rFonts w:hint="eastAsia" w:asciiTheme="minorEastAsia" w:hAnsiTheme="minorEastAsia" w:eastAsiaTheme="minorEastAsia"/>
          <w:sz w:val="28"/>
          <w:szCs w:val="28"/>
        </w:rPr>
        <w:t>%，</w:t>
      </w:r>
      <w:r>
        <w:rPr>
          <w:rFonts w:asciiTheme="minorEastAsia" w:hAnsiTheme="minorEastAsia" w:eastAsiaTheme="minorEastAsia"/>
          <w:sz w:val="28"/>
          <w:szCs w:val="28"/>
        </w:rPr>
        <w:t>5</w:t>
      </w:r>
      <w:r>
        <w:rPr>
          <w:rFonts w:hint="eastAsia" w:asciiTheme="minorEastAsia" w:hAnsiTheme="minorEastAsia" w:eastAsiaTheme="minorEastAsia"/>
          <w:sz w:val="28"/>
          <w:szCs w:val="28"/>
        </w:rPr>
        <w:t>等质量面积</w:t>
      </w:r>
      <w:r>
        <w:rPr>
          <w:rFonts w:asciiTheme="minorEastAsia" w:hAnsiTheme="minorEastAsia" w:eastAsiaTheme="minorEastAsia"/>
          <w:sz w:val="28"/>
          <w:szCs w:val="28"/>
        </w:rPr>
        <w:t>16.09</w:t>
      </w:r>
      <w:r>
        <w:rPr>
          <w:rFonts w:hint="eastAsia" w:asciiTheme="minorEastAsia" w:hAnsiTheme="minorEastAsia" w:eastAsiaTheme="minorEastAsia"/>
          <w:sz w:val="28"/>
          <w:szCs w:val="28"/>
        </w:rPr>
        <w:t>万亩，占耕地面积的</w:t>
      </w:r>
      <w:r>
        <w:rPr>
          <w:rFonts w:asciiTheme="minorEastAsia" w:hAnsiTheme="minorEastAsia" w:eastAsiaTheme="minorEastAsia"/>
          <w:sz w:val="28"/>
          <w:szCs w:val="28"/>
        </w:rPr>
        <w:t>25.03</w:t>
      </w:r>
      <w:r>
        <w:rPr>
          <w:rFonts w:hint="eastAsia" w:asciiTheme="minorEastAsia" w:hAnsiTheme="minorEastAsia" w:eastAsiaTheme="minorEastAsia"/>
          <w:sz w:val="28"/>
          <w:szCs w:val="28"/>
        </w:rPr>
        <w:t>%，</w:t>
      </w:r>
      <w:r>
        <w:rPr>
          <w:rFonts w:asciiTheme="minorEastAsia" w:hAnsiTheme="minorEastAsia" w:eastAsiaTheme="minorEastAsia"/>
          <w:sz w:val="28"/>
          <w:szCs w:val="28"/>
        </w:rPr>
        <w:t>6</w:t>
      </w:r>
      <w:r>
        <w:rPr>
          <w:rFonts w:hint="eastAsia" w:asciiTheme="minorEastAsia" w:hAnsiTheme="minorEastAsia" w:eastAsiaTheme="minorEastAsia"/>
          <w:sz w:val="28"/>
          <w:szCs w:val="28"/>
        </w:rPr>
        <w:t>等质量面积</w:t>
      </w:r>
      <w:r>
        <w:rPr>
          <w:rFonts w:asciiTheme="minorEastAsia" w:hAnsiTheme="minorEastAsia" w:eastAsiaTheme="minorEastAsia"/>
          <w:sz w:val="28"/>
          <w:szCs w:val="28"/>
        </w:rPr>
        <w:t>7.78</w:t>
      </w:r>
      <w:r>
        <w:rPr>
          <w:rFonts w:hint="eastAsia" w:asciiTheme="minorEastAsia" w:hAnsiTheme="minorEastAsia" w:eastAsiaTheme="minorEastAsia"/>
          <w:sz w:val="28"/>
          <w:szCs w:val="28"/>
        </w:rPr>
        <w:t>万亩，占耕地面积的</w:t>
      </w:r>
      <w:r>
        <w:rPr>
          <w:rFonts w:asciiTheme="minorEastAsia" w:hAnsiTheme="minorEastAsia" w:eastAsiaTheme="minorEastAsia"/>
          <w:sz w:val="28"/>
          <w:szCs w:val="28"/>
        </w:rPr>
        <w:t>12.10</w:t>
      </w:r>
      <w:r>
        <w:rPr>
          <w:rFonts w:hint="eastAsia" w:asciiTheme="minorEastAsia" w:hAnsiTheme="minorEastAsia" w:eastAsiaTheme="minorEastAsia"/>
          <w:sz w:val="28"/>
          <w:szCs w:val="28"/>
        </w:rPr>
        <w:t>%，</w:t>
      </w:r>
      <w:r>
        <w:rPr>
          <w:rFonts w:asciiTheme="minorEastAsia" w:hAnsiTheme="minorEastAsia" w:eastAsiaTheme="minorEastAsia"/>
          <w:sz w:val="28"/>
          <w:szCs w:val="28"/>
        </w:rPr>
        <w:t>7</w:t>
      </w:r>
      <w:r>
        <w:rPr>
          <w:rFonts w:hint="eastAsia" w:asciiTheme="minorEastAsia" w:hAnsiTheme="minorEastAsia" w:eastAsiaTheme="minorEastAsia"/>
          <w:sz w:val="28"/>
          <w:szCs w:val="28"/>
        </w:rPr>
        <w:t>等质量面积</w:t>
      </w:r>
      <w:r>
        <w:rPr>
          <w:rFonts w:asciiTheme="minorEastAsia" w:hAnsiTheme="minorEastAsia" w:eastAsiaTheme="minorEastAsia"/>
          <w:sz w:val="28"/>
          <w:szCs w:val="28"/>
        </w:rPr>
        <w:t>0.16</w:t>
      </w:r>
      <w:r>
        <w:rPr>
          <w:rFonts w:hint="eastAsia" w:asciiTheme="minorEastAsia" w:hAnsiTheme="minorEastAsia" w:eastAsiaTheme="minorEastAsia"/>
          <w:sz w:val="28"/>
          <w:szCs w:val="28"/>
        </w:rPr>
        <w:t>万亩，占耕地面积的</w:t>
      </w:r>
      <w:r>
        <w:rPr>
          <w:rFonts w:asciiTheme="minorEastAsia" w:hAnsiTheme="minorEastAsia" w:eastAsiaTheme="minorEastAsia"/>
          <w:sz w:val="28"/>
          <w:szCs w:val="28"/>
        </w:rPr>
        <w:t>0.24</w:t>
      </w:r>
      <w:r>
        <w:rPr>
          <w:rFonts w:hint="eastAsia" w:asciiTheme="minorEastAsia" w:hAnsiTheme="minorEastAsia" w:eastAsiaTheme="minorEastAsia"/>
          <w:sz w:val="28"/>
          <w:szCs w:val="28"/>
        </w:rPr>
        <w:t>%。</w:t>
      </w:r>
    </w:p>
    <w:p>
      <w:pPr>
        <w:ind w:firstLine="482" w:firstLineChars="200"/>
        <w:rPr>
          <w:rFonts w:ascii="宋体" w:hAnsi="宋体" w:cs="宋体"/>
          <w:b/>
          <w:bCs/>
          <w:color w:val="000000"/>
          <w:sz w:val="24"/>
          <w:szCs w:val="24"/>
        </w:rPr>
      </w:pPr>
      <w:r>
        <w:rPr>
          <w:rFonts w:hint="eastAsia" w:ascii="宋体" w:hAnsi="宋体" w:cs="宋体"/>
          <w:b/>
          <w:bCs/>
          <w:color w:val="000000"/>
          <w:sz w:val="24"/>
          <w:szCs w:val="24"/>
        </w:rPr>
        <w:t>表3</w:t>
      </w:r>
      <w:r>
        <w:rPr>
          <w:rFonts w:ascii="宋体" w:hAnsi="宋体" w:cs="宋体"/>
          <w:b/>
          <w:bCs/>
          <w:color w:val="000000"/>
          <w:sz w:val="24"/>
          <w:szCs w:val="24"/>
        </w:rPr>
        <w:t>.1</w:t>
      </w:r>
      <w:r>
        <w:rPr>
          <w:rFonts w:hint="eastAsia" w:ascii="宋体" w:hAnsi="宋体" w:cs="宋体"/>
          <w:b/>
          <w:bCs/>
          <w:color w:val="000000"/>
          <w:sz w:val="24"/>
          <w:szCs w:val="24"/>
        </w:rPr>
        <w:t>-</w:t>
      </w:r>
      <w:r>
        <w:rPr>
          <w:rFonts w:ascii="宋体" w:hAnsi="宋体" w:cs="宋体"/>
          <w:b/>
          <w:bCs/>
          <w:color w:val="000000"/>
          <w:sz w:val="24"/>
          <w:szCs w:val="24"/>
        </w:rPr>
        <w:t xml:space="preserve">1 </w:t>
      </w:r>
      <w:r>
        <w:rPr>
          <w:rFonts w:hint="eastAsia" w:ascii="宋体" w:hAnsi="宋体" w:cs="宋体"/>
          <w:b/>
          <w:bCs/>
          <w:color w:val="000000"/>
          <w:sz w:val="24"/>
          <w:szCs w:val="24"/>
        </w:rPr>
        <w:t>汤阴县耕地质量等级面积分布表单位：万亩</w:t>
      </w:r>
    </w:p>
    <w:tbl>
      <w:tblPr>
        <w:tblStyle w:val="26"/>
        <w:tblW w:w="5000" w:type="pct"/>
        <w:tblInd w:w="0" w:type="dxa"/>
        <w:tblLayout w:type="autofit"/>
        <w:tblCellMar>
          <w:top w:w="0" w:type="dxa"/>
          <w:left w:w="108" w:type="dxa"/>
          <w:bottom w:w="0" w:type="dxa"/>
          <w:right w:w="108" w:type="dxa"/>
        </w:tblCellMar>
      </w:tblPr>
      <w:tblGrid>
        <w:gridCol w:w="1086"/>
        <w:gridCol w:w="1086"/>
        <w:gridCol w:w="1086"/>
        <w:gridCol w:w="1086"/>
        <w:gridCol w:w="1569"/>
        <w:gridCol w:w="1086"/>
        <w:gridCol w:w="1086"/>
        <w:gridCol w:w="1089"/>
      </w:tblGrid>
      <w:tr>
        <w:tblPrEx>
          <w:tblCellMar>
            <w:top w:w="0" w:type="dxa"/>
            <w:left w:w="108" w:type="dxa"/>
            <w:bottom w:w="0" w:type="dxa"/>
            <w:right w:w="108" w:type="dxa"/>
          </w:tblCellMar>
        </w:tblPrEx>
        <w:trPr>
          <w:trHeight w:val="285" w:hRule="atLeast"/>
        </w:trPr>
        <w:tc>
          <w:tcPr>
            <w:tcW w:w="5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4408"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耕地质量等级（万亩）</w:t>
            </w:r>
          </w:p>
        </w:tc>
      </w:tr>
      <w:tr>
        <w:tblPrEx>
          <w:tblCellMar>
            <w:top w:w="0" w:type="dxa"/>
            <w:left w:w="108" w:type="dxa"/>
            <w:bottom w:w="0" w:type="dxa"/>
            <w:right w:w="108" w:type="dxa"/>
          </w:tblCellMar>
        </w:tblPrEx>
        <w:trPr>
          <w:trHeight w:val="285" w:hRule="atLeast"/>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2等</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3等</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4等</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5等</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6等</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7等</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0.01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0.67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2.39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0.50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2.89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2.26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1.87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0.00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4.13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1.95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4.14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2.25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0.80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9.14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6.73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1.71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8.50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5.55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1.30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0.40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7.25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3.27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3.56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7.16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0.34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1.41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4.53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1.37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8.20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0.43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3.41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1.13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6.04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0.97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11.98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2.13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0.15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1.48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4.21 </w:t>
            </w:r>
          </w:p>
        </w:tc>
      </w:tr>
      <w:tr>
        <w:tblPrEx>
          <w:tblCellMar>
            <w:top w:w="0" w:type="dxa"/>
            <w:left w:w="108" w:type="dxa"/>
            <w:bottom w:w="0" w:type="dxa"/>
            <w:right w:w="108" w:type="dxa"/>
          </w:tblCellMar>
        </w:tblPrEx>
        <w:trPr>
          <w:trHeight w:val="28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0.80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14.05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25.41 </w:t>
            </w:r>
          </w:p>
        </w:tc>
        <w:tc>
          <w:tcPr>
            <w:tcW w:w="8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16.09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7.78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5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64.28 </w:t>
            </w:r>
          </w:p>
        </w:tc>
      </w:tr>
    </w:tbl>
    <w:p>
      <w:pPr>
        <w:ind w:firstLine="482" w:firstLineChars="200"/>
        <w:rPr>
          <w:rFonts w:ascii="宋体" w:hAnsi="宋体" w:cs="宋体"/>
          <w:b/>
          <w:bCs/>
          <w:color w:val="000000"/>
          <w:sz w:val="24"/>
          <w:szCs w:val="24"/>
        </w:rPr>
      </w:pPr>
    </w:p>
    <w:p>
      <w:pPr>
        <w:ind w:firstLine="482" w:firstLineChars="200"/>
        <w:rPr>
          <w:rFonts w:ascii="宋体" w:hAnsi="宋体" w:cs="宋体"/>
          <w:b/>
          <w:bCs/>
          <w:color w:val="000000"/>
          <w:sz w:val="24"/>
          <w:szCs w:val="24"/>
        </w:rPr>
      </w:pPr>
    </w:p>
    <w:p>
      <w:pPr>
        <w:spacing w:line="360" w:lineRule="auto"/>
        <w:rPr>
          <w:rFonts w:asciiTheme="minorEastAsia" w:hAnsiTheme="minorEastAsia" w:eastAsiaTheme="minorEastAsia"/>
          <w:sz w:val="28"/>
          <w:szCs w:val="28"/>
        </w:rPr>
        <w:sectPr>
          <w:pgSz w:w="11906" w:h="16838"/>
          <w:pgMar w:top="1474" w:right="1474" w:bottom="1474" w:left="1474" w:header="851" w:footer="851" w:gutter="0"/>
          <w:cols w:space="720" w:num="1"/>
          <w:docGrid w:linePitch="326" w:charSpace="0"/>
        </w:sectPr>
      </w:pPr>
    </w:p>
    <w:p>
      <w:pPr>
        <w:snapToGrid w:val="0"/>
        <w:ind w:firstLine="480" w:firstLineChars="200"/>
        <w:rPr>
          <w:rFonts w:asciiTheme="minorEastAsia" w:hAnsiTheme="minorEastAsia" w:eastAsiaTheme="minorEastAsia"/>
          <w:sz w:val="28"/>
          <w:szCs w:val="28"/>
        </w:rPr>
      </w:pPr>
      <w:r>
        <w:rPr>
          <w:rFonts w:ascii="宋体" w:hAnsi="宋体"/>
          <w:sz w:val="24"/>
          <w:szCs w:val="24"/>
        </w:rPr>
        <w:drawing>
          <wp:inline distT="0" distB="0" distL="0" distR="0">
            <wp:extent cx="7629525" cy="509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l="2622" t="3980" r="2138" b="3621"/>
                    <a:stretch>
                      <a:fillRect/>
                    </a:stretch>
                  </pic:blipFill>
                  <pic:spPr>
                    <a:xfrm>
                      <a:off x="0" y="0"/>
                      <a:ext cx="7682452" cy="5134455"/>
                    </a:xfrm>
                    <a:prstGeom prst="rect">
                      <a:avLst/>
                    </a:prstGeom>
                    <a:noFill/>
                    <a:ln>
                      <a:noFill/>
                    </a:ln>
                  </pic:spPr>
                </pic:pic>
              </a:graphicData>
            </a:graphic>
          </wp:inline>
        </w:drawing>
      </w:r>
    </w:p>
    <w:p>
      <w:pPr>
        <w:snapToGrid w:val="0"/>
        <w:jc w:val="center"/>
        <w:rPr>
          <w:rFonts w:asciiTheme="minorEastAsia" w:hAnsiTheme="minorEastAsia" w:eastAsiaTheme="minorEastAsia"/>
          <w:sz w:val="24"/>
          <w:szCs w:val="24"/>
        </w:rPr>
        <w:sectPr>
          <w:pgSz w:w="16838" w:h="11906" w:orient="landscape"/>
          <w:pgMar w:top="1474" w:right="1474" w:bottom="1474" w:left="1474" w:header="851" w:footer="851" w:gutter="0"/>
          <w:cols w:space="720" w:num="1"/>
          <w:docGrid w:linePitch="326" w:charSpace="0"/>
        </w:sectPr>
      </w:pPr>
      <w:r>
        <w:rPr>
          <w:rFonts w:hint="eastAsia" w:asciiTheme="minorEastAsia" w:hAnsiTheme="minorEastAsia" w:eastAsiaTheme="minorEastAsia"/>
          <w:sz w:val="24"/>
          <w:szCs w:val="24"/>
        </w:rPr>
        <w:t>图3</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汤阴县耕地质量分布图</w:t>
      </w:r>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3</w:t>
      </w:r>
      <w:r>
        <w:rPr>
          <w:rFonts w:hint="eastAsia" w:asciiTheme="minorEastAsia" w:hAnsiTheme="minorEastAsia" w:eastAsiaTheme="minorEastAsia"/>
          <w:sz w:val="28"/>
          <w:szCs w:val="28"/>
        </w:rPr>
        <w:t>农田生态环境问题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汤阴县早期建设的高标准农田过于偏重产能提升而对改善农田生态环境重视不够，在高标准农田项目设计、施工各环节，未充分体现绿色发展理念，存在简单硬化沟渠道路等影响生态环境的问题。特别是对农田污染物排放问题重视不足。加之因缺乏与良种良法良机良制等措施的有效融合，一些高标准农田建成后，仍然沿用传统粗放的生产方式，资源消耗强度大，耕地质量提升不明显，支撑现代农业绿色发展的作用未能充分发挥。</w:t>
      </w:r>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4</w:t>
      </w:r>
      <w:r>
        <w:rPr>
          <w:rFonts w:hint="eastAsia" w:asciiTheme="minorEastAsia" w:hAnsiTheme="minorEastAsia" w:eastAsiaTheme="minorEastAsia"/>
          <w:sz w:val="28"/>
          <w:szCs w:val="28"/>
        </w:rPr>
        <w:t>运行管理问题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农田建设三分建、七分管，</w:t>
      </w:r>
      <w:r>
        <w:rPr>
          <w:rFonts w:asciiTheme="minorEastAsia" w:hAnsiTheme="minorEastAsia" w:eastAsiaTheme="minorEastAsia"/>
          <w:sz w:val="28"/>
          <w:szCs w:val="28"/>
        </w:rPr>
        <w:t>当前高标准农田建成后普遍由当地乡镇基层政府或村委会负责管护，由于乡镇干部流动性大、村干部职位调动等原因，管护主体缺位现象突出，责任落实不到位，部分配套设施缺乏监管、维护，高标准农田实际功效减弱。</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以往的高标准农田建设过程中，部分乡镇存在重建设，轻管护的问题，未能有效落实管护经费、管护主体和管护责任，管护措施和手段薄弱，缺少后续长期监测评价和跟踪督导。一些项目日常管护不到位，设施设备损毁后得不到及时有效修复，常年带病运行，工程使用年限明显缩短。</w:t>
      </w:r>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.1.</w:t>
      </w:r>
      <w:r>
        <w:rPr>
          <w:rFonts w:asciiTheme="minorEastAsia" w:hAnsiTheme="minorEastAsia" w:eastAsiaTheme="minorEastAsia"/>
          <w:sz w:val="28"/>
          <w:szCs w:val="28"/>
        </w:rPr>
        <w:t>5</w:t>
      </w:r>
      <w:r>
        <w:rPr>
          <w:rFonts w:hint="eastAsia" w:asciiTheme="minorEastAsia" w:hAnsiTheme="minorEastAsia" w:eastAsiaTheme="minorEastAsia"/>
          <w:sz w:val="28"/>
          <w:szCs w:val="28"/>
        </w:rPr>
        <w:t>其他问题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（1）农业集约化规模化生产水平不高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农村分散式的经营模式近年来有了一些改变，但是整体而言农业生产组织化程度和产业化程度偏低的问题还没有完全解决，集约化和规模化程度不能适应农业现代化需要，新型农业经营主体在现代农业发展中的地位和作用还不十分明显，在一定程度上制约了农业发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）农业产业化品牌化发展较低</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品牌化经营是提高农业发展质量和效益的重要抓手和措施。尽管汤阴县在农产品品牌化发展中取得了一定成绩，但是总体而言品牌化水平较低，相当比例的农产品还是初级产品，或者初级加工产品，附加值较低，影响了农业效益。</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）农业从业人员不足</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农业从业人员数量和质量与农业发展，特别是农业产业化进程、科技进步等有着密切关系。全县农业从业人员不能满足现代农业发展需要，主要表现在以下几个方面：一是农业从业人员年轻人较少，长期在农村从事农业生产的基本上都是</w:t>
      </w:r>
      <w:r>
        <w:rPr>
          <w:rFonts w:asciiTheme="minorEastAsia" w:hAnsiTheme="minorEastAsia" w:eastAsiaTheme="minorEastAsia"/>
          <w:sz w:val="28"/>
          <w:szCs w:val="28"/>
        </w:rPr>
        <w:t>50</w:t>
      </w:r>
      <w:r>
        <w:rPr>
          <w:rFonts w:hint="eastAsia" w:asciiTheme="minorEastAsia" w:hAnsiTheme="minorEastAsia" w:eastAsiaTheme="minorEastAsia"/>
          <w:sz w:val="28"/>
          <w:szCs w:val="28"/>
        </w:rPr>
        <w:t>岁以上的人员，对现代农业自动化、规模化生产的应用水平不能满足农业产业发展的需要。二是劳动力素质偏低，农村从事农业生产的基本上是以老年劳动力和妇女劳动力为主体，群体接受教育程度普遍偏低，不能适应农业机械化、智能化生产的需要。</w:t>
      </w:r>
    </w:p>
    <w:p>
      <w:pPr>
        <w:pStyle w:val="3"/>
        <w:spacing w:before="0" w:after="0" w:line="360" w:lineRule="auto"/>
        <w:rPr>
          <w:rFonts w:asciiTheme="minorEastAsia" w:hAnsiTheme="minorEastAsia" w:eastAsiaTheme="minorEastAsia"/>
        </w:rPr>
      </w:pPr>
      <w:bookmarkStart w:id="38" w:name="_Toc144903158"/>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需求分析</w:t>
      </w:r>
      <w:bookmarkEnd w:id="38"/>
    </w:p>
    <w:p>
      <w:pPr>
        <w:spacing w:line="360" w:lineRule="auto"/>
        <w:ind w:firstLine="560" w:firstLineChars="200"/>
        <w:rPr>
          <w:rFonts w:ascii="宋体" w:hAnsi="宋体" w:cs="宋体"/>
          <w:sz w:val="28"/>
          <w:szCs w:val="28"/>
        </w:rPr>
      </w:pPr>
      <w:r>
        <w:rPr>
          <w:rFonts w:hint="eastAsia" w:asciiTheme="minorEastAsia" w:hAnsiTheme="minorEastAsia" w:eastAsiaTheme="minorEastAsia"/>
          <w:sz w:val="28"/>
          <w:szCs w:val="28"/>
        </w:rPr>
        <w:t>根据以上存在的问题，</w:t>
      </w:r>
      <w:r>
        <w:rPr>
          <w:rFonts w:hint="eastAsia" w:ascii="宋体" w:hAnsi="宋体" w:cs="宋体"/>
          <w:sz w:val="28"/>
          <w:szCs w:val="28"/>
        </w:rPr>
        <w:t>本次规划2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年新建、提升高标准农田</w:t>
      </w:r>
      <w:r>
        <w:rPr>
          <w:rFonts w:ascii="宋体" w:hAnsi="宋体" w:cs="宋体"/>
          <w:sz w:val="28"/>
          <w:szCs w:val="28"/>
        </w:rPr>
        <w:t>53.15</w:t>
      </w:r>
      <w:r>
        <w:rPr>
          <w:rFonts w:hint="eastAsia" w:ascii="宋体" w:hAnsi="宋体" w:cs="宋体"/>
          <w:sz w:val="28"/>
          <w:szCs w:val="28"/>
        </w:rPr>
        <w:t>万亩，范围涉及汤阴县宜沟镇、菜园镇、任固镇、古贤镇、伏道镇、五陵镇、瓦岗乡、白营镇、韩庄镇共9个乡镇。项目规划年度为2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年，涉及耕地面积53.15万亩，4</w:t>
      </w:r>
      <w:r>
        <w:rPr>
          <w:rFonts w:ascii="宋体" w:hAnsi="宋体" w:cs="宋体"/>
          <w:sz w:val="28"/>
          <w:szCs w:val="28"/>
        </w:rPr>
        <w:t>48871</w:t>
      </w:r>
      <w:r>
        <w:rPr>
          <w:rFonts w:hint="eastAsia" w:ascii="宋体" w:hAnsi="宋体" w:cs="宋体"/>
          <w:sz w:val="28"/>
          <w:szCs w:val="28"/>
        </w:rPr>
        <w:t>人，其中2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年新建高标准农田面积3</w:t>
      </w:r>
      <w:r>
        <w:rPr>
          <w:rFonts w:ascii="宋体" w:hAnsi="宋体" w:cs="宋体"/>
          <w:sz w:val="28"/>
          <w:szCs w:val="28"/>
        </w:rPr>
        <w:t>.28</w:t>
      </w:r>
      <w:r>
        <w:rPr>
          <w:rFonts w:hint="eastAsia" w:ascii="宋体" w:hAnsi="宋体" w:cs="宋体"/>
          <w:sz w:val="28"/>
          <w:szCs w:val="28"/>
        </w:rPr>
        <w:t>万亩，提升高标准农田面积</w:t>
      </w:r>
      <w:r>
        <w:rPr>
          <w:rFonts w:ascii="宋体" w:hAnsi="宋体" w:cs="宋体"/>
          <w:sz w:val="28"/>
          <w:szCs w:val="28"/>
        </w:rPr>
        <w:t>16.85</w:t>
      </w:r>
      <w:r>
        <w:rPr>
          <w:rFonts w:hint="eastAsia" w:ascii="宋体" w:hAnsi="宋体" w:cs="宋体"/>
          <w:sz w:val="28"/>
          <w:szCs w:val="28"/>
        </w:rPr>
        <w:t>万亩，共</w:t>
      </w:r>
      <w:r>
        <w:rPr>
          <w:rFonts w:ascii="宋体" w:hAnsi="宋体" w:cs="宋体"/>
          <w:sz w:val="28"/>
          <w:szCs w:val="28"/>
        </w:rPr>
        <w:t>20.13</w:t>
      </w:r>
      <w:r>
        <w:rPr>
          <w:rFonts w:hint="eastAsia" w:ascii="宋体" w:hAnsi="宋体" w:cs="宋体"/>
          <w:sz w:val="28"/>
          <w:szCs w:val="28"/>
        </w:rPr>
        <w:t>万亩；2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年提升高标准农田面积33.0</w:t>
      </w:r>
      <w:r>
        <w:rPr>
          <w:rFonts w:ascii="宋体" w:hAnsi="宋体" w:cs="宋体"/>
          <w:sz w:val="28"/>
          <w:szCs w:val="28"/>
        </w:rPr>
        <w:t>2</w:t>
      </w:r>
      <w:r>
        <w:rPr>
          <w:rFonts w:hint="eastAsia" w:ascii="宋体" w:hAnsi="宋体" w:cs="宋体"/>
          <w:sz w:val="28"/>
          <w:szCs w:val="28"/>
        </w:rPr>
        <w:t>万亩。</w:t>
      </w: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ind w:firstLine="482" w:firstLineChars="200"/>
        <w:jc w:val="center"/>
        <w:rPr>
          <w:rFonts w:ascii="宋体" w:hAnsi="宋体" w:cs="宋体"/>
          <w:b/>
          <w:bCs/>
          <w:color w:val="000000"/>
          <w:sz w:val="24"/>
          <w:szCs w:val="24"/>
        </w:rPr>
      </w:pPr>
    </w:p>
    <w:p>
      <w:pPr>
        <w:ind w:firstLine="482" w:firstLineChars="200"/>
        <w:jc w:val="center"/>
        <w:rPr>
          <w:rFonts w:ascii="宋体" w:hAnsi="宋体" w:cs="宋体"/>
          <w:sz w:val="28"/>
          <w:szCs w:val="28"/>
        </w:rPr>
      </w:pPr>
      <w:r>
        <w:rPr>
          <w:rFonts w:hint="eastAsia" w:ascii="宋体" w:hAnsi="宋体" w:cs="宋体"/>
          <w:b/>
          <w:bCs/>
          <w:color w:val="000000"/>
          <w:sz w:val="24"/>
          <w:szCs w:val="24"/>
        </w:rPr>
        <w:t>表3</w:t>
      </w:r>
      <w:r>
        <w:rPr>
          <w:rFonts w:ascii="宋体" w:hAnsi="宋体" w:cs="宋体"/>
          <w:b/>
          <w:bCs/>
          <w:color w:val="000000"/>
          <w:sz w:val="24"/>
          <w:szCs w:val="24"/>
        </w:rPr>
        <w:t>.</w:t>
      </w:r>
      <w:r>
        <w:rPr>
          <w:rFonts w:hint="eastAsia" w:ascii="宋体" w:hAnsi="宋体" w:cs="宋体"/>
          <w:b/>
          <w:bCs/>
          <w:color w:val="000000"/>
          <w:sz w:val="24"/>
          <w:szCs w:val="24"/>
        </w:rPr>
        <w:t>2-</w:t>
      </w:r>
      <w:r>
        <w:rPr>
          <w:rFonts w:ascii="宋体" w:hAnsi="宋体" w:cs="宋体"/>
          <w:b/>
          <w:bCs/>
          <w:color w:val="000000"/>
          <w:sz w:val="24"/>
          <w:szCs w:val="24"/>
        </w:rPr>
        <w:t xml:space="preserve">1 </w:t>
      </w:r>
      <w:r>
        <w:rPr>
          <w:rFonts w:hint="eastAsia" w:ascii="宋体" w:hAnsi="宋体" w:cs="宋体"/>
          <w:b/>
          <w:bCs/>
          <w:color w:val="000000"/>
          <w:sz w:val="24"/>
          <w:szCs w:val="24"/>
        </w:rPr>
        <w:t>汤阴县2021-2030年高标准农田建设需求表</w:t>
      </w:r>
    </w:p>
    <w:tbl>
      <w:tblPr>
        <w:tblStyle w:val="26"/>
        <w:tblW w:w="9791" w:type="dxa"/>
        <w:tblInd w:w="113" w:type="dxa"/>
        <w:tblLayout w:type="autofit"/>
        <w:tblCellMar>
          <w:top w:w="0" w:type="dxa"/>
          <w:left w:w="108" w:type="dxa"/>
          <w:bottom w:w="0" w:type="dxa"/>
          <w:right w:w="108" w:type="dxa"/>
        </w:tblCellMar>
      </w:tblPr>
      <w:tblGrid>
        <w:gridCol w:w="708"/>
        <w:gridCol w:w="1143"/>
        <w:gridCol w:w="1412"/>
        <w:gridCol w:w="1015"/>
        <w:gridCol w:w="999"/>
        <w:gridCol w:w="1250"/>
        <w:gridCol w:w="892"/>
        <w:gridCol w:w="1142"/>
        <w:gridCol w:w="1230"/>
      </w:tblGrid>
      <w:tr>
        <w:tblPrEx>
          <w:tblCellMar>
            <w:top w:w="0" w:type="dxa"/>
            <w:left w:w="108" w:type="dxa"/>
            <w:bottom w:w="0" w:type="dxa"/>
            <w:right w:w="108" w:type="dxa"/>
          </w:tblCellMar>
        </w:tblPrEx>
        <w:trPr>
          <w:trHeight w:val="361" w:hRule="atLeast"/>
        </w:trPr>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1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14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现状年2020（万亩）</w:t>
            </w:r>
          </w:p>
        </w:tc>
        <w:tc>
          <w:tcPr>
            <w:tcW w:w="326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规划2021-2025年（万亩）</w:t>
            </w:r>
          </w:p>
        </w:tc>
        <w:tc>
          <w:tcPr>
            <w:tcW w:w="326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规划2026-2030年（万亩）</w:t>
            </w:r>
          </w:p>
        </w:tc>
      </w:tr>
      <w:tr>
        <w:tblPrEx>
          <w:tblCellMar>
            <w:top w:w="0" w:type="dxa"/>
            <w:left w:w="108" w:type="dxa"/>
            <w:bottom w:w="0" w:type="dxa"/>
            <w:right w:w="108" w:type="dxa"/>
          </w:tblCellMar>
        </w:tblPrEx>
        <w:trPr>
          <w:trHeight w:val="36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1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41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累计完成</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累计完成</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1.30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6.30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9.85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6.3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0.24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1.13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3.01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3.97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3.01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1.74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8.87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6.92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8.87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9.1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5.41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9.09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1.67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9.09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8.3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7.72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8.25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8.25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2.59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3.61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0.68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3.61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7.1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7.06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7.30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7.06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1.8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1.83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2.39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1.83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2.8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2.84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3.79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2.84 </w:t>
            </w:r>
          </w:p>
        </w:tc>
      </w:tr>
      <w:tr>
        <w:tblPrEx>
          <w:tblCellMar>
            <w:top w:w="0" w:type="dxa"/>
            <w:left w:w="108" w:type="dxa"/>
            <w:bottom w:w="0" w:type="dxa"/>
            <w:right w:w="108" w:type="dxa"/>
          </w:tblCellMar>
        </w:tblPrEx>
        <w:trPr>
          <w:trHeight w:val="361" w:hRule="atLeast"/>
        </w:trPr>
        <w:tc>
          <w:tcPr>
            <w:tcW w:w="1851"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　</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51.17</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r>
              <w:rPr>
                <w:rFonts w:ascii="等线" w:hAnsi="等线" w:eastAsia="等线" w:cs="宋体"/>
                <w:color w:val="000000"/>
                <w:kern w:val="0"/>
                <w:sz w:val="22"/>
                <w:szCs w:val="22"/>
              </w:rPr>
              <w:t>28</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16.85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54.45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0.00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33.02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54.45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通过对汤阴县丘陵区和平原区进行农田平整建设、灌溉工程建设、排涝工程建设、田间道路建设、农田防护林网建设、科技措施、农田土壤质量提升等措施，达到保障粮食安全和重要农产品有效供给、促进农业生产方式转变、拓宽农民致富渠道、改善生态环境等效果。</w:t>
      </w: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rPr>
      </w:pPr>
      <w:bookmarkStart w:id="39" w:name="_Toc144903159"/>
      <w:r>
        <w:rPr>
          <w:rFonts w:asciiTheme="minorEastAsia" w:hAnsiTheme="minorEastAsia" w:eastAsiaTheme="minorEastAsia"/>
          <w:b/>
          <w:sz w:val="36"/>
          <w:szCs w:val="36"/>
        </w:rPr>
        <w:t>4</w:t>
      </w:r>
      <w:r>
        <w:rPr>
          <w:rFonts w:hint="eastAsia" w:asciiTheme="minorEastAsia" w:hAnsiTheme="minorEastAsia" w:eastAsiaTheme="minorEastAsia"/>
          <w:b/>
          <w:sz w:val="36"/>
          <w:szCs w:val="36"/>
        </w:rPr>
        <w:t>.规划必要性</w:t>
      </w:r>
      <w:bookmarkEnd w:id="39"/>
    </w:p>
    <w:p>
      <w:pPr>
        <w:pStyle w:val="3"/>
        <w:spacing w:before="0" w:after="0" w:line="360" w:lineRule="auto"/>
        <w:rPr>
          <w:rFonts w:asciiTheme="minorEastAsia" w:hAnsiTheme="minorEastAsia" w:eastAsiaTheme="minorEastAsia"/>
        </w:rPr>
      </w:pPr>
      <w:bookmarkStart w:id="40" w:name="_Toc144903160"/>
      <w:r>
        <w:rPr>
          <w:rFonts w:hint="eastAsia" w:asciiTheme="minorEastAsia" w:hAnsiTheme="minorEastAsia" w:eastAsiaTheme="minorEastAsia"/>
        </w:rPr>
        <w:t>4</w:t>
      </w:r>
      <w:r>
        <w:rPr>
          <w:rFonts w:asciiTheme="minorEastAsia" w:hAnsiTheme="minorEastAsia" w:eastAsiaTheme="minorEastAsia"/>
        </w:rPr>
        <w:t>.1</w:t>
      </w:r>
      <w:r>
        <w:rPr>
          <w:rFonts w:hint="eastAsia" w:asciiTheme="minorEastAsia" w:hAnsiTheme="minorEastAsia" w:eastAsiaTheme="minorEastAsia"/>
        </w:rPr>
        <w:t>粮食安全和重要农产品有效供给的需要</w:t>
      </w:r>
      <w:bookmarkEnd w:id="40"/>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民以食为天，保障粮食等重要农产品供给安全是治国理政的头等大事。刚刚公布的中央一号文件《中共中央国务院关于做好2022年全面推进乡村振兴重点工作的意见》指出，全力抓好粮食生产和重要农产品供给。</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020</w:t>
      </w:r>
      <w:r>
        <w:rPr>
          <w:rFonts w:hint="eastAsia" w:asciiTheme="minorEastAsia" w:hAnsiTheme="minorEastAsia" w:eastAsiaTheme="minorEastAsia"/>
          <w:sz w:val="28"/>
          <w:szCs w:val="28"/>
        </w:rPr>
        <w:t>年</w:t>
      </w:r>
      <w:r>
        <w:rPr>
          <w:rFonts w:asciiTheme="minorEastAsia" w:hAnsiTheme="minorEastAsia" w:eastAsiaTheme="minorEastAsia"/>
          <w:sz w:val="28"/>
          <w:szCs w:val="28"/>
        </w:rPr>
        <w:t>我</w:t>
      </w:r>
      <w:r>
        <w:rPr>
          <w:rFonts w:hint="eastAsia" w:asciiTheme="minorEastAsia" w:hAnsiTheme="minorEastAsia" w:eastAsiaTheme="minorEastAsia"/>
          <w:sz w:val="28"/>
          <w:szCs w:val="28"/>
        </w:rPr>
        <w:t>县</w:t>
      </w:r>
      <w:r>
        <w:rPr>
          <w:rFonts w:asciiTheme="minorEastAsia" w:hAnsiTheme="minorEastAsia" w:eastAsiaTheme="minorEastAsia"/>
          <w:sz w:val="28"/>
          <w:szCs w:val="28"/>
        </w:rPr>
        <w:t>粮食生产克服疫情灾情等不利因素影响，再获丰收，产量达到47379</w:t>
      </w:r>
      <w:r>
        <w:rPr>
          <w:rFonts w:hint="eastAsia" w:asciiTheme="minorEastAsia" w:hAnsiTheme="minorEastAsia" w:eastAsiaTheme="minorEastAsia"/>
          <w:sz w:val="28"/>
          <w:szCs w:val="28"/>
        </w:rPr>
        <w:t>吨</w:t>
      </w:r>
      <w:r>
        <w:rPr>
          <w:rFonts w:asciiTheme="minorEastAsia" w:hAnsiTheme="minorEastAsia" w:eastAsiaTheme="minorEastAsia"/>
          <w:sz w:val="28"/>
          <w:szCs w:val="28"/>
        </w:rPr>
        <w:t>，其他主要农产品市场供应和价格总体稳定，为保障粮食和重要农产品供给安全奠定了坚实基础。然而，在百年变局和世纪疫情交织之下，粮食安全依然面临一些不稳定不确定因素，如粮食结构性矛盾不断凸显、粮食紧平衡的格局短期内难以改变、资源环境约束也在加剧，国际粮食贸易形势复杂多变，国际粮价持续上涨。要推动经济社会平稳健康发展，必须着眼国家重大战略需要，稳住农业基本盘，确保农业稳产增产，牢牢守住国家粮食安全底线，以国内供给的稳定性应对国际环境的不稳定性不确定性。</w:t>
      </w:r>
    </w:p>
    <w:p>
      <w:pPr>
        <w:pStyle w:val="3"/>
        <w:spacing w:before="0" w:after="0" w:line="360" w:lineRule="auto"/>
        <w:rPr>
          <w:rFonts w:asciiTheme="minorEastAsia" w:hAnsiTheme="minorEastAsia" w:eastAsiaTheme="minorEastAsia"/>
        </w:rPr>
      </w:pPr>
      <w:bookmarkStart w:id="41" w:name="_Toc144903161"/>
      <w:r>
        <w:rPr>
          <w:rFonts w:hint="eastAsia" w:asciiTheme="minorEastAsia" w:hAnsiTheme="minorEastAsia" w:eastAsiaTheme="minorEastAsia"/>
        </w:rPr>
        <w:t>4</w:t>
      </w:r>
      <w:r>
        <w:rPr>
          <w:rFonts w:asciiTheme="minorEastAsia" w:hAnsiTheme="minorEastAsia" w:eastAsiaTheme="minorEastAsia"/>
        </w:rPr>
        <w:t>.2</w:t>
      </w:r>
      <w:r>
        <w:rPr>
          <w:rFonts w:hint="eastAsia" w:asciiTheme="minorEastAsia" w:hAnsiTheme="minorEastAsia" w:eastAsiaTheme="minorEastAsia"/>
        </w:rPr>
        <w:t>水土资源集约节约利用的需要</w:t>
      </w:r>
      <w:bookmarkEnd w:id="41"/>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于上世纪的土地规划利用不太合理，存在一定的无序开发利用，使得农业耕地被浪费。由于土地利用效率较低，对国民经济发展产生了很大制约作用。从现阶段的土地发展情况来看，传统的土地利用模式和发展模式己经不能够适应现阶段经济发展需求，需要我们结合新实际的发展情况，积极推动土地节约利用，并进一步落实国家所制定的各项法律法规，严格落实土地利用的各项规章制度，更好的保护农业耕地红线，避免农业耕地被大量的浪费，避免农业用地随意挖掘。只有严格落实土地资源利用规章制度，才能显著提高土地资源的利用管理水平。现阶段加强土地资源的节约利用己经成为现在土地管理的重中之重。</w:t>
      </w:r>
    </w:p>
    <w:p>
      <w:pPr>
        <w:pStyle w:val="3"/>
        <w:spacing w:before="0" w:after="0" w:line="360" w:lineRule="auto"/>
        <w:rPr>
          <w:rFonts w:asciiTheme="minorEastAsia" w:hAnsiTheme="minorEastAsia" w:eastAsiaTheme="minorEastAsia"/>
        </w:rPr>
      </w:pPr>
      <w:bookmarkStart w:id="42" w:name="_Toc144903162"/>
      <w:r>
        <w:rPr>
          <w:rFonts w:hint="eastAsia" w:asciiTheme="minorEastAsia" w:hAnsiTheme="minorEastAsia" w:eastAsiaTheme="minorEastAsia"/>
        </w:rPr>
        <w:t>4</w:t>
      </w:r>
      <w:r>
        <w:rPr>
          <w:rFonts w:asciiTheme="minorEastAsia" w:hAnsiTheme="minorEastAsia" w:eastAsiaTheme="minorEastAsia"/>
        </w:rPr>
        <w:t>.3</w:t>
      </w:r>
      <w:r>
        <w:rPr>
          <w:rFonts w:hint="eastAsia" w:asciiTheme="minorEastAsia" w:hAnsiTheme="minorEastAsia" w:eastAsiaTheme="minorEastAsia"/>
        </w:rPr>
        <w:t>农业现代化发展的需要</w:t>
      </w:r>
      <w:bookmarkEnd w:id="42"/>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发展现代农业，就是要努力实现粮食增产、农民增收和农业多功能发展的目标。这既是实现生活宽裕的重要途径，也是实现乡风文明、村容整洁、管理民主的重要基础。发展现代农业，是从根本上解决农业发展滞后、难以适应工业化和城镇化需要的重要举措。近年来，我县农业基础设施依然薄弱，农村社会事业发展依然滞后，农民稳定增收依然困难，城乡经济社会发展失衡、差距继续拉大等基本状况尚未根本改变，农业仍然是我县国民经济中最薄弱的环节。</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大力发展现代农业，是社会主义新农村建设的重要着力点，也是统筹城乡和工农业发展的基本前提与物质保障。粮食安全是实现经济增长、社会发展的前提和基础。</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通过高标准农田建设，可以较好地推进良种、良法和良田的有机结合，实现藏粮于地的目标，推进农业结构调整与改革。实施高标准农田建设有利于把农村的土地承包经营权和使用权分开，实行土地的有序规模流转，让有能力、愿意种田的人来种田，实行适度规模经营。经过高标准农田建设能够在一定程度上提高农村土地连片程度，有利于实行农业机械化、尤其是大型农业机械作业，降低农业生产成本，解决农村劳动力严重不足的矛盾，较好地解决当前农村普遍存在的谁来种地的问题。</w:t>
      </w:r>
    </w:p>
    <w:p>
      <w:pPr>
        <w:pStyle w:val="3"/>
        <w:spacing w:before="0" w:after="0" w:line="360" w:lineRule="auto"/>
        <w:rPr>
          <w:rFonts w:asciiTheme="minorEastAsia" w:hAnsiTheme="minorEastAsia" w:eastAsiaTheme="minorEastAsia"/>
        </w:rPr>
      </w:pPr>
      <w:bookmarkStart w:id="43" w:name="_Toc144903163"/>
      <w:r>
        <w:rPr>
          <w:rFonts w:hint="eastAsia" w:asciiTheme="minorEastAsia" w:hAnsiTheme="minorEastAsia" w:eastAsiaTheme="minorEastAsia"/>
        </w:rPr>
        <w:t>4</w:t>
      </w:r>
      <w:r>
        <w:rPr>
          <w:rFonts w:asciiTheme="minorEastAsia" w:hAnsiTheme="minorEastAsia" w:eastAsiaTheme="minorEastAsia"/>
        </w:rPr>
        <w:t>.4</w:t>
      </w:r>
      <w:r>
        <w:rPr>
          <w:rFonts w:hint="eastAsia" w:asciiTheme="minorEastAsia" w:hAnsiTheme="minorEastAsia" w:eastAsiaTheme="minorEastAsia"/>
        </w:rPr>
        <w:t>乡村振兴战略有效衔接的需要</w:t>
      </w:r>
      <w:bookmarkEnd w:id="43"/>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高标准农田建设的主要内容除了田块整治外，还包括大量的河道疏浚整治，农路、农桥建设、农田林网建设、农村电力设施建设等，对改善农村生产和生活环境，改变农村脏乱差面貌有明显的推动和促进作用。通过高标准农田建设可以在很大程度上改善农村的居住生活环境，对建设美丽宜居乡村意义重大。</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建设高标准农田，提高农田设施和装备水平，是中央乡村振兴战略的重要目标任务，是促进农业农村发展的重要措施。通过高标准农田建设，提高和带动农村各方面的基础设施建设，促进管理水平提高，有利于改善农村面貌，提高农村发展水平，早日实现乡村振兴战略的宏伟目标。</w:t>
      </w:r>
    </w:p>
    <w:p>
      <w:pPr>
        <w:pStyle w:val="3"/>
        <w:spacing w:before="0" w:after="0" w:line="360" w:lineRule="auto"/>
        <w:rPr>
          <w:rFonts w:asciiTheme="minorEastAsia" w:hAnsiTheme="minorEastAsia" w:eastAsiaTheme="minorEastAsia"/>
        </w:rPr>
      </w:pPr>
      <w:bookmarkStart w:id="44" w:name="_Toc144903164"/>
      <w:r>
        <w:rPr>
          <w:rFonts w:hint="eastAsia" w:asciiTheme="minorEastAsia" w:hAnsiTheme="minorEastAsia" w:eastAsiaTheme="minorEastAsia"/>
        </w:rPr>
        <w:t>4</w:t>
      </w:r>
      <w:r>
        <w:rPr>
          <w:rFonts w:asciiTheme="minorEastAsia" w:hAnsiTheme="minorEastAsia" w:eastAsiaTheme="minorEastAsia"/>
        </w:rPr>
        <w:t>.5</w:t>
      </w:r>
      <w:r>
        <w:rPr>
          <w:rFonts w:hint="eastAsia" w:asciiTheme="minorEastAsia" w:hAnsiTheme="minorEastAsia" w:eastAsiaTheme="minorEastAsia"/>
        </w:rPr>
        <w:t>农业增效益和农民增受益的需要</w:t>
      </w:r>
      <w:bookmarkEnd w:id="44"/>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2022年2月22日，以《中共中央国务院关于做好2022年全面推进乡村振兴重点工作的意见》为题的中央一号文件正式发布。文件要求2022年建设高标准农田1亿亩，累计建成高效节水灌溉面积4亿亩。高标准农田建设</w:t>
      </w:r>
      <w:r>
        <w:rPr>
          <w:rFonts w:hint="eastAsia" w:asciiTheme="minorEastAsia" w:hAnsiTheme="minorEastAsia" w:eastAsiaTheme="minorEastAsia"/>
          <w:sz w:val="28"/>
          <w:szCs w:val="28"/>
        </w:rPr>
        <w:t>已成为</w:t>
      </w:r>
      <w:r>
        <w:rPr>
          <w:rFonts w:asciiTheme="minorEastAsia" w:hAnsiTheme="minorEastAsia" w:eastAsiaTheme="minorEastAsia"/>
          <w:sz w:val="28"/>
          <w:szCs w:val="28"/>
        </w:rPr>
        <w:t>夯实现代农业发展基础的重要抓手</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通过高标准农田建设和相关工程实施，农田质量得到明显提高，有利于发展具有明显嘉善地方特色的优势农业主导产业，有利于对优势特色产业，特别是花卉苗木、特色蔬菜等产业实行区域化布局、规模化发展，有利于提升农业的整体效率和效益，促进农民增收致富。</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对于高标准农田建设项目来说，能够在很大程度上改善和优化农民生活现状，同时，通过对农田建设项目的高标准投入，实现资金统筹，提高现有资源的综合利用效率，不断完善和优化当地农业区域结构，提高农业生产效率，进而改善农村生活条件，形成“田成方、路相通、渠相连、林成网”的景象。</w:t>
      </w:r>
      <w:r>
        <w:rPr>
          <w:rFonts w:asciiTheme="minorEastAsia" w:hAnsiTheme="minorEastAsia" w:eastAsiaTheme="minorEastAsia"/>
          <w:sz w:val="28"/>
          <w:szCs w:val="28"/>
        </w:rPr>
        <w:t>大力实施高标准农田建设，助力乡村振兴，有效实现农业增效、农民增收</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br w:type="page"/>
      </w:r>
    </w:p>
    <w:p>
      <w:pPr>
        <w:spacing w:line="360" w:lineRule="auto"/>
        <w:outlineLvl w:val="0"/>
        <w:rPr>
          <w:rFonts w:asciiTheme="minorEastAsia" w:hAnsiTheme="minorEastAsia" w:eastAsiaTheme="minorEastAsia"/>
        </w:rPr>
      </w:pPr>
      <w:bookmarkStart w:id="45" w:name="_Toc144903165"/>
      <w:r>
        <w:rPr>
          <w:rFonts w:asciiTheme="minorEastAsia" w:hAnsiTheme="minorEastAsia" w:eastAsiaTheme="minorEastAsia"/>
          <w:b/>
          <w:sz w:val="36"/>
          <w:szCs w:val="36"/>
        </w:rPr>
        <w:t>5</w:t>
      </w:r>
      <w:r>
        <w:rPr>
          <w:rFonts w:hint="eastAsia" w:asciiTheme="minorEastAsia" w:hAnsiTheme="minorEastAsia" w:eastAsiaTheme="minorEastAsia"/>
          <w:b/>
          <w:sz w:val="36"/>
          <w:szCs w:val="36"/>
        </w:rPr>
        <w:t>.规划实施条件</w:t>
      </w:r>
      <w:bookmarkEnd w:id="45"/>
    </w:p>
    <w:p>
      <w:pPr>
        <w:pStyle w:val="3"/>
        <w:spacing w:before="0" w:after="0" w:line="360" w:lineRule="auto"/>
        <w:rPr>
          <w:rFonts w:asciiTheme="minorEastAsia" w:hAnsiTheme="minorEastAsia" w:eastAsiaTheme="minorEastAsia"/>
        </w:rPr>
      </w:pPr>
      <w:bookmarkStart w:id="46" w:name="_Toc144903166"/>
      <w:r>
        <w:rPr>
          <w:rFonts w:asciiTheme="minorEastAsia" w:hAnsiTheme="minorEastAsia" w:eastAsiaTheme="minorEastAsia"/>
        </w:rPr>
        <w:t>5.1</w:t>
      </w:r>
      <w:r>
        <w:rPr>
          <w:rFonts w:hint="eastAsia" w:asciiTheme="minorEastAsia" w:hAnsiTheme="minorEastAsia" w:eastAsiaTheme="minorEastAsia"/>
        </w:rPr>
        <w:t>政策条件</w:t>
      </w:r>
      <w:bookmarkEnd w:id="46"/>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高标准农田建设项目是保障供给粮食安全的基础设施，党中央国务院和省委省政府始终关心和支持高标准农田建设。出台了一系列支持、保障高标准农田建设的法律法规和政策措施。</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（1）《国务院办公厅关于切实加强高标准农田建设提升国家粮食安全保障能力的意见》（国办发﹝2</w:t>
      </w:r>
      <w:r>
        <w:rPr>
          <w:rFonts w:asciiTheme="minorEastAsia" w:hAnsiTheme="minorEastAsia" w:eastAsiaTheme="minorEastAsia"/>
          <w:sz w:val="28"/>
          <w:szCs w:val="28"/>
        </w:rPr>
        <w:t>019</w:t>
      </w:r>
      <w:r>
        <w:rPr>
          <w:rFonts w:hint="eastAsia" w:asciiTheme="minorEastAsia" w:hAnsiTheme="minorEastAsia" w:eastAsiaTheme="minorEastAsia"/>
          <w:sz w:val="28"/>
          <w:szCs w:val="28"/>
        </w:rPr>
        <w:t>﹞</w:t>
      </w:r>
      <w:r>
        <w:rPr>
          <w:rFonts w:asciiTheme="minorEastAsia" w:hAnsiTheme="minorEastAsia" w:eastAsiaTheme="minorEastAsia"/>
          <w:sz w:val="28"/>
          <w:szCs w:val="28"/>
        </w:rPr>
        <w:t>50</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中央农村工作领导小组办公室农业农村部国家发展和改革委员会财政部中国人民银行中国银行保险监督管理委员会中国证券监督管理委员会《关于扩大农业农村有效投资加快补上“三农”领域突出短板的意见》（中农发〔</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10 </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）《河南省人民政府办公厅关于加快推进农业信息化和数字乡村建设的实施意见》（豫政办〔</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10</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4</w:t>
      </w:r>
      <w:r>
        <w:rPr>
          <w:rFonts w:hint="eastAsia" w:asciiTheme="minorEastAsia" w:hAnsiTheme="minorEastAsia" w:eastAsiaTheme="minorEastAsia"/>
          <w:sz w:val="28"/>
          <w:szCs w:val="28"/>
        </w:rPr>
        <w:t>）《河南省人民政府办公厅关于加强高标准农田建设打造全国重要粮食生产核心区的实施意见》（豫政办〔</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14</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5</w:t>
      </w:r>
      <w:r>
        <w:rPr>
          <w:rFonts w:hint="eastAsia" w:asciiTheme="minorEastAsia" w:hAnsiTheme="minorEastAsia" w:eastAsiaTheme="minorEastAsia"/>
          <w:sz w:val="28"/>
          <w:szCs w:val="28"/>
        </w:rPr>
        <w:t>）《河南省财政厅关于印发《河南省省级预算项目支出绩效评价管理办法》的通知》（豫财政〔</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10</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6</w:t>
      </w:r>
      <w:r>
        <w:rPr>
          <w:rFonts w:hint="eastAsia" w:asciiTheme="minorEastAsia" w:hAnsiTheme="minorEastAsia" w:eastAsiaTheme="minorEastAsia"/>
          <w:sz w:val="28"/>
          <w:szCs w:val="28"/>
        </w:rPr>
        <w:t>）《河南省农业农村厅关于印发《河南省高标准农田建设评价激励实施办法（试行）》的通知》（豫农发〔</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5</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7</w:t>
      </w:r>
      <w:r>
        <w:rPr>
          <w:rFonts w:hint="eastAsia" w:asciiTheme="minorEastAsia" w:hAnsiTheme="minorEastAsia" w:eastAsiaTheme="minorEastAsia"/>
          <w:sz w:val="28"/>
          <w:szCs w:val="28"/>
        </w:rPr>
        <w:t>）《河南省农业农村厅关于印发《河南省农田建设项目管理实施办法》的通知》（豫农文〔</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〕1</w:t>
      </w:r>
      <w:r>
        <w:rPr>
          <w:rFonts w:asciiTheme="minorEastAsia" w:hAnsiTheme="minorEastAsia" w:eastAsiaTheme="minorEastAsia"/>
          <w:sz w:val="28"/>
          <w:szCs w:val="28"/>
        </w:rPr>
        <w:t>56</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8</w:t>
      </w:r>
      <w:r>
        <w:rPr>
          <w:rFonts w:hint="eastAsia" w:asciiTheme="minorEastAsia" w:hAnsiTheme="minorEastAsia" w:eastAsiaTheme="minorEastAsia"/>
          <w:sz w:val="28"/>
          <w:szCs w:val="28"/>
        </w:rPr>
        <w:t>）《河南省农业农村厅关于印发《河南省农田高效节水灌溉示范区创建指南》的通知（豫农文〔</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267</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9</w:t>
      </w:r>
      <w:r>
        <w:rPr>
          <w:rFonts w:hint="eastAsia" w:asciiTheme="minorEastAsia" w:hAnsiTheme="minorEastAsia" w:eastAsiaTheme="minorEastAsia"/>
          <w:sz w:val="28"/>
          <w:szCs w:val="28"/>
        </w:rPr>
        <w:t>）《河南省农业农村厅关于印发《河南省农业农村厅中央预算内投资农业项目管理工作流程》（试行）的通知》（豫农发〔</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9</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10</w:t>
      </w:r>
      <w:r>
        <w:rPr>
          <w:rFonts w:hint="eastAsia" w:asciiTheme="minorEastAsia" w:hAnsiTheme="minorEastAsia" w:eastAsiaTheme="minorEastAsia"/>
          <w:sz w:val="28"/>
          <w:szCs w:val="28"/>
        </w:rPr>
        <w:t>）《河南省农业农村厅关于印发《河南省耕地地力保护与提升工作方案》的通知》（豫农文〔</w:t>
      </w:r>
      <w:r>
        <w:rPr>
          <w:rFonts w:asciiTheme="minorEastAsia" w:hAnsiTheme="minorEastAsia" w:eastAsiaTheme="minorEastAsia"/>
          <w:sz w:val="28"/>
          <w:szCs w:val="28"/>
        </w:rPr>
        <w:t>2020</w:t>
      </w:r>
      <w:r>
        <w:rPr>
          <w:rFonts w:hint="eastAsia" w:asciiTheme="minorEastAsia" w:hAnsiTheme="minorEastAsia" w:eastAsiaTheme="minorEastAsia"/>
          <w:sz w:val="28"/>
          <w:szCs w:val="28"/>
        </w:rPr>
        <w:t>〕</w:t>
      </w:r>
      <w:r>
        <w:rPr>
          <w:rFonts w:asciiTheme="minorEastAsia" w:hAnsiTheme="minorEastAsia" w:eastAsiaTheme="minorEastAsia"/>
          <w:sz w:val="28"/>
          <w:szCs w:val="28"/>
        </w:rPr>
        <w:t>310</w:t>
      </w:r>
      <w:r>
        <w:rPr>
          <w:rFonts w:hint="eastAsia" w:asciiTheme="minorEastAsia" w:hAnsiTheme="minorEastAsia" w:eastAsiaTheme="minorEastAsia"/>
          <w:sz w:val="28"/>
          <w:szCs w:val="28"/>
        </w:rPr>
        <w:t>号）；</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1</w:t>
      </w:r>
      <w:r>
        <w:rPr>
          <w:rFonts w:hint="eastAsia" w:asciiTheme="minorEastAsia" w:hAnsiTheme="minorEastAsia" w:eastAsiaTheme="minorEastAsia"/>
          <w:sz w:val="28"/>
          <w:szCs w:val="28"/>
        </w:rPr>
        <w:t>）《河南省农田建设前期工作管理指导手册》；</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2</w:t>
      </w:r>
      <w:r>
        <w:rPr>
          <w:rFonts w:hint="eastAsia" w:asciiTheme="minorEastAsia" w:hAnsiTheme="minorEastAsia" w:eastAsiaTheme="minorEastAsia"/>
          <w:sz w:val="28"/>
          <w:szCs w:val="28"/>
        </w:rPr>
        <w:t>）《中共汤阴县委汤阴县人民政府关于实施乡村振兴战略进展情况的报告》汤文〔2021〕号。</w:t>
      </w:r>
    </w:p>
    <w:p>
      <w:pPr>
        <w:pStyle w:val="3"/>
        <w:spacing w:before="0" w:after="0" w:line="360" w:lineRule="auto"/>
        <w:rPr>
          <w:rFonts w:asciiTheme="minorEastAsia" w:hAnsiTheme="minorEastAsia" w:eastAsiaTheme="minorEastAsia"/>
        </w:rPr>
      </w:pPr>
      <w:bookmarkStart w:id="47" w:name="_Toc144903167"/>
      <w:r>
        <w:rPr>
          <w:rFonts w:asciiTheme="minorEastAsia" w:hAnsiTheme="minorEastAsia" w:eastAsiaTheme="minorEastAsia"/>
        </w:rPr>
        <w:t>5.2</w:t>
      </w:r>
      <w:r>
        <w:rPr>
          <w:rFonts w:hint="eastAsia" w:asciiTheme="minorEastAsia" w:hAnsiTheme="minorEastAsia" w:eastAsiaTheme="minorEastAsia"/>
        </w:rPr>
        <w:t>资金条件</w:t>
      </w:r>
      <w:bookmarkEnd w:id="47"/>
    </w:p>
    <w:p>
      <w:pPr>
        <w:spacing w:line="360" w:lineRule="auto"/>
        <w:ind w:firstLine="560" w:firstLineChars="200"/>
        <w:rPr>
          <w:rFonts w:ascii="宋体" w:hAnsi="宋体" w:cs="宋体"/>
          <w:sz w:val="28"/>
          <w:szCs w:val="28"/>
        </w:rPr>
      </w:pPr>
      <w:r>
        <w:rPr>
          <w:rFonts w:hint="eastAsia" w:ascii="宋体" w:hAnsi="宋体" w:cs="宋体"/>
          <w:sz w:val="28"/>
          <w:szCs w:val="28"/>
        </w:rPr>
        <w:t>根据《安阳市统计年鉴》（</w:t>
      </w:r>
      <w:r>
        <w:rPr>
          <w:rFonts w:ascii="宋体" w:hAnsi="宋体" w:cs="宋体"/>
          <w:sz w:val="28"/>
          <w:szCs w:val="28"/>
        </w:rPr>
        <w:t>2016</w:t>
      </w:r>
      <w:r>
        <w:rPr>
          <w:rFonts w:hint="eastAsia" w:ascii="宋体" w:hAnsi="宋体" w:cs="宋体"/>
          <w:sz w:val="28"/>
          <w:szCs w:val="28"/>
        </w:rPr>
        <w:t>-</w:t>
      </w:r>
      <w:r>
        <w:rPr>
          <w:rFonts w:ascii="宋体" w:hAnsi="宋体" w:cs="宋体"/>
          <w:sz w:val="28"/>
          <w:szCs w:val="28"/>
        </w:rPr>
        <w:t>2020</w:t>
      </w:r>
      <w:r>
        <w:rPr>
          <w:rFonts w:hint="eastAsia" w:ascii="宋体" w:hAnsi="宋体" w:cs="宋体"/>
          <w:sz w:val="28"/>
          <w:szCs w:val="28"/>
        </w:rPr>
        <w:t>），汤阴县近5年的公共财政预算收入均值为</w:t>
      </w:r>
      <w:r>
        <w:rPr>
          <w:rFonts w:ascii="宋体" w:hAnsi="宋体" w:cs="宋体"/>
          <w:sz w:val="28"/>
          <w:szCs w:val="28"/>
        </w:rPr>
        <w:t>139983</w:t>
      </w:r>
      <w:r>
        <w:rPr>
          <w:rFonts w:hint="eastAsia" w:ascii="宋体" w:hAnsi="宋体" w:cs="宋体"/>
          <w:sz w:val="28"/>
          <w:szCs w:val="28"/>
        </w:rPr>
        <w:t>万元，其中税收收入</w:t>
      </w:r>
      <w:r>
        <w:rPr>
          <w:rFonts w:ascii="宋体" w:hAnsi="宋体" w:cs="宋体"/>
          <w:sz w:val="28"/>
          <w:szCs w:val="28"/>
        </w:rPr>
        <w:t>106722</w:t>
      </w:r>
      <w:r>
        <w:rPr>
          <w:rFonts w:hint="eastAsia" w:ascii="宋体" w:hAnsi="宋体" w:cs="宋体"/>
          <w:sz w:val="28"/>
          <w:szCs w:val="28"/>
        </w:rPr>
        <w:t>万元，非税收入</w:t>
      </w:r>
      <w:r>
        <w:rPr>
          <w:rFonts w:ascii="宋体" w:hAnsi="宋体" w:cs="宋体"/>
          <w:sz w:val="28"/>
          <w:szCs w:val="28"/>
        </w:rPr>
        <w:t>33261</w:t>
      </w:r>
      <w:r>
        <w:rPr>
          <w:rFonts w:hint="eastAsia" w:ascii="宋体" w:hAnsi="宋体" w:cs="宋体"/>
          <w:sz w:val="28"/>
          <w:szCs w:val="28"/>
        </w:rPr>
        <w:t>万元；近5年的公共财政预算支出均值为</w:t>
      </w:r>
      <w:r>
        <w:rPr>
          <w:rFonts w:ascii="宋体" w:hAnsi="宋体" w:cs="宋体"/>
          <w:sz w:val="28"/>
          <w:szCs w:val="28"/>
        </w:rPr>
        <w:t>320536</w:t>
      </w:r>
      <w:r>
        <w:rPr>
          <w:rFonts w:hint="eastAsia" w:ascii="宋体" w:hAnsi="宋体" w:cs="宋体"/>
          <w:sz w:val="28"/>
          <w:szCs w:val="28"/>
        </w:rPr>
        <w:t>万元，其中用于农林水事务支出</w:t>
      </w:r>
      <w:r>
        <w:rPr>
          <w:rFonts w:ascii="宋体" w:hAnsi="宋体" w:cs="宋体"/>
          <w:sz w:val="28"/>
          <w:szCs w:val="28"/>
        </w:rPr>
        <w:t>51715</w:t>
      </w:r>
      <w:r>
        <w:rPr>
          <w:rFonts w:hint="eastAsia" w:ascii="宋体" w:hAnsi="宋体" w:cs="宋体"/>
          <w:sz w:val="28"/>
          <w:szCs w:val="28"/>
        </w:rPr>
        <w:t>万元，占总支出的1</w:t>
      </w:r>
      <w:r>
        <w:rPr>
          <w:rFonts w:ascii="宋体" w:hAnsi="宋体" w:cs="宋体"/>
          <w:sz w:val="28"/>
          <w:szCs w:val="28"/>
        </w:rPr>
        <w:t>6.13</w:t>
      </w:r>
      <w:r>
        <w:rPr>
          <w:rFonts w:hint="eastAsia" w:ascii="宋体" w:hAnsi="宋体" w:cs="宋体"/>
          <w:sz w:val="28"/>
          <w:szCs w:val="28"/>
        </w:rPr>
        <w:t>%，其他支出</w:t>
      </w:r>
      <w:r>
        <w:rPr>
          <w:rFonts w:ascii="宋体" w:hAnsi="宋体" w:cs="宋体"/>
          <w:sz w:val="28"/>
          <w:szCs w:val="28"/>
        </w:rPr>
        <w:t>268821</w:t>
      </w:r>
      <w:r>
        <w:rPr>
          <w:rFonts w:hint="eastAsia" w:ascii="宋体" w:hAnsi="宋体" w:cs="宋体"/>
          <w:sz w:val="28"/>
          <w:szCs w:val="28"/>
        </w:rPr>
        <w:t>万元。</w:t>
      </w:r>
    </w:p>
    <w:p>
      <w:pPr>
        <w:snapToGrid w:val="0"/>
        <w:ind w:firstLine="560" w:firstLineChars="200"/>
        <w:rPr>
          <w:rFonts w:ascii="宋体" w:hAnsi="宋体" w:cs="宋体"/>
          <w:sz w:val="28"/>
          <w:szCs w:val="28"/>
        </w:rPr>
      </w:pPr>
      <w:r>
        <w:rPr>
          <w:rFonts w:hint="eastAsia" w:ascii="宋体" w:hAnsi="宋体" w:cs="宋体"/>
          <w:sz w:val="28"/>
          <w:szCs w:val="28"/>
        </w:rPr>
        <w:t>表5</w:t>
      </w:r>
      <w:r>
        <w:rPr>
          <w:rFonts w:ascii="宋体" w:hAnsi="宋体" w:cs="宋体"/>
          <w:sz w:val="28"/>
          <w:szCs w:val="28"/>
        </w:rPr>
        <w:t>.2</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汤阴县近年公共预算收入与支出表</w:t>
      </w:r>
    </w:p>
    <w:tbl>
      <w:tblPr>
        <w:tblStyle w:val="26"/>
        <w:tblW w:w="5000" w:type="pct"/>
        <w:tblInd w:w="0" w:type="dxa"/>
        <w:tblLayout w:type="autofit"/>
        <w:tblCellMar>
          <w:top w:w="0" w:type="dxa"/>
          <w:left w:w="108" w:type="dxa"/>
          <w:bottom w:w="0" w:type="dxa"/>
          <w:right w:w="108" w:type="dxa"/>
        </w:tblCellMar>
      </w:tblPr>
      <w:tblGrid>
        <w:gridCol w:w="1070"/>
        <w:gridCol w:w="1306"/>
        <w:gridCol w:w="1418"/>
        <w:gridCol w:w="1134"/>
        <w:gridCol w:w="1842"/>
        <w:gridCol w:w="1327"/>
        <w:gridCol w:w="1077"/>
      </w:tblGrid>
      <w:tr>
        <w:tblPrEx>
          <w:tblCellMar>
            <w:top w:w="0" w:type="dxa"/>
            <w:left w:w="108" w:type="dxa"/>
            <w:bottom w:w="0" w:type="dxa"/>
            <w:right w:w="108" w:type="dxa"/>
          </w:tblCellMar>
        </w:tblPrEx>
        <w:trPr>
          <w:trHeight w:val="285" w:hRule="atLeast"/>
        </w:trPr>
        <w:tc>
          <w:tcPr>
            <w:tcW w:w="5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年份</w:t>
            </w:r>
          </w:p>
        </w:tc>
        <w:tc>
          <w:tcPr>
            <w:tcW w:w="2103"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公共财政收入（万元）</w:t>
            </w:r>
          </w:p>
        </w:tc>
        <w:tc>
          <w:tcPr>
            <w:tcW w:w="2314"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公共财政预算支出（万元）</w:t>
            </w:r>
          </w:p>
        </w:tc>
      </w:tr>
      <w:tr>
        <w:tblPrEx>
          <w:tblCellMar>
            <w:top w:w="0" w:type="dxa"/>
            <w:left w:w="108" w:type="dxa"/>
            <w:bottom w:w="0" w:type="dxa"/>
            <w:right w:w="108" w:type="dxa"/>
          </w:tblCellMar>
        </w:tblPrEx>
        <w:trPr>
          <w:trHeight w:val="285" w:hRule="atLeast"/>
        </w:trPr>
        <w:tc>
          <w:tcPr>
            <w:tcW w:w="58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税收收入</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非税收入</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农林水事务支出</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其他支出</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81254</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29516</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110770</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5219</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240277</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245496</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90899</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29205</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120104</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47177</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227035</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274212</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103627</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31505</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135132</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73658</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260236</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333894</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125018</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35621</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160639</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64760</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286764</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351524</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132813</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40458</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173271</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67763</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329792</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397555</w:t>
            </w:r>
          </w:p>
        </w:tc>
      </w:tr>
      <w:tr>
        <w:tblPrEx>
          <w:tblCellMar>
            <w:top w:w="0" w:type="dxa"/>
            <w:left w:w="108" w:type="dxa"/>
            <w:bottom w:w="0" w:type="dxa"/>
            <w:right w:w="108" w:type="dxa"/>
          </w:tblCellMar>
        </w:tblPrEx>
        <w:trPr>
          <w:trHeight w:val="285" w:hRule="atLeast"/>
        </w:trPr>
        <w:tc>
          <w:tcPr>
            <w:tcW w:w="58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均值</w:t>
            </w:r>
          </w:p>
        </w:tc>
        <w:tc>
          <w:tcPr>
            <w:tcW w:w="7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106722</w:t>
            </w:r>
          </w:p>
        </w:tc>
        <w:tc>
          <w:tcPr>
            <w:tcW w:w="77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33261</w:t>
            </w:r>
          </w:p>
        </w:tc>
        <w:tc>
          <w:tcPr>
            <w:tcW w:w="61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139983</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51715</w:t>
            </w:r>
          </w:p>
        </w:tc>
        <w:tc>
          <w:tcPr>
            <w:tcW w:w="7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26882</w:t>
            </w:r>
            <w:r>
              <w:rPr>
                <w:rFonts w:ascii="等线" w:hAnsi="等线" w:eastAsia="等线" w:cs="宋体"/>
                <w:color w:val="000000"/>
                <w:kern w:val="0"/>
                <w:sz w:val="22"/>
                <w:szCs w:val="22"/>
              </w:rPr>
              <w:t>1</w:t>
            </w:r>
          </w:p>
        </w:tc>
        <w:tc>
          <w:tcPr>
            <w:tcW w:w="58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320536</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2021 年8 月16 日，省政府办公厅印发了《关于加强农田水利设施管护工作的指导意见》（豫政办〔2021〕42 号），从筑牢基础、落实人员、保证经费、创新方式、压实责任五个方面，对加强我省农田水利设施管护工作，进一步提升运行质量和使用效益，提出了指导意见。县委、县政府领导第一时间作出批示，要求结合工作实际，出台我县实施方案。</w:t>
      </w:r>
    </w:p>
    <w:p>
      <w:pPr>
        <w:spacing w:line="360" w:lineRule="auto"/>
        <w:ind w:firstLine="560" w:firstLineChars="200"/>
        <w:rPr>
          <w:rFonts w:ascii="宋体" w:hAnsi="宋体" w:cs="宋体"/>
          <w:sz w:val="28"/>
          <w:szCs w:val="28"/>
        </w:rPr>
      </w:pPr>
      <w:r>
        <w:rPr>
          <w:rFonts w:hint="eastAsia" w:ascii="宋体" w:hAnsi="宋体" w:cs="宋体"/>
          <w:sz w:val="28"/>
          <w:szCs w:val="28"/>
        </w:rPr>
        <w:t>（1）合理收取水费</w:t>
      </w:r>
    </w:p>
    <w:p>
      <w:pPr>
        <w:spacing w:line="360" w:lineRule="auto"/>
        <w:ind w:firstLine="560" w:firstLineChars="200"/>
        <w:rPr>
          <w:rFonts w:ascii="宋体" w:hAnsi="宋体" w:cs="宋体"/>
          <w:sz w:val="28"/>
          <w:szCs w:val="28"/>
        </w:rPr>
      </w:pPr>
      <w:r>
        <w:rPr>
          <w:rFonts w:hint="eastAsia" w:ascii="宋体" w:hAnsi="宋体" w:cs="宋体"/>
          <w:sz w:val="28"/>
          <w:szCs w:val="28"/>
        </w:rPr>
        <w:t>县发展改革部门要根据农业灌溉取水、农田水利工程管护等成本，合理制定和调整农业水价，并向省发展改革部门报备。农业水价综合改革区要按照现行机制规范收取水费。其他地方可参照“以电折水”的形式收取水费，标准不得超过发展改革部门核定的“以电折水”价格。收取的水费在支付电费等成本后，剩余部分可用于补充管护经费。</w:t>
      </w:r>
    </w:p>
    <w:p>
      <w:pPr>
        <w:spacing w:line="360" w:lineRule="auto"/>
        <w:ind w:firstLine="560" w:firstLineChars="200"/>
        <w:rPr>
          <w:rFonts w:ascii="宋体" w:hAnsi="宋体" w:cs="宋体"/>
          <w:sz w:val="28"/>
          <w:szCs w:val="28"/>
        </w:rPr>
      </w:pPr>
      <w:r>
        <w:rPr>
          <w:rFonts w:hint="eastAsia" w:ascii="宋体" w:hAnsi="宋体" w:cs="宋体"/>
          <w:sz w:val="28"/>
          <w:szCs w:val="28"/>
        </w:rPr>
        <w:t>（2）拓宽筹资渠道</w:t>
      </w:r>
    </w:p>
    <w:p>
      <w:pPr>
        <w:spacing w:line="360" w:lineRule="auto"/>
        <w:ind w:firstLine="560" w:firstLineChars="200"/>
        <w:rPr>
          <w:rFonts w:ascii="宋体" w:hAnsi="宋体" w:cs="宋体"/>
          <w:sz w:val="28"/>
          <w:szCs w:val="28"/>
        </w:rPr>
      </w:pPr>
      <w:r>
        <w:rPr>
          <w:rFonts w:hint="eastAsia" w:ascii="宋体" w:hAnsi="宋体" w:cs="宋体"/>
          <w:sz w:val="28"/>
          <w:szCs w:val="28"/>
        </w:rPr>
        <w:t>可按规定通过使用高标准农田建设结余资金、评价激励资金、管护奖补资金、新增耕地指标交易收入和统筹整合涉农资金，以及村级集体经济收入提取、社会捐赠等方式筹措管护资金。鼓励通过政府和社会资本合作等方式，拓展管护经费来源。</w:t>
      </w:r>
    </w:p>
    <w:p>
      <w:pPr>
        <w:spacing w:line="360" w:lineRule="auto"/>
        <w:ind w:firstLine="560" w:firstLineChars="200"/>
        <w:rPr>
          <w:rFonts w:ascii="宋体" w:hAnsi="宋体" w:cs="宋体"/>
          <w:sz w:val="28"/>
          <w:szCs w:val="28"/>
        </w:rPr>
      </w:pPr>
      <w:r>
        <w:rPr>
          <w:rFonts w:hint="eastAsia" w:ascii="宋体" w:hAnsi="宋体" w:cs="宋体"/>
          <w:sz w:val="28"/>
          <w:szCs w:val="28"/>
        </w:rPr>
        <w:t>（3）严格资金管理</w:t>
      </w:r>
    </w:p>
    <w:p>
      <w:pPr>
        <w:spacing w:line="360" w:lineRule="auto"/>
        <w:ind w:firstLine="560" w:firstLineChars="200"/>
        <w:rPr>
          <w:rFonts w:ascii="宋体" w:hAnsi="宋体" w:cs="宋体"/>
          <w:sz w:val="28"/>
          <w:szCs w:val="28"/>
        </w:rPr>
      </w:pPr>
      <w:r>
        <w:rPr>
          <w:rFonts w:hint="eastAsia" w:ascii="宋体" w:hAnsi="宋体" w:cs="宋体"/>
          <w:sz w:val="28"/>
          <w:szCs w:val="28"/>
        </w:rPr>
        <w:t>规范管理使用财政预算列支和通过其他渠道筹集的管护经费，建立管护维修基金，通过“基金池”管理方式，保持管护资金总量稳定。管护资金主要用于维修农田水利设施、购置简易维修工具和运行监测设备、推进管护信息化建设、支付管护人员补助等。</w:t>
      </w:r>
    </w:p>
    <w:p>
      <w:pPr>
        <w:pStyle w:val="3"/>
        <w:spacing w:before="0" w:after="0" w:line="360" w:lineRule="auto"/>
        <w:rPr>
          <w:rFonts w:asciiTheme="minorEastAsia" w:hAnsiTheme="minorEastAsia" w:eastAsiaTheme="minorEastAsia"/>
        </w:rPr>
      </w:pPr>
      <w:bookmarkStart w:id="48" w:name="_Toc144903168"/>
      <w:r>
        <w:rPr>
          <w:rFonts w:asciiTheme="minorEastAsia" w:hAnsiTheme="minorEastAsia" w:eastAsiaTheme="minorEastAsia"/>
        </w:rPr>
        <w:t>5.3</w:t>
      </w:r>
      <w:r>
        <w:rPr>
          <w:rFonts w:hint="eastAsia" w:asciiTheme="minorEastAsia" w:hAnsiTheme="minorEastAsia" w:eastAsiaTheme="minorEastAsia"/>
        </w:rPr>
        <w:t>技术条件</w:t>
      </w:r>
      <w:bookmarkEnd w:id="48"/>
    </w:p>
    <w:p>
      <w:pPr>
        <w:spacing w:line="360" w:lineRule="auto"/>
        <w:ind w:firstLine="560" w:firstLineChars="200"/>
        <w:rPr>
          <w:rFonts w:ascii="宋体" w:hAnsi="宋体" w:cs="宋体"/>
          <w:sz w:val="28"/>
          <w:szCs w:val="28"/>
        </w:rPr>
      </w:pPr>
      <w:r>
        <w:rPr>
          <w:rFonts w:hint="eastAsia" w:ascii="宋体" w:hAnsi="宋体" w:cs="宋体"/>
          <w:sz w:val="28"/>
          <w:szCs w:val="28"/>
        </w:rPr>
        <w:t>汤阴县根据2021年8月发布的全国高标准农田建设规划 (2021—2030年)，要大力引进和推广高标准农田建设先进实用工程与装备技术，加强农田建设与农机农艺技术的集成与应用。开展生态绿色农田、数字农田和土壤盐碱化、酸化、退化及工程性缺水等专项建设示范，引领相同类型区域高标准农田建设。加大对农田防灾抗灾减灾能力提升、国家耕地质量科学研究、农田信息化监管等关键技术问题。有了这些技术保障，汤阴县2021—2030年高标准农田规划建设能够顺利完成。</w:t>
      </w:r>
    </w:p>
    <w:p>
      <w:pPr>
        <w:pStyle w:val="3"/>
        <w:spacing w:before="0" w:after="0" w:line="360" w:lineRule="auto"/>
        <w:rPr>
          <w:rFonts w:asciiTheme="minorEastAsia" w:hAnsiTheme="minorEastAsia" w:eastAsiaTheme="minorEastAsia"/>
        </w:rPr>
      </w:pPr>
      <w:bookmarkStart w:id="49" w:name="_Toc144903169"/>
      <w:r>
        <w:rPr>
          <w:rFonts w:asciiTheme="minorEastAsia" w:hAnsiTheme="minorEastAsia" w:eastAsiaTheme="minorEastAsia"/>
        </w:rPr>
        <w:t>5.4</w:t>
      </w:r>
      <w:r>
        <w:rPr>
          <w:rFonts w:hint="eastAsia" w:asciiTheme="minorEastAsia" w:hAnsiTheme="minorEastAsia" w:eastAsiaTheme="minorEastAsia"/>
        </w:rPr>
        <w:t>耕地资源条件</w:t>
      </w:r>
      <w:bookmarkEnd w:id="49"/>
    </w:p>
    <w:p>
      <w:pPr>
        <w:spacing w:line="360" w:lineRule="auto"/>
        <w:ind w:firstLine="560" w:firstLineChars="200"/>
        <w:rPr>
          <w:sz w:val="28"/>
          <w:szCs w:val="28"/>
        </w:rPr>
      </w:pPr>
      <w:r>
        <w:rPr>
          <w:rFonts w:hint="eastAsia"/>
          <w:sz w:val="28"/>
          <w:szCs w:val="28"/>
        </w:rPr>
        <w:t>汤阴县耕地资源较为充足，高标准农田建设项目起步较早，现有较多资源条件良好的耕地可供利用。为今后高标准农田规划建设提供充足的资源。</w:t>
      </w:r>
    </w:p>
    <w:p>
      <w:pPr>
        <w:spacing w:line="360" w:lineRule="auto"/>
        <w:ind w:firstLine="560" w:firstLineChars="200"/>
        <w:rPr>
          <w:sz w:val="28"/>
          <w:szCs w:val="28"/>
        </w:rPr>
      </w:pPr>
      <w:r>
        <w:rPr>
          <w:rFonts w:hint="eastAsia"/>
          <w:sz w:val="28"/>
          <w:szCs w:val="28"/>
        </w:rPr>
        <w:t>汤阴县现有永久基本农田面积5</w:t>
      </w:r>
      <w:r>
        <w:rPr>
          <w:sz w:val="28"/>
          <w:szCs w:val="28"/>
        </w:rPr>
        <w:t>3.39</w:t>
      </w:r>
      <w:r>
        <w:rPr>
          <w:rFonts w:hint="eastAsia"/>
          <w:sz w:val="28"/>
          <w:szCs w:val="28"/>
        </w:rPr>
        <w:t>万亩，一般农田面积1</w:t>
      </w:r>
      <w:r>
        <w:rPr>
          <w:sz w:val="28"/>
          <w:szCs w:val="28"/>
        </w:rPr>
        <w:t>0.89</w:t>
      </w:r>
      <w:r>
        <w:rPr>
          <w:rFonts w:hint="eastAsia"/>
          <w:sz w:val="28"/>
          <w:szCs w:val="28"/>
        </w:rPr>
        <w:t>万亩，耕地质量等级分布为2～7等，其中2等质量面积0</w:t>
      </w:r>
      <w:r>
        <w:rPr>
          <w:sz w:val="28"/>
          <w:szCs w:val="28"/>
        </w:rPr>
        <w:t>.8</w:t>
      </w:r>
      <w:r>
        <w:rPr>
          <w:rFonts w:hint="eastAsia"/>
          <w:sz w:val="28"/>
          <w:szCs w:val="28"/>
        </w:rPr>
        <w:t>万亩，</w:t>
      </w:r>
      <w:r>
        <w:rPr>
          <w:sz w:val="28"/>
          <w:szCs w:val="28"/>
        </w:rPr>
        <w:t>3</w:t>
      </w:r>
      <w:r>
        <w:rPr>
          <w:rFonts w:hint="eastAsia"/>
          <w:sz w:val="28"/>
          <w:szCs w:val="28"/>
        </w:rPr>
        <w:t>等质量面积</w:t>
      </w:r>
      <w:r>
        <w:rPr>
          <w:sz w:val="28"/>
          <w:szCs w:val="28"/>
        </w:rPr>
        <w:t>14.05</w:t>
      </w:r>
      <w:r>
        <w:rPr>
          <w:rFonts w:hint="eastAsia"/>
          <w:sz w:val="28"/>
          <w:szCs w:val="28"/>
        </w:rPr>
        <w:t>万亩，</w:t>
      </w:r>
      <w:r>
        <w:rPr>
          <w:sz w:val="28"/>
          <w:szCs w:val="28"/>
        </w:rPr>
        <w:t>4</w:t>
      </w:r>
      <w:r>
        <w:rPr>
          <w:rFonts w:hint="eastAsia"/>
          <w:sz w:val="28"/>
          <w:szCs w:val="28"/>
        </w:rPr>
        <w:t>等质量面积</w:t>
      </w:r>
      <w:r>
        <w:rPr>
          <w:sz w:val="28"/>
          <w:szCs w:val="28"/>
        </w:rPr>
        <w:t>25.41</w:t>
      </w:r>
      <w:r>
        <w:rPr>
          <w:rFonts w:hint="eastAsia"/>
          <w:sz w:val="28"/>
          <w:szCs w:val="28"/>
        </w:rPr>
        <w:t>万亩，</w:t>
      </w:r>
      <w:r>
        <w:rPr>
          <w:sz w:val="28"/>
          <w:szCs w:val="28"/>
        </w:rPr>
        <w:t>5</w:t>
      </w:r>
      <w:r>
        <w:rPr>
          <w:rFonts w:hint="eastAsia"/>
          <w:sz w:val="28"/>
          <w:szCs w:val="28"/>
        </w:rPr>
        <w:t>等质量面积</w:t>
      </w:r>
      <w:r>
        <w:rPr>
          <w:sz w:val="28"/>
          <w:szCs w:val="28"/>
        </w:rPr>
        <w:t>16.09</w:t>
      </w:r>
      <w:r>
        <w:rPr>
          <w:rFonts w:hint="eastAsia"/>
          <w:sz w:val="28"/>
          <w:szCs w:val="28"/>
        </w:rPr>
        <w:t>万亩，</w:t>
      </w:r>
      <w:r>
        <w:rPr>
          <w:sz w:val="28"/>
          <w:szCs w:val="28"/>
        </w:rPr>
        <w:t>7</w:t>
      </w:r>
      <w:r>
        <w:rPr>
          <w:rFonts w:hint="eastAsia"/>
          <w:sz w:val="28"/>
          <w:szCs w:val="28"/>
        </w:rPr>
        <w:t>等质量面积0</w:t>
      </w:r>
      <w:r>
        <w:rPr>
          <w:sz w:val="28"/>
          <w:szCs w:val="28"/>
        </w:rPr>
        <w:t>.16</w:t>
      </w:r>
      <w:r>
        <w:rPr>
          <w:rFonts w:hint="eastAsia"/>
          <w:sz w:val="28"/>
          <w:szCs w:val="28"/>
        </w:rPr>
        <w:t>万亩，详见下表：</w:t>
      </w:r>
    </w:p>
    <w:p>
      <w:pPr>
        <w:snapToGrid w:val="0"/>
        <w:ind w:firstLine="560" w:firstLineChars="200"/>
        <w:jc w:val="center"/>
        <w:rPr>
          <w:rFonts w:ascii="宋体" w:hAnsi="宋体" w:cs="宋体"/>
          <w:sz w:val="28"/>
          <w:szCs w:val="28"/>
        </w:rPr>
      </w:pPr>
      <w:r>
        <w:rPr>
          <w:rFonts w:hint="eastAsia"/>
          <w:sz w:val="28"/>
          <w:szCs w:val="28"/>
        </w:rPr>
        <w:t>表5</w:t>
      </w:r>
      <w:r>
        <w:rPr>
          <w:sz w:val="28"/>
          <w:szCs w:val="28"/>
        </w:rPr>
        <w:t>.4</w:t>
      </w:r>
      <w:r>
        <w:rPr>
          <w:rFonts w:hint="eastAsia"/>
          <w:sz w:val="28"/>
          <w:szCs w:val="28"/>
        </w:rPr>
        <w:t>-</w:t>
      </w:r>
      <w:r>
        <w:rPr>
          <w:sz w:val="28"/>
          <w:szCs w:val="28"/>
        </w:rPr>
        <w:t xml:space="preserve">1 </w:t>
      </w:r>
      <w:r>
        <w:rPr>
          <w:rFonts w:hint="eastAsia"/>
          <w:sz w:val="28"/>
          <w:szCs w:val="28"/>
        </w:rPr>
        <w:t>汤阴县耕地资源条件表</w:t>
      </w:r>
    </w:p>
    <w:tbl>
      <w:tblPr>
        <w:tblStyle w:val="26"/>
        <w:tblW w:w="5000" w:type="pct"/>
        <w:tblInd w:w="0" w:type="dxa"/>
        <w:tblLayout w:type="autofit"/>
        <w:tblCellMar>
          <w:top w:w="0" w:type="dxa"/>
          <w:left w:w="108" w:type="dxa"/>
          <w:bottom w:w="0" w:type="dxa"/>
          <w:right w:w="108" w:type="dxa"/>
        </w:tblCellMar>
      </w:tblPr>
      <w:tblGrid>
        <w:gridCol w:w="874"/>
        <w:gridCol w:w="1041"/>
        <w:gridCol w:w="1043"/>
        <w:gridCol w:w="786"/>
        <w:gridCol w:w="754"/>
        <w:gridCol w:w="786"/>
        <w:gridCol w:w="786"/>
        <w:gridCol w:w="787"/>
        <w:gridCol w:w="657"/>
        <w:gridCol w:w="657"/>
        <w:gridCol w:w="1003"/>
      </w:tblGrid>
      <w:tr>
        <w:tblPrEx>
          <w:tblCellMar>
            <w:top w:w="0" w:type="dxa"/>
            <w:left w:w="108" w:type="dxa"/>
            <w:bottom w:w="0" w:type="dxa"/>
            <w:right w:w="108" w:type="dxa"/>
          </w:tblCellMar>
        </w:tblPrEx>
        <w:trPr>
          <w:trHeight w:val="239" w:hRule="atLeast"/>
        </w:trPr>
        <w:tc>
          <w:tcPr>
            <w:tcW w:w="4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1608"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耕地面积（万亩）</w:t>
            </w:r>
          </w:p>
        </w:tc>
        <w:tc>
          <w:tcPr>
            <w:tcW w:w="2898" w:type="pct"/>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耕地质量等级（万亩）</w:t>
            </w:r>
          </w:p>
        </w:tc>
      </w:tr>
      <w:tr>
        <w:tblPrEx>
          <w:tblCellMar>
            <w:top w:w="0" w:type="dxa"/>
            <w:left w:w="108" w:type="dxa"/>
            <w:bottom w:w="0" w:type="dxa"/>
            <w:right w:w="108" w:type="dxa"/>
          </w:tblCellMar>
        </w:tblPrEx>
        <w:trPr>
          <w:trHeight w:val="239" w:hRule="atLeast"/>
        </w:trPr>
        <w:tc>
          <w:tcPr>
            <w:tcW w:w="49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永久基本农田</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一般农田</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2等</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3等</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4等</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5等</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6等</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7等</w:t>
            </w:r>
          </w:p>
        </w:tc>
        <w:tc>
          <w:tcPr>
            <w:tcW w:w="588" w:type="pct"/>
            <w:tcBorders>
              <w:top w:val="nil"/>
              <w:left w:val="nil"/>
              <w:bottom w:val="single" w:color="auto" w:sz="4" w:space="0"/>
              <w:right w:val="single" w:color="auto" w:sz="4" w:space="0"/>
            </w:tcBorders>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加权等级</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0.01</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0.63</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0.64</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0.01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3.258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2.86</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1.07</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3.93</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2.39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0.50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3.172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6.45</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0.52</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6.97</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2.26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1.87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0.00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3.453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8.71</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0.44</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9.15</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1.95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4.14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2.25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0.80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4.208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7.84</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0.68</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8.52</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6.73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1.71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4.193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9.06</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0.56</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9.62</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5.55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1.30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0.40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4.440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6.23</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0.95</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7.18</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3.27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3.56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5.451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1.81</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1.65</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3.46</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0.34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1.41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4.53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1.37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0.56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4.050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6.82</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3.01</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9.83</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0.43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3.41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1.13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6.04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0.97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4.309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3.6</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1.38</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4.98</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2.13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0.15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1.48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588" w:type="pct"/>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4.234 </w:t>
            </w:r>
          </w:p>
        </w:tc>
      </w:tr>
      <w:tr>
        <w:tblPrEx>
          <w:tblCellMar>
            <w:top w:w="0" w:type="dxa"/>
            <w:left w:w="108" w:type="dxa"/>
            <w:bottom w:w="0" w:type="dxa"/>
            <w:right w:w="108" w:type="dxa"/>
          </w:tblCellMar>
        </w:tblPrEx>
        <w:trPr>
          <w:trHeight w:val="239" w:hRule="atLeast"/>
        </w:trPr>
        <w:tc>
          <w:tcPr>
            <w:tcW w:w="4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5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53.39 </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10.89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64.28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0.80 </w:t>
            </w:r>
          </w:p>
        </w:tc>
        <w:tc>
          <w:tcPr>
            <w:tcW w:w="4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14.05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25.41 </w:t>
            </w:r>
          </w:p>
        </w:tc>
        <w:tc>
          <w:tcPr>
            <w:tcW w:w="3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16.09 </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7.78 </w:t>
            </w:r>
          </w:p>
        </w:tc>
        <w:tc>
          <w:tcPr>
            <w:tcW w:w="31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588" w:type="pct"/>
            <w:tcBorders>
              <w:top w:val="nil"/>
              <w:left w:val="nil"/>
              <w:bottom w:val="single" w:color="auto" w:sz="4" w:space="0"/>
              <w:right w:val="single" w:color="auto" w:sz="4" w:space="0"/>
            </w:tcBorders>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r>
              <w:rPr>
                <w:rFonts w:ascii="等线" w:hAnsi="等线" w:eastAsia="等线" w:cs="宋体"/>
                <w:color w:val="000000"/>
                <w:kern w:val="0"/>
                <w:sz w:val="22"/>
                <w:szCs w:val="22"/>
              </w:rPr>
              <w:t>.256</w:t>
            </w:r>
          </w:p>
        </w:tc>
      </w:tr>
    </w:tbl>
    <w:p>
      <w:pPr>
        <w:pStyle w:val="3"/>
        <w:spacing w:before="0" w:after="0" w:line="360" w:lineRule="auto"/>
        <w:rPr>
          <w:rFonts w:asciiTheme="minorEastAsia" w:hAnsiTheme="minorEastAsia" w:eastAsiaTheme="minorEastAsia"/>
        </w:rPr>
      </w:pPr>
      <w:bookmarkStart w:id="50" w:name="_Toc144903170"/>
      <w:r>
        <w:rPr>
          <w:rFonts w:asciiTheme="minorEastAsia" w:hAnsiTheme="minorEastAsia" w:eastAsiaTheme="minorEastAsia"/>
        </w:rPr>
        <w:t>5.5</w:t>
      </w:r>
      <w:r>
        <w:rPr>
          <w:rFonts w:hint="eastAsia" w:asciiTheme="minorEastAsia" w:hAnsiTheme="minorEastAsia" w:eastAsiaTheme="minorEastAsia"/>
        </w:rPr>
        <w:t>水资源条件</w:t>
      </w:r>
      <w:bookmarkEnd w:id="50"/>
    </w:p>
    <w:p>
      <w:pPr>
        <w:spacing w:line="360" w:lineRule="auto"/>
        <w:ind w:firstLine="560" w:firstLineChars="200"/>
        <w:rPr>
          <w:rFonts w:ascii="宋体" w:hAnsi="宋体" w:cs="宋体"/>
          <w:sz w:val="28"/>
          <w:szCs w:val="28"/>
        </w:rPr>
      </w:pPr>
      <w:r>
        <w:rPr>
          <w:rFonts w:hint="eastAsia" w:ascii="宋体" w:hAnsi="宋体" w:cs="宋体"/>
          <w:sz w:val="28"/>
          <w:szCs w:val="28"/>
        </w:rPr>
        <w:t>根据汤阴县流域划分情况，按照流域与行政区划相结合的原则计算分区，汤阴全县1</w:t>
      </w:r>
      <w:r>
        <w:rPr>
          <w:rFonts w:ascii="宋体" w:hAnsi="宋体" w:cs="宋体"/>
          <w:sz w:val="28"/>
          <w:szCs w:val="28"/>
        </w:rPr>
        <w:t>0</w:t>
      </w:r>
      <w:r>
        <w:rPr>
          <w:rFonts w:hint="eastAsia" w:ascii="宋体" w:hAnsi="宋体" w:cs="宋体"/>
          <w:sz w:val="28"/>
          <w:szCs w:val="28"/>
        </w:rPr>
        <w:t>个行政区（9镇1乡）共划分为2个水资源三级区：漳卫河山丘区、漳卫河平原区，对应2个水资源四级分区，见下表：</w:t>
      </w:r>
    </w:p>
    <w:p>
      <w:pPr>
        <w:snapToGrid w:val="0"/>
        <w:ind w:firstLine="560" w:firstLineChars="200"/>
        <w:jc w:val="center"/>
        <w:rPr>
          <w:sz w:val="28"/>
          <w:szCs w:val="28"/>
        </w:rPr>
      </w:pPr>
      <w:r>
        <w:rPr>
          <w:rFonts w:hint="eastAsia"/>
          <w:sz w:val="28"/>
          <w:szCs w:val="28"/>
        </w:rPr>
        <w:t>表5</w:t>
      </w:r>
      <w:r>
        <w:rPr>
          <w:sz w:val="28"/>
          <w:szCs w:val="28"/>
        </w:rPr>
        <w:t>.5</w:t>
      </w:r>
      <w:r>
        <w:rPr>
          <w:rFonts w:hint="eastAsia"/>
          <w:sz w:val="28"/>
          <w:szCs w:val="28"/>
        </w:rPr>
        <w:t>-</w:t>
      </w:r>
      <w:r>
        <w:rPr>
          <w:sz w:val="28"/>
          <w:szCs w:val="28"/>
        </w:rPr>
        <w:t xml:space="preserve">1 </w:t>
      </w:r>
      <w:r>
        <w:rPr>
          <w:rFonts w:hint="eastAsia"/>
          <w:sz w:val="28"/>
          <w:szCs w:val="28"/>
        </w:rPr>
        <w:t>汤阴县水资源分区（一）</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3057"/>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流域三级分区</w:t>
            </w:r>
          </w:p>
        </w:tc>
        <w:tc>
          <w:tcPr>
            <w:tcW w:w="1666"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流域四级分区</w:t>
            </w:r>
          </w:p>
        </w:tc>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分区面积（km</w:t>
            </w:r>
            <w:r>
              <w:rPr>
                <w:rFonts w:hint="eastAsia" w:ascii="等线" w:hAnsi="等线" w:eastAsia="等线" w:cs="宋体"/>
                <w:color w:val="000000"/>
                <w:kern w:val="0"/>
                <w:sz w:val="22"/>
                <w:szCs w:val="22"/>
                <w:vertAlign w:val="superscript"/>
              </w:rPr>
              <w:t>2</w:t>
            </w: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漳卫河山丘区</w:t>
            </w:r>
          </w:p>
        </w:tc>
        <w:tc>
          <w:tcPr>
            <w:tcW w:w="1666"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漳卫河山丘区</w:t>
            </w:r>
          </w:p>
        </w:tc>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r>
              <w:rPr>
                <w:rFonts w:ascii="等线" w:hAnsi="等线" w:eastAsia="等线" w:cs="宋体"/>
                <w:color w:val="000000"/>
                <w:kern w:val="0"/>
                <w:sz w:val="22"/>
                <w:szCs w:val="22"/>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漳卫河平原区</w:t>
            </w:r>
          </w:p>
        </w:tc>
        <w:tc>
          <w:tcPr>
            <w:tcW w:w="1666"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漳卫河平原区</w:t>
            </w:r>
          </w:p>
        </w:tc>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r>
              <w:rPr>
                <w:rFonts w:ascii="等线" w:hAnsi="等线" w:eastAsia="等线" w:cs="宋体"/>
                <w:color w:val="000000"/>
                <w:kern w:val="0"/>
                <w:sz w:val="22"/>
                <w:szCs w:val="22"/>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1666" w:type="pct"/>
            <w:vAlign w:val="center"/>
          </w:tcPr>
          <w:p>
            <w:pPr>
              <w:widowControl/>
              <w:jc w:val="center"/>
              <w:rPr>
                <w:rFonts w:ascii="等线" w:hAnsi="等线" w:eastAsia="等线" w:cs="宋体"/>
                <w:color w:val="000000"/>
                <w:kern w:val="0"/>
                <w:sz w:val="22"/>
                <w:szCs w:val="22"/>
              </w:rPr>
            </w:pPr>
          </w:p>
        </w:tc>
        <w:tc>
          <w:tcPr>
            <w:tcW w:w="1667"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r>
              <w:rPr>
                <w:rFonts w:ascii="等线" w:hAnsi="等线" w:eastAsia="等线" w:cs="宋体"/>
                <w:color w:val="000000"/>
                <w:kern w:val="0"/>
                <w:sz w:val="22"/>
                <w:szCs w:val="22"/>
              </w:rPr>
              <w:t>36.6</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本次将上述计算分区根据地形地貌特点予以细化，分为：①西部丘陵区、②南部丘陵区、③中部平原区。各区划分情况见下表：</w:t>
      </w:r>
    </w:p>
    <w:p>
      <w:pPr>
        <w:snapToGrid w:val="0"/>
        <w:ind w:firstLine="560" w:firstLineChars="200"/>
        <w:jc w:val="center"/>
        <w:rPr>
          <w:sz w:val="28"/>
          <w:szCs w:val="28"/>
        </w:rPr>
      </w:pPr>
      <w:r>
        <w:rPr>
          <w:rFonts w:hint="eastAsia"/>
          <w:sz w:val="28"/>
          <w:szCs w:val="28"/>
        </w:rPr>
        <w:t>表5</w:t>
      </w:r>
      <w:r>
        <w:rPr>
          <w:sz w:val="28"/>
          <w:szCs w:val="28"/>
        </w:rPr>
        <w:t>.5</w:t>
      </w:r>
      <w:r>
        <w:rPr>
          <w:rFonts w:hint="eastAsia"/>
          <w:sz w:val="28"/>
          <w:szCs w:val="28"/>
        </w:rPr>
        <w:t>-</w:t>
      </w:r>
      <w:r>
        <w:rPr>
          <w:sz w:val="28"/>
          <w:szCs w:val="28"/>
        </w:rPr>
        <w:t xml:space="preserve">1 </w:t>
      </w:r>
      <w:r>
        <w:rPr>
          <w:rFonts w:hint="eastAsia"/>
          <w:sz w:val="28"/>
          <w:szCs w:val="28"/>
        </w:rPr>
        <w:t>汤阴县水资源分区（二）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991"/>
        <w:gridCol w:w="496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地形</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面积（万亩）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西部丘陵区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韩庄镇、宜沟镇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南部丘陵区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菜园镇、伏道镇、瓦岗乡</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中部平原区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城关镇、韩庄镇、白营镇、古贤镇、菜园镇、任固镇、五陵镇、伏道镇、宜沟镇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60.</w:t>
            </w:r>
            <w:r>
              <w:rPr>
                <w:rFonts w:ascii="等线" w:hAnsi="等线" w:eastAsia="等线" w:cs="宋体"/>
                <w:color w:val="000000"/>
                <w:kern w:val="0"/>
                <w:sz w:val="22"/>
                <w:szCs w:val="22"/>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540" w:type="pct"/>
            <w:shd w:val="clear" w:color="auto" w:fill="auto"/>
            <w:vAlign w:val="center"/>
          </w:tcPr>
          <w:p>
            <w:pPr>
              <w:widowControl/>
              <w:jc w:val="center"/>
              <w:rPr>
                <w:rFonts w:ascii="等线" w:hAnsi="等线" w:eastAsia="等线" w:cs="宋体"/>
                <w:color w:val="000000"/>
                <w:kern w:val="0"/>
                <w:sz w:val="22"/>
                <w:szCs w:val="22"/>
              </w:rPr>
            </w:pPr>
          </w:p>
        </w:tc>
        <w:tc>
          <w:tcPr>
            <w:tcW w:w="2705" w:type="pct"/>
            <w:shd w:val="clear" w:color="auto" w:fill="auto"/>
            <w:vAlign w:val="center"/>
          </w:tcPr>
          <w:p>
            <w:pPr>
              <w:widowControl/>
              <w:jc w:val="center"/>
              <w:rPr>
                <w:rFonts w:ascii="等线" w:hAnsi="等线" w:eastAsia="等线" w:cs="宋体"/>
                <w:color w:val="000000"/>
                <w:kern w:val="0"/>
                <w:sz w:val="22"/>
                <w:szCs w:val="22"/>
              </w:rPr>
            </w:pP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r>
              <w:rPr>
                <w:rFonts w:ascii="等线" w:hAnsi="等线" w:eastAsia="等线" w:cs="宋体"/>
                <w:color w:val="000000"/>
                <w:kern w:val="0"/>
                <w:sz w:val="22"/>
                <w:szCs w:val="22"/>
              </w:rPr>
              <w:t>5.49</w:t>
            </w:r>
          </w:p>
        </w:tc>
      </w:tr>
    </w:tbl>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5</w:t>
      </w:r>
      <w:r>
        <w:rPr>
          <w:rFonts w:asciiTheme="minorEastAsia" w:hAnsiTheme="minorEastAsia" w:eastAsiaTheme="minorEastAsia"/>
          <w:sz w:val="28"/>
          <w:szCs w:val="28"/>
        </w:rPr>
        <w:t>.5.1</w:t>
      </w:r>
      <w:r>
        <w:rPr>
          <w:rFonts w:hint="eastAsia" w:asciiTheme="minorEastAsia" w:hAnsiTheme="minorEastAsia" w:eastAsiaTheme="minorEastAsia"/>
          <w:sz w:val="28"/>
          <w:szCs w:val="28"/>
        </w:rPr>
        <w:t>现状年水资源承载能力分析</w:t>
      </w:r>
    </w:p>
    <w:p>
      <w:pPr>
        <w:spacing w:line="360" w:lineRule="auto"/>
        <w:ind w:firstLine="560" w:firstLineChars="200"/>
        <w:rPr>
          <w:rFonts w:ascii="宋体" w:hAnsi="宋体" w:cs="宋体"/>
          <w:sz w:val="28"/>
          <w:szCs w:val="28"/>
        </w:rPr>
      </w:pPr>
      <w:r>
        <w:rPr>
          <w:rFonts w:hint="eastAsia" w:ascii="宋体" w:hAnsi="宋体" w:cs="宋体"/>
          <w:sz w:val="28"/>
          <w:szCs w:val="28"/>
        </w:rPr>
        <w:t>（1）地表水资源量</w:t>
      </w:r>
    </w:p>
    <w:p>
      <w:pPr>
        <w:spacing w:line="360" w:lineRule="auto"/>
        <w:ind w:firstLine="560" w:firstLineChars="200"/>
        <w:rPr>
          <w:rFonts w:ascii="宋体" w:hAnsi="宋体" w:cs="宋体"/>
          <w:sz w:val="28"/>
          <w:szCs w:val="28"/>
        </w:rPr>
      </w:pPr>
      <w:r>
        <w:rPr>
          <w:rFonts w:hint="eastAsia" w:ascii="宋体" w:hAnsi="宋体" w:cs="宋体"/>
          <w:sz w:val="28"/>
          <w:szCs w:val="28"/>
        </w:rPr>
        <w:t>地表水资源量包括年径流量和调水量。年径流量计算公式如下：</w:t>
      </w:r>
    </w:p>
    <w:p>
      <w:pPr>
        <w:ind w:firstLine="560"/>
        <w:jc w:val="center"/>
        <w:rPr>
          <w:i/>
          <w:sz w:val="28"/>
          <w:szCs w:val="28"/>
        </w:rPr>
      </w:pPr>
      <w:r>
        <w:rPr>
          <w:i/>
          <w:sz w:val="28"/>
          <w:szCs w:val="28"/>
        </w:rPr>
        <w:t>W =</w:t>
      </w:r>
      <w:r>
        <w:rPr>
          <w:sz w:val="28"/>
          <w:szCs w:val="28"/>
        </w:rPr>
        <w:t xml:space="preserve"> 0.1×</w:t>
      </w:r>
      <w:r>
        <w:rPr>
          <w:i/>
          <w:sz w:val="28"/>
          <w:szCs w:val="28"/>
        </w:rPr>
        <w:t xml:space="preserve"> P </w:t>
      </w:r>
      <w:r>
        <w:rPr>
          <w:sz w:val="28"/>
          <w:szCs w:val="28"/>
        </w:rPr>
        <w:t>×</w:t>
      </w:r>
      <w:r>
        <w:rPr>
          <w:i/>
          <w:sz w:val="28"/>
          <w:szCs w:val="28"/>
        </w:rPr>
        <w:t xml:space="preserve"> F</w:t>
      </w:r>
    </w:p>
    <w:p>
      <w:pPr>
        <w:spacing w:line="360" w:lineRule="auto"/>
        <w:ind w:firstLine="560" w:firstLineChars="200"/>
        <w:rPr>
          <w:rFonts w:ascii="宋体" w:hAnsi="宋体" w:cs="宋体"/>
          <w:sz w:val="28"/>
          <w:szCs w:val="28"/>
        </w:rPr>
      </w:pPr>
      <w:r>
        <w:rPr>
          <w:rFonts w:hint="eastAsia" w:ascii="宋体" w:hAnsi="宋体" w:cs="宋体"/>
          <w:sz w:val="28"/>
          <w:szCs w:val="28"/>
        </w:rPr>
        <w:t>式中：</w:t>
      </w:r>
    </w:p>
    <w:p>
      <w:pPr>
        <w:spacing w:line="360" w:lineRule="auto"/>
        <w:ind w:firstLine="1120" w:firstLineChars="400"/>
        <w:rPr>
          <w:rFonts w:ascii="宋体" w:hAnsi="宋体" w:cs="宋体"/>
          <w:sz w:val="28"/>
          <w:szCs w:val="28"/>
        </w:rPr>
      </w:pPr>
      <w:r>
        <w:rPr>
          <w:rFonts w:ascii="宋体" w:hAnsi="宋体" w:cs="宋体"/>
          <w:sz w:val="28"/>
          <w:szCs w:val="28"/>
        </w:rPr>
        <w:t>W</w:t>
      </w:r>
      <w:r>
        <w:rPr>
          <w:rFonts w:hint="eastAsia" w:ascii="宋体" w:hAnsi="宋体" w:cs="宋体"/>
          <w:sz w:val="28"/>
          <w:szCs w:val="28"/>
        </w:rPr>
        <w:t>—多年平均径流量，万</w:t>
      </w:r>
      <w:r>
        <w:rPr>
          <w:rFonts w:ascii="宋体" w:hAnsi="宋体" w:cs="宋体"/>
          <w:sz w:val="28"/>
          <w:szCs w:val="28"/>
        </w:rPr>
        <w:t>m</w:t>
      </w:r>
      <w:r>
        <w:rPr>
          <w:rFonts w:ascii="宋体" w:hAnsi="宋体" w:cs="宋体"/>
          <w:sz w:val="28"/>
          <w:szCs w:val="28"/>
          <w:vertAlign w:val="superscript"/>
        </w:rPr>
        <w:t>3</w:t>
      </w:r>
      <w:r>
        <w:rPr>
          <w:rFonts w:hint="eastAsia" w:ascii="宋体" w:hAnsi="宋体" w:cs="宋体"/>
          <w:sz w:val="28"/>
          <w:szCs w:val="28"/>
        </w:rPr>
        <w:t>；</w:t>
      </w:r>
    </w:p>
    <w:p>
      <w:pPr>
        <w:spacing w:line="360" w:lineRule="auto"/>
        <w:ind w:firstLine="1120" w:firstLineChars="400"/>
        <w:rPr>
          <w:rFonts w:ascii="宋体" w:hAnsi="宋体" w:cs="宋体"/>
          <w:sz w:val="28"/>
          <w:szCs w:val="28"/>
        </w:rPr>
      </w:pPr>
      <w:r>
        <w:rPr>
          <w:rFonts w:ascii="宋体" w:hAnsi="宋体" w:cs="宋体"/>
          <w:sz w:val="28"/>
          <w:szCs w:val="28"/>
        </w:rPr>
        <w:t>P</w:t>
      </w:r>
      <w:r>
        <w:rPr>
          <w:rFonts w:hint="eastAsia" w:ascii="宋体" w:hAnsi="宋体" w:cs="宋体"/>
          <w:sz w:val="28"/>
          <w:szCs w:val="28"/>
        </w:rPr>
        <w:t>—多年平均径流深，mm，根据《河南省水利工程水文计算常用图》（以下称“8</w:t>
      </w:r>
      <w:r>
        <w:rPr>
          <w:rFonts w:ascii="宋体" w:hAnsi="宋体" w:cs="宋体"/>
          <w:sz w:val="28"/>
          <w:szCs w:val="28"/>
        </w:rPr>
        <w:t>4</w:t>
      </w:r>
      <w:r>
        <w:rPr>
          <w:rFonts w:hint="eastAsia" w:ascii="宋体" w:hAnsi="宋体" w:cs="宋体"/>
          <w:sz w:val="28"/>
          <w:szCs w:val="28"/>
        </w:rPr>
        <w:t>图集”）中的 “河南省平均年径流深图”，查取分区重心处的多年平均径流深，西部丘陵区取</w:t>
      </w:r>
      <w:r>
        <w:rPr>
          <w:rFonts w:ascii="宋体" w:hAnsi="宋体" w:cs="宋体"/>
          <w:sz w:val="28"/>
          <w:szCs w:val="28"/>
        </w:rPr>
        <w:t>125</w:t>
      </w:r>
      <w:r>
        <w:rPr>
          <w:rFonts w:hint="eastAsia" w:ascii="宋体" w:hAnsi="宋体" w:cs="宋体"/>
          <w:sz w:val="28"/>
          <w:szCs w:val="28"/>
        </w:rPr>
        <w:t>mm，南部丘陵区和中部平原区取</w:t>
      </w:r>
      <w:r>
        <w:rPr>
          <w:rFonts w:ascii="宋体" w:hAnsi="宋体" w:cs="宋体"/>
          <w:sz w:val="28"/>
          <w:szCs w:val="28"/>
        </w:rPr>
        <w:t>88</w:t>
      </w:r>
      <w:r>
        <w:rPr>
          <w:rFonts w:hint="eastAsia" w:ascii="宋体" w:hAnsi="宋体" w:cs="宋体"/>
          <w:sz w:val="28"/>
          <w:szCs w:val="28"/>
        </w:rPr>
        <w:t>mm；不同保证率下的年径流深可根据《8</w:t>
      </w:r>
      <w:r>
        <w:rPr>
          <w:rFonts w:ascii="宋体" w:hAnsi="宋体" w:cs="宋体"/>
          <w:sz w:val="28"/>
          <w:szCs w:val="28"/>
        </w:rPr>
        <w:t>4</w:t>
      </w:r>
      <w:r>
        <w:rPr>
          <w:rFonts w:hint="eastAsia" w:ascii="宋体" w:hAnsi="宋体" w:cs="宋体"/>
          <w:sz w:val="28"/>
          <w:szCs w:val="28"/>
        </w:rPr>
        <w:t>图集》中“河南省年径流深离差系数图”，查取分区重心处的年径流深离差系数，结合皮尔逊曲线查取不同保证率下的模比系数Kp值，与多年平均径流深相乘即得到不同保证率下的年径流深。</w:t>
      </w:r>
    </w:p>
    <w:p>
      <w:pPr>
        <w:spacing w:line="360" w:lineRule="auto"/>
        <w:ind w:firstLine="1120" w:firstLineChars="400"/>
        <w:rPr>
          <w:rFonts w:ascii="宋体" w:hAnsi="宋体" w:cs="宋体"/>
          <w:sz w:val="28"/>
          <w:szCs w:val="28"/>
        </w:rPr>
      </w:pPr>
      <w:r>
        <w:rPr>
          <w:rFonts w:ascii="宋体" w:hAnsi="宋体" w:cs="宋体"/>
          <w:sz w:val="28"/>
          <w:szCs w:val="28"/>
        </w:rPr>
        <w:t>F</w:t>
      </w:r>
      <w:r>
        <w:rPr>
          <w:rFonts w:hint="eastAsia" w:ascii="宋体" w:hAnsi="宋体" w:cs="宋体"/>
          <w:sz w:val="28"/>
          <w:szCs w:val="28"/>
        </w:rPr>
        <w:t>—产流面积，</w:t>
      </w:r>
      <w:r>
        <w:rPr>
          <w:rFonts w:ascii="宋体" w:hAnsi="宋体" w:cs="宋体"/>
          <w:sz w:val="28"/>
          <w:szCs w:val="28"/>
        </w:rPr>
        <w:t>km</w:t>
      </w:r>
      <w:r>
        <w:rPr>
          <w:rFonts w:ascii="宋体" w:hAnsi="宋体" w:cs="宋体"/>
          <w:sz w:val="28"/>
          <w:szCs w:val="28"/>
          <w:vertAlign w:val="superscript"/>
        </w:rPr>
        <w:t>2</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根据水资源公报数据，汤阴县2</w:t>
      </w:r>
      <w:r>
        <w:rPr>
          <w:rFonts w:ascii="宋体" w:hAnsi="宋体" w:cs="宋体"/>
          <w:sz w:val="28"/>
          <w:szCs w:val="28"/>
        </w:rPr>
        <w:t>018</w:t>
      </w:r>
      <w:r>
        <w:rPr>
          <w:rFonts w:hint="eastAsia" w:ascii="宋体" w:hAnsi="宋体" w:cs="宋体"/>
          <w:sz w:val="28"/>
          <w:szCs w:val="28"/>
        </w:rPr>
        <w:t>年调水量1</w:t>
      </w:r>
      <w:r>
        <w:rPr>
          <w:rFonts w:ascii="宋体" w:hAnsi="宋体" w:cs="宋体"/>
          <w:sz w:val="28"/>
          <w:szCs w:val="28"/>
        </w:rPr>
        <w:t>358</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，2</w:t>
      </w:r>
      <w:r>
        <w:rPr>
          <w:rFonts w:ascii="宋体" w:hAnsi="宋体" w:cs="宋体"/>
          <w:sz w:val="28"/>
          <w:szCs w:val="28"/>
        </w:rPr>
        <w:t>019</w:t>
      </w:r>
      <w:r>
        <w:rPr>
          <w:rFonts w:hint="eastAsia" w:ascii="宋体" w:hAnsi="宋体" w:cs="宋体"/>
          <w:sz w:val="28"/>
          <w:szCs w:val="28"/>
        </w:rPr>
        <w:t>年调水量7</w:t>
      </w:r>
      <w:r>
        <w:rPr>
          <w:rFonts w:ascii="宋体" w:hAnsi="宋体" w:cs="宋体"/>
          <w:sz w:val="28"/>
          <w:szCs w:val="28"/>
        </w:rPr>
        <w:t>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r>
        <w:rPr>
          <w:rFonts w:ascii="宋体" w:hAnsi="宋体" w:cs="宋体"/>
          <w:sz w:val="28"/>
          <w:szCs w:val="28"/>
        </w:rPr>
        <w:t>2020</w:t>
      </w:r>
      <w:r>
        <w:rPr>
          <w:rFonts w:hint="eastAsia" w:ascii="宋体" w:hAnsi="宋体" w:cs="宋体"/>
          <w:sz w:val="28"/>
          <w:szCs w:val="28"/>
        </w:rPr>
        <w:t>年调水量</w:t>
      </w:r>
      <w:r>
        <w:rPr>
          <w:rFonts w:ascii="宋体" w:hAnsi="宋体" w:cs="宋体"/>
          <w:sz w:val="28"/>
          <w:szCs w:val="28"/>
        </w:rPr>
        <w:t>2761</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，平均调水量1</w:t>
      </w:r>
      <w:r>
        <w:rPr>
          <w:rFonts w:ascii="宋体" w:hAnsi="宋体" w:cs="宋体"/>
          <w:sz w:val="28"/>
          <w:szCs w:val="28"/>
        </w:rPr>
        <w:t>397.67</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。计算结果见下表：</w:t>
      </w:r>
    </w:p>
    <w:p>
      <w:pPr>
        <w:spacing w:line="360" w:lineRule="auto"/>
        <w:ind w:firstLine="560" w:firstLineChars="200"/>
        <w:rPr>
          <w:rFonts w:ascii="宋体" w:hAnsi="宋体" w:cs="宋体"/>
          <w:sz w:val="28"/>
          <w:szCs w:val="28"/>
        </w:rPr>
        <w:sectPr>
          <w:pgSz w:w="11906" w:h="16838"/>
          <w:pgMar w:top="1474" w:right="1474" w:bottom="1474" w:left="1474" w:header="851" w:footer="851" w:gutter="0"/>
          <w:cols w:space="720" w:num="1"/>
          <w:docGrid w:linePitch="326" w:charSpace="0"/>
        </w:sectPr>
      </w:pPr>
    </w:p>
    <w:p>
      <w:pPr>
        <w:snapToGrid w:val="0"/>
        <w:ind w:firstLine="560" w:firstLineChars="200"/>
        <w:jc w:val="center"/>
        <w:rPr>
          <w:sz w:val="28"/>
          <w:szCs w:val="28"/>
        </w:rPr>
      </w:pPr>
      <w:r>
        <w:rPr>
          <w:rFonts w:hint="eastAsia"/>
          <w:sz w:val="28"/>
          <w:szCs w:val="28"/>
        </w:rPr>
        <w:t>表5</w:t>
      </w:r>
      <w:r>
        <w:rPr>
          <w:sz w:val="28"/>
          <w:szCs w:val="28"/>
        </w:rPr>
        <w:t>.5</w:t>
      </w:r>
      <w:r>
        <w:rPr>
          <w:rFonts w:hint="eastAsia"/>
          <w:sz w:val="28"/>
          <w:szCs w:val="28"/>
        </w:rPr>
        <w:t>-</w:t>
      </w:r>
      <w:r>
        <w:rPr>
          <w:sz w:val="28"/>
          <w:szCs w:val="28"/>
        </w:rPr>
        <w:t xml:space="preserve">2 </w:t>
      </w:r>
      <w:r>
        <w:rPr>
          <w:rFonts w:hint="eastAsia"/>
          <w:sz w:val="28"/>
          <w:szCs w:val="28"/>
        </w:rPr>
        <w:t>不同保证率下地表水资源量计算表</w:t>
      </w:r>
    </w:p>
    <w:tbl>
      <w:tblPr>
        <w:tblStyle w:val="26"/>
        <w:tblW w:w="5000" w:type="pct"/>
        <w:jc w:val="center"/>
        <w:tblLayout w:type="autofit"/>
        <w:tblCellMar>
          <w:top w:w="0" w:type="dxa"/>
          <w:left w:w="108" w:type="dxa"/>
          <w:bottom w:w="0" w:type="dxa"/>
          <w:right w:w="108" w:type="dxa"/>
        </w:tblCellMar>
      </w:tblPr>
      <w:tblGrid>
        <w:gridCol w:w="1276"/>
        <w:gridCol w:w="576"/>
        <w:gridCol w:w="712"/>
        <w:gridCol w:w="914"/>
        <w:gridCol w:w="682"/>
        <w:gridCol w:w="682"/>
        <w:gridCol w:w="682"/>
        <w:gridCol w:w="788"/>
        <w:gridCol w:w="788"/>
        <w:gridCol w:w="682"/>
        <w:gridCol w:w="911"/>
        <w:gridCol w:w="639"/>
        <w:gridCol w:w="836"/>
        <w:gridCol w:w="693"/>
        <w:gridCol w:w="664"/>
        <w:gridCol w:w="664"/>
        <w:gridCol w:w="639"/>
        <w:gridCol w:w="639"/>
        <w:gridCol w:w="639"/>
      </w:tblGrid>
      <w:tr>
        <w:tblPrEx>
          <w:tblCellMar>
            <w:top w:w="0" w:type="dxa"/>
            <w:left w:w="108" w:type="dxa"/>
            <w:bottom w:w="0" w:type="dxa"/>
            <w:right w:w="108" w:type="dxa"/>
          </w:tblCellMar>
        </w:tblPrEx>
        <w:trPr>
          <w:trHeight w:val="304" w:hRule="atLeast"/>
          <w:jc w:val="center"/>
        </w:trPr>
        <w:tc>
          <w:tcPr>
            <w:tcW w:w="46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分区</w:t>
            </w:r>
          </w:p>
        </w:tc>
        <w:tc>
          <w:tcPr>
            <w:tcW w:w="200"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Cv</w:t>
            </w:r>
          </w:p>
        </w:tc>
        <w:tc>
          <w:tcPr>
            <w:tcW w:w="24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Cs/Cv</w:t>
            </w:r>
          </w:p>
        </w:tc>
        <w:tc>
          <w:tcPr>
            <w:tcW w:w="326"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年均径流深（mm）</w:t>
            </w:r>
          </w:p>
        </w:tc>
        <w:tc>
          <w:tcPr>
            <w:tcW w:w="706" w:type="pct"/>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Kp</w:t>
            </w:r>
          </w:p>
        </w:tc>
        <w:tc>
          <w:tcPr>
            <w:tcW w:w="1106" w:type="pct"/>
            <w:gridSpan w:val="4"/>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径流深（mm）</w:t>
            </w:r>
          </w:p>
        </w:tc>
        <w:tc>
          <w:tcPr>
            <w:tcW w:w="1047" w:type="pct"/>
            <w:gridSpan w:val="4"/>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地表径流量（万m3）</w:t>
            </w:r>
          </w:p>
        </w:tc>
        <w:tc>
          <w:tcPr>
            <w:tcW w:w="907" w:type="pct"/>
            <w:gridSpan w:val="4"/>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地表水资源量（万m3）</w:t>
            </w:r>
          </w:p>
        </w:tc>
      </w:tr>
      <w:tr>
        <w:tblPrEx>
          <w:tblCellMar>
            <w:top w:w="0" w:type="dxa"/>
            <w:left w:w="108" w:type="dxa"/>
            <w:bottom w:w="0" w:type="dxa"/>
            <w:right w:w="108" w:type="dxa"/>
          </w:tblCellMar>
        </w:tblPrEx>
        <w:trPr>
          <w:trHeight w:val="304" w:hRule="atLeast"/>
          <w:jc w:val="center"/>
        </w:trPr>
        <w:tc>
          <w:tcPr>
            <w:tcW w:w="461"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18"/>
                <w:szCs w:val="18"/>
              </w:rPr>
            </w:pPr>
          </w:p>
        </w:tc>
        <w:tc>
          <w:tcPr>
            <w:tcW w:w="200"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18"/>
                <w:szCs w:val="18"/>
              </w:rPr>
            </w:pPr>
          </w:p>
        </w:tc>
        <w:tc>
          <w:tcPr>
            <w:tcW w:w="247"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18"/>
                <w:szCs w:val="18"/>
              </w:rPr>
            </w:pPr>
          </w:p>
        </w:tc>
        <w:tc>
          <w:tcPr>
            <w:tcW w:w="326"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等线" w:hAnsi="等线" w:eastAsia="等线" w:cs="宋体"/>
                <w:color w:val="000000"/>
                <w:kern w:val="0"/>
                <w:sz w:val="18"/>
                <w:szCs w:val="18"/>
              </w:rPr>
            </w:pP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50%</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75%</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95%</w:t>
            </w:r>
          </w:p>
        </w:tc>
        <w:tc>
          <w:tcPr>
            <w:tcW w:w="329"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F（km</w:t>
            </w:r>
            <w:r>
              <w:rPr>
                <w:rFonts w:hint="eastAsia" w:ascii="等线" w:hAnsi="等线" w:eastAsia="等线" w:cs="宋体"/>
                <w:color w:val="000000"/>
                <w:kern w:val="0"/>
                <w:sz w:val="18"/>
                <w:szCs w:val="18"/>
                <w:vertAlign w:val="superscript"/>
              </w:rPr>
              <w:t>2</w:t>
            </w:r>
            <w:r>
              <w:rPr>
                <w:rFonts w:hint="eastAsia" w:ascii="等线" w:hAnsi="等线" w:eastAsia="等线" w:cs="宋体"/>
                <w:color w:val="000000"/>
                <w:kern w:val="0"/>
                <w:sz w:val="18"/>
                <w:szCs w:val="18"/>
              </w:rPr>
              <w:t>）</w:t>
            </w:r>
          </w:p>
        </w:tc>
        <w:tc>
          <w:tcPr>
            <w:tcW w:w="24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多年</w:t>
            </w:r>
          </w:p>
        </w:tc>
        <w:tc>
          <w:tcPr>
            <w:tcW w:w="30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50%</w:t>
            </w:r>
          </w:p>
        </w:tc>
        <w:tc>
          <w:tcPr>
            <w:tcW w:w="25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75%</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ascii="等线" w:hAnsi="等线" w:eastAsia="等线" w:cs="宋体"/>
                <w:color w:val="000000"/>
                <w:kern w:val="0"/>
                <w:sz w:val="18"/>
                <w:szCs w:val="18"/>
                <w:vertAlign w:val="subscript"/>
              </w:rPr>
              <w:t>95</w:t>
            </w:r>
            <w:r>
              <w:rPr>
                <w:rFonts w:hint="eastAsia" w:ascii="等线" w:hAnsi="等线" w:eastAsia="等线" w:cs="宋体"/>
                <w:color w:val="000000"/>
                <w:kern w:val="0"/>
                <w:sz w:val="18"/>
                <w:szCs w:val="18"/>
                <w:vertAlign w:val="subscript"/>
              </w:rPr>
              <w:t>%</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多年</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50%</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hint="eastAsia" w:ascii="等线" w:hAnsi="等线" w:eastAsia="等线" w:cs="宋体"/>
                <w:color w:val="000000"/>
                <w:kern w:val="0"/>
                <w:sz w:val="18"/>
                <w:szCs w:val="18"/>
                <w:vertAlign w:val="subscript"/>
              </w:rPr>
              <w:t>75%</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w:t>
            </w:r>
            <w:r>
              <w:rPr>
                <w:rFonts w:ascii="等线" w:hAnsi="等线" w:eastAsia="等线" w:cs="宋体"/>
                <w:color w:val="000000"/>
                <w:kern w:val="0"/>
                <w:sz w:val="18"/>
                <w:szCs w:val="18"/>
                <w:vertAlign w:val="subscript"/>
              </w:rPr>
              <w:t>95</w:t>
            </w:r>
            <w:r>
              <w:rPr>
                <w:rFonts w:hint="eastAsia" w:ascii="等线" w:hAnsi="等线" w:eastAsia="等线" w:cs="宋体"/>
                <w:color w:val="000000"/>
                <w:kern w:val="0"/>
                <w:sz w:val="18"/>
                <w:szCs w:val="18"/>
                <w:vertAlign w:val="subscript"/>
              </w:rPr>
              <w:t>%</w:t>
            </w:r>
          </w:p>
        </w:tc>
      </w:tr>
      <w:tr>
        <w:tblPrEx>
          <w:tblCellMar>
            <w:top w:w="0" w:type="dxa"/>
            <w:left w:w="108" w:type="dxa"/>
            <w:bottom w:w="0" w:type="dxa"/>
            <w:right w:w="108" w:type="dxa"/>
          </w:tblCellMar>
        </w:tblPrEx>
        <w:trPr>
          <w:trHeight w:val="304" w:hRule="atLeast"/>
          <w:jc w:val="center"/>
        </w:trPr>
        <w:tc>
          <w:tcPr>
            <w:tcW w:w="46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西部丘陵区</w:t>
            </w:r>
          </w:p>
        </w:tc>
        <w:tc>
          <w:tcPr>
            <w:tcW w:w="2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w:t>
            </w:r>
          </w:p>
        </w:tc>
        <w:tc>
          <w:tcPr>
            <w:tcW w:w="24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326"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125</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0.638</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0.463</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0.429</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79.75</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57.875</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53.63</w:t>
            </w:r>
          </w:p>
        </w:tc>
        <w:tc>
          <w:tcPr>
            <w:tcW w:w="329"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122.2</w:t>
            </w:r>
          </w:p>
        </w:tc>
        <w:tc>
          <w:tcPr>
            <w:tcW w:w="24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1528</w:t>
            </w:r>
          </w:p>
        </w:tc>
        <w:tc>
          <w:tcPr>
            <w:tcW w:w="30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975</w:t>
            </w:r>
          </w:p>
        </w:tc>
        <w:tc>
          <w:tcPr>
            <w:tcW w:w="25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707</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655</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2926</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2373</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2105</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2053</w:t>
            </w:r>
          </w:p>
        </w:tc>
      </w:tr>
      <w:tr>
        <w:tblPrEx>
          <w:tblCellMar>
            <w:top w:w="0" w:type="dxa"/>
            <w:left w:w="108" w:type="dxa"/>
            <w:bottom w:w="0" w:type="dxa"/>
            <w:right w:w="108" w:type="dxa"/>
          </w:tblCellMar>
        </w:tblPrEx>
        <w:trPr>
          <w:trHeight w:val="304" w:hRule="atLeast"/>
          <w:jc w:val="center"/>
        </w:trPr>
        <w:tc>
          <w:tcPr>
            <w:tcW w:w="46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南部丘陵区</w:t>
            </w:r>
          </w:p>
        </w:tc>
        <w:tc>
          <w:tcPr>
            <w:tcW w:w="2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0.92</w:t>
            </w:r>
          </w:p>
        </w:tc>
        <w:tc>
          <w:tcPr>
            <w:tcW w:w="24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326"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0.627</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0.459</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0.429</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55.176</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40.392</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37.75</w:t>
            </w:r>
          </w:p>
        </w:tc>
        <w:tc>
          <w:tcPr>
            <w:tcW w:w="329"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110.27</w:t>
            </w:r>
          </w:p>
        </w:tc>
        <w:tc>
          <w:tcPr>
            <w:tcW w:w="24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970</w:t>
            </w:r>
          </w:p>
        </w:tc>
        <w:tc>
          <w:tcPr>
            <w:tcW w:w="30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608</w:t>
            </w:r>
          </w:p>
        </w:tc>
        <w:tc>
          <w:tcPr>
            <w:tcW w:w="25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445</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416</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2368</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2006</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1843</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1814</w:t>
            </w:r>
          </w:p>
        </w:tc>
      </w:tr>
      <w:tr>
        <w:tblPrEx>
          <w:tblCellMar>
            <w:top w:w="0" w:type="dxa"/>
            <w:left w:w="108" w:type="dxa"/>
            <w:bottom w:w="0" w:type="dxa"/>
            <w:right w:w="108" w:type="dxa"/>
          </w:tblCellMar>
        </w:tblPrEx>
        <w:trPr>
          <w:trHeight w:val="304" w:hRule="atLeast"/>
          <w:jc w:val="center"/>
        </w:trPr>
        <w:tc>
          <w:tcPr>
            <w:tcW w:w="46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中部平原区</w:t>
            </w:r>
          </w:p>
        </w:tc>
        <w:tc>
          <w:tcPr>
            <w:tcW w:w="200"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0.92</w:t>
            </w:r>
          </w:p>
        </w:tc>
        <w:tc>
          <w:tcPr>
            <w:tcW w:w="24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w:t>
            </w:r>
          </w:p>
        </w:tc>
        <w:tc>
          <w:tcPr>
            <w:tcW w:w="326"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88</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0.627</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0.459</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0.429</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55.176</w:t>
            </w:r>
          </w:p>
        </w:tc>
        <w:tc>
          <w:tcPr>
            <w:tcW w:w="27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40.392</w:t>
            </w:r>
          </w:p>
        </w:tc>
        <w:tc>
          <w:tcPr>
            <w:tcW w:w="235"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37.75</w:t>
            </w:r>
          </w:p>
        </w:tc>
        <w:tc>
          <w:tcPr>
            <w:tcW w:w="329"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404.13</w:t>
            </w:r>
          </w:p>
        </w:tc>
        <w:tc>
          <w:tcPr>
            <w:tcW w:w="242"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3556</w:t>
            </w:r>
          </w:p>
        </w:tc>
        <w:tc>
          <w:tcPr>
            <w:tcW w:w="307"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2230</w:t>
            </w:r>
          </w:p>
        </w:tc>
        <w:tc>
          <w:tcPr>
            <w:tcW w:w="25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1632</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1526</w:t>
            </w:r>
          </w:p>
        </w:tc>
        <w:tc>
          <w:tcPr>
            <w:tcW w:w="244"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4954</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3628</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3030</w:t>
            </w:r>
          </w:p>
        </w:tc>
        <w:tc>
          <w:tcPr>
            <w:tcW w:w="221" w:type="pct"/>
            <w:tcBorders>
              <w:top w:val="nil"/>
              <w:left w:val="nil"/>
              <w:bottom w:val="single" w:color="auto" w:sz="8" w:space="0"/>
              <w:right w:val="single" w:color="auto" w:sz="8" w:space="0"/>
            </w:tcBorders>
            <w:shd w:val="clear" w:color="auto" w:fill="auto"/>
            <w:vAlign w:val="center"/>
          </w:tcPr>
          <w:p>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2924</w:t>
            </w:r>
          </w:p>
        </w:tc>
      </w:tr>
    </w:tbl>
    <w:p>
      <w:pPr>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6838" w:h="11906" w:orient="landscape"/>
          <w:pgMar w:top="1474" w:right="1474" w:bottom="1474" w:left="1474" w:header="851" w:footer="851" w:gutter="0"/>
          <w:cols w:space="720" w:num="1"/>
          <w:docGrid w:linePitch="326" w:charSpace="0"/>
        </w:sectPr>
      </w:pPr>
    </w:p>
    <w:p>
      <w:pPr>
        <w:spacing w:line="360" w:lineRule="auto"/>
        <w:ind w:firstLine="560" w:firstLineChars="200"/>
        <w:rPr>
          <w:rFonts w:ascii="宋体" w:hAnsi="宋体" w:cs="宋体"/>
          <w:sz w:val="28"/>
          <w:szCs w:val="28"/>
        </w:rPr>
      </w:pPr>
      <w:r>
        <w:rPr>
          <w:rFonts w:hint="eastAsia" w:ascii="宋体" w:hAnsi="宋体" w:cs="宋体"/>
          <w:sz w:val="28"/>
          <w:szCs w:val="28"/>
        </w:rPr>
        <w:t>由于项目区降水年内分配不均，季节变化大，汛期径流集中，且径流拦蓄控制性水工建筑物少，大部分流出境外，因而地表水的利用率很小，在地表水资源可利用量估算时按照径流量的50%进行考虑。则地表水可利用量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3 </w:t>
      </w:r>
      <w:r>
        <w:rPr>
          <w:rFonts w:hint="eastAsia" w:ascii="宋体" w:hAnsi="宋体" w:cs="宋体"/>
          <w:sz w:val="28"/>
          <w:szCs w:val="28"/>
        </w:rPr>
        <w:t>地表水可利用量计算表</w:t>
      </w:r>
    </w:p>
    <w:tbl>
      <w:tblPr>
        <w:tblStyle w:val="26"/>
        <w:tblW w:w="5008" w:type="pct"/>
        <w:tblInd w:w="0" w:type="dxa"/>
        <w:tblLayout w:type="autofit"/>
        <w:tblCellMar>
          <w:top w:w="0" w:type="dxa"/>
          <w:left w:w="108" w:type="dxa"/>
          <w:bottom w:w="0" w:type="dxa"/>
          <w:right w:w="108" w:type="dxa"/>
        </w:tblCellMar>
      </w:tblPr>
      <w:tblGrid>
        <w:gridCol w:w="1413"/>
        <w:gridCol w:w="1086"/>
        <w:gridCol w:w="967"/>
        <w:gridCol w:w="967"/>
        <w:gridCol w:w="777"/>
        <w:gridCol w:w="1161"/>
        <w:gridCol w:w="967"/>
        <w:gridCol w:w="926"/>
        <w:gridCol w:w="925"/>
      </w:tblGrid>
      <w:tr>
        <w:tblPrEx>
          <w:tblCellMar>
            <w:top w:w="0" w:type="dxa"/>
            <w:left w:w="108" w:type="dxa"/>
            <w:bottom w:w="0" w:type="dxa"/>
            <w:right w:w="108" w:type="dxa"/>
          </w:tblCellMar>
        </w:tblPrEx>
        <w:trPr>
          <w:trHeight w:val="353" w:hRule="atLeast"/>
        </w:trPr>
        <w:tc>
          <w:tcPr>
            <w:tcW w:w="7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分区</w:t>
            </w:r>
          </w:p>
        </w:tc>
        <w:tc>
          <w:tcPr>
            <w:tcW w:w="2066"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地表水资源量（万m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c>
          <w:tcPr>
            <w:tcW w:w="2165"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地表水可利用量（万m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r>
      <w:tr>
        <w:tblPrEx>
          <w:tblCellMar>
            <w:top w:w="0" w:type="dxa"/>
            <w:left w:w="108" w:type="dxa"/>
            <w:bottom w:w="0" w:type="dxa"/>
            <w:right w:w="108" w:type="dxa"/>
          </w:tblCellMar>
        </w:tblPrEx>
        <w:trPr>
          <w:trHeight w:val="387" w:hRule="atLeast"/>
        </w:trPr>
        <w:tc>
          <w:tcPr>
            <w:tcW w:w="76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Cs w:val="21"/>
              </w:rPr>
            </w:pPr>
          </w:p>
        </w:tc>
        <w:tc>
          <w:tcPr>
            <w:tcW w:w="59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W</w:t>
            </w:r>
            <w:r>
              <w:rPr>
                <w:rFonts w:hint="eastAsia" w:ascii="等线" w:hAnsi="等线" w:eastAsia="等线" w:cs="宋体"/>
                <w:color w:val="000000"/>
                <w:kern w:val="0"/>
                <w:szCs w:val="21"/>
                <w:vertAlign w:val="subscript"/>
              </w:rPr>
              <w:t>多年</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W</w:t>
            </w:r>
            <w:r>
              <w:rPr>
                <w:rFonts w:hint="eastAsia" w:ascii="等线" w:hAnsi="等线" w:eastAsia="等线" w:cs="宋体"/>
                <w:color w:val="000000"/>
                <w:kern w:val="0"/>
                <w:szCs w:val="21"/>
                <w:vertAlign w:val="subscript"/>
              </w:rPr>
              <w:t>50%</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W</w:t>
            </w:r>
            <w:r>
              <w:rPr>
                <w:rFonts w:hint="eastAsia" w:ascii="等线" w:hAnsi="等线" w:eastAsia="等线" w:cs="宋体"/>
                <w:color w:val="000000"/>
                <w:kern w:val="0"/>
                <w:szCs w:val="21"/>
                <w:vertAlign w:val="subscript"/>
              </w:rPr>
              <w:t>75%</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W</w:t>
            </w:r>
            <w:r>
              <w:rPr>
                <w:rFonts w:ascii="等线" w:hAnsi="等线" w:eastAsia="等线" w:cs="宋体"/>
                <w:color w:val="000000"/>
                <w:kern w:val="0"/>
                <w:szCs w:val="21"/>
                <w:vertAlign w:val="subscript"/>
              </w:rPr>
              <w:t>95</w:t>
            </w:r>
            <w:r>
              <w:rPr>
                <w:rFonts w:hint="eastAsia" w:ascii="等线" w:hAnsi="等线" w:eastAsia="等线" w:cs="宋体"/>
                <w:color w:val="000000"/>
                <w:kern w:val="0"/>
                <w:szCs w:val="21"/>
                <w:vertAlign w:val="subscript"/>
              </w:rPr>
              <w:t>%</w:t>
            </w:r>
          </w:p>
        </w:tc>
        <w:tc>
          <w:tcPr>
            <w:tcW w:w="63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多年平均</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w:t>
            </w:r>
            <w:r>
              <w:rPr>
                <w:rFonts w:ascii="等线" w:hAnsi="等线" w:eastAsia="等线" w:cs="宋体"/>
                <w:color w:val="000000"/>
                <w:kern w:val="0"/>
                <w:szCs w:val="21"/>
              </w:rPr>
              <w:t>0</w:t>
            </w:r>
            <w:r>
              <w:rPr>
                <w:rFonts w:hint="eastAsia" w:ascii="等线" w:hAnsi="等线" w:eastAsia="等线" w:cs="宋体"/>
                <w:color w:val="000000"/>
                <w:kern w:val="0"/>
                <w:szCs w:val="21"/>
              </w:rPr>
              <w:t>%</w:t>
            </w:r>
          </w:p>
        </w:tc>
        <w:tc>
          <w:tcPr>
            <w:tcW w:w="5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75%</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95%</w:t>
            </w:r>
          </w:p>
        </w:tc>
      </w:tr>
      <w:tr>
        <w:tblPrEx>
          <w:tblCellMar>
            <w:top w:w="0" w:type="dxa"/>
            <w:left w:w="108" w:type="dxa"/>
            <w:bottom w:w="0" w:type="dxa"/>
            <w:right w:w="108" w:type="dxa"/>
          </w:tblCellMar>
        </w:tblPrEx>
        <w:trPr>
          <w:trHeight w:val="353" w:hRule="atLeast"/>
        </w:trPr>
        <w:tc>
          <w:tcPr>
            <w:tcW w:w="7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西部丘陵区</w:t>
            </w:r>
          </w:p>
        </w:tc>
        <w:tc>
          <w:tcPr>
            <w:tcW w:w="59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2926</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2373</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2105</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2053</w:t>
            </w:r>
          </w:p>
        </w:tc>
        <w:tc>
          <w:tcPr>
            <w:tcW w:w="63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1463</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1187</w:t>
            </w:r>
          </w:p>
        </w:tc>
        <w:tc>
          <w:tcPr>
            <w:tcW w:w="5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1053</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1027</w:t>
            </w:r>
          </w:p>
        </w:tc>
      </w:tr>
      <w:tr>
        <w:tblPrEx>
          <w:tblCellMar>
            <w:top w:w="0" w:type="dxa"/>
            <w:left w:w="108" w:type="dxa"/>
            <w:bottom w:w="0" w:type="dxa"/>
            <w:right w:w="108" w:type="dxa"/>
          </w:tblCellMar>
        </w:tblPrEx>
        <w:trPr>
          <w:trHeight w:val="353" w:hRule="atLeast"/>
        </w:trPr>
        <w:tc>
          <w:tcPr>
            <w:tcW w:w="7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南部丘陵区</w:t>
            </w:r>
          </w:p>
        </w:tc>
        <w:tc>
          <w:tcPr>
            <w:tcW w:w="59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2368</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2006</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1843</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1814</w:t>
            </w:r>
          </w:p>
        </w:tc>
        <w:tc>
          <w:tcPr>
            <w:tcW w:w="63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1184</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1003</w:t>
            </w:r>
          </w:p>
        </w:tc>
        <w:tc>
          <w:tcPr>
            <w:tcW w:w="5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922</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907</w:t>
            </w:r>
          </w:p>
        </w:tc>
      </w:tr>
      <w:tr>
        <w:tblPrEx>
          <w:tblCellMar>
            <w:top w:w="0" w:type="dxa"/>
            <w:left w:w="108" w:type="dxa"/>
            <w:bottom w:w="0" w:type="dxa"/>
            <w:right w:w="108" w:type="dxa"/>
          </w:tblCellMar>
        </w:tblPrEx>
        <w:trPr>
          <w:trHeight w:val="353" w:hRule="atLeast"/>
        </w:trPr>
        <w:tc>
          <w:tcPr>
            <w:tcW w:w="7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中部平原区</w:t>
            </w:r>
          </w:p>
        </w:tc>
        <w:tc>
          <w:tcPr>
            <w:tcW w:w="59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4954</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3628</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3030</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2924</w:t>
            </w:r>
          </w:p>
        </w:tc>
        <w:tc>
          <w:tcPr>
            <w:tcW w:w="63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2477</w:t>
            </w:r>
          </w:p>
        </w:tc>
        <w:tc>
          <w:tcPr>
            <w:tcW w:w="52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1814</w:t>
            </w:r>
          </w:p>
        </w:tc>
        <w:tc>
          <w:tcPr>
            <w:tcW w:w="5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1515</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1462</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（2）地下水资源量</w:t>
      </w:r>
    </w:p>
    <w:p>
      <w:pPr>
        <w:spacing w:line="360" w:lineRule="auto"/>
        <w:ind w:firstLine="560" w:firstLineChars="200"/>
        <w:rPr>
          <w:rFonts w:ascii="宋体" w:hAnsi="宋体" w:cs="宋体"/>
          <w:sz w:val="28"/>
          <w:szCs w:val="28"/>
        </w:rPr>
      </w:pPr>
      <w:r>
        <w:rPr>
          <w:rFonts w:hint="eastAsia" w:ascii="宋体" w:hAnsi="宋体" w:cs="宋体"/>
          <w:sz w:val="28"/>
          <w:szCs w:val="28"/>
        </w:rPr>
        <w:t>地下水资源类主要包括降水入渗补给量、灌溉回归补给量、河道侧渗补给量。</w:t>
      </w:r>
    </w:p>
    <w:p>
      <w:pPr>
        <w:pStyle w:val="79"/>
        <w:numPr>
          <w:ilvl w:val="0"/>
          <w:numId w:val="1"/>
        </w:numPr>
        <w:ind w:firstLineChars="0"/>
        <w:rPr>
          <w:rFonts w:ascii="宋体" w:hAnsi="宋体" w:cs="宋体"/>
          <w:szCs w:val="28"/>
        </w:rPr>
      </w:pPr>
      <w:r>
        <w:rPr>
          <w:rFonts w:hint="eastAsia" w:ascii="宋体" w:hAnsi="宋体" w:cs="宋体"/>
          <w:szCs w:val="28"/>
        </w:rPr>
        <w:t>降水入渗补给量W</w:t>
      </w:r>
      <w:r>
        <w:rPr>
          <w:rFonts w:ascii="宋体" w:hAnsi="宋体" w:cs="宋体"/>
          <w:szCs w:val="28"/>
        </w:rPr>
        <w:t>1</w:t>
      </w:r>
      <w:r>
        <w:rPr>
          <w:rFonts w:hint="eastAsia" w:ascii="宋体" w:hAnsi="宋体" w:cs="宋体"/>
          <w:szCs w:val="28"/>
        </w:rPr>
        <w:t>计算公式：</w:t>
      </w:r>
    </w:p>
    <w:p>
      <w:pPr>
        <w:spacing w:line="360" w:lineRule="auto"/>
        <w:ind w:firstLine="560"/>
        <w:jc w:val="center"/>
        <w:rPr>
          <w:sz w:val="28"/>
          <w:szCs w:val="28"/>
        </w:rPr>
      </w:pPr>
      <w:r>
        <w:rPr>
          <w:i/>
          <w:sz w:val="28"/>
          <w:szCs w:val="28"/>
        </w:rPr>
        <w:t>W1</w:t>
      </w:r>
      <w:r>
        <w:rPr>
          <w:sz w:val="28"/>
          <w:szCs w:val="28"/>
        </w:rPr>
        <w:t xml:space="preserve">=0.1× </w:t>
      </w:r>
      <w:r>
        <w:rPr>
          <w:i/>
          <w:sz w:val="28"/>
          <w:szCs w:val="28"/>
        </w:rPr>
        <w:t>α</w:t>
      </w:r>
      <w:r>
        <w:rPr>
          <w:sz w:val="28"/>
          <w:szCs w:val="28"/>
        </w:rPr>
        <w:t xml:space="preserve"> × </w:t>
      </w:r>
      <w:r>
        <w:rPr>
          <w:i/>
          <w:sz w:val="28"/>
          <w:szCs w:val="28"/>
        </w:rPr>
        <w:t>P</w:t>
      </w:r>
      <w:r>
        <w:rPr>
          <w:sz w:val="28"/>
          <w:szCs w:val="28"/>
        </w:rPr>
        <w:t xml:space="preserve"> × </w:t>
      </w:r>
      <w:r>
        <w:rPr>
          <w:i/>
          <w:sz w:val="28"/>
          <w:szCs w:val="28"/>
        </w:rPr>
        <w:t>F</w:t>
      </w:r>
    </w:p>
    <w:p>
      <w:pPr>
        <w:spacing w:line="360" w:lineRule="auto"/>
        <w:ind w:firstLine="1120" w:firstLineChars="400"/>
        <w:rPr>
          <w:rFonts w:ascii="宋体" w:hAnsi="宋体" w:cs="宋体"/>
          <w:sz w:val="28"/>
          <w:szCs w:val="28"/>
        </w:rPr>
      </w:pPr>
      <w:r>
        <w:rPr>
          <w:rFonts w:ascii="宋体" w:hAnsi="宋体" w:cs="宋体"/>
          <w:sz w:val="28"/>
          <w:szCs w:val="28"/>
        </w:rPr>
        <w:t>W1</w:t>
      </w:r>
      <w:r>
        <w:rPr>
          <w:rFonts w:hint="eastAsia" w:ascii="宋体" w:hAnsi="宋体" w:cs="宋体"/>
          <w:sz w:val="28"/>
          <w:szCs w:val="28"/>
        </w:rPr>
        <w:t>—降水入渗补给量，万</w:t>
      </w:r>
      <w:r>
        <w:rPr>
          <w:rFonts w:ascii="宋体" w:hAnsi="宋体" w:cs="宋体"/>
          <w:sz w:val="28"/>
          <w:szCs w:val="28"/>
        </w:rPr>
        <w:t>m</w:t>
      </w:r>
      <w:r>
        <w:rPr>
          <w:rFonts w:ascii="宋体" w:hAnsi="宋体" w:cs="宋体"/>
          <w:sz w:val="28"/>
          <w:szCs w:val="28"/>
          <w:vertAlign w:val="superscript"/>
        </w:rPr>
        <w:t>3</w:t>
      </w:r>
      <w:r>
        <w:rPr>
          <w:rFonts w:hint="eastAsia" w:ascii="宋体" w:hAnsi="宋体" w:cs="宋体"/>
          <w:sz w:val="28"/>
          <w:szCs w:val="28"/>
        </w:rPr>
        <w:t>；</w:t>
      </w:r>
    </w:p>
    <w:p>
      <w:pPr>
        <w:spacing w:line="360" w:lineRule="auto"/>
        <w:ind w:firstLine="1120" w:firstLineChars="400"/>
        <w:rPr>
          <w:rFonts w:ascii="宋体" w:hAnsi="宋体" w:cs="宋体"/>
          <w:sz w:val="28"/>
          <w:szCs w:val="28"/>
        </w:rPr>
      </w:pPr>
      <w:r>
        <w:rPr>
          <w:rFonts w:ascii="宋体" w:hAnsi="宋体" w:cs="宋体"/>
          <w:sz w:val="28"/>
          <w:szCs w:val="28"/>
        </w:rPr>
        <w:t xml:space="preserve">α </w:t>
      </w:r>
      <w:r>
        <w:rPr>
          <w:rFonts w:hint="eastAsia" w:ascii="宋体" w:hAnsi="宋体" w:cs="宋体"/>
          <w:sz w:val="28"/>
          <w:szCs w:val="28"/>
        </w:rPr>
        <w:t>—入渗系数，丘陵地区取0</w:t>
      </w:r>
      <w:r>
        <w:rPr>
          <w:rFonts w:ascii="宋体" w:hAnsi="宋体" w:cs="宋体"/>
          <w:sz w:val="28"/>
          <w:szCs w:val="28"/>
        </w:rPr>
        <w:t>.25</w:t>
      </w:r>
      <w:r>
        <w:rPr>
          <w:rFonts w:hint="eastAsia" w:ascii="宋体" w:hAnsi="宋体" w:cs="宋体"/>
          <w:sz w:val="28"/>
          <w:szCs w:val="28"/>
        </w:rPr>
        <w:t>，平原区取0</w:t>
      </w:r>
      <w:r>
        <w:rPr>
          <w:rFonts w:ascii="宋体" w:hAnsi="宋体" w:cs="宋体"/>
          <w:sz w:val="28"/>
          <w:szCs w:val="28"/>
        </w:rPr>
        <w:t>.23</w:t>
      </w:r>
      <w:r>
        <w:rPr>
          <w:rFonts w:hint="eastAsia" w:ascii="宋体" w:hAnsi="宋体" w:cs="宋体"/>
          <w:sz w:val="28"/>
          <w:szCs w:val="28"/>
        </w:rPr>
        <w:t>；</w:t>
      </w:r>
    </w:p>
    <w:p>
      <w:pPr>
        <w:spacing w:line="360" w:lineRule="auto"/>
        <w:ind w:firstLine="1120" w:firstLineChars="400"/>
        <w:rPr>
          <w:rFonts w:ascii="宋体" w:hAnsi="宋体" w:cs="宋体"/>
          <w:sz w:val="28"/>
          <w:szCs w:val="28"/>
        </w:rPr>
      </w:pPr>
      <w:r>
        <w:rPr>
          <w:rFonts w:ascii="宋体" w:hAnsi="宋体" w:cs="宋体"/>
          <w:sz w:val="28"/>
          <w:szCs w:val="28"/>
        </w:rPr>
        <w:t xml:space="preserve">P </w:t>
      </w:r>
      <w:r>
        <w:rPr>
          <w:rFonts w:hint="eastAsia" w:ascii="宋体" w:hAnsi="宋体" w:cs="宋体"/>
          <w:sz w:val="28"/>
          <w:szCs w:val="28"/>
        </w:rPr>
        <w:t>—多年平均降水量，mm，取5</w:t>
      </w:r>
      <w:r>
        <w:rPr>
          <w:rFonts w:ascii="宋体" w:hAnsi="宋体" w:cs="宋体"/>
          <w:sz w:val="28"/>
          <w:szCs w:val="28"/>
        </w:rPr>
        <w:t>97.2</w:t>
      </w:r>
      <w:r>
        <w:rPr>
          <w:rFonts w:hint="eastAsia" w:ascii="宋体" w:hAnsi="宋体" w:cs="宋体"/>
          <w:sz w:val="28"/>
          <w:szCs w:val="28"/>
        </w:rPr>
        <w:t>；不同保证率下的年降水量可根据《七三图集》中“河南省年降水量离差系数图”，查取分区重心处的年降水量离差系数，结合皮尔逊曲线查取不同保证率下的模比系数Kp值，与多年平均年降水量相乘即得到不同保证率下的年降水量；</w:t>
      </w:r>
    </w:p>
    <w:p>
      <w:pPr>
        <w:spacing w:line="360" w:lineRule="auto"/>
        <w:ind w:firstLine="1120" w:firstLineChars="400"/>
        <w:rPr>
          <w:rFonts w:ascii="宋体" w:hAnsi="宋体" w:cs="宋体"/>
          <w:sz w:val="28"/>
          <w:szCs w:val="28"/>
        </w:rPr>
      </w:pPr>
      <w:r>
        <w:rPr>
          <w:rFonts w:ascii="宋体" w:hAnsi="宋体" w:cs="宋体"/>
          <w:sz w:val="28"/>
          <w:szCs w:val="28"/>
        </w:rPr>
        <w:t xml:space="preserve">F </w:t>
      </w:r>
      <w:r>
        <w:rPr>
          <w:rFonts w:hint="eastAsia" w:ascii="宋体" w:hAnsi="宋体" w:cs="宋体"/>
          <w:sz w:val="28"/>
          <w:szCs w:val="28"/>
        </w:rPr>
        <w:t>—控制面积，</w:t>
      </w:r>
      <w:r>
        <w:rPr>
          <w:rFonts w:ascii="宋体" w:hAnsi="宋体" w:cs="宋体"/>
          <w:sz w:val="28"/>
          <w:szCs w:val="28"/>
        </w:rPr>
        <w:t>km</w:t>
      </w:r>
      <w:r>
        <w:rPr>
          <w:rFonts w:ascii="宋体" w:hAnsi="宋体" w:cs="宋体"/>
          <w:sz w:val="28"/>
          <w:szCs w:val="28"/>
          <w:vertAlign w:val="superscript"/>
        </w:rPr>
        <w:t>2</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计算结果见下表：</w:t>
      </w: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1906" w:h="16838"/>
          <w:pgMar w:top="1474" w:right="1474" w:bottom="1474" w:left="1474" w:header="851" w:footer="851" w:gutter="0"/>
          <w:cols w:space="720" w:num="1"/>
          <w:docGrid w:linePitch="326" w:charSpace="0"/>
        </w:sect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4</w:t>
      </w:r>
      <w:r>
        <w:rPr>
          <w:rFonts w:hint="eastAsia" w:ascii="宋体" w:hAnsi="宋体" w:cs="宋体"/>
          <w:sz w:val="28"/>
          <w:szCs w:val="28"/>
        </w:rPr>
        <w:t>降水入渗补给量计算过程表</w:t>
      </w:r>
    </w:p>
    <w:tbl>
      <w:tblPr>
        <w:tblStyle w:val="26"/>
        <w:tblW w:w="50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064"/>
        <w:gridCol w:w="636"/>
        <w:gridCol w:w="795"/>
        <w:gridCol w:w="1030"/>
        <w:gridCol w:w="777"/>
        <w:gridCol w:w="925"/>
        <w:gridCol w:w="936"/>
        <w:gridCol w:w="922"/>
        <w:gridCol w:w="931"/>
        <w:gridCol w:w="953"/>
        <w:gridCol w:w="906"/>
        <w:gridCol w:w="963"/>
        <w:gridCol w:w="963"/>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85" w:type="pct"/>
            <w:vMerge w:val="restar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分区</w:t>
            </w:r>
          </w:p>
        </w:tc>
        <w:tc>
          <w:tcPr>
            <w:tcW w:w="376" w:type="pct"/>
            <w:vMerge w:val="restar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面积（km</w:t>
            </w:r>
            <w:r>
              <w:rPr>
                <w:rFonts w:hint="eastAsia" w:ascii="等线" w:hAnsi="等线" w:eastAsia="等线" w:cs="宋体"/>
                <w:color w:val="000000"/>
                <w:kern w:val="0"/>
                <w:szCs w:val="21"/>
                <w:vertAlign w:val="superscript"/>
              </w:rPr>
              <w:t>2</w:t>
            </w:r>
            <w:r>
              <w:rPr>
                <w:rFonts w:hint="eastAsia" w:ascii="等线" w:hAnsi="等线" w:eastAsia="等线" w:cs="宋体"/>
                <w:color w:val="000000"/>
                <w:kern w:val="0"/>
                <w:szCs w:val="21"/>
              </w:rPr>
              <w:t>）</w:t>
            </w:r>
          </w:p>
        </w:tc>
        <w:tc>
          <w:tcPr>
            <w:tcW w:w="217" w:type="pct"/>
            <w:vMerge w:val="restar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Cv</w:t>
            </w:r>
          </w:p>
        </w:tc>
        <w:tc>
          <w:tcPr>
            <w:tcW w:w="275" w:type="pct"/>
            <w:vMerge w:val="restar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Cs/Cv</w:t>
            </w:r>
          </w:p>
        </w:tc>
        <w:tc>
          <w:tcPr>
            <w:tcW w:w="364" w:type="pct"/>
            <w:vMerge w:val="restar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平均降水量（mm）</w:t>
            </w:r>
          </w:p>
        </w:tc>
        <w:tc>
          <w:tcPr>
            <w:tcW w:w="933" w:type="pct"/>
            <w:gridSpan w:val="3"/>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Kp</w:t>
            </w:r>
          </w:p>
        </w:tc>
        <w:tc>
          <w:tcPr>
            <w:tcW w:w="992" w:type="pct"/>
            <w:gridSpan w:val="3"/>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降水量（mm）</w:t>
            </w:r>
          </w:p>
        </w:tc>
        <w:tc>
          <w:tcPr>
            <w:tcW w:w="32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补给系数</w:t>
            </w:r>
          </w:p>
        </w:tc>
        <w:tc>
          <w:tcPr>
            <w:tcW w:w="1038" w:type="pct"/>
            <w:gridSpan w:val="3"/>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降水入渗补给量（万m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85" w:type="pct"/>
            <w:vMerge w:val="continue"/>
            <w:vAlign w:val="center"/>
          </w:tcPr>
          <w:p>
            <w:pPr>
              <w:widowControl/>
              <w:jc w:val="center"/>
              <w:rPr>
                <w:rFonts w:ascii="等线" w:hAnsi="等线" w:eastAsia="等线" w:cs="宋体"/>
                <w:color w:val="000000"/>
                <w:kern w:val="0"/>
                <w:szCs w:val="21"/>
              </w:rPr>
            </w:pPr>
          </w:p>
        </w:tc>
        <w:tc>
          <w:tcPr>
            <w:tcW w:w="376" w:type="pct"/>
            <w:vMerge w:val="continue"/>
            <w:vAlign w:val="center"/>
          </w:tcPr>
          <w:p>
            <w:pPr>
              <w:widowControl/>
              <w:jc w:val="center"/>
              <w:rPr>
                <w:rFonts w:ascii="等线" w:hAnsi="等线" w:eastAsia="等线" w:cs="宋体"/>
                <w:color w:val="000000"/>
                <w:kern w:val="0"/>
                <w:szCs w:val="21"/>
              </w:rPr>
            </w:pPr>
          </w:p>
        </w:tc>
        <w:tc>
          <w:tcPr>
            <w:tcW w:w="217" w:type="pct"/>
            <w:vMerge w:val="continue"/>
            <w:vAlign w:val="center"/>
          </w:tcPr>
          <w:p>
            <w:pPr>
              <w:widowControl/>
              <w:jc w:val="center"/>
              <w:rPr>
                <w:rFonts w:ascii="等线" w:hAnsi="等线" w:eastAsia="等线" w:cs="宋体"/>
                <w:color w:val="000000"/>
                <w:kern w:val="0"/>
                <w:szCs w:val="21"/>
              </w:rPr>
            </w:pPr>
          </w:p>
        </w:tc>
        <w:tc>
          <w:tcPr>
            <w:tcW w:w="275" w:type="pct"/>
            <w:vMerge w:val="continue"/>
            <w:vAlign w:val="center"/>
          </w:tcPr>
          <w:p>
            <w:pPr>
              <w:widowControl/>
              <w:jc w:val="center"/>
              <w:rPr>
                <w:rFonts w:ascii="等线" w:hAnsi="等线" w:eastAsia="等线" w:cs="宋体"/>
                <w:color w:val="000000"/>
                <w:kern w:val="0"/>
                <w:szCs w:val="21"/>
              </w:rPr>
            </w:pPr>
          </w:p>
        </w:tc>
        <w:tc>
          <w:tcPr>
            <w:tcW w:w="364" w:type="pct"/>
            <w:vMerge w:val="continue"/>
            <w:vAlign w:val="center"/>
          </w:tcPr>
          <w:p>
            <w:pPr>
              <w:widowControl/>
              <w:jc w:val="center"/>
              <w:rPr>
                <w:rFonts w:ascii="等线" w:hAnsi="等线" w:eastAsia="等线" w:cs="宋体"/>
                <w:color w:val="000000"/>
                <w:kern w:val="0"/>
                <w:szCs w:val="21"/>
              </w:rPr>
            </w:pP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50%</w:t>
            </w:r>
          </w:p>
        </w:tc>
        <w:tc>
          <w:tcPr>
            <w:tcW w:w="32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75%</w:t>
            </w:r>
          </w:p>
        </w:tc>
        <w:tc>
          <w:tcPr>
            <w:tcW w:w="331"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95%</w:t>
            </w:r>
          </w:p>
        </w:tc>
        <w:tc>
          <w:tcPr>
            <w:tcW w:w="326"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50%</w:t>
            </w:r>
          </w:p>
        </w:tc>
        <w:tc>
          <w:tcPr>
            <w:tcW w:w="329"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75%</w:t>
            </w:r>
          </w:p>
        </w:tc>
        <w:tc>
          <w:tcPr>
            <w:tcW w:w="33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95%</w:t>
            </w:r>
          </w:p>
        </w:tc>
        <w:tc>
          <w:tcPr>
            <w:tcW w:w="32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a</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50%</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75%</w:t>
            </w:r>
          </w:p>
        </w:tc>
        <w:tc>
          <w:tcPr>
            <w:tcW w:w="358"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8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西部丘陵区</w:t>
            </w:r>
          </w:p>
        </w:tc>
        <w:tc>
          <w:tcPr>
            <w:tcW w:w="376" w:type="pc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w:t>
            </w:r>
            <w:r>
              <w:rPr>
                <w:rFonts w:ascii="等线" w:hAnsi="等线" w:eastAsia="等线" w:cs="宋体"/>
                <w:color w:val="000000"/>
                <w:kern w:val="0"/>
                <w:szCs w:val="21"/>
              </w:rPr>
              <w:t>22.20</w:t>
            </w:r>
          </w:p>
        </w:tc>
        <w:tc>
          <w:tcPr>
            <w:tcW w:w="21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0.37</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w:t>
            </w:r>
          </w:p>
        </w:tc>
        <w:tc>
          <w:tcPr>
            <w:tcW w:w="364"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597.2</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0.922</w:t>
            </w:r>
          </w:p>
        </w:tc>
        <w:tc>
          <w:tcPr>
            <w:tcW w:w="32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0.728</w:t>
            </w:r>
          </w:p>
        </w:tc>
        <w:tc>
          <w:tcPr>
            <w:tcW w:w="331"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0.553</w:t>
            </w:r>
          </w:p>
        </w:tc>
        <w:tc>
          <w:tcPr>
            <w:tcW w:w="326"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550.6</w:t>
            </w:r>
            <w:r>
              <w:rPr>
                <w:rFonts w:ascii="等线" w:hAnsi="等线" w:eastAsia="等线" w:cs="宋体"/>
                <w:color w:val="000000"/>
                <w:kern w:val="0"/>
                <w:szCs w:val="21"/>
              </w:rPr>
              <w:t>2</w:t>
            </w:r>
          </w:p>
        </w:tc>
        <w:tc>
          <w:tcPr>
            <w:tcW w:w="329"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434.76</w:t>
            </w:r>
          </w:p>
        </w:tc>
        <w:tc>
          <w:tcPr>
            <w:tcW w:w="33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330.25</w:t>
            </w:r>
          </w:p>
        </w:tc>
        <w:tc>
          <w:tcPr>
            <w:tcW w:w="32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0.25</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1682 </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1328 </w:t>
            </w:r>
          </w:p>
        </w:tc>
        <w:tc>
          <w:tcPr>
            <w:tcW w:w="358"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8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南部丘陵区</w:t>
            </w:r>
          </w:p>
        </w:tc>
        <w:tc>
          <w:tcPr>
            <w:tcW w:w="376" w:type="pc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w:t>
            </w:r>
            <w:r>
              <w:rPr>
                <w:rFonts w:ascii="等线" w:hAnsi="等线" w:eastAsia="等线" w:cs="宋体"/>
                <w:color w:val="000000"/>
                <w:kern w:val="0"/>
                <w:szCs w:val="21"/>
              </w:rPr>
              <w:t>10.27</w:t>
            </w:r>
          </w:p>
        </w:tc>
        <w:tc>
          <w:tcPr>
            <w:tcW w:w="21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0.4</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w:t>
            </w:r>
          </w:p>
        </w:tc>
        <w:tc>
          <w:tcPr>
            <w:tcW w:w="364"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597.2</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0.91</w:t>
            </w:r>
          </w:p>
        </w:tc>
        <w:tc>
          <w:tcPr>
            <w:tcW w:w="32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0.706</w:t>
            </w:r>
          </w:p>
        </w:tc>
        <w:tc>
          <w:tcPr>
            <w:tcW w:w="331"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0.533</w:t>
            </w:r>
          </w:p>
        </w:tc>
        <w:tc>
          <w:tcPr>
            <w:tcW w:w="326"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543.45</w:t>
            </w:r>
          </w:p>
        </w:tc>
        <w:tc>
          <w:tcPr>
            <w:tcW w:w="329"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421.62</w:t>
            </w:r>
          </w:p>
        </w:tc>
        <w:tc>
          <w:tcPr>
            <w:tcW w:w="33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318.3</w:t>
            </w:r>
            <w:r>
              <w:rPr>
                <w:rFonts w:ascii="等线" w:hAnsi="等线" w:eastAsia="等线" w:cs="宋体"/>
                <w:color w:val="000000"/>
                <w:kern w:val="0"/>
                <w:szCs w:val="21"/>
              </w:rPr>
              <w:t>1</w:t>
            </w:r>
          </w:p>
        </w:tc>
        <w:tc>
          <w:tcPr>
            <w:tcW w:w="32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0.25</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1498 </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1162 </w:t>
            </w:r>
          </w:p>
        </w:tc>
        <w:tc>
          <w:tcPr>
            <w:tcW w:w="358"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8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中部平原区</w:t>
            </w:r>
          </w:p>
        </w:tc>
        <w:tc>
          <w:tcPr>
            <w:tcW w:w="376" w:type="pc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w:t>
            </w:r>
            <w:r>
              <w:rPr>
                <w:rFonts w:ascii="等线" w:hAnsi="等线" w:eastAsia="等线" w:cs="宋体"/>
                <w:color w:val="000000"/>
                <w:kern w:val="0"/>
                <w:szCs w:val="21"/>
              </w:rPr>
              <w:t>03.87</w:t>
            </w:r>
          </w:p>
        </w:tc>
        <w:tc>
          <w:tcPr>
            <w:tcW w:w="21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0.4</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w:t>
            </w:r>
          </w:p>
        </w:tc>
        <w:tc>
          <w:tcPr>
            <w:tcW w:w="364"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597.2</w:t>
            </w:r>
          </w:p>
        </w:tc>
        <w:tc>
          <w:tcPr>
            <w:tcW w:w="275"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0.91</w:t>
            </w:r>
          </w:p>
        </w:tc>
        <w:tc>
          <w:tcPr>
            <w:tcW w:w="32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0.706</w:t>
            </w:r>
          </w:p>
        </w:tc>
        <w:tc>
          <w:tcPr>
            <w:tcW w:w="331"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0.533</w:t>
            </w:r>
          </w:p>
        </w:tc>
        <w:tc>
          <w:tcPr>
            <w:tcW w:w="326"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543.45</w:t>
            </w:r>
          </w:p>
        </w:tc>
        <w:tc>
          <w:tcPr>
            <w:tcW w:w="329"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421.62</w:t>
            </w:r>
          </w:p>
        </w:tc>
        <w:tc>
          <w:tcPr>
            <w:tcW w:w="337"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318.3</w:t>
            </w:r>
            <w:r>
              <w:rPr>
                <w:rFonts w:ascii="等线" w:hAnsi="等线" w:eastAsia="等线" w:cs="宋体"/>
                <w:color w:val="000000"/>
                <w:kern w:val="0"/>
                <w:szCs w:val="21"/>
              </w:rPr>
              <w:t>1</w:t>
            </w:r>
          </w:p>
        </w:tc>
        <w:tc>
          <w:tcPr>
            <w:tcW w:w="32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0.2</w:t>
            </w:r>
            <w:r>
              <w:rPr>
                <w:rFonts w:ascii="等线" w:hAnsi="等线" w:eastAsia="等线" w:cs="宋体"/>
                <w:color w:val="000000"/>
                <w:kern w:val="0"/>
                <w:szCs w:val="21"/>
              </w:rPr>
              <w:t>3</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5051 </w:t>
            </w:r>
          </w:p>
        </w:tc>
        <w:tc>
          <w:tcPr>
            <w:tcW w:w="340"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3919 </w:t>
            </w:r>
          </w:p>
        </w:tc>
        <w:tc>
          <w:tcPr>
            <w:tcW w:w="358" w:type="pct"/>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2959 </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6838" w:h="11906" w:orient="landscape"/>
          <w:pgMar w:top="1474" w:right="1474" w:bottom="1474" w:left="1474" w:header="851" w:footer="851" w:gutter="0"/>
          <w:cols w:space="720" w:num="1"/>
          <w:docGrid w:linePitch="326" w:charSpace="0"/>
        </w:sectPr>
      </w:pPr>
    </w:p>
    <w:p>
      <w:pPr>
        <w:pStyle w:val="79"/>
        <w:numPr>
          <w:ilvl w:val="0"/>
          <w:numId w:val="1"/>
        </w:numPr>
        <w:ind w:firstLineChars="0"/>
        <w:rPr>
          <w:rFonts w:ascii="宋体" w:hAnsi="宋体" w:cs="宋体"/>
          <w:szCs w:val="28"/>
        </w:rPr>
      </w:pPr>
      <w:r>
        <w:rPr>
          <w:rFonts w:hint="eastAsia" w:ascii="宋体" w:hAnsi="宋体" w:cs="宋体"/>
          <w:szCs w:val="28"/>
        </w:rPr>
        <w:t>其他补给量W</w:t>
      </w:r>
      <w:r>
        <w:rPr>
          <w:rFonts w:ascii="宋体" w:hAnsi="宋体" w:cs="宋体"/>
          <w:szCs w:val="28"/>
        </w:rPr>
        <w:t>2</w:t>
      </w:r>
      <w:r>
        <w:rPr>
          <w:rFonts w:hint="eastAsia" w:ascii="宋体" w:hAnsi="宋体" w:cs="宋体"/>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其他补给量主要包括灌溉回归补给量、河道侧渗补给量。根据《安阳市水资源公报》2</w:t>
      </w:r>
      <w:r>
        <w:rPr>
          <w:rFonts w:ascii="宋体" w:hAnsi="宋体" w:cs="宋体"/>
          <w:sz w:val="28"/>
          <w:szCs w:val="28"/>
        </w:rPr>
        <w:t>018</w:t>
      </w:r>
      <w:r>
        <w:rPr>
          <w:rFonts w:hint="eastAsia" w:ascii="宋体" w:hAnsi="宋体" w:cs="宋体"/>
          <w:sz w:val="28"/>
          <w:szCs w:val="28"/>
        </w:rPr>
        <w:t>-</w:t>
      </w:r>
      <w:r>
        <w:rPr>
          <w:rFonts w:ascii="宋体" w:hAnsi="宋体" w:cs="宋体"/>
          <w:sz w:val="28"/>
          <w:szCs w:val="28"/>
        </w:rPr>
        <w:t>2020</w:t>
      </w:r>
      <w:r>
        <w:rPr>
          <w:rFonts w:hint="eastAsia" w:ascii="宋体" w:hAnsi="宋体" w:cs="宋体"/>
          <w:sz w:val="28"/>
          <w:szCs w:val="28"/>
        </w:rPr>
        <w:t>年数据，汤阴县灌溉回归补给量平均值为1</w:t>
      </w:r>
      <w:r>
        <w:rPr>
          <w:rFonts w:ascii="宋体" w:hAnsi="宋体" w:cs="宋体"/>
          <w:sz w:val="28"/>
          <w:szCs w:val="28"/>
        </w:rPr>
        <w:t>163</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，河道侧渗补给量平均值为3</w:t>
      </w:r>
      <w:r>
        <w:rPr>
          <w:rFonts w:ascii="宋体" w:hAnsi="宋体" w:cs="宋体"/>
          <w:sz w:val="28"/>
          <w:szCs w:val="28"/>
        </w:rPr>
        <w:t>512</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5 </w:t>
      </w:r>
      <w:r>
        <w:rPr>
          <w:rFonts w:hint="eastAsia" w:ascii="宋体" w:hAnsi="宋体" w:cs="宋体"/>
          <w:sz w:val="28"/>
          <w:szCs w:val="28"/>
        </w:rPr>
        <w:t>其他地下水补给量表 单位：万m</w:t>
      </w:r>
      <w:r>
        <w:rPr>
          <w:rFonts w:hint="eastAsia" w:ascii="宋体" w:hAnsi="宋体" w:cs="宋体"/>
          <w:sz w:val="28"/>
          <w:szCs w:val="28"/>
          <w:vertAlign w:val="superscript"/>
        </w:rPr>
        <w:t>3</w:t>
      </w:r>
    </w:p>
    <w:tbl>
      <w:tblPr>
        <w:tblStyle w:val="26"/>
        <w:tblW w:w="4982" w:type="pct"/>
        <w:tblInd w:w="0" w:type="dxa"/>
        <w:tblLayout w:type="autofit"/>
        <w:tblCellMar>
          <w:top w:w="0" w:type="dxa"/>
          <w:left w:w="108" w:type="dxa"/>
          <w:bottom w:w="0" w:type="dxa"/>
          <w:right w:w="108" w:type="dxa"/>
        </w:tblCellMar>
      </w:tblPr>
      <w:tblGrid>
        <w:gridCol w:w="1318"/>
        <w:gridCol w:w="2038"/>
        <w:gridCol w:w="1836"/>
        <w:gridCol w:w="2179"/>
        <w:gridCol w:w="1770"/>
      </w:tblGrid>
      <w:tr>
        <w:tblPrEx>
          <w:tblCellMar>
            <w:top w:w="0" w:type="dxa"/>
            <w:left w:w="108" w:type="dxa"/>
            <w:bottom w:w="0" w:type="dxa"/>
            <w:right w:w="108" w:type="dxa"/>
          </w:tblCellMar>
        </w:tblPrEx>
        <w:trPr>
          <w:trHeight w:val="464" w:hRule="atLeast"/>
        </w:trPr>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型式</w:t>
            </w:r>
          </w:p>
        </w:tc>
        <w:tc>
          <w:tcPr>
            <w:tcW w:w="111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2020年公报数据</w:t>
            </w:r>
          </w:p>
        </w:tc>
        <w:tc>
          <w:tcPr>
            <w:tcW w:w="10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2019年公报数据</w:t>
            </w:r>
          </w:p>
        </w:tc>
        <w:tc>
          <w:tcPr>
            <w:tcW w:w="11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2018年公报数据</w:t>
            </w:r>
          </w:p>
        </w:tc>
        <w:tc>
          <w:tcPr>
            <w:tcW w:w="9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平均值</w:t>
            </w:r>
          </w:p>
        </w:tc>
      </w:tr>
      <w:tr>
        <w:tblPrEx>
          <w:tblCellMar>
            <w:top w:w="0" w:type="dxa"/>
            <w:left w:w="108" w:type="dxa"/>
            <w:bottom w:w="0" w:type="dxa"/>
            <w:right w:w="108" w:type="dxa"/>
          </w:tblCellMar>
        </w:tblPrEx>
        <w:trPr>
          <w:trHeight w:val="529" w:hRule="atLeast"/>
        </w:trPr>
        <w:tc>
          <w:tcPr>
            <w:tcW w:w="7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灌溉回归</w:t>
            </w:r>
          </w:p>
        </w:tc>
        <w:tc>
          <w:tcPr>
            <w:tcW w:w="11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1248</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973</w:t>
            </w:r>
          </w:p>
        </w:tc>
        <w:tc>
          <w:tcPr>
            <w:tcW w:w="11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1268</w:t>
            </w:r>
          </w:p>
        </w:tc>
        <w:tc>
          <w:tcPr>
            <w:tcW w:w="9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1163</w:t>
            </w:r>
          </w:p>
        </w:tc>
      </w:tr>
      <w:tr>
        <w:tblPrEx>
          <w:tblCellMar>
            <w:top w:w="0" w:type="dxa"/>
            <w:left w:w="108" w:type="dxa"/>
            <w:bottom w:w="0" w:type="dxa"/>
            <w:right w:w="108" w:type="dxa"/>
          </w:tblCellMar>
        </w:tblPrEx>
        <w:trPr>
          <w:trHeight w:val="529" w:hRule="atLeast"/>
        </w:trPr>
        <w:tc>
          <w:tcPr>
            <w:tcW w:w="7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河道侧渗</w:t>
            </w:r>
          </w:p>
        </w:tc>
        <w:tc>
          <w:tcPr>
            <w:tcW w:w="11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3525</w:t>
            </w:r>
          </w:p>
        </w:tc>
        <w:tc>
          <w:tcPr>
            <w:tcW w:w="10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3290</w:t>
            </w:r>
          </w:p>
        </w:tc>
        <w:tc>
          <w:tcPr>
            <w:tcW w:w="119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3720</w:t>
            </w:r>
          </w:p>
        </w:tc>
        <w:tc>
          <w:tcPr>
            <w:tcW w:w="96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351</w:t>
            </w:r>
            <w:r>
              <w:rPr>
                <w:rFonts w:ascii="等线" w:hAnsi="等线" w:eastAsia="等线" w:cs="宋体"/>
                <w:color w:val="000000"/>
                <w:kern w:val="0"/>
                <w:szCs w:val="21"/>
              </w:rPr>
              <w:t>2</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则汤阴县地下水资源量见下表：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6 </w:t>
      </w:r>
      <w:r>
        <w:rPr>
          <w:rFonts w:hint="eastAsia" w:ascii="宋体" w:hAnsi="宋体" w:cs="宋体"/>
          <w:sz w:val="28"/>
          <w:szCs w:val="28"/>
        </w:rPr>
        <w:t xml:space="preserve">汤阴县地下水资源量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2285"/>
        <w:gridCol w:w="2286"/>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285" w:type="dxa"/>
            <w:vMerge w:val="restar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分区</w:t>
            </w:r>
          </w:p>
        </w:tc>
        <w:tc>
          <w:tcPr>
            <w:tcW w:w="6858" w:type="dxa"/>
            <w:gridSpan w:val="3"/>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地下水资源量（万m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285" w:type="dxa"/>
            <w:vMerge w:val="continue"/>
            <w:vAlign w:val="center"/>
          </w:tcPr>
          <w:p>
            <w:pPr>
              <w:widowControl/>
              <w:jc w:val="center"/>
              <w:rPr>
                <w:rFonts w:ascii="等线" w:hAnsi="等线" w:eastAsia="等线" w:cs="宋体"/>
                <w:color w:val="000000"/>
                <w:kern w:val="0"/>
                <w:szCs w:val="21"/>
              </w:rPr>
            </w:pPr>
          </w:p>
        </w:tc>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w:t>
            </w:r>
            <w:r>
              <w:rPr>
                <w:rFonts w:ascii="等线" w:hAnsi="等线" w:eastAsia="等线" w:cs="宋体"/>
                <w:color w:val="000000"/>
                <w:kern w:val="0"/>
                <w:szCs w:val="21"/>
              </w:rPr>
              <w:t>0</w:t>
            </w:r>
            <w:r>
              <w:rPr>
                <w:rFonts w:hint="eastAsia" w:ascii="等线" w:hAnsi="等线" w:eastAsia="等线" w:cs="宋体"/>
                <w:color w:val="000000"/>
                <w:kern w:val="0"/>
                <w:szCs w:val="21"/>
              </w:rPr>
              <w:t>%</w:t>
            </w:r>
          </w:p>
        </w:tc>
        <w:tc>
          <w:tcPr>
            <w:tcW w:w="2286"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w:t>
            </w:r>
            <w:r>
              <w:rPr>
                <w:rFonts w:ascii="等线" w:hAnsi="等线" w:eastAsia="等线" w:cs="宋体"/>
                <w:color w:val="000000"/>
                <w:kern w:val="0"/>
                <w:szCs w:val="21"/>
              </w:rPr>
              <w:t>5</w:t>
            </w:r>
            <w:r>
              <w:rPr>
                <w:rFonts w:hint="eastAsia" w:ascii="等线" w:hAnsi="等线" w:eastAsia="等线" w:cs="宋体"/>
                <w:color w:val="000000"/>
                <w:kern w:val="0"/>
                <w:szCs w:val="21"/>
              </w:rPr>
              <w:t>%</w:t>
            </w:r>
          </w:p>
        </w:tc>
        <w:tc>
          <w:tcPr>
            <w:tcW w:w="228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w:t>
            </w:r>
            <w:r>
              <w:rPr>
                <w:rFonts w:ascii="等线" w:hAnsi="等线" w:eastAsia="等线" w:cs="宋体"/>
                <w:color w:val="000000"/>
                <w:kern w:val="0"/>
                <w:szCs w:val="21"/>
              </w:rPr>
              <w:t>5</w:t>
            </w:r>
            <w:r>
              <w:rPr>
                <w:rFonts w:hint="eastAsia" w:ascii="等线" w:hAnsi="等线" w:eastAsia="等线"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西部丘陵区</w:t>
            </w:r>
          </w:p>
        </w:tc>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6357 </w:t>
            </w:r>
          </w:p>
        </w:tc>
        <w:tc>
          <w:tcPr>
            <w:tcW w:w="2286"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6003 </w:t>
            </w:r>
          </w:p>
        </w:tc>
        <w:tc>
          <w:tcPr>
            <w:tcW w:w="228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5684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南部丘陵区</w:t>
            </w:r>
          </w:p>
        </w:tc>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6173 </w:t>
            </w:r>
          </w:p>
        </w:tc>
        <w:tc>
          <w:tcPr>
            <w:tcW w:w="2286"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5837 </w:t>
            </w:r>
          </w:p>
        </w:tc>
        <w:tc>
          <w:tcPr>
            <w:tcW w:w="228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5552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中部平原区</w:t>
            </w:r>
          </w:p>
        </w:tc>
        <w:tc>
          <w:tcPr>
            <w:tcW w:w="228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9726 </w:t>
            </w:r>
          </w:p>
        </w:tc>
        <w:tc>
          <w:tcPr>
            <w:tcW w:w="2286"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8594 </w:t>
            </w:r>
          </w:p>
        </w:tc>
        <w:tc>
          <w:tcPr>
            <w:tcW w:w="228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 xml:space="preserve">7634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地下水资源可利用量为地下水可开采量或允许开采量。采取开采系数法进行估算，开采系数根据《河南省水资源》中有关规定，开采条件良好的地区取0</w:t>
      </w:r>
      <w:r>
        <w:rPr>
          <w:rFonts w:ascii="宋体" w:hAnsi="宋体" w:cs="宋体"/>
          <w:sz w:val="28"/>
          <w:szCs w:val="28"/>
        </w:rPr>
        <w:t>.8</w:t>
      </w:r>
      <w:r>
        <w:rPr>
          <w:rFonts w:hint="eastAsia" w:ascii="宋体" w:hAnsi="宋体" w:cs="宋体"/>
          <w:sz w:val="28"/>
          <w:szCs w:val="28"/>
        </w:rPr>
        <w:t>～0</w:t>
      </w:r>
      <w:r>
        <w:rPr>
          <w:rFonts w:ascii="宋体" w:hAnsi="宋体" w:cs="宋体"/>
          <w:sz w:val="28"/>
          <w:szCs w:val="28"/>
        </w:rPr>
        <w:t>.95</w:t>
      </w:r>
      <w:r>
        <w:rPr>
          <w:rFonts w:hint="eastAsia" w:ascii="宋体" w:hAnsi="宋体" w:cs="宋体"/>
          <w:sz w:val="28"/>
          <w:szCs w:val="28"/>
        </w:rPr>
        <w:t>，对于开采条件一般的地区取值0</w:t>
      </w:r>
      <w:r>
        <w:rPr>
          <w:rFonts w:ascii="宋体" w:hAnsi="宋体" w:cs="宋体"/>
          <w:sz w:val="28"/>
          <w:szCs w:val="28"/>
        </w:rPr>
        <w:t>.7</w:t>
      </w:r>
      <w:r>
        <w:rPr>
          <w:rFonts w:hint="eastAsia" w:ascii="宋体" w:hAnsi="宋体" w:cs="宋体"/>
          <w:sz w:val="28"/>
          <w:szCs w:val="28"/>
        </w:rPr>
        <w:t>～0</w:t>
      </w:r>
      <w:r>
        <w:rPr>
          <w:rFonts w:ascii="宋体" w:hAnsi="宋体" w:cs="宋体"/>
          <w:sz w:val="28"/>
          <w:szCs w:val="28"/>
        </w:rPr>
        <w:t>.85</w:t>
      </w:r>
      <w:r>
        <w:rPr>
          <w:rFonts w:hint="eastAsia" w:ascii="宋体" w:hAnsi="宋体" w:cs="宋体"/>
          <w:sz w:val="28"/>
          <w:szCs w:val="28"/>
        </w:rPr>
        <w:t>。根据汤阴县水文地质及地下水埋深情况，本次丘陵区开采系数取为0.</w:t>
      </w:r>
      <w:r>
        <w:rPr>
          <w:rFonts w:ascii="宋体" w:hAnsi="宋体" w:cs="宋体"/>
          <w:sz w:val="28"/>
          <w:szCs w:val="28"/>
        </w:rPr>
        <w:t>80</w:t>
      </w:r>
      <w:r>
        <w:rPr>
          <w:rFonts w:hint="eastAsia" w:ascii="宋体" w:hAnsi="宋体" w:cs="宋体"/>
          <w:sz w:val="28"/>
          <w:szCs w:val="28"/>
        </w:rPr>
        <w:t>，平原区开采系数取为0.</w:t>
      </w:r>
      <w:r>
        <w:rPr>
          <w:rFonts w:ascii="宋体" w:hAnsi="宋体" w:cs="宋体"/>
          <w:sz w:val="28"/>
          <w:szCs w:val="28"/>
        </w:rPr>
        <w:t>90</w:t>
      </w:r>
      <w:r>
        <w:rPr>
          <w:rFonts w:hint="eastAsia" w:ascii="宋体" w:hAnsi="宋体" w:cs="宋体"/>
          <w:sz w:val="28"/>
          <w:szCs w:val="28"/>
        </w:rPr>
        <w:t>，则地下水可利用量计算结果见下表：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7 </w:t>
      </w:r>
      <w:r>
        <w:rPr>
          <w:rFonts w:hint="eastAsia" w:ascii="宋体" w:hAnsi="宋体" w:cs="宋体"/>
          <w:sz w:val="28"/>
          <w:szCs w:val="28"/>
        </w:rPr>
        <w:t>汤阴县地下水可利用量计算表</w:t>
      </w:r>
    </w:p>
    <w:tbl>
      <w:tblPr>
        <w:tblStyle w:val="27"/>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137"/>
        <w:gridCol w:w="995"/>
        <w:gridCol w:w="997"/>
        <w:gridCol w:w="1228"/>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957" w:type="dxa"/>
            <w:vMerge w:val="restart"/>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分区</w:t>
            </w:r>
          </w:p>
        </w:tc>
        <w:tc>
          <w:tcPr>
            <w:tcW w:w="3129" w:type="dxa"/>
            <w:gridSpan w:val="3"/>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地下水资源量（万m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c>
          <w:tcPr>
            <w:tcW w:w="1228"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开采系数</w:t>
            </w:r>
          </w:p>
        </w:tc>
        <w:tc>
          <w:tcPr>
            <w:tcW w:w="2889" w:type="dxa"/>
            <w:gridSpan w:val="3"/>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地下水可利用量（万m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957" w:type="dxa"/>
            <w:vMerge w:val="continue"/>
            <w:vAlign w:val="center"/>
          </w:tcPr>
          <w:p>
            <w:pPr>
              <w:widowControl/>
              <w:jc w:val="center"/>
              <w:rPr>
                <w:rFonts w:ascii="等线" w:hAnsi="等线" w:eastAsia="等线" w:cs="宋体"/>
                <w:color w:val="000000"/>
                <w:kern w:val="0"/>
                <w:szCs w:val="21"/>
              </w:rPr>
            </w:pPr>
          </w:p>
        </w:tc>
        <w:tc>
          <w:tcPr>
            <w:tcW w:w="113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w:t>
            </w:r>
            <w:r>
              <w:rPr>
                <w:rFonts w:ascii="等线" w:hAnsi="等线" w:eastAsia="等线" w:cs="宋体"/>
                <w:color w:val="000000"/>
                <w:kern w:val="0"/>
                <w:szCs w:val="21"/>
              </w:rPr>
              <w:t>0</w:t>
            </w:r>
            <w:r>
              <w:rPr>
                <w:rFonts w:hint="eastAsia" w:ascii="等线" w:hAnsi="等线" w:eastAsia="等线" w:cs="宋体"/>
                <w:color w:val="000000"/>
                <w:kern w:val="0"/>
                <w:szCs w:val="21"/>
              </w:rPr>
              <w:t>%</w:t>
            </w:r>
          </w:p>
        </w:tc>
        <w:tc>
          <w:tcPr>
            <w:tcW w:w="99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w:t>
            </w:r>
            <w:r>
              <w:rPr>
                <w:rFonts w:ascii="等线" w:hAnsi="等线" w:eastAsia="等线" w:cs="宋体"/>
                <w:color w:val="000000"/>
                <w:kern w:val="0"/>
                <w:szCs w:val="21"/>
              </w:rPr>
              <w:t>5</w:t>
            </w:r>
            <w:r>
              <w:rPr>
                <w:rFonts w:hint="eastAsia" w:ascii="等线" w:hAnsi="等线" w:eastAsia="等线" w:cs="宋体"/>
                <w:color w:val="000000"/>
                <w:kern w:val="0"/>
                <w:szCs w:val="21"/>
              </w:rPr>
              <w:t>%</w:t>
            </w:r>
          </w:p>
        </w:tc>
        <w:tc>
          <w:tcPr>
            <w:tcW w:w="99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w:t>
            </w:r>
            <w:r>
              <w:rPr>
                <w:rFonts w:ascii="等线" w:hAnsi="等线" w:eastAsia="等线" w:cs="宋体"/>
                <w:color w:val="000000"/>
                <w:kern w:val="0"/>
                <w:szCs w:val="21"/>
              </w:rPr>
              <w:t>5</w:t>
            </w:r>
            <w:r>
              <w:rPr>
                <w:rFonts w:hint="eastAsia" w:ascii="等线" w:hAnsi="等线" w:eastAsia="等线" w:cs="宋体"/>
                <w:color w:val="000000"/>
                <w:kern w:val="0"/>
                <w:szCs w:val="21"/>
              </w:rPr>
              <w:t>%</w:t>
            </w:r>
          </w:p>
        </w:tc>
        <w:tc>
          <w:tcPr>
            <w:tcW w:w="1228"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a</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w:t>
            </w:r>
            <w:r>
              <w:rPr>
                <w:rFonts w:ascii="等线" w:hAnsi="等线" w:eastAsia="等线" w:cs="宋体"/>
                <w:color w:val="000000"/>
                <w:kern w:val="0"/>
                <w:szCs w:val="21"/>
              </w:rPr>
              <w:t>0</w:t>
            </w:r>
            <w:r>
              <w:rPr>
                <w:rFonts w:hint="eastAsia" w:ascii="等线" w:hAnsi="等线" w:eastAsia="等线" w:cs="宋体"/>
                <w:color w:val="000000"/>
                <w:kern w:val="0"/>
                <w:szCs w:val="21"/>
              </w:rPr>
              <w:t>%</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w:t>
            </w:r>
            <w:r>
              <w:rPr>
                <w:rFonts w:ascii="等线" w:hAnsi="等线" w:eastAsia="等线" w:cs="宋体"/>
                <w:color w:val="000000"/>
                <w:kern w:val="0"/>
                <w:szCs w:val="21"/>
              </w:rPr>
              <w:t>5</w:t>
            </w:r>
            <w:r>
              <w:rPr>
                <w:rFonts w:hint="eastAsia" w:ascii="等线" w:hAnsi="等线" w:eastAsia="等线" w:cs="宋体"/>
                <w:color w:val="000000"/>
                <w:kern w:val="0"/>
                <w:szCs w:val="21"/>
              </w:rPr>
              <w:t>%</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w:t>
            </w:r>
            <w:r>
              <w:rPr>
                <w:rFonts w:ascii="等线" w:hAnsi="等线" w:eastAsia="等线" w:cs="宋体"/>
                <w:color w:val="000000"/>
                <w:kern w:val="0"/>
                <w:szCs w:val="21"/>
              </w:rPr>
              <w:t>5</w:t>
            </w:r>
            <w:r>
              <w:rPr>
                <w:rFonts w:hint="eastAsia" w:ascii="等线" w:hAnsi="等线" w:eastAsia="等线"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95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西部丘陵区</w:t>
            </w:r>
          </w:p>
        </w:tc>
        <w:tc>
          <w:tcPr>
            <w:tcW w:w="113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6357</w:t>
            </w:r>
          </w:p>
        </w:tc>
        <w:tc>
          <w:tcPr>
            <w:tcW w:w="99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6003</w:t>
            </w:r>
          </w:p>
        </w:tc>
        <w:tc>
          <w:tcPr>
            <w:tcW w:w="99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5684</w:t>
            </w:r>
          </w:p>
        </w:tc>
        <w:tc>
          <w:tcPr>
            <w:tcW w:w="1228"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0.8</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5086</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4802</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95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南部丘陵区</w:t>
            </w:r>
          </w:p>
        </w:tc>
        <w:tc>
          <w:tcPr>
            <w:tcW w:w="113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6173</w:t>
            </w:r>
          </w:p>
        </w:tc>
        <w:tc>
          <w:tcPr>
            <w:tcW w:w="99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5837</w:t>
            </w:r>
          </w:p>
        </w:tc>
        <w:tc>
          <w:tcPr>
            <w:tcW w:w="99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5552</w:t>
            </w:r>
          </w:p>
        </w:tc>
        <w:tc>
          <w:tcPr>
            <w:tcW w:w="1228"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0.8</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4938</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4670</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95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中部平原区</w:t>
            </w:r>
          </w:p>
        </w:tc>
        <w:tc>
          <w:tcPr>
            <w:tcW w:w="113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9726</w:t>
            </w:r>
          </w:p>
        </w:tc>
        <w:tc>
          <w:tcPr>
            <w:tcW w:w="995"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8594</w:t>
            </w:r>
          </w:p>
        </w:tc>
        <w:tc>
          <w:tcPr>
            <w:tcW w:w="997"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7634</w:t>
            </w:r>
          </w:p>
        </w:tc>
        <w:tc>
          <w:tcPr>
            <w:tcW w:w="1228"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0.9</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8753</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7735</w:t>
            </w:r>
          </w:p>
        </w:tc>
        <w:tc>
          <w:tcPr>
            <w:tcW w:w="963" w:type="dxa"/>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6871</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r>
        <w:rPr>
          <w:rFonts w:hint="eastAsia" w:ascii="宋体" w:hAnsi="宋体" w:cs="宋体"/>
          <w:sz w:val="28"/>
          <w:szCs w:val="28"/>
        </w:rPr>
        <w:t>（</w:t>
      </w:r>
      <w:r>
        <w:rPr>
          <w:rFonts w:ascii="宋体" w:hAnsi="宋体" w:cs="宋体"/>
          <w:sz w:val="28"/>
          <w:szCs w:val="28"/>
        </w:rPr>
        <w:t>3</w:t>
      </w:r>
      <w:r>
        <w:rPr>
          <w:rFonts w:hint="eastAsia" w:ascii="宋体" w:hAnsi="宋体" w:cs="宋体"/>
          <w:sz w:val="28"/>
          <w:szCs w:val="28"/>
        </w:rPr>
        <w:t>）水资源可利用量</w:t>
      </w:r>
    </w:p>
    <w:p>
      <w:pPr>
        <w:spacing w:line="360" w:lineRule="auto"/>
        <w:ind w:firstLine="560" w:firstLineChars="200"/>
        <w:rPr>
          <w:rFonts w:ascii="宋体" w:hAnsi="宋体" w:cs="宋体"/>
          <w:sz w:val="28"/>
          <w:szCs w:val="28"/>
        </w:rPr>
      </w:pPr>
      <w:r>
        <w:rPr>
          <w:rFonts w:hint="eastAsia" w:ascii="宋体" w:hAnsi="宋体" w:cs="宋体"/>
          <w:sz w:val="28"/>
          <w:szCs w:val="28"/>
        </w:rPr>
        <w:t>根据以上计算结果，汤阴县现状年水资源可利用量见下表：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8 </w:t>
      </w:r>
      <w:r>
        <w:rPr>
          <w:rFonts w:hint="eastAsia" w:ascii="宋体" w:hAnsi="宋体" w:cs="宋体"/>
          <w:sz w:val="28"/>
          <w:szCs w:val="28"/>
        </w:rPr>
        <w:t>汤阴县现状年水资源可利用量计算表</w:t>
      </w:r>
    </w:p>
    <w:tbl>
      <w:tblPr>
        <w:tblStyle w:val="26"/>
        <w:tblW w:w="5488" w:type="pct"/>
        <w:jc w:val="center"/>
        <w:tblLayout w:type="autofit"/>
        <w:tblCellMar>
          <w:top w:w="0" w:type="dxa"/>
          <w:left w:w="108" w:type="dxa"/>
          <w:bottom w:w="0" w:type="dxa"/>
          <w:right w:w="108" w:type="dxa"/>
        </w:tblCellMar>
      </w:tblPr>
      <w:tblGrid>
        <w:gridCol w:w="1402"/>
        <w:gridCol w:w="926"/>
        <w:gridCol w:w="926"/>
        <w:gridCol w:w="1037"/>
        <w:gridCol w:w="926"/>
        <w:gridCol w:w="926"/>
        <w:gridCol w:w="1037"/>
        <w:gridCol w:w="926"/>
        <w:gridCol w:w="927"/>
        <w:gridCol w:w="1036"/>
      </w:tblGrid>
      <w:tr>
        <w:tblPrEx>
          <w:tblCellMar>
            <w:top w:w="0" w:type="dxa"/>
            <w:left w:w="108" w:type="dxa"/>
            <w:bottom w:w="0" w:type="dxa"/>
            <w:right w:w="108" w:type="dxa"/>
          </w:tblCellMar>
        </w:tblPrEx>
        <w:trPr>
          <w:trHeight w:val="86" w:hRule="atLeast"/>
          <w:jc w:val="center"/>
        </w:trPr>
        <w:tc>
          <w:tcPr>
            <w:tcW w:w="6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分区</w:t>
            </w:r>
          </w:p>
        </w:tc>
        <w:tc>
          <w:tcPr>
            <w:tcW w:w="143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50%水资源可利用量（万m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c>
          <w:tcPr>
            <w:tcW w:w="143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75%水资源可利用量（万m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c>
          <w:tcPr>
            <w:tcW w:w="143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95%水资源可利用量（万m</w:t>
            </w:r>
            <w:r>
              <w:rPr>
                <w:rFonts w:hint="eastAsia" w:ascii="等线" w:hAnsi="等线" w:eastAsia="等线" w:cs="宋体"/>
                <w:color w:val="000000"/>
                <w:kern w:val="0"/>
                <w:szCs w:val="21"/>
                <w:vertAlign w:val="superscript"/>
              </w:rPr>
              <w:t>3</w:t>
            </w:r>
            <w:r>
              <w:rPr>
                <w:rFonts w:hint="eastAsia" w:ascii="等线" w:hAnsi="等线" w:eastAsia="等线" w:cs="宋体"/>
                <w:color w:val="000000"/>
                <w:kern w:val="0"/>
                <w:szCs w:val="21"/>
              </w:rPr>
              <w:t>）</w:t>
            </w:r>
          </w:p>
        </w:tc>
      </w:tr>
      <w:tr>
        <w:tblPrEx>
          <w:tblCellMar>
            <w:top w:w="0" w:type="dxa"/>
            <w:left w:w="108" w:type="dxa"/>
            <w:bottom w:w="0" w:type="dxa"/>
            <w:right w:w="108" w:type="dxa"/>
          </w:tblCellMar>
        </w:tblPrEx>
        <w:trPr>
          <w:trHeight w:val="174" w:hRule="atLeast"/>
          <w:jc w:val="center"/>
        </w:trPr>
        <w:tc>
          <w:tcPr>
            <w:tcW w:w="69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Cs w:val="21"/>
              </w:rPr>
            </w:pP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地表水</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总量</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地表水</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总量</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地表水</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地下水</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总量</w:t>
            </w:r>
          </w:p>
        </w:tc>
      </w:tr>
      <w:tr>
        <w:tblPrEx>
          <w:tblCellMar>
            <w:top w:w="0" w:type="dxa"/>
            <w:left w:w="108" w:type="dxa"/>
            <w:bottom w:w="0" w:type="dxa"/>
            <w:right w:w="108" w:type="dxa"/>
          </w:tblCellMar>
        </w:tblPrEx>
        <w:trPr>
          <w:trHeight w:val="86" w:hRule="atLeast"/>
          <w:jc w:val="center"/>
        </w:trPr>
        <w:tc>
          <w:tcPr>
            <w:tcW w:w="6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西部丘陵区</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1187</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5086</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6273</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1053</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4802</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5855</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1027</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4547</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5574</w:t>
            </w:r>
          </w:p>
        </w:tc>
      </w:tr>
      <w:tr>
        <w:tblPrEx>
          <w:tblCellMar>
            <w:top w:w="0" w:type="dxa"/>
            <w:left w:w="108" w:type="dxa"/>
            <w:bottom w:w="0" w:type="dxa"/>
            <w:right w:w="108" w:type="dxa"/>
          </w:tblCellMar>
        </w:tblPrEx>
        <w:trPr>
          <w:trHeight w:val="86" w:hRule="atLeast"/>
          <w:jc w:val="center"/>
        </w:trPr>
        <w:tc>
          <w:tcPr>
            <w:tcW w:w="6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南部丘陵区</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1003</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4938</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5941</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922</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4670</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5592</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907</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4442</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5349</w:t>
            </w:r>
          </w:p>
        </w:tc>
      </w:tr>
      <w:tr>
        <w:tblPrEx>
          <w:tblCellMar>
            <w:top w:w="0" w:type="dxa"/>
            <w:left w:w="108" w:type="dxa"/>
            <w:bottom w:w="0" w:type="dxa"/>
            <w:right w:w="108" w:type="dxa"/>
          </w:tblCellMar>
        </w:tblPrEx>
        <w:trPr>
          <w:trHeight w:val="86" w:hRule="atLeast"/>
          <w:jc w:val="center"/>
        </w:trPr>
        <w:tc>
          <w:tcPr>
            <w:tcW w:w="6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中部平原区</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1814</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8753</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10567</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1515</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7735</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9250</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1462</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6871</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8333</w:t>
            </w:r>
          </w:p>
        </w:tc>
      </w:tr>
      <w:tr>
        <w:tblPrEx>
          <w:tblCellMar>
            <w:top w:w="0" w:type="dxa"/>
            <w:left w:w="108" w:type="dxa"/>
            <w:bottom w:w="0" w:type="dxa"/>
            <w:right w:w="108" w:type="dxa"/>
          </w:tblCellMar>
        </w:tblPrEx>
        <w:trPr>
          <w:trHeight w:val="86" w:hRule="atLeast"/>
          <w:jc w:val="center"/>
        </w:trPr>
        <w:tc>
          <w:tcPr>
            <w:tcW w:w="6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s="宋体"/>
                <w:color w:val="000000"/>
                <w:kern w:val="0"/>
                <w:szCs w:val="21"/>
              </w:rPr>
              <w:t>合计</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22781</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20697</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　</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Cs w:val="21"/>
              </w:rPr>
            </w:pPr>
            <w:r>
              <w:rPr>
                <w:rFonts w:hint="eastAsia" w:ascii="等线" w:hAnsi="等线" w:eastAsia="等线"/>
                <w:color w:val="000000"/>
                <w:szCs w:val="21"/>
              </w:rPr>
              <w:t>19256</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（4）需水量</w:t>
      </w:r>
    </w:p>
    <w:p>
      <w:pPr>
        <w:spacing w:line="360" w:lineRule="auto"/>
        <w:ind w:firstLine="560" w:firstLineChars="200"/>
        <w:rPr>
          <w:rFonts w:ascii="宋体" w:hAnsi="宋体" w:cs="宋体"/>
          <w:sz w:val="28"/>
          <w:szCs w:val="28"/>
        </w:rPr>
      </w:pPr>
      <w:r>
        <w:rPr>
          <w:rFonts w:hint="eastAsia" w:ascii="宋体" w:hAnsi="宋体" w:cs="宋体"/>
          <w:sz w:val="28"/>
          <w:szCs w:val="28"/>
        </w:rPr>
        <w:t>①</w:t>
      </w:r>
      <w:r>
        <w:rPr>
          <w:rFonts w:ascii="宋体" w:hAnsi="宋体" w:cs="宋体"/>
          <w:sz w:val="28"/>
          <w:szCs w:val="28"/>
        </w:rPr>
        <w:t>农业灌溉需水量</w:t>
      </w:r>
    </w:p>
    <w:p>
      <w:pPr>
        <w:spacing w:line="360" w:lineRule="auto"/>
        <w:ind w:firstLine="560" w:firstLineChars="200"/>
        <w:rPr>
          <w:rFonts w:ascii="宋体" w:hAnsi="宋体" w:cs="宋体"/>
          <w:sz w:val="28"/>
          <w:szCs w:val="28"/>
        </w:rPr>
      </w:pPr>
      <w:r>
        <w:rPr>
          <w:rFonts w:hint="eastAsia" w:ascii="宋体" w:hAnsi="宋体" w:cs="宋体"/>
          <w:sz w:val="28"/>
          <w:szCs w:val="28"/>
        </w:rPr>
        <w:t>根据《汤阴县统计年鉴》2</w:t>
      </w:r>
      <w:r>
        <w:rPr>
          <w:rFonts w:ascii="宋体" w:hAnsi="宋体" w:cs="宋体"/>
          <w:sz w:val="28"/>
          <w:szCs w:val="28"/>
        </w:rPr>
        <w:t>018</w:t>
      </w:r>
      <w:r>
        <w:rPr>
          <w:rFonts w:hint="eastAsia" w:ascii="宋体" w:hAnsi="宋体" w:cs="宋体"/>
          <w:sz w:val="28"/>
          <w:szCs w:val="28"/>
        </w:rPr>
        <w:t>-</w:t>
      </w:r>
      <w:r>
        <w:rPr>
          <w:rFonts w:ascii="宋体" w:hAnsi="宋体" w:cs="宋体"/>
          <w:sz w:val="28"/>
          <w:szCs w:val="28"/>
        </w:rPr>
        <w:t>2020</w:t>
      </w:r>
      <w:r>
        <w:rPr>
          <w:rFonts w:hint="eastAsia" w:ascii="宋体" w:hAnsi="宋体" w:cs="宋体"/>
          <w:sz w:val="28"/>
          <w:szCs w:val="28"/>
        </w:rPr>
        <w:t>年的统计数据，汤阴县粮食作物播种面积1</w:t>
      </w:r>
      <w:r>
        <w:rPr>
          <w:rFonts w:ascii="宋体" w:hAnsi="宋体" w:cs="宋体"/>
          <w:sz w:val="28"/>
          <w:szCs w:val="28"/>
        </w:rPr>
        <w:t>09.43</w:t>
      </w:r>
      <w:r>
        <w:rPr>
          <w:rFonts w:hint="eastAsia" w:ascii="宋体" w:hAnsi="宋体" w:cs="宋体"/>
          <w:sz w:val="28"/>
          <w:szCs w:val="28"/>
        </w:rPr>
        <w:t>万亩，经济作物播种面积1</w:t>
      </w:r>
      <w:r>
        <w:rPr>
          <w:rFonts w:ascii="宋体" w:hAnsi="宋体" w:cs="宋体"/>
          <w:sz w:val="28"/>
          <w:szCs w:val="28"/>
        </w:rPr>
        <w:t>9.24</w:t>
      </w:r>
      <w:r>
        <w:rPr>
          <w:rFonts w:hint="eastAsia" w:ascii="宋体" w:hAnsi="宋体" w:cs="宋体"/>
          <w:sz w:val="28"/>
          <w:szCs w:val="28"/>
        </w:rPr>
        <w:t>万亩，共计播种面积1</w:t>
      </w:r>
      <w:r>
        <w:rPr>
          <w:rFonts w:ascii="宋体" w:hAnsi="宋体" w:cs="宋体"/>
          <w:sz w:val="28"/>
          <w:szCs w:val="28"/>
        </w:rPr>
        <w:t>28.67万亩，复种指数</w:t>
      </w:r>
      <w:r>
        <w:rPr>
          <w:rFonts w:hint="eastAsia" w:ascii="宋体" w:hAnsi="宋体" w:cs="宋体"/>
          <w:sz w:val="28"/>
          <w:szCs w:val="28"/>
        </w:rPr>
        <w:t>1</w:t>
      </w:r>
      <w:r>
        <w:rPr>
          <w:rFonts w:ascii="宋体" w:hAnsi="宋体" w:cs="宋体"/>
          <w:sz w:val="28"/>
          <w:szCs w:val="28"/>
        </w:rPr>
        <w:t>.86，粮经比例</w:t>
      </w:r>
      <w:r>
        <w:rPr>
          <w:rFonts w:hint="eastAsia" w:ascii="宋体" w:hAnsi="宋体" w:cs="宋体"/>
          <w:sz w:val="28"/>
          <w:szCs w:val="28"/>
        </w:rPr>
        <w:t>5</w:t>
      </w:r>
      <w:r>
        <w:rPr>
          <w:rFonts w:ascii="宋体" w:hAnsi="宋体" w:cs="宋体"/>
          <w:sz w:val="28"/>
          <w:szCs w:val="28"/>
        </w:rPr>
        <w:t>.7</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。根据汤阴县种植习惯，为便于计算，本次粮食作物取小麦、玉米作为典型作物、经济作物以花生和蔬菜（取白菜）作为典型作物进行灌溉需水量的计算。</w:t>
      </w:r>
      <w:r>
        <w:rPr>
          <w:rFonts w:ascii="宋体" w:hAnsi="宋体" w:cs="宋体"/>
          <w:sz w:val="28"/>
          <w:szCs w:val="28"/>
        </w:rPr>
        <w:t>详见下表：</w:t>
      </w:r>
    </w:p>
    <w:p>
      <w:pPr>
        <w:spacing w:line="360" w:lineRule="auto"/>
        <w:ind w:firstLine="560" w:firstLineChars="200"/>
        <w:rPr>
          <w:rFonts w:ascii="宋体" w:hAnsi="宋体" w:cs="宋体"/>
          <w:sz w:val="28"/>
          <w:szCs w:val="28"/>
        </w:rPr>
        <w:sectPr>
          <w:pgSz w:w="11906" w:h="16838"/>
          <w:pgMar w:top="1474" w:right="1474" w:bottom="1474" w:left="1474" w:header="851" w:footer="851" w:gutter="0"/>
          <w:cols w:space="720" w:num="1"/>
          <w:docGrid w:linePitch="326" w:charSpace="0"/>
        </w:sect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9 </w:t>
      </w:r>
      <w:r>
        <w:rPr>
          <w:rFonts w:hint="eastAsia" w:ascii="宋体" w:hAnsi="宋体" w:cs="宋体"/>
          <w:sz w:val="28"/>
          <w:szCs w:val="28"/>
        </w:rPr>
        <w:t>汤阴县农作物种植结构表</w:t>
      </w:r>
    </w:p>
    <w:tbl>
      <w:tblPr>
        <w:tblStyle w:val="26"/>
        <w:tblW w:w="5000" w:type="pct"/>
        <w:tblInd w:w="0" w:type="dxa"/>
        <w:tblLayout w:type="autofit"/>
        <w:tblCellMar>
          <w:top w:w="0" w:type="dxa"/>
          <w:left w:w="108" w:type="dxa"/>
          <w:bottom w:w="0" w:type="dxa"/>
          <w:right w:w="108" w:type="dxa"/>
        </w:tblCellMar>
      </w:tblPr>
      <w:tblGrid>
        <w:gridCol w:w="1385"/>
        <w:gridCol w:w="1134"/>
        <w:gridCol w:w="1275"/>
        <w:gridCol w:w="993"/>
        <w:gridCol w:w="993"/>
        <w:gridCol w:w="849"/>
        <w:gridCol w:w="993"/>
        <w:gridCol w:w="1134"/>
        <w:gridCol w:w="708"/>
        <w:gridCol w:w="993"/>
        <w:gridCol w:w="1134"/>
        <w:gridCol w:w="993"/>
        <w:gridCol w:w="850"/>
        <w:gridCol w:w="672"/>
      </w:tblGrid>
      <w:tr>
        <w:tblPrEx>
          <w:tblCellMar>
            <w:top w:w="0" w:type="dxa"/>
            <w:left w:w="108" w:type="dxa"/>
            <w:bottom w:w="0" w:type="dxa"/>
            <w:right w:w="108" w:type="dxa"/>
          </w:tblCellMar>
        </w:tblPrEx>
        <w:trPr>
          <w:trHeight w:val="300" w:hRule="atLeast"/>
        </w:trPr>
        <w:tc>
          <w:tcPr>
            <w:tcW w:w="49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年份</w:t>
            </w:r>
          </w:p>
        </w:tc>
        <w:tc>
          <w:tcPr>
            <w:tcW w:w="40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耕地面积（万亩）</w:t>
            </w:r>
          </w:p>
        </w:tc>
        <w:tc>
          <w:tcPr>
            <w:tcW w:w="4106" w:type="pct"/>
            <w:gridSpan w:val="1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播种面积（万亩）　</w:t>
            </w:r>
          </w:p>
        </w:tc>
      </w:tr>
      <w:tr>
        <w:tblPrEx>
          <w:tblCellMar>
            <w:top w:w="0" w:type="dxa"/>
            <w:left w:w="108" w:type="dxa"/>
            <w:bottom w:w="0" w:type="dxa"/>
            <w:right w:w="108" w:type="dxa"/>
          </w:tblCellMar>
        </w:tblPrEx>
        <w:trPr>
          <w:trHeight w:val="300" w:hRule="atLeast"/>
        </w:trPr>
        <w:tc>
          <w:tcPr>
            <w:tcW w:w="491"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02"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1809" w:type="pct"/>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粮食作物</w:t>
            </w:r>
          </w:p>
        </w:tc>
        <w:tc>
          <w:tcPr>
            <w:tcW w:w="1759" w:type="pct"/>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经济作物</w:t>
            </w:r>
          </w:p>
        </w:tc>
        <w:tc>
          <w:tcPr>
            <w:tcW w:w="301" w:type="pct"/>
            <w:vMerge w:val="restart"/>
            <w:tcBorders>
              <w:top w:val="nil"/>
              <w:left w:val="nil"/>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复种指数</w:t>
            </w:r>
          </w:p>
        </w:tc>
        <w:tc>
          <w:tcPr>
            <w:tcW w:w="238"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粮经比例</w:t>
            </w:r>
          </w:p>
        </w:tc>
      </w:tr>
      <w:tr>
        <w:tblPrEx>
          <w:tblCellMar>
            <w:top w:w="0" w:type="dxa"/>
            <w:left w:w="108" w:type="dxa"/>
            <w:bottom w:w="0" w:type="dxa"/>
            <w:right w:w="108" w:type="dxa"/>
          </w:tblCellMar>
        </w:tblPrEx>
        <w:trPr>
          <w:trHeight w:val="525" w:hRule="atLeast"/>
        </w:trPr>
        <w:tc>
          <w:tcPr>
            <w:tcW w:w="491"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02" w:type="pct"/>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总播种面积</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小麦</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玉米</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总播种面积</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花生</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蔬菜（白菜）</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种植比例</w:t>
            </w:r>
          </w:p>
        </w:tc>
        <w:tc>
          <w:tcPr>
            <w:tcW w:w="301" w:type="pct"/>
            <w:vMerge w:val="continue"/>
            <w:tcBorders>
              <w:top w:val="nil"/>
              <w:left w:val="nil"/>
              <w:bottom w:val="single" w:color="000000" w:sz="8" w:space="0"/>
              <w:right w:val="single" w:color="auto" w:sz="8" w:space="0"/>
            </w:tcBorders>
            <w:vAlign w:val="center"/>
          </w:tcPr>
          <w:p>
            <w:pPr>
              <w:widowControl/>
              <w:jc w:val="center"/>
              <w:rPr>
                <w:rFonts w:ascii="宋体" w:hAnsi="宋体" w:cs="宋体"/>
                <w:color w:val="000000"/>
                <w:kern w:val="0"/>
                <w:szCs w:val="21"/>
              </w:rPr>
            </w:pPr>
          </w:p>
        </w:tc>
        <w:tc>
          <w:tcPr>
            <w:tcW w:w="238" w:type="pct"/>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2018</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109.32</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56.79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82.00%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52.53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19.86</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2.47</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17.39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1.87</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2019</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109.43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57.08</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83.00%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52.35</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20.09</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2.71</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17.38</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1.87</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5.45</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69.14</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109.53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53.89</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78.00%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55.64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80.00%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17.77</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14.74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1.84</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6.16</w:t>
            </w:r>
          </w:p>
        </w:tc>
      </w:tr>
      <w:tr>
        <w:tblPrEx>
          <w:tblCellMar>
            <w:top w:w="0" w:type="dxa"/>
            <w:left w:w="108" w:type="dxa"/>
            <w:bottom w:w="0" w:type="dxa"/>
            <w:right w:w="108" w:type="dxa"/>
          </w:tblCellMar>
        </w:tblPrEx>
        <w:trPr>
          <w:trHeight w:val="300" w:hRule="atLeast"/>
        </w:trPr>
        <w:tc>
          <w:tcPr>
            <w:tcW w:w="491"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三年均值</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9.15</w:t>
            </w:r>
          </w:p>
        </w:tc>
        <w:tc>
          <w:tcPr>
            <w:tcW w:w="4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109.43</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55.92</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81.00%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53.51</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77.00%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19.24</w:t>
            </w:r>
          </w:p>
        </w:tc>
        <w:tc>
          <w:tcPr>
            <w:tcW w:w="25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2.74</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4.00%</w:t>
            </w:r>
          </w:p>
        </w:tc>
        <w:tc>
          <w:tcPr>
            <w:tcW w:w="40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16.5</w:t>
            </w:r>
          </w:p>
        </w:tc>
        <w:tc>
          <w:tcPr>
            <w:tcW w:w="352"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24.00%</w:t>
            </w:r>
          </w:p>
        </w:tc>
        <w:tc>
          <w:tcPr>
            <w:tcW w:w="301"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1.86</w:t>
            </w:r>
          </w:p>
        </w:tc>
        <w:tc>
          <w:tcPr>
            <w:tcW w:w="238"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5.7</w:t>
            </w:r>
          </w:p>
        </w:tc>
      </w:tr>
    </w:tbl>
    <w:p>
      <w:pPr>
        <w:ind w:firstLine="560" w:firstLineChars="200"/>
        <w:rPr>
          <w:rFonts w:ascii="宋体" w:hAnsi="宋体" w:cs="宋体"/>
          <w:sz w:val="28"/>
          <w:szCs w:val="28"/>
        </w:rPr>
      </w:pPr>
    </w:p>
    <w:p>
      <w:pPr>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6838" w:h="11906" w:orient="landscape"/>
          <w:pgMar w:top="1474" w:right="1474" w:bottom="1474" w:left="1474" w:header="851" w:footer="851" w:gutter="0"/>
          <w:cols w:space="720" w:num="1"/>
          <w:docGrid w:linePitch="326" w:charSpace="0"/>
        </w:sectPr>
      </w:pPr>
    </w:p>
    <w:p>
      <w:pPr>
        <w:spacing w:line="360" w:lineRule="auto"/>
        <w:ind w:firstLine="560" w:firstLineChars="200"/>
        <w:rPr>
          <w:rFonts w:ascii="宋体" w:hAnsi="宋体" w:cs="宋体"/>
          <w:sz w:val="28"/>
          <w:szCs w:val="28"/>
        </w:rPr>
      </w:pPr>
      <w:r>
        <w:rPr>
          <w:rFonts w:hint="eastAsia" w:ascii="宋体" w:hAnsi="宋体" w:cs="宋体"/>
          <w:sz w:val="28"/>
          <w:szCs w:val="28"/>
        </w:rPr>
        <w:t>根据《河南省地方标准</w:t>
      </w:r>
      <w:r>
        <w:rPr>
          <w:rFonts w:ascii="宋体" w:hAnsi="宋体" w:cs="宋体"/>
          <w:sz w:val="28"/>
          <w:szCs w:val="28"/>
        </w:rPr>
        <w:t>—农业用水定额</w:t>
      </w:r>
      <w:r>
        <w:rPr>
          <w:rFonts w:hint="eastAsia" w:ascii="宋体" w:hAnsi="宋体" w:cs="宋体"/>
          <w:sz w:val="28"/>
          <w:szCs w:val="28"/>
        </w:rPr>
        <w:t>》（D</w:t>
      </w:r>
      <w:r>
        <w:rPr>
          <w:rFonts w:ascii="宋体" w:hAnsi="宋体" w:cs="宋体"/>
          <w:sz w:val="28"/>
          <w:szCs w:val="28"/>
        </w:rPr>
        <w:t>B41/T 958—2020</w:t>
      </w:r>
      <w:r>
        <w:rPr>
          <w:rFonts w:hint="eastAsia" w:ascii="宋体" w:hAnsi="宋体" w:cs="宋体"/>
          <w:sz w:val="28"/>
          <w:szCs w:val="28"/>
        </w:rPr>
        <w:t>）（以下</w:t>
      </w:r>
      <w:r>
        <w:rPr>
          <w:rFonts w:ascii="宋体" w:hAnsi="宋体" w:cs="宋体"/>
          <w:sz w:val="28"/>
          <w:szCs w:val="28"/>
        </w:rPr>
        <w:t>简称“</w:t>
      </w:r>
      <w:r>
        <w:rPr>
          <w:rFonts w:hint="eastAsia" w:ascii="宋体" w:hAnsi="宋体" w:cs="宋体"/>
          <w:sz w:val="28"/>
          <w:szCs w:val="28"/>
        </w:rPr>
        <w:t>河南农业</w:t>
      </w:r>
      <w:r>
        <w:rPr>
          <w:rFonts w:ascii="宋体" w:hAnsi="宋体" w:cs="宋体"/>
          <w:sz w:val="28"/>
          <w:szCs w:val="28"/>
        </w:rPr>
        <w:t>用水定额”</w:t>
      </w:r>
      <w:r>
        <w:rPr>
          <w:rFonts w:hint="eastAsia" w:ascii="宋体" w:hAnsi="宋体" w:cs="宋体"/>
          <w:sz w:val="28"/>
          <w:szCs w:val="28"/>
        </w:rPr>
        <w:t>）灌溉分区划分，项目区属豫北</w:t>
      </w:r>
      <w:r>
        <w:rPr>
          <w:rFonts w:ascii="宋体" w:hAnsi="宋体" w:cs="宋体"/>
          <w:sz w:val="28"/>
          <w:szCs w:val="28"/>
        </w:rPr>
        <w:t>平原区</w:t>
      </w:r>
      <w:r>
        <w:rPr>
          <w:rFonts w:hint="eastAsia" w:ascii="宋体" w:hAnsi="宋体" w:cs="宋体"/>
          <w:sz w:val="28"/>
          <w:szCs w:val="28"/>
        </w:rPr>
        <w:t>。基本灌溉定额见下表：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10 </w:t>
      </w:r>
      <w:r>
        <w:rPr>
          <w:rFonts w:hint="eastAsia" w:ascii="宋体" w:hAnsi="宋体" w:cs="宋体"/>
          <w:sz w:val="28"/>
          <w:szCs w:val="28"/>
        </w:rPr>
        <w:t>汤阴县基本灌溉定额表</w:t>
      </w:r>
    </w:p>
    <w:tbl>
      <w:tblPr>
        <w:tblStyle w:val="26"/>
        <w:tblW w:w="5000" w:type="pct"/>
        <w:jc w:val="center"/>
        <w:tblLayout w:type="autofit"/>
        <w:tblCellMar>
          <w:top w:w="0" w:type="dxa"/>
          <w:left w:w="108" w:type="dxa"/>
          <w:bottom w:w="0" w:type="dxa"/>
          <w:right w:w="108" w:type="dxa"/>
        </w:tblCellMar>
      </w:tblPr>
      <w:tblGrid>
        <w:gridCol w:w="1383"/>
        <w:gridCol w:w="1418"/>
        <w:gridCol w:w="1983"/>
        <w:gridCol w:w="1703"/>
        <w:gridCol w:w="2687"/>
      </w:tblGrid>
      <w:tr>
        <w:tblPrEx>
          <w:tblCellMar>
            <w:top w:w="0" w:type="dxa"/>
            <w:left w:w="108" w:type="dxa"/>
            <w:bottom w:w="0" w:type="dxa"/>
            <w:right w:w="108" w:type="dxa"/>
          </w:tblCellMar>
        </w:tblPrEx>
        <w:trPr>
          <w:trHeight w:val="174" w:hRule="atLeast"/>
          <w:jc w:val="center"/>
        </w:trPr>
        <w:tc>
          <w:tcPr>
            <w:tcW w:w="75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灌溉分区</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农作物</w:t>
            </w:r>
          </w:p>
        </w:tc>
        <w:tc>
          <w:tcPr>
            <w:tcW w:w="108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种植比例</w:t>
            </w:r>
          </w:p>
        </w:tc>
        <w:tc>
          <w:tcPr>
            <w:tcW w:w="92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保证率</w:t>
            </w:r>
          </w:p>
        </w:tc>
        <w:tc>
          <w:tcPr>
            <w:tcW w:w="14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基本灌溉定额（m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r>
      <w:tr>
        <w:tblPrEx>
          <w:tblCellMar>
            <w:top w:w="0" w:type="dxa"/>
            <w:left w:w="108" w:type="dxa"/>
            <w:bottom w:w="0" w:type="dxa"/>
            <w:right w:w="108" w:type="dxa"/>
          </w:tblCellMar>
        </w:tblPrEx>
        <w:trPr>
          <w:trHeight w:val="270" w:hRule="atLeast"/>
          <w:jc w:val="center"/>
        </w:trPr>
        <w:tc>
          <w:tcPr>
            <w:tcW w:w="754" w:type="pct"/>
            <w:vMerge w:val="restart"/>
            <w:tcBorders>
              <w:top w:val="nil"/>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豫北</w:t>
            </w:r>
            <w:r>
              <w:rPr>
                <w:rFonts w:ascii="等线" w:hAnsi="等线" w:eastAsia="等线" w:cs="宋体"/>
                <w:color w:val="000000"/>
                <w:kern w:val="0"/>
                <w:sz w:val="22"/>
                <w:szCs w:val="22"/>
              </w:rPr>
              <w:t>平原区</w:t>
            </w:r>
          </w:p>
        </w:tc>
        <w:tc>
          <w:tcPr>
            <w:tcW w:w="77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小麦</w:t>
            </w: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81.00%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125</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81.00%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155</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玉米</w:t>
            </w: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77.00%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98</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77.00%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127</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花生</w:t>
            </w: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4.00%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80</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4.00%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105</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白菜</w:t>
            </w: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24.00%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180</w:t>
            </w:r>
          </w:p>
        </w:tc>
      </w:tr>
      <w:tr>
        <w:tblPrEx>
          <w:tblCellMar>
            <w:top w:w="0" w:type="dxa"/>
            <w:left w:w="108" w:type="dxa"/>
            <w:bottom w:w="0" w:type="dxa"/>
            <w:right w:w="108" w:type="dxa"/>
          </w:tblCellMar>
        </w:tblPrEx>
        <w:trPr>
          <w:trHeight w:val="270" w:hRule="atLeast"/>
          <w:jc w:val="center"/>
        </w:trPr>
        <w:tc>
          <w:tcPr>
            <w:tcW w:w="754" w:type="pct"/>
            <w:vMerge w:val="continue"/>
            <w:tcBorders>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73"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24.00%</w:t>
            </w:r>
          </w:p>
        </w:tc>
        <w:tc>
          <w:tcPr>
            <w:tcW w:w="92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146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215</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根据《河南农业用水定额》，农作物的灌溉定额应综合考虑项目区灌溉方式</w:t>
      </w:r>
      <w:r>
        <w:rPr>
          <w:rFonts w:ascii="宋体" w:hAnsi="宋体" w:cs="宋体"/>
          <w:sz w:val="28"/>
          <w:szCs w:val="28"/>
        </w:rPr>
        <w:t>、</w:t>
      </w:r>
      <w:r>
        <w:rPr>
          <w:rFonts w:hint="eastAsia" w:ascii="宋体" w:hAnsi="宋体" w:cs="宋体"/>
          <w:sz w:val="28"/>
          <w:szCs w:val="28"/>
        </w:rPr>
        <w:t>种植条件</w:t>
      </w:r>
      <w:r>
        <w:rPr>
          <w:rFonts w:ascii="宋体" w:hAnsi="宋体" w:cs="宋体"/>
          <w:sz w:val="28"/>
          <w:szCs w:val="28"/>
        </w:rPr>
        <w:t>，对</w:t>
      </w:r>
      <w:r>
        <w:rPr>
          <w:rFonts w:hint="eastAsia" w:ascii="宋体" w:hAnsi="宋体" w:cs="宋体"/>
          <w:sz w:val="28"/>
          <w:szCs w:val="28"/>
        </w:rPr>
        <w:t>农业</w:t>
      </w:r>
      <w:r>
        <w:rPr>
          <w:rFonts w:ascii="宋体" w:hAnsi="宋体" w:cs="宋体"/>
          <w:sz w:val="28"/>
          <w:szCs w:val="28"/>
        </w:rPr>
        <w:t>灌溉用水基本定额进行</w:t>
      </w:r>
      <w:r>
        <w:rPr>
          <w:rFonts w:hint="eastAsia" w:ascii="宋体" w:hAnsi="宋体" w:cs="宋体"/>
          <w:sz w:val="28"/>
          <w:szCs w:val="28"/>
        </w:rPr>
        <w:t>修正，修正系数采用两者相乘。具体见下表：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10 </w:t>
      </w:r>
      <w:r>
        <w:rPr>
          <w:rFonts w:hint="eastAsia" w:ascii="宋体" w:hAnsi="宋体" w:cs="宋体"/>
          <w:sz w:val="28"/>
          <w:szCs w:val="28"/>
        </w:rPr>
        <w:t>汤阴县灌溉定额修正系数表</w:t>
      </w:r>
    </w:p>
    <w:tbl>
      <w:tblPr>
        <w:tblStyle w:val="26"/>
        <w:tblW w:w="8920" w:type="dxa"/>
        <w:tblInd w:w="113" w:type="dxa"/>
        <w:tblLayout w:type="autofit"/>
        <w:tblCellMar>
          <w:top w:w="0" w:type="dxa"/>
          <w:left w:w="108" w:type="dxa"/>
          <w:bottom w:w="0" w:type="dxa"/>
          <w:right w:w="108" w:type="dxa"/>
        </w:tblCellMar>
      </w:tblPr>
      <w:tblGrid>
        <w:gridCol w:w="1413"/>
        <w:gridCol w:w="1843"/>
        <w:gridCol w:w="1275"/>
        <w:gridCol w:w="1134"/>
        <w:gridCol w:w="1095"/>
        <w:gridCol w:w="1080"/>
        <w:gridCol w:w="1080"/>
      </w:tblGrid>
      <w:tr>
        <w:tblPrEx>
          <w:tblCellMar>
            <w:top w:w="0" w:type="dxa"/>
            <w:left w:w="108" w:type="dxa"/>
            <w:bottom w:w="0" w:type="dxa"/>
            <w:right w:w="108" w:type="dxa"/>
          </w:tblCellMar>
        </w:tblPrEx>
        <w:trPr>
          <w:trHeight w:val="402" w:hRule="atLeast"/>
        </w:trPr>
        <w:tc>
          <w:tcPr>
            <w:tcW w:w="14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修正系数</w:t>
            </w:r>
          </w:p>
        </w:tc>
        <w:tc>
          <w:tcPr>
            <w:tcW w:w="5347"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灌溉方法</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种植条件　</w:t>
            </w:r>
          </w:p>
        </w:tc>
      </w:tr>
      <w:tr>
        <w:tblPrEx>
          <w:tblCellMar>
            <w:top w:w="0" w:type="dxa"/>
            <w:left w:w="108" w:type="dxa"/>
            <w:bottom w:w="0" w:type="dxa"/>
            <w:right w:w="108" w:type="dxa"/>
          </w:tblCellMar>
        </w:tblPrEx>
        <w:trPr>
          <w:trHeight w:val="402" w:hRule="atLeast"/>
        </w:trPr>
        <w:tc>
          <w:tcPr>
            <w:tcW w:w="14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地面灌溉</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109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微灌</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露地</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温室</w:t>
            </w:r>
          </w:p>
        </w:tc>
      </w:tr>
      <w:tr>
        <w:tblPrEx>
          <w:tblCellMar>
            <w:top w:w="0" w:type="dxa"/>
            <w:left w:w="108" w:type="dxa"/>
            <w:bottom w:w="0" w:type="dxa"/>
            <w:right w:w="108" w:type="dxa"/>
          </w:tblCellMar>
        </w:tblPrEx>
        <w:trPr>
          <w:trHeight w:val="402" w:hRule="atLeast"/>
        </w:trPr>
        <w:tc>
          <w:tcPr>
            <w:tcW w:w="14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0.88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0.76</w:t>
            </w:r>
          </w:p>
        </w:tc>
        <w:tc>
          <w:tcPr>
            <w:tcW w:w="109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0.63</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1</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1.85</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汤阴县种植条件均为露地，则管灌区修正系数为0</w:t>
      </w:r>
      <w:r>
        <w:rPr>
          <w:rFonts w:ascii="宋体" w:hAnsi="宋体" w:cs="宋体"/>
          <w:sz w:val="28"/>
          <w:szCs w:val="28"/>
        </w:rPr>
        <w:t>.88</w:t>
      </w:r>
      <w:r>
        <w:rPr>
          <w:rFonts w:hint="eastAsia" w:ascii="宋体" w:hAnsi="宋体" w:cs="宋体"/>
          <w:sz w:val="28"/>
          <w:szCs w:val="28"/>
        </w:rPr>
        <w:t>，渠灌区修正系数为1，喷灌区修正系数为0</w:t>
      </w:r>
      <w:r>
        <w:rPr>
          <w:rFonts w:ascii="宋体" w:hAnsi="宋体" w:cs="宋体"/>
          <w:sz w:val="28"/>
          <w:szCs w:val="28"/>
        </w:rPr>
        <w:t>.76</w:t>
      </w:r>
      <w:r>
        <w:rPr>
          <w:rFonts w:hint="eastAsia" w:ascii="宋体" w:hAnsi="宋体" w:cs="宋体"/>
          <w:sz w:val="28"/>
          <w:szCs w:val="28"/>
        </w:rPr>
        <w:t>。修正后的灌溉定额见下表：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11 </w:t>
      </w:r>
      <w:r>
        <w:rPr>
          <w:rFonts w:hint="eastAsia" w:ascii="宋体" w:hAnsi="宋体" w:cs="宋体"/>
          <w:sz w:val="28"/>
          <w:szCs w:val="28"/>
        </w:rPr>
        <w:t>汤阴县灌溉定额计算表</w:t>
      </w:r>
    </w:p>
    <w:tbl>
      <w:tblPr>
        <w:tblStyle w:val="26"/>
        <w:tblW w:w="4851" w:type="pct"/>
        <w:tblInd w:w="108" w:type="dxa"/>
        <w:tblLayout w:type="autofit"/>
        <w:tblCellMar>
          <w:top w:w="0" w:type="dxa"/>
          <w:left w:w="108" w:type="dxa"/>
          <w:bottom w:w="0" w:type="dxa"/>
          <w:right w:w="108" w:type="dxa"/>
        </w:tblCellMar>
      </w:tblPr>
      <w:tblGrid>
        <w:gridCol w:w="687"/>
        <w:gridCol w:w="1075"/>
        <w:gridCol w:w="737"/>
        <w:gridCol w:w="1300"/>
        <w:gridCol w:w="1075"/>
        <w:gridCol w:w="796"/>
        <w:gridCol w:w="798"/>
        <w:gridCol w:w="844"/>
        <w:gridCol w:w="796"/>
        <w:gridCol w:w="793"/>
      </w:tblGrid>
      <w:tr>
        <w:tblPrEx>
          <w:tblCellMar>
            <w:top w:w="0" w:type="dxa"/>
            <w:left w:w="108" w:type="dxa"/>
            <w:bottom w:w="0" w:type="dxa"/>
            <w:right w:w="108" w:type="dxa"/>
          </w:tblCellMar>
        </w:tblPrEx>
        <w:trPr>
          <w:trHeight w:val="387" w:hRule="atLeast"/>
        </w:trPr>
        <w:tc>
          <w:tcPr>
            <w:tcW w:w="38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农作物</w:t>
            </w:r>
          </w:p>
        </w:tc>
        <w:tc>
          <w:tcPr>
            <w:tcW w:w="60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种植比例</w:t>
            </w:r>
          </w:p>
        </w:tc>
        <w:tc>
          <w:tcPr>
            <w:tcW w:w="41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保证率</w:t>
            </w:r>
          </w:p>
        </w:tc>
        <w:tc>
          <w:tcPr>
            <w:tcW w:w="7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基本灌溉定额（m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c>
          <w:tcPr>
            <w:tcW w:w="149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修正系数</w:t>
            </w:r>
          </w:p>
        </w:tc>
        <w:tc>
          <w:tcPr>
            <w:tcW w:w="1366"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修正后灌溉定额（m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r>
      <w:tr>
        <w:tblPrEx>
          <w:tblCellMar>
            <w:top w:w="0" w:type="dxa"/>
            <w:left w:w="108" w:type="dxa"/>
            <w:bottom w:w="0" w:type="dxa"/>
            <w:right w:w="108" w:type="dxa"/>
          </w:tblCellMar>
        </w:tblPrEx>
        <w:trPr>
          <w:trHeight w:val="288" w:hRule="atLeast"/>
        </w:trPr>
        <w:tc>
          <w:tcPr>
            <w:tcW w:w="386"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414"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30" w:type="pct"/>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r>
      <w:tr>
        <w:tblPrEx>
          <w:tblCellMar>
            <w:top w:w="0" w:type="dxa"/>
            <w:left w:w="108" w:type="dxa"/>
            <w:bottom w:w="0" w:type="dxa"/>
            <w:right w:w="108" w:type="dxa"/>
          </w:tblCellMar>
        </w:tblPrEx>
        <w:trPr>
          <w:trHeight w:val="288" w:hRule="atLeast"/>
        </w:trPr>
        <w:tc>
          <w:tcPr>
            <w:tcW w:w="38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小麦</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81.00%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125</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110.0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125.0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95.0 </w:t>
            </w:r>
          </w:p>
        </w:tc>
      </w:tr>
      <w:tr>
        <w:tblPrEx>
          <w:tblCellMar>
            <w:top w:w="0" w:type="dxa"/>
            <w:left w:w="108" w:type="dxa"/>
            <w:bottom w:w="0" w:type="dxa"/>
            <w:right w:w="108" w:type="dxa"/>
          </w:tblCellMar>
        </w:tblPrEx>
        <w:trPr>
          <w:trHeight w:val="288" w:hRule="atLeast"/>
        </w:trPr>
        <w:tc>
          <w:tcPr>
            <w:tcW w:w="386"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81.00%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155</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136.4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155.0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117.8 </w:t>
            </w:r>
          </w:p>
        </w:tc>
      </w:tr>
      <w:tr>
        <w:tblPrEx>
          <w:tblCellMar>
            <w:top w:w="0" w:type="dxa"/>
            <w:left w:w="108" w:type="dxa"/>
            <w:bottom w:w="0" w:type="dxa"/>
            <w:right w:w="108" w:type="dxa"/>
          </w:tblCellMar>
        </w:tblPrEx>
        <w:trPr>
          <w:trHeight w:val="288" w:hRule="atLeast"/>
        </w:trPr>
        <w:tc>
          <w:tcPr>
            <w:tcW w:w="38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玉米</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77.00%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98</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86.2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74.5 </w:t>
            </w:r>
          </w:p>
        </w:tc>
      </w:tr>
      <w:tr>
        <w:tblPrEx>
          <w:tblCellMar>
            <w:top w:w="0" w:type="dxa"/>
            <w:left w:w="108" w:type="dxa"/>
            <w:bottom w:w="0" w:type="dxa"/>
            <w:right w:w="108" w:type="dxa"/>
          </w:tblCellMar>
        </w:tblPrEx>
        <w:trPr>
          <w:trHeight w:val="288" w:hRule="atLeast"/>
        </w:trPr>
        <w:tc>
          <w:tcPr>
            <w:tcW w:w="386"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77.00%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127</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111.8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127.0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96.5 </w:t>
            </w:r>
          </w:p>
        </w:tc>
      </w:tr>
      <w:tr>
        <w:tblPrEx>
          <w:tblCellMar>
            <w:top w:w="0" w:type="dxa"/>
            <w:left w:w="108" w:type="dxa"/>
            <w:bottom w:w="0" w:type="dxa"/>
            <w:right w:w="108" w:type="dxa"/>
          </w:tblCellMar>
        </w:tblPrEx>
        <w:trPr>
          <w:trHeight w:val="288" w:hRule="atLeast"/>
        </w:trPr>
        <w:tc>
          <w:tcPr>
            <w:tcW w:w="38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花生</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4.00%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80</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70.4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80.0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60.8 </w:t>
            </w:r>
          </w:p>
        </w:tc>
      </w:tr>
      <w:tr>
        <w:tblPrEx>
          <w:tblCellMar>
            <w:top w:w="0" w:type="dxa"/>
            <w:left w:w="108" w:type="dxa"/>
            <w:bottom w:w="0" w:type="dxa"/>
            <w:right w:w="108" w:type="dxa"/>
          </w:tblCellMar>
        </w:tblPrEx>
        <w:trPr>
          <w:trHeight w:val="288" w:hRule="atLeast"/>
        </w:trPr>
        <w:tc>
          <w:tcPr>
            <w:tcW w:w="386"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4.00%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105</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92.4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105.0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79.8 </w:t>
            </w:r>
          </w:p>
        </w:tc>
      </w:tr>
      <w:tr>
        <w:tblPrEx>
          <w:tblCellMar>
            <w:top w:w="0" w:type="dxa"/>
            <w:left w:w="108" w:type="dxa"/>
            <w:bottom w:w="0" w:type="dxa"/>
            <w:right w:w="108" w:type="dxa"/>
          </w:tblCellMar>
        </w:tblPrEx>
        <w:trPr>
          <w:trHeight w:val="288" w:hRule="atLeast"/>
        </w:trPr>
        <w:tc>
          <w:tcPr>
            <w:tcW w:w="38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白菜</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24.00%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180</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158.4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180.0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136.8 </w:t>
            </w:r>
          </w:p>
        </w:tc>
      </w:tr>
      <w:tr>
        <w:tblPrEx>
          <w:tblCellMar>
            <w:top w:w="0" w:type="dxa"/>
            <w:left w:w="108" w:type="dxa"/>
            <w:bottom w:w="0" w:type="dxa"/>
            <w:right w:w="108" w:type="dxa"/>
          </w:tblCellMar>
        </w:tblPrEx>
        <w:trPr>
          <w:trHeight w:val="288" w:hRule="atLeast"/>
        </w:trPr>
        <w:tc>
          <w:tcPr>
            <w:tcW w:w="386"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24.00%</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3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215</w:t>
            </w:r>
          </w:p>
        </w:tc>
        <w:tc>
          <w:tcPr>
            <w:tcW w:w="60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0.88</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0.76</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189.2 </w:t>
            </w:r>
          </w:p>
        </w:tc>
        <w:tc>
          <w:tcPr>
            <w:tcW w:w="44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215.0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163.4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汤阴县灌溉区综合净灌溉定额计算公式如下：</w:t>
      </w:r>
    </w:p>
    <w:p>
      <w:pPr>
        <w:pStyle w:val="84"/>
        <w:ind w:firstLine="0" w:firstLineChars="0"/>
        <w:rPr>
          <w:rFonts w:eastAsia="宋体"/>
        </w:rPr>
      </w:pPr>
      <m:oMathPara>
        <m:oMath>
          <m:sSub>
            <m:sSubPr>
              <m:ctrlPr>
                <w:rPr>
                  <w:rFonts w:ascii="Cambria Math" w:hAnsi="Cambria Math" w:eastAsia="宋体"/>
                  <w:i/>
                </w:rPr>
              </m:ctrlPr>
            </m:sSubPr>
            <m:e>
              <m:r>
                <m:rPr/>
                <w:rPr>
                  <w:rFonts w:ascii="Cambria Math" w:eastAsia="宋体"/>
                </w:rPr>
                <m:t>M</m:t>
              </m:r>
              <m:ctrlPr>
                <w:rPr>
                  <w:rFonts w:ascii="Cambria Math" w:hAnsi="Cambria Math" w:eastAsia="宋体"/>
                  <w:i/>
                </w:rPr>
              </m:ctrlPr>
            </m:e>
            <m:sub>
              <m:r>
                <m:rPr/>
                <w:rPr>
                  <w:rFonts w:ascii="Cambria Math" w:eastAsia="宋体"/>
                </w:rPr>
                <m:t>综净</m:t>
              </m:r>
              <m:ctrlPr>
                <w:rPr>
                  <w:rFonts w:ascii="Cambria Math" w:hAnsi="Cambria Math" w:eastAsia="宋体"/>
                  <w:i/>
                </w:rPr>
              </m:ctrlPr>
            </m:sub>
          </m:sSub>
          <m:r>
            <m:rPr/>
            <w:rPr>
              <w:rFonts w:ascii="Cambria Math" w:eastAsia="宋体"/>
            </w:rPr>
            <m:t>=</m:t>
          </m:r>
          <m:sSub>
            <m:sSubPr>
              <m:ctrlPr>
                <w:rPr>
                  <w:rFonts w:ascii="Cambria Math" w:hAnsi="Cambria Math" w:eastAsia="宋体"/>
                  <w:i/>
                </w:rPr>
              </m:ctrlPr>
            </m:sSubPr>
            <m:e>
              <m:r>
                <m:rPr/>
                <w:rPr>
                  <w:rFonts w:ascii="Cambria Math" w:eastAsia="宋体"/>
                </w:rPr>
                <m:t>α</m:t>
              </m:r>
              <m:ctrlPr>
                <w:rPr>
                  <w:rFonts w:ascii="Cambria Math" w:hAnsi="Cambria Math" w:eastAsia="宋体"/>
                  <w:i/>
                </w:rPr>
              </m:ctrlPr>
            </m:e>
            <m:sub>
              <m:r>
                <m:rPr/>
                <w:rPr>
                  <w:rFonts w:ascii="Cambria Math" w:eastAsia="宋体"/>
                </w:rPr>
                <m:t>1</m:t>
              </m:r>
              <m:ctrlPr>
                <w:rPr>
                  <w:rFonts w:ascii="Cambria Math" w:hAnsi="Cambria Math" w:eastAsia="宋体"/>
                  <w:i/>
                </w:rPr>
              </m:ctrlPr>
            </m:sub>
          </m:sSub>
          <m:sSub>
            <m:sSubPr>
              <m:ctrlPr>
                <w:rPr>
                  <w:rFonts w:ascii="Cambria Math" w:hAnsi="Cambria Math" w:eastAsia="宋体"/>
                  <w:i/>
                </w:rPr>
              </m:ctrlPr>
            </m:sSubPr>
            <m:e>
              <m:r>
                <m:rPr/>
                <w:rPr>
                  <w:rFonts w:ascii="Cambria Math" w:eastAsia="宋体"/>
                </w:rPr>
                <m:t>M</m:t>
              </m:r>
              <m:ctrlPr>
                <w:rPr>
                  <w:rFonts w:ascii="Cambria Math" w:hAnsi="Cambria Math" w:eastAsia="宋体"/>
                  <w:i/>
                </w:rPr>
              </m:ctrlPr>
            </m:e>
            <m:sub>
              <m:r>
                <m:rPr/>
                <w:rPr>
                  <w:rFonts w:ascii="Cambria Math" w:eastAsia="宋体"/>
                </w:rPr>
                <m:t>1</m:t>
              </m:r>
              <m:ctrlPr>
                <w:rPr>
                  <w:rFonts w:ascii="Cambria Math" w:hAnsi="Cambria Math" w:eastAsia="宋体"/>
                  <w:i/>
                </w:rPr>
              </m:ctrlPr>
            </m:sub>
          </m:sSub>
          <m:r>
            <m:rPr/>
            <w:rPr>
              <w:rFonts w:ascii="Cambria Math" w:eastAsia="宋体"/>
            </w:rPr>
            <m:t>+α</m:t>
          </m:r>
          <m:sSub>
            <m:sSubPr>
              <m:ctrlPr>
                <w:rPr>
                  <w:rFonts w:ascii="Cambria Math" w:hAnsi="Cambria Math" w:eastAsia="宋体"/>
                  <w:i/>
                </w:rPr>
              </m:ctrlPr>
            </m:sSubPr>
            <m:e>
              <m:sPre>
                <m:sPrePr>
                  <m:ctrlPr>
                    <w:rPr>
                      <w:rFonts w:ascii="Cambria Math" w:hAnsi="Cambria Math" w:eastAsia="宋体"/>
                      <w:i/>
                    </w:rPr>
                  </m:ctrlPr>
                </m:sPrePr>
                <m:sub>
                  <m:r>
                    <m:rPr/>
                    <w:rPr>
                      <w:rFonts w:ascii="Cambria Math" w:eastAsia="宋体"/>
                    </w:rPr>
                    <m:t>2</m:t>
                  </m:r>
                  <m:ctrlPr>
                    <w:rPr>
                      <w:rFonts w:ascii="Cambria Math" w:hAnsi="Cambria Math" w:eastAsia="宋体"/>
                      <w:i/>
                    </w:rPr>
                  </m:ctrlPr>
                </m:sub>
                <m:sup>
                  <m:ctrlPr>
                    <w:rPr>
                      <w:rFonts w:ascii="Cambria Math" w:hAnsi="Cambria Math" w:eastAsia="宋体"/>
                      <w:i/>
                    </w:rPr>
                  </m:ctrlPr>
                </m:sup>
                <m:e>
                  <m:r>
                    <m:rPr/>
                    <w:rPr>
                      <w:rFonts w:ascii="Cambria Math" w:eastAsia="宋体"/>
                    </w:rPr>
                    <m:t>M</m:t>
                  </m:r>
                  <m:ctrlPr>
                    <w:rPr>
                      <w:rFonts w:ascii="Cambria Math" w:hAnsi="Cambria Math" w:eastAsia="宋体"/>
                      <w:i/>
                    </w:rPr>
                  </m:ctrlPr>
                </m:e>
              </m:sPre>
              <m:ctrlPr>
                <w:rPr>
                  <w:rFonts w:ascii="Cambria Math" w:hAnsi="Cambria Math" w:eastAsia="宋体"/>
                  <w:i/>
                </w:rPr>
              </m:ctrlPr>
            </m:e>
            <m:sub>
              <m:r>
                <m:rPr/>
                <w:rPr>
                  <w:rFonts w:ascii="Cambria Math" w:eastAsia="宋体"/>
                </w:rPr>
                <m:t>2</m:t>
              </m:r>
              <m:ctrlPr>
                <w:rPr>
                  <w:rFonts w:ascii="Cambria Math" w:hAnsi="Cambria Math" w:eastAsia="宋体"/>
                  <w:i/>
                </w:rPr>
              </m:ctrlPr>
            </m:sub>
          </m:sSub>
          <m:r>
            <m:rPr/>
            <w:rPr>
              <w:rFonts w:ascii="Cambria Math" w:eastAsia="宋体"/>
            </w:rPr>
            <m:t>+α</m:t>
          </m:r>
          <m:sSub>
            <m:sSubPr>
              <m:ctrlPr>
                <w:rPr>
                  <w:rFonts w:ascii="Cambria Math" w:hAnsi="Cambria Math" w:eastAsia="宋体"/>
                  <w:i/>
                </w:rPr>
              </m:ctrlPr>
            </m:sSubPr>
            <m:e>
              <m:sPre>
                <m:sPrePr>
                  <m:ctrlPr>
                    <w:rPr>
                      <w:rFonts w:ascii="Cambria Math" w:hAnsi="Cambria Math" w:eastAsia="宋体"/>
                      <w:i/>
                    </w:rPr>
                  </m:ctrlPr>
                </m:sPrePr>
                <m:sub>
                  <m:r>
                    <m:rPr/>
                    <w:rPr>
                      <w:rFonts w:ascii="Cambria Math" w:eastAsia="宋体"/>
                    </w:rPr>
                    <m:t>3</m:t>
                  </m:r>
                  <m:ctrlPr>
                    <w:rPr>
                      <w:rFonts w:ascii="Cambria Math" w:hAnsi="Cambria Math" w:eastAsia="宋体"/>
                      <w:i/>
                    </w:rPr>
                  </m:ctrlPr>
                </m:sub>
                <m:sup>
                  <m:ctrlPr>
                    <w:rPr>
                      <w:rFonts w:ascii="Cambria Math" w:hAnsi="Cambria Math" w:eastAsia="宋体"/>
                      <w:i/>
                    </w:rPr>
                  </m:ctrlPr>
                </m:sup>
                <m:e>
                  <m:r>
                    <m:rPr/>
                    <w:rPr>
                      <w:rFonts w:ascii="Cambria Math" w:eastAsia="宋体"/>
                    </w:rPr>
                    <m:t>M</m:t>
                  </m:r>
                  <m:ctrlPr>
                    <w:rPr>
                      <w:rFonts w:ascii="Cambria Math" w:hAnsi="Cambria Math" w:eastAsia="宋体"/>
                      <w:i/>
                    </w:rPr>
                  </m:ctrlPr>
                </m:e>
              </m:sPre>
              <m:ctrlPr>
                <w:rPr>
                  <w:rFonts w:ascii="Cambria Math" w:hAnsi="Cambria Math" w:eastAsia="宋体"/>
                  <w:i/>
                </w:rPr>
              </m:ctrlPr>
            </m:e>
            <m:sub>
              <m:r>
                <m:rPr/>
                <w:rPr>
                  <w:rFonts w:ascii="Cambria Math" w:eastAsia="宋体"/>
                </w:rPr>
                <m:t>3</m:t>
              </m:r>
              <m:ctrlPr>
                <w:rPr>
                  <w:rFonts w:ascii="Cambria Math" w:hAnsi="Cambria Math" w:eastAsia="宋体"/>
                  <w:i/>
                </w:rPr>
              </m:ctrlPr>
            </m:sub>
          </m:sSub>
          <m:r>
            <m:rPr/>
            <w:rPr>
              <w:rFonts w:hint="eastAsia" w:ascii="Cambria Math" w:eastAsia="宋体"/>
            </w:rPr>
            <m:t>+</m:t>
          </m:r>
          <m:sSub>
            <m:sSubPr>
              <m:ctrlPr>
                <w:rPr>
                  <w:rFonts w:ascii="Cambria Math" w:hAnsi="Cambria Math" w:eastAsia="宋体"/>
                  <w:i/>
                </w:rPr>
              </m:ctrlPr>
            </m:sSubPr>
            <m:e>
              <m:r>
                <m:rPr/>
                <w:rPr>
                  <w:rFonts w:ascii="Cambria Math" w:eastAsia="宋体"/>
                </w:rPr>
                <m:t>α</m:t>
              </m:r>
              <m:ctrlPr>
                <w:rPr>
                  <w:rFonts w:ascii="Cambria Math" w:hAnsi="Cambria Math" w:eastAsia="宋体"/>
                  <w:i/>
                </w:rPr>
              </m:ctrlPr>
            </m:e>
            <m:sub>
              <m:r>
                <m:rPr/>
                <w:rPr>
                  <w:rFonts w:ascii="Cambria Math" w:eastAsia="宋体"/>
                </w:rPr>
                <m:t>4</m:t>
              </m:r>
              <m:ctrlPr>
                <w:rPr>
                  <w:rFonts w:ascii="Cambria Math" w:hAnsi="Cambria Math" w:eastAsia="宋体"/>
                  <w:i/>
                </w:rPr>
              </m:ctrlPr>
            </m:sub>
          </m:sSub>
          <m:sSub>
            <m:sSubPr>
              <m:ctrlPr>
                <w:rPr>
                  <w:rFonts w:ascii="Cambria Math" w:hAnsi="Cambria Math" w:eastAsia="宋体"/>
                  <w:i/>
                </w:rPr>
              </m:ctrlPr>
            </m:sSubPr>
            <m:e>
              <m:r>
                <m:rPr/>
                <w:rPr>
                  <w:rFonts w:ascii="Cambria Math" w:eastAsia="宋体"/>
                </w:rPr>
                <m:t>M</m:t>
              </m:r>
              <m:ctrlPr>
                <w:rPr>
                  <w:rFonts w:ascii="Cambria Math" w:hAnsi="Cambria Math" w:eastAsia="宋体"/>
                  <w:i/>
                </w:rPr>
              </m:ctrlPr>
            </m:e>
            <m:sub>
              <m:r>
                <m:rPr/>
                <w:rPr>
                  <w:rFonts w:ascii="Cambria Math" w:eastAsia="宋体"/>
                </w:rPr>
                <m:t>4</m:t>
              </m:r>
              <m:ctrlPr>
                <w:rPr>
                  <w:rFonts w:ascii="Cambria Math" w:hAnsi="Cambria Math" w:eastAsia="宋体"/>
                  <w:i/>
                </w:rPr>
              </m:ctrlPr>
            </m:sub>
          </m:sSub>
        </m:oMath>
      </m:oMathPara>
    </w:p>
    <w:p>
      <w:pPr>
        <w:spacing w:line="360" w:lineRule="auto"/>
        <w:ind w:firstLine="560" w:firstLineChars="200"/>
        <w:rPr>
          <w:rFonts w:ascii="宋体" w:hAnsi="宋体" w:cs="宋体"/>
          <w:sz w:val="28"/>
          <w:szCs w:val="28"/>
        </w:rPr>
      </w:pPr>
      <w:r>
        <w:rPr>
          <w:rFonts w:ascii="宋体" w:hAnsi="宋体" w:cs="宋体"/>
          <w:sz w:val="28"/>
          <w:szCs w:val="28"/>
        </w:rPr>
        <w:t>式中：M综净——综合灌溉定额，m</w:t>
      </w:r>
      <w:r>
        <w:rPr>
          <w:rFonts w:ascii="宋体" w:hAnsi="宋体" w:cs="宋体"/>
          <w:sz w:val="28"/>
          <w:szCs w:val="28"/>
          <w:vertAlign w:val="superscript"/>
        </w:rPr>
        <w:t>3</w:t>
      </w:r>
      <w:r>
        <w:rPr>
          <w:rFonts w:ascii="宋体" w:hAnsi="宋体" w:cs="宋体"/>
          <w:sz w:val="28"/>
          <w:szCs w:val="28"/>
        </w:rPr>
        <w:t>/亩；</w:t>
      </w:r>
    </w:p>
    <w:p>
      <w:pPr>
        <w:spacing w:line="360" w:lineRule="auto"/>
        <w:ind w:firstLine="420" w:firstLineChars="200"/>
        <w:rPr>
          <w:rFonts w:ascii="宋体" w:hAnsi="宋体" w:cs="宋体"/>
          <w:sz w:val="28"/>
          <w:szCs w:val="28"/>
        </w:rPr>
      </w:pPr>
      <m:oMath>
        <m:sSub>
          <m:sSubPr>
            <m:ctrlPr>
              <w:rPr>
                <w:rFonts w:ascii="Cambria Math" w:hAnsi="Cambria Math"/>
                <w:i/>
              </w:rPr>
            </m:ctrlPr>
          </m:sSubPr>
          <m:e>
            <m:r>
              <m:rPr/>
              <w:rPr>
                <w:rFonts w:ascii="Cambria Math"/>
              </w:rPr>
              <m:t>α</m:t>
            </m:r>
            <m:ctrlPr>
              <w:rPr>
                <w:rFonts w:ascii="Cambria Math" w:hAnsi="Cambria Math"/>
                <w:i/>
              </w:rPr>
            </m:ctrlPr>
          </m:e>
          <m:sub>
            <m:r>
              <m:rPr/>
              <w:rPr>
                <w:rFonts w:ascii="Cambria Math"/>
              </w:rPr>
              <m:t>1</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α</m:t>
            </m:r>
            <m:ctrlPr>
              <w:rPr>
                <w:rFonts w:ascii="Cambria Math" w:hAnsi="Cambria Math"/>
                <w:i/>
              </w:rPr>
            </m:ctrlPr>
          </m:e>
          <m:sub>
            <m:r>
              <m:rPr/>
              <w:rPr>
                <w:rFonts w:ascii="Cambria Math"/>
              </w:rPr>
              <m:t>2</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α</m:t>
            </m:r>
            <m:ctrlPr>
              <w:rPr>
                <w:rFonts w:ascii="Cambria Math" w:hAnsi="Cambria Math"/>
                <w:i/>
              </w:rPr>
            </m:ctrlPr>
          </m:e>
          <m:sub>
            <m:r>
              <m:rPr/>
              <w:rPr>
                <w:rFonts w:ascii="Cambria Math"/>
              </w:rPr>
              <m:t>3</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α</m:t>
            </m:r>
            <m:ctrlPr>
              <w:rPr>
                <w:rFonts w:ascii="Cambria Math" w:hAnsi="Cambria Math"/>
                <w:i/>
              </w:rPr>
            </m:ctrlPr>
          </m:e>
          <m:sub>
            <m:r>
              <m:rPr/>
              <w:rPr>
                <w:rFonts w:ascii="Cambria Math"/>
              </w:rPr>
              <m:t>4</m:t>
            </m:r>
            <m:ctrlPr>
              <w:rPr>
                <w:rFonts w:ascii="Cambria Math" w:hAnsi="Cambria Math"/>
                <w:i/>
              </w:rPr>
            </m:ctrlPr>
          </m:sub>
        </m:sSub>
      </m:oMath>
      <w:r>
        <w:rPr>
          <w:rFonts w:ascii="宋体" w:hAnsi="宋体" w:cs="宋体"/>
          <w:sz w:val="28"/>
          <w:szCs w:val="28"/>
        </w:rPr>
        <w:t>——小麦、玉米</w:t>
      </w:r>
      <w:r>
        <w:rPr>
          <w:rFonts w:hint="eastAsia" w:ascii="宋体" w:hAnsi="宋体" w:cs="宋体"/>
          <w:sz w:val="28"/>
          <w:szCs w:val="28"/>
        </w:rPr>
        <w:t>、花生、白菜</w:t>
      </w:r>
      <w:r>
        <w:rPr>
          <w:rFonts w:ascii="宋体" w:hAnsi="宋体" w:cs="宋体"/>
          <w:sz w:val="28"/>
          <w:szCs w:val="28"/>
        </w:rPr>
        <w:t>的种植比例，分别为0.81、0.77、0.04</w:t>
      </w:r>
      <w:r>
        <w:rPr>
          <w:rFonts w:hint="eastAsia" w:ascii="宋体" w:hAnsi="宋体" w:cs="宋体"/>
          <w:sz w:val="28"/>
          <w:szCs w:val="28"/>
        </w:rPr>
        <w:t>、0</w:t>
      </w:r>
      <w:r>
        <w:rPr>
          <w:rFonts w:ascii="宋体" w:hAnsi="宋体" w:cs="宋体"/>
          <w:sz w:val="28"/>
          <w:szCs w:val="28"/>
        </w:rPr>
        <w:t>.24；</w:t>
      </w:r>
    </w:p>
    <w:p>
      <w:pPr>
        <w:spacing w:line="360" w:lineRule="auto"/>
        <w:ind w:firstLine="420" w:firstLineChars="200"/>
        <w:rPr>
          <w:rFonts w:ascii="宋体" w:hAnsi="宋体" w:cs="宋体"/>
          <w:sz w:val="28"/>
          <w:szCs w:val="28"/>
        </w:rPr>
      </w:pPr>
      <m:oMath>
        <m:sSub>
          <m:sSubPr>
            <m:ctrlPr>
              <w:rPr>
                <w:rFonts w:ascii="Cambria Math" w:hAnsi="Cambria Math"/>
                <w:i/>
              </w:rPr>
            </m:ctrlPr>
          </m:sSubPr>
          <m:e>
            <m:r>
              <m:rPr/>
              <w:rPr>
                <w:rFonts w:ascii="Cambria Math"/>
              </w:rPr>
              <m:t>M</m:t>
            </m:r>
            <m:ctrlPr>
              <w:rPr>
                <w:rFonts w:ascii="Cambria Math" w:hAnsi="Cambria Math"/>
                <w:i/>
              </w:rPr>
            </m:ctrlPr>
          </m:e>
          <m:sub>
            <m:r>
              <m:rPr/>
              <w:rPr>
                <w:rFonts w:ascii="Cambria Math"/>
              </w:rPr>
              <m:t>1</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M</m:t>
            </m:r>
            <m:ctrlPr>
              <w:rPr>
                <w:rFonts w:ascii="Cambria Math" w:hAnsi="Cambria Math"/>
                <w:i/>
              </w:rPr>
            </m:ctrlPr>
          </m:e>
          <m:sub>
            <m:r>
              <m:rPr/>
              <w:rPr>
                <w:rFonts w:ascii="Cambria Math"/>
              </w:rPr>
              <m:t>2</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M</m:t>
            </m:r>
            <m:ctrlPr>
              <w:rPr>
                <w:rFonts w:ascii="Cambria Math" w:hAnsi="Cambria Math"/>
                <w:i/>
              </w:rPr>
            </m:ctrlPr>
          </m:e>
          <m:sub>
            <m:r>
              <m:rPr/>
              <w:rPr>
                <w:rFonts w:ascii="Cambria Math"/>
              </w:rPr>
              <m:t>3</m:t>
            </m:r>
            <m:ctrlPr>
              <w:rPr>
                <w:rFonts w:ascii="Cambria Math" w:hAnsi="Cambria Math"/>
                <w:i/>
              </w:rPr>
            </m:ctrlPr>
          </m:sub>
        </m:sSub>
        <m:r>
          <m:rPr/>
          <w:rPr>
            <w:rFonts w:hint="eastAsia" w:ascii="Cambria Math"/>
          </w:rPr>
          <m:t>、</m:t>
        </m:r>
        <m:sSub>
          <m:sSubPr>
            <m:ctrlPr>
              <w:rPr>
                <w:rFonts w:ascii="Cambria Math" w:hAnsi="Cambria Math"/>
                <w:i/>
              </w:rPr>
            </m:ctrlPr>
          </m:sSubPr>
          <m:e>
            <m:r>
              <m:rPr/>
              <w:rPr>
                <w:rFonts w:ascii="Cambria Math"/>
              </w:rPr>
              <m:t>M</m:t>
            </m:r>
            <m:ctrlPr>
              <w:rPr>
                <w:rFonts w:ascii="Cambria Math" w:hAnsi="Cambria Math"/>
                <w:i/>
              </w:rPr>
            </m:ctrlPr>
          </m:e>
          <m:sub>
            <m:r>
              <m:rPr/>
              <w:rPr>
                <w:rFonts w:ascii="Cambria Math"/>
              </w:rPr>
              <m:t>4</m:t>
            </m:r>
            <m:ctrlPr>
              <w:rPr>
                <w:rFonts w:ascii="Cambria Math" w:hAnsi="Cambria Math"/>
                <w:i/>
              </w:rPr>
            </m:ctrlPr>
          </m:sub>
        </m:sSub>
      </m:oMath>
      <w:r>
        <w:rPr>
          <w:rFonts w:ascii="宋体" w:hAnsi="宋体" w:cs="宋体"/>
          <w:sz w:val="28"/>
          <w:szCs w:val="28"/>
        </w:rPr>
        <w:t>——小麦、玉米</w:t>
      </w:r>
      <w:r>
        <w:rPr>
          <w:rFonts w:hint="eastAsia" w:ascii="宋体" w:hAnsi="宋体" w:cs="宋体"/>
          <w:sz w:val="28"/>
          <w:szCs w:val="28"/>
        </w:rPr>
        <w:t>、花生、白菜</w:t>
      </w:r>
      <w:r>
        <w:rPr>
          <w:rFonts w:ascii="宋体" w:hAnsi="宋体" w:cs="宋体"/>
          <w:sz w:val="28"/>
          <w:szCs w:val="28"/>
        </w:rPr>
        <w:t>的灌溉定额，m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hint="eastAsia" w:ascii="宋体" w:hAnsi="宋体" w:cs="宋体"/>
          <w:sz w:val="28"/>
          <w:szCs w:val="28"/>
        </w:rPr>
        <w:t>则渠灌区的综合净灌溉定额：</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综净50</w:t>
      </w:r>
      <w:r>
        <w:rPr>
          <w:rFonts w:hint="eastAsia" w:ascii="宋体" w:hAnsi="宋体" w:cs="宋体"/>
          <w:sz w:val="28"/>
          <w:szCs w:val="28"/>
          <w:vertAlign w:val="subscript"/>
        </w:rPr>
        <w:t>%</w:t>
      </w:r>
      <w:r>
        <w:rPr>
          <w:rFonts w:ascii="宋体" w:hAnsi="宋体" w:cs="宋体"/>
          <w:sz w:val="28"/>
          <w:szCs w:val="28"/>
        </w:rPr>
        <w:t>=125</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98</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80</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180</w:t>
      </w:r>
      <w:r>
        <w:rPr>
          <w:rFonts w:hint="eastAsia" w:ascii="宋体" w:hAnsi="宋体" w:cs="宋体"/>
          <w:sz w:val="28"/>
          <w:szCs w:val="28"/>
        </w:rPr>
        <w:t>×</w:t>
      </w:r>
      <w:r>
        <w:rPr>
          <w:rFonts w:ascii="宋体" w:hAnsi="宋体" w:cs="宋体"/>
          <w:sz w:val="28"/>
          <w:szCs w:val="28"/>
        </w:rPr>
        <w:t>0.24=223.07m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综净75</w:t>
      </w:r>
      <w:r>
        <w:rPr>
          <w:rFonts w:hint="eastAsia" w:ascii="宋体" w:hAnsi="宋体" w:cs="宋体"/>
          <w:sz w:val="28"/>
          <w:szCs w:val="28"/>
          <w:vertAlign w:val="subscript"/>
        </w:rPr>
        <w:t>%</w:t>
      </w:r>
      <w:r>
        <w:rPr>
          <w:rFonts w:ascii="宋体" w:hAnsi="宋体" w:cs="宋体"/>
          <w:sz w:val="28"/>
          <w:szCs w:val="28"/>
        </w:rPr>
        <w:t>=155</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127</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105</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215</w:t>
      </w:r>
      <w:r>
        <w:rPr>
          <w:rFonts w:hint="eastAsia" w:ascii="宋体" w:hAnsi="宋体" w:cs="宋体"/>
          <w:sz w:val="28"/>
          <w:szCs w:val="28"/>
        </w:rPr>
        <w:t>×</w:t>
      </w:r>
      <w:r>
        <w:rPr>
          <w:rFonts w:ascii="宋体" w:hAnsi="宋体" w:cs="宋体"/>
          <w:sz w:val="28"/>
          <w:szCs w:val="28"/>
        </w:rPr>
        <w:t>0.24=279.12m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hint="eastAsia" w:ascii="宋体" w:hAnsi="宋体" w:cs="宋体"/>
          <w:sz w:val="28"/>
          <w:szCs w:val="28"/>
        </w:rPr>
        <w:t>管灌区的综合净灌溉定额：</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综净50</w:t>
      </w:r>
      <w:r>
        <w:rPr>
          <w:rFonts w:hint="eastAsia" w:ascii="宋体" w:hAnsi="宋体" w:cs="宋体"/>
          <w:sz w:val="28"/>
          <w:szCs w:val="28"/>
          <w:vertAlign w:val="subscript"/>
        </w:rPr>
        <w:t>%</w:t>
      </w:r>
      <w:r>
        <w:rPr>
          <w:rFonts w:ascii="宋体" w:hAnsi="宋体" w:cs="宋体"/>
          <w:sz w:val="28"/>
          <w:szCs w:val="28"/>
        </w:rPr>
        <w:t>=110</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86.24</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70.4</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158.4</w:t>
      </w:r>
      <w:r>
        <w:rPr>
          <w:rFonts w:hint="eastAsia" w:ascii="宋体" w:hAnsi="宋体" w:cs="宋体"/>
          <w:sz w:val="28"/>
          <w:szCs w:val="28"/>
        </w:rPr>
        <w:t>×</w:t>
      </w:r>
      <w:r>
        <w:rPr>
          <w:rFonts w:ascii="宋体" w:hAnsi="宋体" w:cs="宋体"/>
          <w:sz w:val="28"/>
          <w:szCs w:val="28"/>
        </w:rPr>
        <w:t>0.24=</w:t>
      </w:r>
      <w:r>
        <w:rPr>
          <w:rFonts w:hint="eastAsia" w:ascii="宋体" w:hAnsi="宋体" w:cs="宋体"/>
          <w:sz w:val="28"/>
          <w:szCs w:val="28"/>
        </w:rPr>
        <w:t>1</w:t>
      </w:r>
      <w:r>
        <w:rPr>
          <w:rFonts w:ascii="宋体" w:hAnsi="宋体" w:cs="宋体"/>
          <w:sz w:val="28"/>
          <w:szCs w:val="28"/>
        </w:rPr>
        <w:t>96.3m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综净75</w:t>
      </w:r>
      <w:r>
        <w:rPr>
          <w:rFonts w:hint="eastAsia" w:ascii="宋体" w:hAnsi="宋体" w:cs="宋体"/>
          <w:sz w:val="28"/>
          <w:szCs w:val="28"/>
          <w:vertAlign w:val="subscript"/>
        </w:rPr>
        <w:t>%</w:t>
      </w:r>
      <w:r>
        <w:rPr>
          <w:rFonts w:ascii="宋体" w:hAnsi="宋体" w:cs="宋体"/>
          <w:sz w:val="28"/>
          <w:szCs w:val="28"/>
        </w:rPr>
        <w:t>=136.4</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111.76</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92.4</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189.2</w:t>
      </w:r>
      <w:r>
        <w:rPr>
          <w:rFonts w:hint="eastAsia" w:ascii="宋体" w:hAnsi="宋体" w:cs="宋体"/>
          <w:sz w:val="28"/>
          <w:szCs w:val="28"/>
        </w:rPr>
        <w:t>×</w:t>
      </w:r>
      <w:r>
        <w:rPr>
          <w:rFonts w:ascii="宋体" w:hAnsi="宋体" w:cs="宋体"/>
          <w:sz w:val="28"/>
          <w:szCs w:val="28"/>
        </w:rPr>
        <w:t>0.24=245.62m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hint="eastAsia" w:ascii="宋体" w:hAnsi="宋体" w:cs="宋体"/>
          <w:sz w:val="28"/>
          <w:szCs w:val="28"/>
        </w:rPr>
        <w:t>喷灌区的综合净灌溉定额：</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综净50</w:t>
      </w:r>
      <w:r>
        <w:rPr>
          <w:rFonts w:hint="eastAsia" w:ascii="宋体" w:hAnsi="宋体" w:cs="宋体"/>
          <w:sz w:val="28"/>
          <w:szCs w:val="28"/>
          <w:vertAlign w:val="subscript"/>
        </w:rPr>
        <w:t>%</w:t>
      </w:r>
      <w:r>
        <w:rPr>
          <w:rFonts w:ascii="宋体" w:hAnsi="宋体" w:cs="宋体"/>
          <w:sz w:val="28"/>
          <w:szCs w:val="28"/>
        </w:rPr>
        <w:t>=95</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74.48</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60.8</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136.8</w:t>
      </w:r>
      <w:r>
        <w:rPr>
          <w:rFonts w:hint="eastAsia" w:ascii="宋体" w:hAnsi="宋体" w:cs="宋体"/>
          <w:sz w:val="28"/>
          <w:szCs w:val="28"/>
        </w:rPr>
        <w:t>×</w:t>
      </w:r>
      <w:r>
        <w:rPr>
          <w:rFonts w:ascii="宋体" w:hAnsi="宋体" w:cs="宋体"/>
          <w:sz w:val="28"/>
          <w:szCs w:val="28"/>
        </w:rPr>
        <w:t>0.24=</w:t>
      </w:r>
      <w:r>
        <w:rPr>
          <w:rFonts w:hint="eastAsia" w:ascii="宋体" w:hAnsi="宋体" w:cs="宋体"/>
          <w:sz w:val="28"/>
          <w:szCs w:val="28"/>
        </w:rPr>
        <w:t>1</w:t>
      </w:r>
      <w:r>
        <w:rPr>
          <w:rFonts w:ascii="宋体" w:hAnsi="宋体" w:cs="宋体"/>
          <w:sz w:val="28"/>
          <w:szCs w:val="28"/>
        </w:rPr>
        <w:t>69.53m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ascii="宋体" w:hAnsi="宋体" w:cs="宋体"/>
          <w:sz w:val="28"/>
          <w:szCs w:val="28"/>
        </w:rPr>
        <w:t>M</w:t>
      </w:r>
      <w:r>
        <w:rPr>
          <w:rFonts w:ascii="宋体" w:hAnsi="宋体" w:cs="宋体"/>
          <w:sz w:val="28"/>
          <w:szCs w:val="28"/>
          <w:vertAlign w:val="subscript"/>
        </w:rPr>
        <w:t>综净75</w:t>
      </w:r>
      <w:r>
        <w:rPr>
          <w:rFonts w:hint="eastAsia" w:ascii="宋体" w:hAnsi="宋体" w:cs="宋体"/>
          <w:sz w:val="28"/>
          <w:szCs w:val="28"/>
          <w:vertAlign w:val="subscript"/>
        </w:rPr>
        <w:t>%</w:t>
      </w:r>
      <w:r>
        <w:rPr>
          <w:rFonts w:ascii="宋体" w:hAnsi="宋体" w:cs="宋体"/>
          <w:sz w:val="28"/>
          <w:szCs w:val="28"/>
        </w:rPr>
        <w:t>=117.8</w:t>
      </w:r>
      <w:r>
        <w:rPr>
          <w:rFonts w:hint="eastAsia" w:ascii="宋体" w:hAnsi="宋体" w:cs="宋体"/>
          <w:sz w:val="28"/>
          <w:szCs w:val="28"/>
        </w:rPr>
        <w:t>×</w:t>
      </w:r>
      <w:r>
        <w:rPr>
          <w:rFonts w:ascii="宋体" w:hAnsi="宋体" w:cs="宋体"/>
          <w:sz w:val="28"/>
          <w:szCs w:val="28"/>
        </w:rPr>
        <w:t>0.81</w:t>
      </w:r>
      <w:r>
        <w:rPr>
          <w:rFonts w:hint="eastAsia" w:ascii="宋体" w:hAnsi="宋体" w:cs="宋体"/>
          <w:sz w:val="28"/>
          <w:szCs w:val="28"/>
        </w:rPr>
        <w:t>+</w:t>
      </w:r>
      <w:r>
        <w:rPr>
          <w:rFonts w:ascii="宋体" w:hAnsi="宋体" w:cs="宋体"/>
          <w:sz w:val="28"/>
          <w:szCs w:val="28"/>
        </w:rPr>
        <w:t>96.52</w:t>
      </w:r>
      <w:r>
        <w:rPr>
          <w:rFonts w:hint="eastAsia" w:ascii="宋体" w:hAnsi="宋体" w:cs="宋体"/>
          <w:sz w:val="28"/>
          <w:szCs w:val="28"/>
        </w:rPr>
        <w:t>×</w:t>
      </w:r>
      <w:r>
        <w:rPr>
          <w:rFonts w:ascii="宋体" w:hAnsi="宋体" w:cs="宋体"/>
          <w:sz w:val="28"/>
          <w:szCs w:val="28"/>
        </w:rPr>
        <w:t>0.77</w:t>
      </w:r>
      <w:r>
        <w:rPr>
          <w:rFonts w:hint="eastAsia" w:ascii="宋体" w:hAnsi="宋体" w:cs="宋体"/>
          <w:sz w:val="28"/>
          <w:szCs w:val="28"/>
        </w:rPr>
        <w:t>+</w:t>
      </w:r>
      <w:r>
        <w:rPr>
          <w:rFonts w:ascii="宋体" w:hAnsi="宋体" w:cs="宋体"/>
          <w:sz w:val="28"/>
          <w:szCs w:val="28"/>
        </w:rPr>
        <w:t>79.8</w:t>
      </w:r>
      <w:r>
        <w:rPr>
          <w:rFonts w:hint="eastAsia" w:ascii="宋体" w:hAnsi="宋体" w:cs="宋体"/>
          <w:sz w:val="28"/>
          <w:szCs w:val="28"/>
        </w:rPr>
        <w:t>×</w:t>
      </w:r>
      <w:r>
        <w:rPr>
          <w:rFonts w:ascii="宋体" w:hAnsi="宋体" w:cs="宋体"/>
          <w:sz w:val="28"/>
          <w:szCs w:val="28"/>
        </w:rPr>
        <w:t>0.04</w:t>
      </w:r>
      <w:r>
        <w:rPr>
          <w:rFonts w:hint="eastAsia" w:ascii="宋体" w:hAnsi="宋体" w:cs="宋体"/>
          <w:sz w:val="28"/>
          <w:szCs w:val="28"/>
        </w:rPr>
        <w:t>+</w:t>
      </w:r>
      <w:r>
        <w:rPr>
          <w:rFonts w:ascii="宋体" w:hAnsi="宋体" w:cs="宋体"/>
          <w:sz w:val="28"/>
          <w:szCs w:val="28"/>
        </w:rPr>
        <w:t>163.4</w:t>
      </w:r>
      <w:r>
        <w:rPr>
          <w:rFonts w:hint="eastAsia" w:ascii="宋体" w:hAnsi="宋体" w:cs="宋体"/>
          <w:sz w:val="28"/>
          <w:szCs w:val="28"/>
        </w:rPr>
        <w:t>×</w:t>
      </w:r>
      <w:r>
        <w:rPr>
          <w:rFonts w:ascii="宋体" w:hAnsi="宋体" w:cs="宋体"/>
          <w:sz w:val="28"/>
          <w:szCs w:val="28"/>
        </w:rPr>
        <w:t>0.24=212.13m</w:t>
      </w:r>
      <w:r>
        <w:rPr>
          <w:rFonts w:ascii="宋体" w:hAnsi="宋体" w:cs="宋体"/>
          <w:sz w:val="28"/>
          <w:szCs w:val="28"/>
          <w:vertAlign w:val="superscript"/>
        </w:rPr>
        <w:t>3</w:t>
      </w:r>
      <w:r>
        <w:rPr>
          <w:rFonts w:ascii="宋体" w:hAnsi="宋体" w:cs="宋体"/>
          <w:sz w:val="28"/>
          <w:szCs w:val="28"/>
        </w:rPr>
        <w:t>/亩</w:t>
      </w:r>
    </w:p>
    <w:p>
      <w:pPr>
        <w:spacing w:line="360" w:lineRule="auto"/>
        <w:ind w:firstLine="560" w:firstLineChars="200"/>
        <w:rPr>
          <w:rFonts w:ascii="宋体" w:hAnsi="宋体" w:cs="宋体"/>
          <w:sz w:val="28"/>
          <w:szCs w:val="28"/>
        </w:rPr>
      </w:pPr>
      <w:r>
        <w:rPr>
          <w:rFonts w:hint="eastAsia" w:ascii="宋体" w:hAnsi="宋体" w:cs="宋体"/>
          <w:sz w:val="28"/>
          <w:szCs w:val="28"/>
        </w:rPr>
        <w:t>毛灌溉定额为净灌溉定额除以渠系或管系水利用系数得到，根据《节水灌溉工程技术标准》，管道输水利用系数不低于0.95，喷灌输水利用系数不低于0</w:t>
      </w:r>
      <w:r>
        <w:rPr>
          <w:rFonts w:ascii="宋体" w:hAnsi="宋体" w:cs="宋体"/>
          <w:sz w:val="28"/>
          <w:szCs w:val="28"/>
        </w:rPr>
        <w:t>.95</w:t>
      </w:r>
      <w:r>
        <w:rPr>
          <w:rFonts w:hint="eastAsia" w:ascii="宋体" w:hAnsi="宋体" w:cs="宋体"/>
          <w:sz w:val="28"/>
          <w:szCs w:val="28"/>
        </w:rPr>
        <w:t>，中型灌区渠灌渠道输水利用系数不低于0</w:t>
      </w:r>
      <w:r>
        <w:rPr>
          <w:rFonts w:ascii="宋体" w:hAnsi="宋体" w:cs="宋体"/>
          <w:sz w:val="28"/>
          <w:szCs w:val="28"/>
        </w:rPr>
        <w:t>.60</w:t>
      </w:r>
      <w:r>
        <w:rPr>
          <w:rFonts w:hint="eastAsia" w:ascii="宋体" w:hAnsi="宋体" w:cs="宋体"/>
          <w:sz w:val="28"/>
          <w:szCs w:val="28"/>
        </w:rPr>
        <w:t>，小型灌区不应低于0</w:t>
      </w:r>
      <w:r>
        <w:rPr>
          <w:rFonts w:ascii="宋体" w:hAnsi="宋体" w:cs="宋体"/>
          <w:sz w:val="28"/>
          <w:szCs w:val="28"/>
        </w:rPr>
        <w:t>.7</w:t>
      </w:r>
      <w:r>
        <w:rPr>
          <w:rFonts w:hint="eastAsia" w:ascii="宋体" w:hAnsi="宋体" w:cs="宋体"/>
          <w:sz w:val="28"/>
          <w:szCs w:val="28"/>
        </w:rPr>
        <w:t>，汤阴县共有3处中型灌区，1处小型灌区，本次渠道输水利用系数取为0</w:t>
      </w:r>
      <w:r>
        <w:rPr>
          <w:rFonts w:ascii="宋体" w:hAnsi="宋体" w:cs="宋体"/>
          <w:sz w:val="28"/>
          <w:szCs w:val="28"/>
        </w:rPr>
        <w:t>.65</w:t>
      </w:r>
      <w:r>
        <w:rPr>
          <w:rFonts w:hint="eastAsia" w:ascii="宋体" w:hAnsi="宋体" w:cs="宋体"/>
          <w:sz w:val="28"/>
          <w:szCs w:val="28"/>
        </w:rPr>
        <w:t>，则各灌溉区的毛灌溉定额见下表：</w:t>
      </w: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12</w:t>
      </w:r>
      <w:r>
        <w:rPr>
          <w:rFonts w:hint="eastAsia" w:ascii="宋体" w:hAnsi="宋体" w:cs="宋体"/>
          <w:sz w:val="28"/>
          <w:szCs w:val="28"/>
        </w:rPr>
        <w:t>汤阴县综合毛灌溉定额计算表</w:t>
      </w:r>
    </w:p>
    <w:tbl>
      <w:tblPr>
        <w:tblStyle w:val="26"/>
        <w:tblW w:w="5000" w:type="pct"/>
        <w:tblInd w:w="0" w:type="dxa"/>
        <w:tblLayout w:type="autofit"/>
        <w:tblCellMar>
          <w:top w:w="0" w:type="dxa"/>
          <w:left w:w="108" w:type="dxa"/>
          <w:bottom w:w="0" w:type="dxa"/>
          <w:right w:w="108" w:type="dxa"/>
        </w:tblCellMar>
      </w:tblPr>
      <w:tblGrid>
        <w:gridCol w:w="3060"/>
        <w:gridCol w:w="1440"/>
        <w:gridCol w:w="1440"/>
        <w:gridCol w:w="1620"/>
        <w:gridCol w:w="1614"/>
      </w:tblGrid>
      <w:tr>
        <w:tblPrEx>
          <w:tblCellMar>
            <w:top w:w="0" w:type="dxa"/>
            <w:left w:w="108" w:type="dxa"/>
            <w:bottom w:w="0" w:type="dxa"/>
            <w:right w:w="108" w:type="dxa"/>
          </w:tblCellMar>
        </w:tblPrEx>
        <w:trPr>
          <w:trHeight w:val="402" w:hRule="atLeast"/>
        </w:trPr>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定额</w:t>
            </w:r>
          </w:p>
        </w:tc>
        <w:tc>
          <w:tcPr>
            <w:tcW w:w="78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保证率</w:t>
            </w:r>
          </w:p>
        </w:tc>
        <w:tc>
          <w:tcPr>
            <w:tcW w:w="78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8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87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r>
      <w:tr>
        <w:tblPrEx>
          <w:tblCellMar>
            <w:top w:w="0" w:type="dxa"/>
            <w:left w:w="108" w:type="dxa"/>
            <w:bottom w:w="0" w:type="dxa"/>
            <w:right w:w="108" w:type="dxa"/>
          </w:tblCellMar>
        </w:tblPrEx>
        <w:trPr>
          <w:trHeight w:val="402" w:hRule="atLeast"/>
        </w:trPr>
        <w:tc>
          <w:tcPr>
            <w:tcW w:w="16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净灌溉定额（</w:t>
            </w:r>
            <w:r>
              <w:rPr>
                <w:rFonts w:ascii="等线" w:hAnsi="等线" w:eastAsia="等线" w:cs="宋体"/>
                <w:color w:val="000000"/>
                <w:kern w:val="0"/>
                <w:sz w:val="22"/>
                <w:szCs w:val="22"/>
              </w:rPr>
              <w:t>m</w:t>
            </w:r>
            <w:r>
              <w:rPr>
                <w:rFonts w:ascii="等线" w:hAnsi="等线" w:eastAsia="等线" w:cs="宋体"/>
                <w:color w:val="000000"/>
                <w:kern w:val="0"/>
                <w:sz w:val="22"/>
                <w:szCs w:val="22"/>
                <w:vertAlign w:val="superscript"/>
              </w:rPr>
              <w:t>3</w:t>
            </w:r>
            <w:r>
              <w:rPr>
                <w:rFonts w:ascii="等线" w:hAnsi="等线" w:eastAsia="等线" w:cs="宋体"/>
                <w:color w:val="000000"/>
                <w:kern w:val="0"/>
                <w:sz w:val="22"/>
                <w:szCs w:val="22"/>
              </w:rPr>
              <w:t>/亩</w:t>
            </w:r>
            <w:r>
              <w:rPr>
                <w:rFonts w:hint="eastAsia" w:ascii="等线" w:hAnsi="等线" w:eastAsia="等线" w:cs="宋体"/>
                <w:color w:val="000000"/>
                <w:kern w:val="0"/>
                <w:sz w:val="22"/>
                <w:szCs w:val="22"/>
              </w:rPr>
              <w:t>）</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196.34 </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223.11 </w:t>
            </w:r>
          </w:p>
        </w:tc>
        <w:tc>
          <w:tcPr>
            <w:tcW w:w="8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169.56 </w:t>
            </w:r>
          </w:p>
        </w:tc>
      </w:tr>
      <w:tr>
        <w:tblPrEx>
          <w:tblCellMar>
            <w:top w:w="0" w:type="dxa"/>
            <w:left w:w="108" w:type="dxa"/>
            <w:bottom w:w="0" w:type="dxa"/>
            <w:right w:w="108" w:type="dxa"/>
          </w:tblCellMar>
        </w:tblPrEx>
        <w:trPr>
          <w:trHeight w:val="402" w:hRule="atLeast"/>
        </w:trPr>
        <w:tc>
          <w:tcPr>
            <w:tcW w:w="1668"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245.64 </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279.14 </w:t>
            </w:r>
          </w:p>
        </w:tc>
        <w:tc>
          <w:tcPr>
            <w:tcW w:w="8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212.15 </w:t>
            </w:r>
          </w:p>
        </w:tc>
      </w:tr>
      <w:tr>
        <w:tblPrEx>
          <w:tblCellMar>
            <w:top w:w="0" w:type="dxa"/>
            <w:left w:w="108" w:type="dxa"/>
            <w:bottom w:w="0" w:type="dxa"/>
            <w:right w:w="108" w:type="dxa"/>
          </w:tblCellMar>
        </w:tblPrEx>
        <w:trPr>
          <w:trHeight w:val="402" w:hRule="atLeast"/>
        </w:trPr>
        <w:tc>
          <w:tcPr>
            <w:tcW w:w="16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毛灌溉定额（</w:t>
            </w:r>
            <w:r>
              <w:rPr>
                <w:rFonts w:ascii="等线" w:hAnsi="等线" w:eastAsia="等线" w:cs="宋体"/>
                <w:color w:val="000000"/>
                <w:kern w:val="0"/>
                <w:sz w:val="22"/>
                <w:szCs w:val="22"/>
              </w:rPr>
              <w:t>m</w:t>
            </w:r>
            <w:r>
              <w:rPr>
                <w:rFonts w:ascii="等线" w:hAnsi="等线" w:eastAsia="等线" w:cs="宋体"/>
                <w:color w:val="000000"/>
                <w:kern w:val="0"/>
                <w:sz w:val="22"/>
                <w:szCs w:val="22"/>
                <w:vertAlign w:val="superscript"/>
              </w:rPr>
              <w:t>3</w:t>
            </w:r>
            <w:r>
              <w:rPr>
                <w:rFonts w:ascii="等线" w:hAnsi="等线" w:eastAsia="等线" w:cs="宋体"/>
                <w:color w:val="000000"/>
                <w:kern w:val="0"/>
                <w:sz w:val="22"/>
                <w:szCs w:val="22"/>
              </w:rPr>
              <w:t>/亩</w:t>
            </w:r>
            <w:r>
              <w:rPr>
                <w:rFonts w:hint="eastAsia" w:ascii="等线" w:hAnsi="等线" w:eastAsia="等线" w:cs="宋体"/>
                <w:color w:val="000000"/>
                <w:kern w:val="0"/>
                <w:sz w:val="22"/>
                <w:szCs w:val="22"/>
              </w:rPr>
              <w:t>）</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206.67 </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343.25 </w:t>
            </w:r>
          </w:p>
        </w:tc>
        <w:tc>
          <w:tcPr>
            <w:tcW w:w="8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178.49 </w:t>
            </w:r>
          </w:p>
        </w:tc>
      </w:tr>
      <w:tr>
        <w:tblPrEx>
          <w:tblCellMar>
            <w:top w:w="0" w:type="dxa"/>
            <w:left w:w="108" w:type="dxa"/>
            <w:bottom w:w="0" w:type="dxa"/>
            <w:right w:w="108" w:type="dxa"/>
          </w:tblCellMar>
        </w:tblPrEx>
        <w:trPr>
          <w:trHeight w:val="402" w:hRule="atLeast"/>
        </w:trPr>
        <w:tc>
          <w:tcPr>
            <w:tcW w:w="1668"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8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258.57 </w:t>
            </w:r>
          </w:p>
        </w:tc>
        <w:tc>
          <w:tcPr>
            <w:tcW w:w="883"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429.45 </w:t>
            </w:r>
          </w:p>
        </w:tc>
        <w:tc>
          <w:tcPr>
            <w:tcW w:w="87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223.31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汤阴县现有高标准农田51.17万亩，其中管灌区面积35.</w:t>
      </w:r>
      <w:r>
        <w:rPr>
          <w:rFonts w:ascii="宋体" w:hAnsi="宋体" w:cs="宋体"/>
          <w:sz w:val="28"/>
          <w:szCs w:val="28"/>
        </w:rPr>
        <w:t>6</w:t>
      </w:r>
      <w:r>
        <w:rPr>
          <w:rFonts w:hint="eastAsia" w:ascii="宋体" w:hAnsi="宋体" w:cs="宋体"/>
          <w:sz w:val="28"/>
          <w:szCs w:val="28"/>
        </w:rPr>
        <w:t>7万亩，渠灌区灌溉面积15.5万亩，无喷灌区灌溉面积，则现状年农业灌溉需水量为：</w:t>
      </w:r>
    </w:p>
    <w:p>
      <w:pPr>
        <w:spacing w:line="360" w:lineRule="auto"/>
        <w:ind w:firstLine="560" w:firstLineChars="200"/>
        <w:rPr>
          <w:rFonts w:ascii="宋体" w:hAnsi="宋体" w:cs="宋体"/>
          <w:sz w:val="28"/>
          <w:szCs w:val="28"/>
        </w:rPr>
      </w:pPr>
      <w:r>
        <w:rPr>
          <w:rFonts w:hint="eastAsia" w:ascii="宋体" w:hAnsi="宋体" w:cs="宋体"/>
          <w:sz w:val="28"/>
          <w:szCs w:val="28"/>
        </w:rPr>
        <w:t>W</w:t>
      </w:r>
      <w:r>
        <w:rPr>
          <w:rFonts w:hint="eastAsia" w:ascii="宋体" w:hAnsi="宋体" w:cs="宋体"/>
          <w:sz w:val="28"/>
          <w:szCs w:val="28"/>
          <w:vertAlign w:val="subscript"/>
        </w:rPr>
        <w:t>50%</w:t>
      </w:r>
      <w:r>
        <w:rPr>
          <w:rFonts w:hint="eastAsia" w:ascii="宋体" w:hAnsi="宋体" w:cs="宋体"/>
          <w:sz w:val="28"/>
          <w:szCs w:val="28"/>
        </w:rPr>
        <w:t>=35.</w:t>
      </w:r>
      <w:r>
        <w:rPr>
          <w:rFonts w:ascii="宋体" w:hAnsi="宋体" w:cs="宋体"/>
          <w:sz w:val="28"/>
          <w:szCs w:val="28"/>
        </w:rPr>
        <w:t>6</w:t>
      </w:r>
      <w:r>
        <w:rPr>
          <w:rFonts w:hint="eastAsia" w:ascii="宋体" w:hAnsi="宋体" w:cs="宋体"/>
          <w:sz w:val="28"/>
          <w:szCs w:val="28"/>
        </w:rPr>
        <w:t>7×206.6</w:t>
      </w:r>
      <w:r>
        <w:rPr>
          <w:rFonts w:ascii="宋体" w:hAnsi="宋体" w:cs="宋体"/>
          <w:sz w:val="28"/>
          <w:szCs w:val="28"/>
        </w:rPr>
        <w:t>7</w:t>
      </w:r>
      <w:r>
        <w:rPr>
          <w:rFonts w:hint="eastAsia" w:ascii="宋体" w:hAnsi="宋体" w:cs="宋体"/>
          <w:sz w:val="28"/>
          <w:szCs w:val="28"/>
        </w:rPr>
        <w:t>+15.5×</w:t>
      </w:r>
      <w:r>
        <w:rPr>
          <w:rFonts w:ascii="宋体" w:hAnsi="宋体" w:cs="宋体"/>
          <w:sz w:val="28"/>
          <w:szCs w:val="28"/>
        </w:rPr>
        <w:t>343.25</w:t>
      </w:r>
      <w:r>
        <w:rPr>
          <w:rFonts w:hint="eastAsia" w:ascii="宋体" w:hAnsi="宋体" w:cs="宋体"/>
          <w:sz w:val="28"/>
          <w:szCs w:val="28"/>
        </w:rPr>
        <w:t>=1</w:t>
      </w:r>
      <w:r>
        <w:rPr>
          <w:rFonts w:ascii="宋体" w:hAnsi="宋体" w:cs="宋体"/>
          <w:sz w:val="28"/>
          <w:szCs w:val="28"/>
        </w:rPr>
        <w:t>2692</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W</w:t>
      </w:r>
      <w:r>
        <w:rPr>
          <w:rFonts w:hint="eastAsia" w:ascii="宋体" w:hAnsi="宋体" w:cs="宋体"/>
          <w:sz w:val="28"/>
          <w:szCs w:val="28"/>
          <w:vertAlign w:val="subscript"/>
        </w:rPr>
        <w:t>75%</w:t>
      </w:r>
      <w:r>
        <w:rPr>
          <w:rFonts w:hint="eastAsia" w:ascii="宋体" w:hAnsi="宋体" w:cs="宋体"/>
          <w:sz w:val="28"/>
          <w:szCs w:val="28"/>
        </w:rPr>
        <w:t>=35.</w:t>
      </w:r>
      <w:r>
        <w:rPr>
          <w:rFonts w:ascii="宋体" w:hAnsi="宋体" w:cs="宋体"/>
          <w:sz w:val="28"/>
          <w:szCs w:val="28"/>
        </w:rPr>
        <w:t>6</w:t>
      </w:r>
      <w:r>
        <w:rPr>
          <w:rFonts w:hint="eastAsia" w:ascii="宋体" w:hAnsi="宋体" w:cs="宋体"/>
          <w:sz w:val="28"/>
          <w:szCs w:val="28"/>
        </w:rPr>
        <w:t>7×258.5</w:t>
      </w:r>
      <w:r>
        <w:rPr>
          <w:rFonts w:ascii="宋体" w:hAnsi="宋体" w:cs="宋体"/>
          <w:sz w:val="28"/>
          <w:szCs w:val="28"/>
        </w:rPr>
        <w:t>7</w:t>
      </w:r>
      <w:r>
        <w:rPr>
          <w:rFonts w:hint="eastAsia" w:ascii="宋体" w:hAnsi="宋体" w:cs="宋体"/>
          <w:sz w:val="28"/>
          <w:szCs w:val="28"/>
        </w:rPr>
        <w:t>+15.5×</w:t>
      </w:r>
      <w:r>
        <w:rPr>
          <w:rFonts w:ascii="宋体" w:hAnsi="宋体" w:cs="宋体"/>
          <w:sz w:val="28"/>
          <w:szCs w:val="28"/>
        </w:rPr>
        <w:t>429.45</w:t>
      </w:r>
      <w:r>
        <w:rPr>
          <w:rFonts w:hint="eastAsia" w:ascii="宋体" w:hAnsi="宋体" w:cs="宋体"/>
          <w:sz w:val="28"/>
          <w:szCs w:val="28"/>
        </w:rPr>
        <w:t>=1</w:t>
      </w:r>
      <w:r>
        <w:rPr>
          <w:rFonts w:ascii="宋体" w:hAnsi="宋体" w:cs="宋体"/>
          <w:sz w:val="28"/>
          <w:szCs w:val="28"/>
        </w:rPr>
        <w:t>5880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3汤阴县现状年农业灌溉需水量计算表</w:t>
      </w:r>
    </w:p>
    <w:tbl>
      <w:tblPr>
        <w:tblStyle w:val="26"/>
        <w:tblW w:w="5000" w:type="pct"/>
        <w:tblInd w:w="0" w:type="dxa"/>
        <w:tblLayout w:type="autofit"/>
        <w:tblCellMar>
          <w:top w:w="0" w:type="dxa"/>
          <w:left w:w="108" w:type="dxa"/>
          <w:bottom w:w="0" w:type="dxa"/>
          <w:right w:w="108" w:type="dxa"/>
        </w:tblCellMar>
      </w:tblPr>
      <w:tblGrid>
        <w:gridCol w:w="1016"/>
        <w:gridCol w:w="1016"/>
        <w:gridCol w:w="982"/>
        <w:gridCol w:w="1002"/>
        <w:gridCol w:w="1002"/>
        <w:gridCol w:w="1002"/>
        <w:gridCol w:w="1002"/>
        <w:gridCol w:w="1075"/>
        <w:gridCol w:w="1077"/>
      </w:tblGrid>
      <w:tr>
        <w:tblPrEx>
          <w:tblCellMar>
            <w:top w:w="0" w:type="dxa"/>
            <w:left w:w="108" w:type="dxa"/>
            <w:bottom w:w="0" w:type="dxa"/>
            <w:right w:w="108" w:type="dxa"/>
          </w:tblCellMar>
        </w:tblPrEx>
        <w:trPr>
          <w:trHeight w:val="570" w:hRule="atLeast"/>
        </w:trPr>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水平年</w:t>
            </w:r>
          </w:p>
        </w:tc>
        <w:tc>
          <w:tcPr>
            <w:tcW w:w="108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灌溉面积（万亩）</w:t>
            </w:r>
          </w:p>
        </w:tc>
        <w:tc>
          <w:tcPr>
            <w:tcW w:w="1092"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灌溉定额（50%）</w:t>
            </w:r>
          </w:p>
        </w:tc>
        <w:tc>
          <w:tcPr>
            <w:tcW w:w="1092"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灌溉定额（75%）</w:t>
            </w:r>
          </w:p>
        </w:tc>
        <w:tc>
          <w:tcPr>
            <w:tcW w:w="117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CellMar>
            <w:top w:w="0" w:type="dxa"/>
            <w:left w:w="108" w:type="dxa"/>
            <w:bottom w:w="0" w:type="dxa"/>
            <w:right w:w="108" w:type="dxa"/>
          </w:tblCellMar>
        </w:tblPrEx>
        <w:trPr>
          <w:trHeight w:val="285" w:hRule="atLeast"/>
        </w:trPr>
        <w:tc>
          <w:tcPr>
            <w:tcW w:w="55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w:t>
            </w:r>
          </w:p>
        </w:tc>
        <w:tc>
          <w:tcPr>
            <w:tcW w:w="55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管灌区</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渠灌区</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管灌区</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渠灌区</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CellMar>
            <w:top w:w="0" w:type="dxa"/>
            <w:left w:w="108" w:type="dxa"/>
            <w:bottom w:w="0" w:type="dxa"/>
            <w:right w:w="108" w:type="dxa"/>
          </w:tblCellMar>
        </w:tblPrEx>
        <w:trPr>
          <w:trHeight w:val="285" w:hRule="atLeast"/>
        </w:trPr>
        <w:tc>
          <w:tcPr>
            <w:tcW w:w="554" w:type="pct"/>
            <w:vMerge w:val="continue"/>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55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w:t>
            </w:r>
            <w:r>
              <w:rPr>
                <w:rFonts w:ascii="等线" w:hAnsi="等线" w:eastAsia="等线" w:cs="宋体"/>
                <w:color w:val="000000"/>
                <w:kern w:val="0"/>
                <w:sz w:val="22"/>
                <w:szCs w:val="22"/>
              </w:rPr>
              <w:t>6</w:t>
            </w:r>
            <w:r>
              <w:rPr>
                <w:rFonts w:hint="eastAsia" w:ascii="等线" w:hAnsi="等线" w:eastAsia="等线" w:cs="宋体"/>
                <w:color w:val="000000"/>
                <w:kern w:val="0"/>
                <w:sz w:val="22"/>
                <w:szCs w:val="22"/>
              </w:rPr>
              <w:t>7</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15.5</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206.67 </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343.25 </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258.57 </w:t>
            </w: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429.45 </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12692 </w:t>
            </w:r>
          </w:p>
        </w:tc>
        <w:tc>
          <w:tcPr>
            <w:tcW w:w="586"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15880 </w:t>
            </w:r>
          </w:p>
        </w:tc>
      </w:tr>
    </w:tbl>
    <w:p>
      <w:pPr>
        <w:spacing w:line="360" w:lineRule="auto"/>
        <w:ind w:firstLine="560" w:firstLineChars="200"/>
        <w:rPr>
          <w:rFonts w:ascii="宋体" w:hAnsi="宋体" w:cs="宋体"/>
          <w:sz w:val="28"/>
          <w:szCs w:val="28"/>
        </w:rPr>
      </w:pPr>
      <w:r>
        <w:rPr>
          <w:rFonts w:ascii="宋体" w:hAnsi="宋体" w:cs="宋体"/>
          <w:sz w:val="28"/>
          <w:szCs w:val="28"/>
        </w:rPr>
        <w:t>②工业、</w:t>
      </w:r>
      <w:r>
        <w:rPr>
          <w:rFonts w:hint="eastAsia" w:ascii="宋体" w:hAnsi="宋体" w:cs="宋体"/>
          <w:sz w:val="28"/>
          <w:szCs w:val="28"/>
        </w:rPr>
        <w:t>林牧渔业、生活及生态用水需水量</w:t>
      </w:r>
    </w:p>
    <w:p>
      <w:pPr>
        <w:spacing w:line="360" w:lineRule="auto"/>
        <w:ind w:firstLine="560" w:firstLineChars="200"/>
        <w:rPr>
          <w:rFonts w:ascii="宋体" w:hAnsi="宋体" w:cs="宋体"/>
          <w:sz w:val="28"/>
          <w:szCs w:val="28"/>
        </w:rPr>
      </w:pPr>
      <w:r>
        <w:rPr>
          <w:rFonts w:ascii="宋体" w:hAnsi="宋体" w:cs="宋体"/>
          <w:sz w:val="28"/>
          <w:szCs w:val="28"/>
        </w:rPr>
        <w:t>根据安阳市水资源公报</w:t>
      </w:r>
      <w:r>
        <w:rPr>
          <w:rFonts w:hint="eastAsia" w:ascii="宋体" w:hAnsi="宋体" w:cs="宋体"/>
          <w:sz w:val="28"/>
          <w:szCs w:val="28"/>
        </w:rPr>
        <w:t>2016-2020年的统计</w:t>
      </w:r>
      <w:r>
        <w:rPr>
          <w:rFonts w:ascii="宋体" w:hAnsi="宋体" w:cs="宋体"/>
          <w:sz w:val="28"/>
          <w:szCs w:val="28"/>
        </w:rPr>
        <w:t>数据，汤阴县工业、</w:t>
      </w:r>
      <w:r>
        <w:rPr>
          <w:rFonts w:hint="eastAsia" w:ascii="宋体" w:hAnsi="宋体" w:cs="宋体"/>
          <w:sz w:val="28"/>
          <w:szCs w:val="28"/>
        </w:rPr>
        <w:t>林牧渔业、生活及生态用水需水量合计3581万m</w:t>
      </w:r>
      <w:r>
        <w:rPr>
          <w:rFonts w:hint="eastAsia" w:ascii="宋体" w:hAnsi="宋体" w:cs="宋体"/>
          <w:sz w:val="28"/>
          <w:szCs w:val="28"/>
          <w:vertAlign w:val="superscript"/>
        </w:rPr>
        <w:t>3</w:t>
      </w:r>
      <w:r>
        <w:rPr>
          <w:rFonts w:hint="eastAsia" w:ascii="宋体" w:hAnsi="宋体" w:cs="宋体"/>
          <w:sz w:val="28"/>
          <w:szCs w:val="28"/>
        </w:rPr>
        <w:t>，详见下表：</w:t>
      </w:r>
    </w:p>
    <w:p>
      <w:pPr>
        <w:snapToGrid w:val="0"/>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4汤阴县</w:t>
      </w:r>
      <w:r>
        <w:rPr>
          <w:rFonts w:ascii="宋体" w:hAnsi="宋体" w:cs="宋体"/>
          <w:sz w:val="28"/>
          <w:szCs w:val="28"/>
        </w:rPr>
        <w:t>工业、</w:t>
      </w:r>
      <w:r>
        <w:rPr>
          <w:rFonts w:hint="eastAsia" w:ascii="宋体" w:hAnsi="宋体" w:cs="宋体"/>
          <w:sz w:val="28"/>
          <w:szCs w:val="28"/>
        </w:rPr>
        <w:t>林牧渔业、生活及生态用水需水量  单位：万m</w:t>
      </w:r>
      <w:r>
        <w:rPr>
          <w:rFonts w:hint="eastAsia" w:ascii="宋体" w:hAnsi="宋体" w:cs="宋体"/>
          <w:sz w:val="28"/>
          <w:szCs w:val="28"/>
          <w:vertAlign w:val="superscript"/>
        </w:rPr>
        <w:t>3</w:t>
      </w:r>
    </w:p>
    <w:tbl>
      <w:tblPr>
        <w:tblStyle w:val="26"/>
        <w:tblW w:w="5000" w:type="pct"/>
        <w:tblInd w:w="0" w:type="dxa"/>
        <w:tblLayout w:type="autofit"/>
        <w:tblCellMar>
          <w:top w:w="0" w:type="dxa"/>
          <w:left w:w="108" w:type="dxa"/>
          <w:bottom w:w="0" w:type="dxa"/>
          <w:right w:w="108" w:type="dxa"/>
        </w:tblCellMar>
      </w:tblPr>
      <w:tblGrid>
        <w:gridCol w:w="1550"/>
        <w:gridCol w:w="1673"/>
        <w:gridCol w:w="1211"/>
        <w:gridCol w:w="1169"/>
        <w:gridCol w:w="1191"/>
        <w:gridCol w:w="1191"/>
        <w:gridCol w:w="1189"/>
      </w:tblGrid>
      <w:tr>
        <w:tblPrEx>
          <w:tblCellMar>
            <w:top w:w="0" w:type="dxa"/>
            <w:left w:w="108" w:type="dxa"/>
            <w:bottom w:w="0" w:type="dxa"/>
            <w:right w:w="108" w:type="dxa"/>
          </w:tblCellMar>
        </w:tblPrEx>
        <w:trPr>
          <w:trHeight w:val="285" w:hRule="atLeast"/>
        </w:trPr>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年份</w:t>
            </w:r>
          </w:p>
        </w:tc>
        <w:tc>
          <w:tcPr>
            <w:tcW w:w="91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工业</w:t>
            </w:r>
          </w:p>
        </w:tc>
        <w:tc>
          <w:tcPr>
            <w:tcW w:w="66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林牧渔业</w:t>
            </w:r>
          </w:p>
        </w:tc>
        <w:tc>
          <w:tcPr>
            <w:tcW w:w="63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农村生活</w:t>
            </w:r>
          </w:p>
        </w:tc>
        <w:tc>
          <w:tcPr>
            <w:tcW w:w="6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城镇生活</w:t>
            </w:r>
          </w:p>
        </w:tc>
        <w:tc>
          <w:tcPr>
            <w:tcW w:w="6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生态用水</w:t>
            </w:r>
          </w:p>
        </w:tc>
        <w:tc>
          <w:tcPr>
            <w:tcW w:w="6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2016年</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1263</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377</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450</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701</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2791</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2017年</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2077</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313</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394</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924</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702</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4410</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2018年</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222</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358</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408</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931</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1928</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2019年</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1030</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288</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694</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1018</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434</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3464</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2020年</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1180</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961</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581</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955</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1636</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5313</w:t>
            </w:r>
          </w:p>
        </w:tc>
      </w:tr>
      <w:tr>
        <w:tblPrEx>
          <w:tblCellMar>
            <w:top w:w="0" w:type="dxa"/>
            <w:left w:w="108" w:type="dxa"/>
            <w:bottom w:w="0" w:type="dxa"/>
            <w:right w:w="108" w:type="dxa"/>
          </w:tblCellMar>
        </w:tblPrEx>
        <w:trPr>
          <w:trHeight w:val="285" w:hRule="atLeast"/>
        </w:trPr>
        <w:tc>
          <w:tcPr>
            <w:tcW w:w="84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平均值</w:t>
            </w:r>
          </w:p>
        </w:tc>
        <w:tc>
          <w:tcPr>
            <w:tcW w:w="912"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1154 </w:t>
            </w:r>
          </w:p>
        </w:tc>
        <w:tc>
          <w:tcPr>
            <w:tcW w:w="66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459 </w:t>
            </w:r>
          </w:p>
        </w:tc>
        <w:tc>
          <w:tcPr>
            <w:tcW w:w="637"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505 </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906 </w:t>
            </w:r>
          </w:p>
        </w:tc>
        <w:tc>
          <w:tcPr>
            <w:tcW w:w="64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556 </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3581 </w:t>
            </w:r>
          </w:p>
        </w:tc>
      </w:tr>
    </w:tbl>
    <w:p>
      <w:pPr>
        <w:spacing w:line="360" w:lineRule="auto"/>
        <w:ind w:firstLine="560" w:firstLineChars="200"/>
        <w:rPr>
          <w:rFonts w:ascii="宋体" w:hAnsi="宋体" w:cs="宋体"/>
          <w:sz w:val="28"/>
          <w:szCs w:val="28"/>
        </w:rPr>
      </w:pPr>
      <w:r>
        <w:rPr>
          <w:rFonts w:ascii="宋体" w:hAnsi="宋体" w:cs="宋体"/>
          <w:sz w:val="28"/>
          <w:szCs w:val="28"/>
        </w:rPr>
        <w:t>③总需水量</w:t>
      </w:r>
    </w:p>
    <w:p>
      <w:pPr>
        <w:spacing w:line="360" w:lineRule="auto"/>
        <w:ind w:firstLine="560" w:firstLineChars="200"/>
        <w:rPr>
          <w:rFonts w:ascii="宋体" w:hAnsi="宋体" w:cs="宋体"/>
          <w:sz w:val="28"/>
          <w:szCs w:val="28"/>
        </w:rPr>
      </w:pPr>
      <w:r>
        <w:rPr>
          <w:rFonts w:ascii="宋体" w:hAnsi="宋体" w:cs="宋体"/>
          <w:sz w:val="28"/>
          <w:szCs w:val="28"/>
        </w:rPr>
        <w:t>根据以上计算结果，汤阴县现状年总需水量为：</w:t>
      </w:r>
      <w:r>
        <w:rPr>
          <w:rFonts w:hint="eastAsia" w:ascii="宋体" w:hAnsi="宋体" w:cs="宋体"/>
          <w:sz w:val="28"/>
          <w:szCs w:val="28"/>
        </w:rPr>
        <w:t>W</w:t>
      </w:r>
      <w:r>
        <w:rPr>
          <w:rFonts w:hint="eastAsia" w:ascii="宋体" w:hAnsi="宋体" w:cs="宋体"/>
          <w:sz w:val="28"/>
          <w:szCs w:val="28"/>
          <w:vertAlign w:val="subscript"/>
        </w:rPr>
        <w:t>50%</w:t>
      </w:r>
      <w:r>
        <w:rPr>
          <w:rFonts w:hint="eastAsia" w:ascii="宋体" w:hAnsi="宋体" w:cs="宋体"/>
          <w:sz w:val="28"/>
          <w:szCs w:val="28"/>
        </w:rPr>
        <w:t>=1</w:t>
      </w:r>
      <w:r>
        <w:rPr>
          <w:rFonts w:ascii="宋体" w:hAnsi="宋体" w:cs="宋体"/>
          <w:sz w:val="28"/>
          <w:szCs w:val="28"/>
        </w:rPr>
        <w:t>2692</w:t>
      </w:r>
      <w:r>
        <w:rPr>
          <w:rFonts w:hint="eastAsia" w:ascii="宋体" w:hAnsi="宋体" w:cs="宋体"/>
          <w:sz w:val="28"/>
          <w:szCs w:val="28"/>
        </w:rPr>
        <w:t>+3581=1</w:t>
      </w:r>
      <w:r>
        <w:rPr>
          <w:rFonts w:ascii="宋体" w:hAnsi="宋体" w:cs="宋体"/>
          <w:sz w:val="28"/>
          <w:szCs w:val="28"/>
        </w:rPr>
        <w:t>6273</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w:t>
      </w:r>
      <w:r>
        <w:rPr>
          <w:rFonts w:hint="eastAsia" w:ascii="宋体" w:hAnsi="宋体" w:cs="宋体"/>
          <w:sz w:val="28"/>
          <w:szCs w:val="28"/>
          <w:vertAlign w:val="subscript"/>
        </w:rPr>
        <w:t>75%</w:t>
      </w:r>
      <w:r>
        <w:rPr>
          <w:rFonts w:hint="eastAsia" w:ascii="宋体" w:hAnsi="宋体" w:cs="宋体"/>
          <w:sz w:val="28"/>
          <w:szCs w:val="28"/>
        </w:rPr>
        <w:t>=1</w:t>
      </w:r>
      <w:r>
        <w:rPr>
          <w:rFonts w:ascii="宋体" w:hAnsi="宋体" w:cs="宋体"/>
          <w:sz w:val="28"/>
          <w:szCs w:val="28"/>
        </w:rPr>
        <w:t>5880</w:t>
      </w:r>
      <w:r>
        <w:rPr>
          <w:rFonts w:hint="eastAsia" w:ascii="宋体" w:hAnsi="宋体" w:cs="宋体"/>
          <w:sz w:val="28"/>
          <w:szCs w:val="28"/>
        </w:rPr>
        <w:t>+3581=1</w:t>
      </w:r>
      <w:r>
        <w:rPr>
          <w:rFonts w:ascii="宋体" w:hAnsi="宋体" w:cs="宋体"/>
          <w:sz w:val="28"/>
          <w:szCs w:val="28"/>
        </w:rPr>
        <w:t>9461</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rPr>
        <w:t>5</w:t>
      </w:r>
      <w:r>
        <w:rPr>
          <w:rFonts w:ascii="宋体" w:hAnsi="宋体" w:cs="宋体"/>
          <w:sz w:val="28"/>
          <w:szCs w:val="28"/>
        </w:rPr>
        <w:t>）供需平衡</w:t>
      </w:r>
    </w:p>
    <w:p>
      <w:pPr>
        <w:spacing w:line="360" w:lineRule="auto"/>
        <w:ind w:firstLine="560" w:firstLineChars="200"/>
        <w:rPr>
          <w:rFonts w:ascii="宋体" w:hAnsi="宋体" w:cs="宋体"/>
          <w:sz w:val="28"/>
          <w:szCs w:val="28"/>
        </w:rPr>
      </w:pPr>
      <w:r>
        <w:rPr>
          <w:rFonts w:hint="eastAsia" w:ascii="宋体" w:hAnsi="宋体" w:cs="宋体"/>
          <w:sz w:val="28"/>
          <w:szCs w:val="28"/>
        </w:rPr>
        <w:t>根据上述计算结果，汤阴县在现状年P=50%年份下，可供水量2</w:t>
      </w:r>
      <w:r>
        <w:rPr>
          <w:rFonts w:ascii="宋体" w:hAnsi="宋体" w:cs="宋体"/>
          <w:sz w:val="28"/>
          <w:szCs w:val="28"/>
        </w:rPr>
        <w:t>2780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w:t>
      </w:r>
      <w:r>
        <w:rPr>
          <w:rFonts w:ascii="宋体" w:hAnsi="宋体" w:cs="宋体"/>
          <w:sz w:val="28"/>
          <w:szCs w:val="28"/>
        </w:rPr>
        <w:t>16273</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w:t>
      </w:r>
      <w:r>
        <w:rPr>
          <w:rFonts w:ascii="宋体" w:hAnsi="宋体" w:cs="宋体"/>
          <w:sz w:val="28"/>
          <w:szCs w:val="28"/>
        </w:rPr>
        <w:t>6507</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；P=75%年份下，可供水量</w:t>
      </w:r>
      <w:r>
        <w:rPr>
          <w:rFonts w:ascii="宋体" w:hAnsi="宋体" w:cs="宋体"/>
          <w:sz w:val="28"/>
          <w:szCs w:val="28"/>
        </w:rPr>
        <w:t>20697</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，需水量1</w:t>
      </w:r>
      <w:r>
        <w:rPr>
          <w:rFonts w:ascii="宋体" w:hAnsi="宋体" w:cs="宋体"/>
          <w:sz w:val="28"/>
          <w:szCs w:val="28"/>
        </w:rPr>
        <w:t>9461</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，余水量1</w:t>
      </w:r>
      <w:r>
        <w:rPr>
          <w:rFonts w:ascii="宋体" w:hAnsi="宋体" w:cs="宋体"/>
          <w:sz w:val="28"/>
          <w:szCs w:val="28"/>
        </w:rPr>
        <w:t>236</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，总体可满足现状年51.17万亩的灌溉要求。</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5汤阴县现状年水资源供需平衡计算结果</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35"/>
        <w:gridCol w:w="1259"/>
        <w:gridCol w:w="1123"/>
        <w:gridCol w:w="1119"/>
        <w:gridCol w:w="1077"/>
        <w:gridCol w:w="114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7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行政区划</w:t>
            </w:r>
          </w:p>
        </w:tc>
        <w:tc>
          <w:tcPr>
            <w:tcW w:w="782" w:type="pct"/>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灌溉面积（万亩）</w:t>
            </w:r>
          </w:p>
        </w:tc>
        <w:tc>
          <w:tcPr>
            <w:tcW w:w="1298"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可供水量（万m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197"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148"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余缺水量（万m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6"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782" w:type="pct"/>
            <w:vMerge w:val="restart"/>
            <w:vAlign w:val="center"/>
          </w:tcPr>
          <w:p>
            <w:pPr>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51.17</w:t>
            </w:r>
          </w:p>
        </w:tc>
        <w:tc>
          <w:tcPr>
            <w:tcW w:w="68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61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6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587"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6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52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6" w:type="pct"/>
            <w:vMerge w:val="continue"/>
            <w:vAlign w:val="center"/>
          </w:tcPr>
          <w:p>
            <w:pPr>
              <w:widowControl/>
              <w:jc w:val="left"/>
              <w:rPr>
                <w:rFonts w:ascii="等线" w:hAnsi="等线" w:eastAsia="等线" w:cs="宋体"/>
                <w:color w:val="000000"/>
                <w:kern w:val="0"/>
                <w:sz w:val="22"/>
                <w:szCs w:val="22"/>
              </w:rPr>
            </w:pPr>
          </w:p>
        </w:tc>
        <w:tc>
          <w:tcPr>
            <w:tcW w:w="782" w:type="pct"/>
            <w:vMerge w:val="continue"/>
            <w:vAlign w:val="center"/>
          </w:tcPr>
          <w:p>
            <w:pPr>
              <w:widowControl/>
              <w:jc w:val="center"/>
              <w:rPr>
                <w:rFonts w:ascii="等线" w:hAnsi="等线" w:eastAsia="等线" w:cs="宋体"/>
                <w:color w:val="000000"/>
                <w:kern w:val="0"/>
                <w:sz w:val="22"/>
                <w:szCs w:val="22"/>
              </w:rPr>
            </w:pPr>
          </w:p>
        </w:tc>
        <w:tc>
          <w:tcPr>
            <w:tcW w:w="68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22780 </w:t>
            </w:r>
          </w:p>
        </w:tc>
        <w:tc>
          <w:tcPr>
            <w:tcW w:w="61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20697 </w:t>
            </w:r>
          </w:p>
        </w:tc>
        <w:tc>
          <w:tcPr>
            <w:tcW w:w="6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16273 </w:t>
            </w:r>
          </w:p>
        </w:tc>
        <w:tc>
          <w:tcPr>
            <w:tcW w:w="587"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19461 </w:t>
            </w:r>
          </w:p>
        </w:tc>
        <w:tc>
          <w:tcPr>
            <w:tcW w:w="6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6507 </w:t>
            </w:r>
          </w:p>
        </w:tc>
        <w:tc>
          <w:tcPr>
            <w:tcW w:w="523"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1236 </w:t>
            </w:r>
          </w:p>
        </w:tc>
      </w:tr>
    </w:tbl>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5</w:t>
      </w:r>
      <w:r>
        <w:rPr>
          <w:rFonts w:asciiTheme="minorEastAsia" w:hAnsiTheme="minorEastAsia" w:eastAsiaTheme="minorEastAsia"/>
          <w:sz w:val="28"/>
          <w:szCs w:val="28"/>
        </w:rPr>
        <w:t>.5.</w:t>
      </w:r>
      <w:r>
        <w:rPr>
          <w:rFonts w:hint="eastAsia" w:asciiTheme="minorEastAsia" w:hAnsiTheme="minorEastAsia" w:eastAsiaTheme="minorEastAsia"/>
          <w:sz w:val="28"/>
          <w:szCs w:val="28"/>
        </w:rPr>
        <w:t>2规划年水资源承载能力分析</w:t>
      </w:r>
    </w:p>
    <w:p>
      <w:pPr>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rPr>
        <w:t>1</w:t>
      </w:r>
      <w:r>
        <w:rPr>
          <w:rFonts w:ascii="宋体" w:hAnsi="宋体" w:cs="宋体"/>
          <w:sz w:val="28"/>
          <w:szCs w:val="28"/>
        </w:rPr>
        <w:t>）可利用水资源量</w:t>
      </w:r>
    </w:p>
    <w:p>
      <w:pPr>
        <w:spacing w:line="360" w:lineRule="auto"/>
        <w:ind w:firstLine="560" w:firstLineChars="200"/>
        <w:rPr>
          <w:sz w:val="28"/>
          <w:szCs w:val="28"/>
        </w:rPr>
      </w:pPr>
      <w:r>
        <w:rPr>
          <w:rFonts w:ascii="宋体" w:hAnsi="宋体" w:cs="宋体"/>
          <w:sz w:val="28"/>
          <w:szCs w:val="28"/>
        </w:rPr>
        <w:t>根据上述计算结果，现状年份汤阴县在保证率P=</w:t>
      </w:r>
      <w:r>
        <w:rPr>
          <w:rFonts w:hint="eastAsia" w:ascii="宋体" w:hAnsi="宋体" w:cs="宋体"/>
          <w:sz w:val="28"/>
          <w:szCs w:val="28"/>
        </w:rPr>
        <w:t>50%下</w:t>
      </w:r>
      <w:r>
        <w:rPr>
          <w:rFonts w:ascii="宋体" w:hAnsi="宋体" w:cs="宋体"/>
          <w:sz w:val="28"/>
          <w:szCs w:val="28"/>
        </w:rPr>
        <w:t>可利用水资源量为22780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r>
        <w:rPr>
          <w:rFonts w:ascii="宋体" w:hAnsi="宋体" w:cs="宋体"/>
          <w:sz w:val="28"/>
          <w:szCs w:val="28"/>
        </w:rPr>
        <w:t>P=</w:t>
      </w:r>
      <w:r>
        <w:rPr>
          <w:rFonts w:hint="eastAsia" w:ascii="宋体" w:hAnsi="宋体" w:cs="宋体"/>
          <w:sz w:val="28"/>
          <w:szCs w:val="28"/>
        </w:rPr>
        <w:t>75%下</w:t>
      </w:r>
      <w:r>
        <w:rPr>
          <w:rFonts w:ascii="宋体" w:hAnsi="宋体" w:cs="宋体"/>
          <w:sz w:val="28"/>
          <w:szCs w:val="28"/>
        </w:rPr>
        <w:t>可利用水资源量为20697</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r>
        <w:rPr>
          <w:rFonts w:ascii="宋体" w:hAnsi="宋体" w:cs="宋体"/>
          <w:sz w:val="28"/>
          <w:szCs w:val="28"/>
        </w:rPr>
        <w:t>P=</w:t>
      </w:r>
      <w:r>
        <w:rPr>
          <w:rFonts w:hint="eastAsia" w:ascii="宋体" w:hAnsi="宋体" w:cs="宋体"/>
          <w:sz w:val="28"/>
          <w:szCs w:val="28"/>
        </w:rPr>
        <w:t>95%下</w:t>
      </w:r>
      <w:r>
        <w:rPr>
          <w:rFonts w:ascii="宋体" w:hAnsi="宋体" w:cs="宋体"/>
          <w:sz w:val="28"/>
          <w:szCs w:val="28"/>
        </w:rPr>
        <w:t>可利用水资源量为19256</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r>
        <w:rPr>
          <w:rFonts w:hint="eastAsia"/>
          <w:sz w:val="28"/>
          <w:szCs w:val="28"/>
        </w:rPr>
        <w:t>根据各区的不同情况，参照有关经验数据，确定到2025年和2030年各阶段不同保证率的可利用水量，见下表：</w:t>
      </w:r>
    </w:p>
    <w:p>
      <w:pPr>
        <w:spacing w:line="360" w:lineRule="auto"/>
        <w:ind w:firstLine="560" w:firstLineChars="200"/>
        <w:rPr>
          <w:sz w:val="28"/>
          <w:szCs w:val="28"/>
        </w:rPr>
        <w:sectPr>
          <w:pgSz w:w="11906" w:h="16838"/>
          <w:pgMar w:top="1474" w:right="1474" w:bottom="1474" w:left="1474" w:header="851" w:footer="851" w:gutter="0"/>
          <w:cols w:space="720" w:num="1"/>
          <w:docGrid w:linePitch="326" w:charSpace="0"/>
        </w:sect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6汤阴县2025年可利用水资源量预测表</w:t>
      </w:r>
    </w:p>
    <w:tbl>
      <w:tblPr>
        <w:tblStyle w:val="26"/>
        <w:tblW w:w="5000" w:type="pct"/>
        <w:tblInd w:w="0" w:type="dxa"/>
        <w:tblLayout w:type="autofit"/>
        <w:tblCellMar>
          <w:top w:w="0" w:type="dxa"/>
          <w:left w:w="108" w:type="dxa"/>
          <w:bottom w:w="0" w:type="dxa"/>
          <w:right w:w="108" w:type="dxa"/>
        </w:tblCellMar>
      </w:tblPr>
      <w:tblGrid>
        <w:gridCol w:w="958"/>
        <w:gridCol w:w="1607"/>
        <w:gridCol w:w="1283"/>
        <w:gridCol w:w="1284"/>
        <w:gridCol w:w="1284"/>
        <w:gridCol w:w="1284"/>
        <w:gridCol w:w="1284"/>
        <w:gridCol w:w="1284"/>
        <w:gridCol w:w="1284"/>
        <w:gridCol w:w="1284"/>
        <w:gridCol w:w="1270"/>
      </w:tblGrid>
      <w:tr>
        <w:tblPrEx>
          <w:tblCellMar>
            <w:top w:w="0" w:type="dxa"/>
            <w:left w:w="108" w:type="dxa"/>
            <w:bottom w:w="0" w:type="dxa"/>
            <w:right w:w="108" w:type="dxa"/>
          </w:tblCellMar>
        </w:tblPrEx>
        <w:trPr>
          <w:trHeight w:val="285" w:hRule="atLeast"/>
        </w:trPr>
        <w:tc>
          <w:tcPr>
            <w:tcW w:w="34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预测水资源可利用量（2025年）</w:t>
            </w:r>
          </w:p>
        </w:tc>
        <w:tc>
          <w:tcPr>
            <w:tcW w:w="5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分区</w:t>
            </w:r>
          </w:p>
        </w:tc>
        <w:tc>
          <w:tcPr>
            <w:tcW w:w="13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60"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95%水资源量（万m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西部丘陵区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1139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4882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6021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1011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4610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5621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986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4366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5352 </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南部丘陵区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963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4741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5704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4483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5368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871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4264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5135 </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中部平原区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1741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8403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10144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1454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7425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8879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1404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6596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8000 </w:t>
            </w:r>
          </w:p>
        </w:tc>
      </w:tr>
      <w:tr>
        <w:tblPrEx>
          <w:tblCellMar>
            <w:top w:w="0" w:type="dxa"/>
            <w:left w:w="108" w:type="dxa"/>
            <w:bottom w:w="0" w:type="dxa"/>
            <w:right w:w="108" w:type="dxa"/>
          </w:tblCellMar>
        </w:tblPrEx>
        <w:trPr>
          <w:trHeight w:val="285"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合计</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21869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19869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18486 </w:t>
            </w:r>
          </w:p>
        </w:tc>
      </w:tr>
    </w:tbl>
    <w:p>
      <w:pPr>
        <w:spacing w:line="360" w:lineRule="auto"/>
        <w:ind w:firstLine="560" w:firstLineChars="200"/>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7汤阴县2030年可利用水资源量预测表</w:t>
      </w:r>
    </w:p>
    <w:tbl>
      <w:tblPr>
        <w:tblStyle w:val="26"/>
        <w:tblW w:w="5000" w:type="pct"/>
        <w:tblInd w:w="0" w:type="dxa"/>
        <w:tblLayout w:type="autofit"/>
        <w:tblCellMar>
          <w:top w:w="0" w:type="dxa"/>
          <w:left w:w="108" w:type="dxa"/>
          <w:bottom w:w="0" w:type="dxa"/>
          <w:right w:w="108" w:type="dxa"/>
        </w:tblCellMar>
      </w:tblPr>
      <w:tblGrid>
        <w:gridCol w:w="958"/>
        <w:gridCol w:w="1607"/>
        <w:gridCol w:w="1283"/>
        <w:gridCol w:w="1284"/>
        <w:gridCol w:w="1284"/>
        <w:gridCol w:w="1284"/>
        <w:gridCol w:w="1284"/>
        <w:gridCol w:w="1284"/>
        <w:gridCol w:w="1284"/>
        <w:gridCol w:w="1284"/>
        <w:gridCol w:w="1270"/>
      </w:tblGrid>
      <w:tr>
        <w:tblPrEx>
          <w:tblCellMar>
            <w:top w:w="0" w:type="dxa"/>
            <w:left w:w="108" w:type="dxa"/>
            <w:bottom w:w="0" w:type="dxa"/>
            <w:right w:w="108" w:type="dxa"/>
          </w:tblCellMar>
        </w:tblPrEx>
        <w:trPr>
          <w:trHeight w:val="285" w:hRule="atLeast"/>
        </w:trPr>
        <w:tc>
          <w:tcPr>
            <w:tcW w:w="34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预测水资源可利用量（2030年）</w:t>
            </w:r>
          </w:p>
        </w:tc>
        <w:tc>
          <w:tcPr>
            <w:tcW w:w="5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分区</w:t>
            </w:r>
          </w:p>
        </w:tc>
        <w:tc>
          <w:tcPr>
            <w:tcW w:w="13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65"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60"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95%水资源量（万m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地表水可利用量</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地下水可利用量</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可利用水资源量</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西部丘陵区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1115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4781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5896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990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4514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5504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965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4274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5239 </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南部丘陵区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943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4642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5585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867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4390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5257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853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4175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5028 </w:t>
            </w:r>
          </w:p>
        </w:tc>
      </w:tr>
      <w:tr>
        <w:tblPrEx>
          <w:tblCellMar>
            <w:top w:w="0" w:type="dxa"/>
            <w:left w:w="108" w:type="dxa"/>
            <w:bottom w:w="0" w:type="dxa"/>
            <w:right w:w="108" w:type="dxa"/>
          </w:tblCellMar>
        </w:tblPrEx>
        <w:trPr>
          <w:trHeight w:val="570"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中部平原区</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1705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8228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9933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1424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7270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8694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1374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6458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7832 </w:t>
            </w:r>
          </w:p>
        </w:tc>
      </w:tr>
      <w:tr>
        <w:tblPrEx>
          <w:tblCellMar>
            <w:top w:w="0" w:type="dxa"/>
            <w:left w:w="108" w:type="dxa"/>
            <w:bottom w:w="0" w:type="dxa"/>
            <w:right w:w="108" w:type="dxa"/>
          </w:tblCellMar>
        </w:tblPrEx>
        <w:trPr>
          <w:trHeight w:val="285" w:hRule="atLeast"/>
        </w:trPr>
        <w:tc>
          <w:tcPr>
            <w:tcW w:w="340" w:type="pct"/>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57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合计</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21414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19455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18099 </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6838" w:h="11906" w:orient="landscape"/>
          <w:pgMar w:top="1474" w:right="1474" w:bottom="1474" w:left="1474" w:header="851" w:footer="851" w:gutter="0"/>
          <w:cols w:space="720" w:num="1"/>
          <w:docGrid w:linePitch="326" w:charSpace="0"/>
        </w:sectPr>
      </w:pPr>
    </w:p>
    <w:p>
      <w:pPr>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rPr>
        <w:t>2</w:t>
      </w:r>
      <w:r>
        <w:rPr>
          <w:rFonts w:ascii="宋体" w:hAnsi="宋体" w:cs="宋体"/>
          <w:sz w:val="28"/>
          <w:szCs w:val="28"/>
        </w:rPr>
        <w:t>）需水量</w:t>
      </w:r>
    </w:p>
    <w:p>
      <w:pPr>
        <w:spacing w:line="360" w:lineRule="auto"/>
        <w:ind w:firstLine="560" w:firstLineChars="200"/>
        <w:rPr>
          <w:rFonts w:ascii="宋体" w:hAnsi="宋体" w:cs="宋体"/>
          <w:sz w:val="28"/>
          <w:szCs w:val="28"/>
        </w:rPr>
      </w:pPr>
      <w:r>
        <w:rPr>
          <w:rFonts w:hint="eastAsia" w:ascii="宋体" w:hAnsi="宋体" w:cs="宋体"/>
          <w:sz w:val="28"/>
          <w:szCs w:val="28"/>
        </w:rPr>
        <w:t>①</w:t>
      </w:r>
      <w:r>
        <w:rPr>
          <w:rFonts w:ascii="宋体" w:hAnsi="宋体" w:cs="宋体"/>
          <w:sz w:val="28"/>
          <w:szCs w:val="28"/>
        </w:rPr>
        <w:t>农业灌溉需水量</w:t>
      </w:r>
    </w:p>
    <w:p>
      <w:pPr>
        <w:spacing w:line="360" w:lineRule="auto"/>
        <w:ind w:firstLine="560" w:firstLineChars="200"/>
        <w:rPr>
          <w:rFonts w:ascii="宋体" w:hAnsi="宋体" w:cs="宋体"/>
          <w:sz w:val="28"/>
          <w:szCs w:val="28"/>
        </w:rPr>
      </w:pPr>
      <w:r>
        <w:rPr>
          <w:rFonts w:hint="eastAsia" w:ascii="宋体" w:hAnsi="宋体" w:cs="宋体"/>
          <w:sz w:val="28"/>
          <w:szCs w:val="28"/>
        </w:rPr>
        <w:t>汤阴县现有高标准农田面积51.17万亩，根据汤阴县未来规划，至2025年新增高标准农田面积3.28万亩，提质面积</w:t>
      </w:r>
      <w:r>
        <w:rPr>
          <w:rFonts w:ascii="宋体" w:hAnsi="宋体" w:cs="宋体"/>
          <w:sz w:val="28"/>
          <w:szCs w:val="28"/>
        </w:rPr>
        <w:t>16.85</w:t>
      </w:r>
      <w:r>
        <w:rPr>
          <w:rFonts w:hint="eastAsia" w:ascii="宋体" w:hAnsi="宋体" w:cs="宋体"/>
          <w:sz w:val="28"/>
          <w:szCs w:val="28"/>
        </w:rPr>
        <w:t>万亩，高标准农田面积将达到54.45万亩，其中渠灌区面积15.5万亩，管灌区面积3</w:t>
      </w:r>
      <w:r>
        <w:rPr>
          <w:rFonts w:ascii="宋体" w:hAnsi="宋体" w:cs="宋体"/>
          <w:sz w:val="28"/>
          <w:szCs w:val="28"/>
        </w:rPr>
        <w:t>7.0</w:t>
      </w:r>
      <w:r>
        <w:rPr>
          <w:rFonts w:hint="eastAsia" w:ascii="宋体" w:hAnsi="宋体" w:cs="宋体"/>
          <w:sz w:val="28"/>
          <w:szCs w:val="28"/>
        </w:rPr>
        <w:t>5万亩，喷灌区面积</w:t>
      </w:r>
      <w:r>
        <w:rPr>
          <w:rFonts w:ascii="宋体" w:hAnsi="宋体" w:cs="宋体"/>
          <w:sz w:val="28"/>
          <w:szCs w:val="28"/>
        </w:rPr>
        <w:t>1.91</w:t>
      </w:r>
      <w:r>
        <w:rPr>
          <w:rFonts w:hint="eastAsia" w:ascii="宋体" w:hAnsi="宋体" w:cs="宋体"/>
          <w:sz w:val="28"/>
          <w:szCs w:val="28"/>
        </w:rPr>
        <w:t>万亩；至2030年提质高标准农田面积33.0</w:t>
      </w:r>
      <w:r>
        <w:rPr>
          <w:rFonts w:ascii="宋体" w:hAnsi="宋体" w:cs="宋体"/>
          <w:sz w:val="28"/>
          <w:szCs w:val="28"/>
        </w:rPr>
        <w:t>2</w:t>
      </w:r>
      <w:r>
        <w:rPr>
          <w:rFonts w:hint="eastAsia" w:ascii="宋体" w:hAnsi="宋体" w:cs="宋体"/>
          <w:sz w:val="28"/>
          <w:szCs w:val="28"/>
        </w:rPr>
        <w:t>万亩，高标准农田面积54.45万亩，其中渠灌区面积15.5万亩，管灌区面积33.</w:t>
      </w:r>
      <w:r>
        <w:rPr>
          <w:rFonts w:ascii="宋体" w:hAnsi="宋体" w:cs="宋体"/>
          <w:sz w:val="28"/>
          <w:szCs w:val="28"/>
        </w:rPr>
        <w:t>78</w:t>
      </w:r>
      <w:r>
        <w:rPr>
          <w:rFonts w:hint="eastAsia" w:ascii="宋体" w:hAnsi="宋体" w:cs="宋体"/>
          <w:sz w:val="28"/>
          <w:szCs w:val="28"/>
        </w:rPr>
        <w:t>万亩，喷灌区面积5.</w:t>
      </w:r>
      <w:r>
        <w:rPr>
          <w:rFonts w:ascii="宋体" w:hAnsi="宋体" w:cs="宋体"/>
          <w:sz w:val="28"/>
          <w:szCs w:val="28"/>
        </w:rPr>
        <w:t>17</w:t>
      </w:r>
      <w:r>
        <w:rPr>
          <w:rFonts w:hint="eastAsia" w:ascii="宋体" w:hAnsi="宋体" w:cs="宋体"/>
          <w:sz w:val="28"/>
          <w:szCs w:val="28"/>
        </w:rPr>
        <w:t>万亩。</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8汤阴县十四五期间规划高标准农田面积表</w:t>
      </w:r>
    </w:p>
    <w:tbl>
      <w:tblPr>
        <w:tblStyle w:val="26"/>
        <w:tblW w:w="9720" w:type="dxa"/>
        <w:tblInd w:w="93" w:type="dxa"/>
        <w:tblLayout w:type="autofit"/>
        <w:tblCellMar>
          <w:top w:w="0" w:type="dxa"/>
          <w:left w:w="108" w:type="dxa"/>
          <w:bottom w:w="0" w:type="dxa"/>
          <w:right w:w="108" w:type="dxa"/>
        </w:tblCellMar>
      </w:tblPr>
      <w:tblGrid>
        <w:gridCol w:w="1291"/>
        <w:gridCol w:w="992"/>
        <w:gridCol w:w="957"/>
        <w:gridCol w:w="1080"/>
        <w:gridCol w:w="1080"/>
        <w:gridCol w:w="1080"/>
        <w:gridCol w:w="1080"/>
        <w:gridCol w:w="1080"/>
        <w:gridCol w:w="1080"/>
      </w:tblGrid>
      <w:tr>
        <w:tblPrEx>
          <w:tblCellMar>
            <w:top w:w="0" w:type="dxa"/>
            <w:left w:w="108" w:type="dxa"/>
            <w:bottom w:w="0" w:type="dxa"/>
            <w:right w:w="108" w:type="dxa"/>
          </w:tblCellMar>
        </w:tblPrEx>
        <w:trPr>
          <w:trHeight w:val="285" w:hRule="atLeast"/>
        </w:trPr>
        <w:tc>
          <w:tcPr>
            <w:tcW w:w="12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年度</w:t>
            </w:r>
          </w:p>
        </w:tc>
        <w:tc>
          <w:tcPr>
            <w:tcW w:w="8429"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十四五</w:t>
            </w:r>
          </w:p>
        </w:tc>
      </w:tr>
      <w:tr>
        <w:tblPrEx>
          <w:tblCellMar>
            <w:top w:w="0" w:type="dxa"/>
            <w:left w:w="108" w:type="dxa"/>
            <w:bottom w:w="0" w:type="dxa"/>
            <w:right w:w="108" w:type="dxa"/>
          </w:tblCellMar>
        </w:tblPrEx>
        <w:trPr>
          <w:trHeight w:val="285" w:hRule="atLeast"/>
        </w:trPr>
        <w:tc>
          <w:tcPr>
            <w:tcW w:w="129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2021</w:t>
            </w:r>
          </w:p>
        </w:tc>
        <w:tc>
          <w:tcPr>
            <w:tcW w:w="957"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2023</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2024</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渠灌面积</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管灌面积</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喷灌面积</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规划面积（万亩）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0.64 </w:t>
            </w:r>
          </w:p>
        </w:tc>
        <w:tc>
          <w:tcPr>
            <w:tcW w:w="957"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2.64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10.39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1.13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4.25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15.50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37.05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1.91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性质</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957"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snapToGrid w:val="0"/>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9汤阴县十五五期间</w:t>
      </w:r>
      <w:r>
        <w:rPr>
          <w:rFonts w:hint="eastAsia"/>
          <w:sz w:val="28"/>
          <w:szCs w:val="28"/>
        </w:rPr>
        <w:t>规划</w:t>
      </w:r>
      <w:r>
        <w:rPr>
          <w:rFonts w:hint="eastAsia" w:ascii="宋体" w:hAnsi="宋体" w:cs="宋体"/>
          <w:sz w:val="28"/>
          <w:szCs w:val="28"/>
        </w:rPr>
        <w:t>高标准农田面积表</w:t>
      </w:r>
    </w:p>
    <w:tbl>
      <w:tblPr>
        <w:tblStyle w:val="26"/>
        <w:tblW w:w="9720" w:type="dxa"/>
        <w:tblInd w:w="93" w:type="dxa"/>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1080"/>
      </w:tblGrid>
      <w:tr>
        <w:tblPrEx>
          <w:tblCellMar>
            <w:top w:w="0" w:type="dxa"/>
            <w:left w:w="108" w:type="dxa"/>
            <w:bottom w:w="0" w:type="dxa"/>
            <w:right w:w="108" w:type="dxa"/>
          </w:tblCellMar>
        </w:tblPrEx>
        <w:trPr>
          <w:trHeight w:val="285"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年度</w:t>
            </w:r>
          </w:p>
        </w:tc>
        <w:tc>
          <w:tcPr>
            <w:tcW w:w="86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十五五</w:t>
            </w:r>
          </w:p>
        </w:tc>
      </w:tr>
      <w:tr>
        <w:tblPrEx>
          <w:tblCellMar>
            <w:top w:w="0" w:type="dxa"/>
            <w:left w:w="108" w:type="dxa"/>
            <w:bottom w:w="0" w:type="dxa"/>
            <w:right w:w="108" w:type="dxa"/>
          </w:tblCellMar>
        </w:tblPrEx>
        <w:trPr>
          <w:trHeight w:val="28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2026</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2027</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2028</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2029</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2030</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渠灌面积</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管灌面积</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喷灌面积</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规划面积</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7.98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6.95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5.27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6.08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6.34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15.50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33.78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5.17 </w:t>
            </w:r>
          </w:p>
        </w:tc>
      </w:tr>
      <w:tr>
        <w:tblPrEx>
          <w:tblCellMar>
            <w:top w:w="0" w:type="dxa"/>
            <w:left w:w="108" w:type="dxa"/>
            <w:bottom w:w="0" w:type="dxa"/>
            <w:right w:w="108" w:type="dxa"/>
          </w:tblCellMar>
        </w:tblPrEx>
        <w:trPr>
          <w:trHeight w:val="28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性质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r>
        <w:rPr>
          <w:rFonts w:hint="eastAsia" w:ascii="宋体" w:hAnsi="宋体" w:cs="宋体"/>
          <w:sz w:val="28"/>
          <w:szCs w:val="28"/>
        </w:rPr>
        <w:t>则农业灌溉需水量根据上述章节计算方法，可得不同年份在不同保证率下农业灌溉需水量，详见下表：</w:t>
      </w:r>
    </w:p>
    <w:p>
      <w:pPr>
        <w:spacing w:line="360" w:lineRule="auto"/>
        <w:ind w:firstLine="560" w:firstLineChars="200"/>
        <w:rPr>
          <w:rFonts w:ascii="宋体" w:hAnsi="宋体" w:cs="宋体"/>
          <w:sz w:val="28"/>
          <w:szCs w:val="28"/>
        </w:rPr>
        <w:sectPr>
          <w:pgSz w:w="11906" w:h="16838"/>
          <w:pgMar w:top="1474" w:right="1474" w:bottom="1474" w:left="1474" w:header="851" w:footer="851" w:gutter="0"/>
          <w:cols w:space="720" w:num="1"/>
          <w:docGrid w:linePitch="326" w:charSpace="0"/>
        </w:sect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-20汤阴县2025年农业灌溉需水量计算表</w:t>
      </w:r>
    </w:p>
    <w:tbl>
      <w:tblPr>
        <w:tblStyle w:val="26"/>
        <w:tblW w:w="5000" w:type="pct"/>
        <w:tblInd w:w="0" w:type="dxa"/>
        <w:tblLayout w:type="autofit"/>
        <w:tblCellMar>
          <w:top w:w="0" w:type="dxa"/>
          <w:left w:w="108" w:type="dxa"/>
          <w:bottom w:w="0" w:type="dxa"/>
          <w:right w:w="108" w:type="dxa"/>
        </w:tblCellMar>
      </w:tblPr>
      <w:tblGrid>
        <w:gridCol w:w="1071"/>
        <w:gridCol w:w="1112"/>
        <w:gridCol w:w="1112"/>
        <w:gridCol w:w="1112"/>
        <w:gridCol w:w="1114"/>
        <w:gridCol w:w="1072"/>
        <w:gridCol w:w="1072"/>
        <w:gridCol w:w="1075"/>
        <w:gridCol w:w="1072"/>
        <w:gridCol w:w="1072"/>
        <w:gridCol w:w="1075"/>
        <w:gridCol w:w="1075"/>
        <w:gridCol w:w="1072"/>
      </w:tblGrid>
      <w:tr>
        <w:tblPrEx>
          <w:tblCellMar>
            <w:top w:w="0" w:type="dxa"/>
            <w:left w:w="108" w:type="dxa"/>
            <w:bottom w:w="0" w:type="dxa"/>
            <w:right w:w="108" w:type="dxa"/>
          </w:tblCellMar>
        </w:tblPrEx>
        <w:trPr>
          <w:trHeight w:val="402" w:hRule="atLeast"/>
        </w:trPr>
        <w:tc>
          <w:tcPr>
            <w:tcW w:w="3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水平年</w:t>
            </w:r>
          </w:p>
        </w:tc>
        <w:tc>
          <w:tcPr>
            <w:tcW w:w="1576"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节水灌溉面积（万亩）</w:t>
            </w:r>
          </w:p>
        </w:tc>
        <w:tc>
          <w:tcPr>
            <w:tcW w:w="1141"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灌溉定额（50%）m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c>
          <w:tcPr>
            <w:tcW w:w="1141"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灌溉定额（75%）m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c>
          <w:tcPr>
            <w:tcW w:w="76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CellMar>
            <w:top w:w="0" w:type="dxa"/>
            <w:left w:w="108" w:type="dxa"/>
            <w:bottom w:w="0" w:type="dxa"/>
            <w:right w:w="108" w:type="dxa"/>
          </w:tblCellMar>
        </w:tblPrEx>
        <w:trPr>
          <w:trHeight w:val="402" w:hRule="atLeast"/>
        </w:trPr>
        <w:tc>
          <w:tcPr>
            <w:tcW w:w="3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渠灌面积</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管灌面积</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喷灌面积</w:t>
            </w:r>
          </w:p>
        </w:tc>
        <w:tc>
          <w:tcPr>
            <w:tcW w:w="39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CellMar>
            <w:top w:w="0" w:type="dxa"/>
            <w:left w:w="108" w:type="dxa"/>
            <w:bottom w:w="0" w:type="dxa"/>
            <w:right w:w="108" w:type="dxa"/>
          </w:tblCellMar>
        </w:tblPrEx>
        <w:trPr>
          <w:trHeight w:val="402" w:hRule="atLeast"/>
        </w:trPr>
        <w:tc>
          <w:tcPr>
            <w:tcW w:w="38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15.50 </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37.05 </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1.91 </w:t>
            </w:r>
          </w:p>
        </w:tc>
        <w:tc>
          <w:tcPr>
            <w:tcW w:w="39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54.45</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343.25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206.67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178.49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429.45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258.57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223.31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13316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16661 </w:t>
            </w:r>
          </w:p>
        </w:tc>
      </w:tr>
    </w:tbl>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-21汤阴县2030年农业灌溉需水量计算表</w:t>
      </w:r>
    </w:p>
    <w:tbl>
      <w:tblPr>
        <w:tblStyle w:val="26"/>
        <w:tblW w:w="5000" w:type="pct"/>
        <w:tblInd w:w="0" w:type="dxa"/>
        <w:tblLayout w:type="autofit"/>
        <w:tblCellMar>
          <w:top w:w="0" w:type="dxa"/>
          <w:left w:w="108" w:type="dxa"/>
          <w:bottom w:w="0" w:type="dxa"/>
          <w:right w:w="108" w:type="dxa"/>
        </w:tblCellMar>
      </w:tblPr>
      <w:tblGrid>
        <w:gridCol w:w="1071"/>
        <w:gridCol w:w="1112"/>
        <w:gridCol w:w="1112"/>
        <w:gridCol w:w="1112"/>
        <w:gridCol w:w="1114"/>
        <w:gridCol w:w="1072"/>
        <w:gridCol w:w="1072"/>
        <w:gridCol w:w="1075"/>
        <w:gridCol w:w="1072"/>
        <w:gridCol w:w="1072"/>
        <w:gridCol w:w="1075"/>
        <w:gridCol w:w="1075"/>
        <w:gridCol w:w="1072"/>
      </w:tblGrid>
      <w:tr>
        <w:tblPrEx>
          <w:tblCellMar>
            <w:top w:w="0" w:type="dxa"/>
            <w:left w:w="108" w:type="dxa"/>
            <w:bottom w:w="0" w:type="dxa"/>
            <w:right w:w="108" w:type="dxa"/>
          </w:tblCellMar>
        </w:tblPrEx>
        <w:trPr>
          <w:trHeight w:val="402" w:hRule="atLeast"/>
        </w:trPr>
        <w:tc>
          <w:tcPr>
            <w:tcW w:w="3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水平年</w:t>
            </w:r>
          </w:p>
        </w:tc>
        <w:tc>
          <w:tcPr>
            <w:tcW w:w="1576"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节水灌溉面积（万亩）</w:t>
            </w:r>
          </w:p>
        </w:tc>
        <w:tc>
          <w:tcPr>
            <w:tcW w:w="1141"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灌溉定额（50%）m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c>
          <w:tcPr>
            <w:tcW w:w="1141"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灌溉定额（75%）m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/亩</w:t>
            </w:r>
          </w:p>
        </w:tc>
        <w:tc>
          <w:tcPr>
            <w:tcW w:w="76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CellMar>
            <w:top w:w="0" w:type="dxa"/>
            <w:left w:w="108" w:type="dxa"/>
            <w:bottom w:w="0" w:type="dxa"/>
            <w:right w:w="108" w:type="dxa"/>
          </w:tblCellMar>
        </w:tblPrEx>
        <w:trPr>
          <w:trHeight w:val="402" w:hRule="atLeast"/>
        </w:trPr>
        <w:tc>
          <w:tcPr>
            <w:tcW w:w="3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szCs w:val="22"/>
              </w:rPr>
            </w:pP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渠灌面积</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管灌面积</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喷灌面积</w:t>
            </w:r>
          </w:p>
        </w:tc>
        <w:tc>
          <w:tcPr>
            <w:tcW w:w="39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渠灌</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管灌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喷灌</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CellMar>
            <w:top w:w="0" w:type="dxa"/>
            <w:left w:w="108" w:type="dxa"/>
            <w:bottom w:w="0" w:type="dxa"/>
            <w:right w:w="108" w:type="dxa"/>
          </w:tblCellMar>
        </w:tblPrEx>
        <w:trPr>
          <w:trHeight w:val="402" w:hRule="atLeast"/>
        </w:trPr>
        <w:tc>
          <w:tcPr>
            <w:tcW w:w="38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2030</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15.50 </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33.78 </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5.17 </w:t>
            </w:r>
          </w:p>
        </w:tc>
        <w:tc>
          <w:tcPr>
            <w:tcW w:w="39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54.45</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343.25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206.67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178.49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429.45 </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258.57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223.31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13225 </w:t>
            </w:r>
          </w:p>
        </w:tc>
        <w:tc>
          <w:tcPr>
            <w:tcW w:w="381"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16546 </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sectPr>
          <w:pgSz w:w="16838" w:h="11906" w:orient="landscape"/>
          <w:pgMar w:top="1474" w:right="1474" w:bottom="1474" w:left="1474" w:header="851" w:footer="851" w:gutter="0"/>
          <w:cols w:space="720" w:num="1"/>
          <w:docGrid w:linePitch="326" w:charSpace="0"/>
        </w:sectPr>
      </w:pPr>
    </w:p>
    <w:p>
      <w:pPr>
        <w:spacing w:line="360" w:lineRule="auto"/>
        <w:ind w:firstLine="560" w:firstLineChars="200"/>
        <w:rPr>
          <w:rFonts w:ascii="宋体" w:hAnsi="宋体" w:cs="宋体"/>
          <w:sz w:val="28"/>
          <w:szCs w:val="28"/>
        </w:rPr>
      </w:pPr>
      <w:r>
        <w:rPr>
          <w:rFonts w:ascii="宋体" w:hAnsi="宋体" w:cs="宋体"/>
          <w:sz w:val="28"/>
          <w:szCs w:val="28"/>
        </w:rPr>
        <w:t>②工业、</w:t>
      </w:r>
      <w:r>
        <w:rPr>
          <w:rFonts w:hint="eastAsia" w:ascii="宋体" w:hAnsi="宋体" w:cs="宋体"/>
          <w:sz w:val="28"/>
          <w:szCs w:val="28"/>
        </w:rPr>
        <w:t>林牧渔业、生活及生态用水需水量</w:t>
      </w:r>
    </w:p>
    <w:p>
      <w:pPr>
        <w:spacing w:line="360" w:lineRule="auto"/>
        <w:ind w:firstLine="560" w:firstLineChars="200"/>
        <w:rPr>
          <w:rFonts w:ascii="宋体" w:hAnsi="宋体" w:cs="宋体"/>
          <w:sz w:val="28"/>
          <w:szCs w:val="28"/>
        </w:rPr>
      </w:pPr>
      <w:r>
        <w:rPr>
          <w:rFonts w:ascii="宋体" w:hAnsi="宋体" w:cs="宋体"/>
          <w:sz w:val="28"/>
          <w:szCs w:val="28"/>
        </w:rPr>
        <w:t>根据安阳市水资源公报</w:t>
      </w:r>
      <w:r>
        <w:rPr>
          <w:rFonts w:hint="eastAsia" w:ascii="宋体" w:hAnsi="宋体" w:cs="宋体"/>
          <w:sz w:val="28"/>
          <w:szCs w:val="28"/>
        </w:rPr>
        <w:t>2016-2020年的统计</w:t>
      </w:r>
      <w:r>
        <w:rPr>
          <w:rFonts w:ascii="宋体" w:hAnsi="宋体" w:cs="宋体"/>
          <w:sz w:val="28"/>
          <w:szCs w:val="28"/>
        </w:rPr>
        <w:t>数据，预测汤阴县工业、</w:t>
      </w:r>
      <w:r>
        <w:rPr>
          <w:rFonts w:hint="eastAsia" w:ascii="宋体" w:hAnsi="宋体" w:cs="宋体"/>
          <w:sz w:val="28"/>
          <w:szCs w:val="28"/>
        </w:rPr>
        <w:t>林牧渔业、生活及生态用水需水量，详见下表：</w:t>
      </w:r>
    </w:p>
    <w:p>
      <w:pPr>
        <w:snapToGrid w:val="0"/>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-22汤阴县</w:t>
      </w:r>
      <w:r>
        <w:rPr>
          <w:rFonts w:ascii="宋体" w:hAnsi="宋体" w:cs="宋体"/>
          <w:sz w:val="28"/>
          <w:szCs w:val="28"/>
        </w:rPr>
        <w:t>工业、</w:t>
      </w:r>
      <w:r>
        <w:rPr>
          <w:rFonts w:hint="eastAsia" w:ascii="宋体" w:hAnsi="宋体" w:cs="宋体"/>
          <w:sz w:val="28"/>
          <w:szCs w:val="28"/>
        </w:rPr>
        <w:t>林牧渔业、生活及生态用水需水量  单位：万m</w:t>
      </w:r>
      <w:r>
        <w:rPr>
          <w:rFonts w:hint="eastAsia" w:ascii="宋体" w:hAnsi="宋体" w:cs="宋体"/>
          <w:sz w:val="28"/>
          <w:szCs w:val="28"/>
          <w:vertAlign w:val="superscript"/>
        </w:rPr>
        <w:t>3</w:t>
      </w:r>
    </w:p>
    <w:tbl>
      <w:tblPr>
        <w:tblStyle w:val="26"/>
        <w:tblW w:w="5000" w:type="pct"/>
        <w:tblInd w:w="0" w:type="dxa"/>
        <w:tblLayout w:type="autofit"/>
        <w:tblCellMar>
          <w:top w:w="0" w:type="dxa"/>
          <w:left w:w="108" w:type="dxa"/>
          <w:bottom w:w="0" w:type="dxa"/>
          <w:right w:w="108" w:type="dxa"/>
        </w:tblCellMar>
      </w:tblPr>
      <w:tblGrid>
        <w:gridCol w:w="1284"/>
        <w:gridCol w:w="1331"/>
        <w:gridCol w:w="1331"/>
        <w:gridCol w:w="1331"/>
        <w:gridCol w:w="1331"/>
        <w:gridCol w:w="1283"/>
        <w:gridCol w:w="1283"/>
      </w:tblGrid>
      <w:tr>
        <w:tblPrEx>
          <w:tblCellMar>
            <w:top w:w="0" w:type="dxa"/>
            <w:left w:w="108" w:type="dxa"/>
            <w:bottom w:w="0" w:type="dxa"/>
            <w:right w:w="108" w:type="dxa"/>
          </w:tblCellMar>
        </w:tblPrEx>
        <w:trPr>
          <w:trHeight w:val="402" w:hRule="atLeast"/>
        </w:trPr>
        <w:tc>
          <w:tcPr>
            <w:tcW w:w="7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年份</w:t>
            </w:r>
          </w:p>
        </w:tc>
        <w:tc>
          <w:tcPr>
            <w:tcW w:w="7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工业</w:t>
            </w:r>
          </w:p>
        </w:tc>
        <w:tc>
          <w:tcPr>
            <w:tcW w:w="7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林牧渔业</w:t>
            </w:r>
          </w:p>
        </w:tc>
        <w:tc>
          <w:tcPr>
            <w:tcW w:w="7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农村生活</w:t>
            </w:r>
          </w:p>
        </w:tc>
        <w:tc>
          <w:tcPr>
            <w:tcW w:w="7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城镇生活</w:t>
            </w:r>
          </w:p>
        </w:tc>
        <w:tc>
          <w:tcPr>
            <w:tcW w:w="69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生态用水</w:t>
            </w:r>
          </w:p>
        </w:tc>
        <w:tc>
          <w:tcPr>
            <w:tcW w:w="69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2016年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1263</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377</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450</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701</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2791</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2017年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2077</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313</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394</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924</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702</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4410</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2018年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222</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358</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408</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931</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1928</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2019年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1030</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288</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694</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1018</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434</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3464</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2020年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1180</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961</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581</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955</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1636</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5313</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981</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390</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r>
              <w:rPr>
                <w:rFonts w:ascii="等线" w:hAnsi="等线" w:eastAsia="等线" w:cs="宋体"/>
                <w:color w:val="000000"/>
                <w:kern w:val="0"/>
                <w:sz w:val="22"/>
                <w:szCs w:val="22"/>
              </w:rPr>
              <w:t>30</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r>
              <w:rPr>
                <w:rFonts w:ascii="等线" w:hAnsi="等线" w:eastAsia="等线" w:cs="宋体"/>
                <w:color w:val="000000"/>
                <w:kern w:val="0"/>
                <w:sz w:val="22"/>
                <w:szCs w:val="22"/>
              </w:rPr>
              <w:t>70</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47</w:t>
            </w:r>
            <w:r>
              <w:rPr>
                <w:rFonts w:ascii="等线" w:hAnsi="等线" w:eastAsia="等线" w:cs="宋体"/>
                <w:color w:val="000000"/>
                <w:kern w:val="0"/>
                <w:sz w:val="22"/>
                <w:szCs w:val="22"/>
              </w:rPr>
              <w:t>3</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3044</w:t>
            </w:r>
          </w:p>
        </w:tc>
      </w:tr>
      <w:tr>
        <w:tblPrEx>
          <w:tblCellMar>
            <w:top w:w="0" w:type="dxa"/>
            <w:left w:w="108" w:type="dxa"/>
            <w:bottom w:w="0" w:type="dxa"/>
            <w:right w:w="108" w:type="dxa"/>
          </w:tblCellMar>
        </w:tblPrEx>
        <w:trPr>
          <w:trHeight w:val="402"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2030年</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92</w:t>
            </w:r>
            <w:r>
              <w:rPr>
                <w:rFonts w:ascii="等线" w:hAnsi="等线" w:eastAsia="等线" w:cs="宋体"/>
                <w:color w:val="000000"/>
                <w:kern w:val="0"/>
                <w:sz w:val="22"/>
                <w:szCs w:val="22"/>
              </w:rPr>
              <w:t>4</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36</w:t>
            </w:r>
            <w:r>
              <w:rPr>
                <w:rFonts w:ascii="等线" w:hAnsi="等线" w:eastAsia="等线" w:cs="宋体"/>
                <w:color w:val="000000"/>
                <w:kern w:val="0"/>
                <w:sz w:val="22"/>
                <w:szCs w:val="22"/>
              </w:rPr>
              <w:t>8</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404</w:t>
            </w:r>
          </w:p>
        </w:tc>
        <w:tc>
          <w:tcPr>
            <w:tcW w:w="725"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72</w:t>
            </w:r>
            <w:r>
              <w:rPr>
                <w:rFonts w:ascii="等线" w:hAnsi="等线" w:eastAsia="等线" w:cs="宋体"/>
                <w:color w:val="000000"/>
                <w:kern w:val="0"/>
                <w:sz w:val="22"/>
                <w:szCs w:val="22"/>
              </w:rPr>
              <w:t>5</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44</w:t>
            </w:r>
            <w:r>
              <w:rPr>
                <w:rFonts w:ascii="等线" w:hAnsi="等线" w:eastAsia="等线" w:cs="宋体"/>
                <w:color w:val="000000"/>
                <w:kern w:val="0"/>
                <w:sz w:val="22"/>
                <w:szCs w:val="22"/>
              </w:rPr>
              <w:t>5</w:t>
            </w:r>
          </w:p>
        </w:tc>
        <w:tc>
          <w:tcPr>
            <w:tcW w:w="699"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286</w:t>
            </w:r>
            <w:r>
              <w:rPr>
                <w:rFonts w:ascii="等线" w:hAnsi="等线" w:eastAsia="等线" w:cs="宋体"/>
                <w:color w:val="000000"/>
                <w:kern w:val="0"/>
                <w:sz w:val="22"/>
                <w:szCs w:val="22"/>
              </w:rPr>
              <w:t>5</w:t>
            </w:r>
          </w:p>
        </w:tc>
      </w:tr>
    </w:tbl>
    <w:p>
      <w:pPr>
        <w:spacing w:line="360" w:lineRule="auto"/>
        <w:ind w:firstLine="560" w:firstLineChars="200"/>
        <w:rPr>
          <w:rFonts w:ascii="宋体" w:hAnsi="宋体" w:cs="宋体"/>
          <w:sz w:val="28"/>
          <w:szCs w:val="28"/>
        </w:rPr>
      </w:pPr>
      <w:r>
        <w:rPr>
          <w:rFonts w:ascii="宋体" w:hAnsi="宋体" w:cs="宋体"/>
          <w:sz w:val="28"/>
          <w:szCs w:val="28"/>
        </w:rPr>
        <w:t>③总需水量</w:t>
      </w:r>
    </w:p>
    <w:p>
      <w:pPr>
        <w:spacing w:line="360" w:lineRule="auto"/>
        <w:ind w:firstLine="560" w:firstLineChars="200"/>
        <w:rPr>
          <w:rFonts w:ascii="宋体" w:hAnsi="宋体" w:cs="宋体"/>
          <w:sz w:val="28"/>
          <w:szCs w:val="28"/>
        </w:rPr>
      </w:pPr>
      <w:r>
        <w:rPr>
          <w:rFonts w:ascii="宋体" w:hAnsi="宋体" w:cs="宋体"/>
          <w:sz w:val="28"/>
          <w:szCs w:val="28"/>
        </w:rPr>
        <w:t>根据以上计算结果，汤阴县</w:t>
      </w:r>
      <w:r>
        <w:rPr>
          <w:rFonts w:hint="eastAsia" w:ascii="宋体" w:hAnsi="宋体" w:cs="宋体"/>
          <w:sz w:val="28"/>
          <w:szCs w:val="28"/>
        </w:rPr>
        <w:t>2025年</w:t>
      </w:r>
      <w:r>
        <w:rPr>
          <w:rFonts w:ascii="宋体" w:hAnsi="宋体" w:cs="宋体"/>
          <w:sz w:val="28"/>
          <w:szCs w:val="28"/>
        </w:rPr>
        <w:t>总需水量为：</w:t>
      </w:r>
      <w:r>
        <w:rPr>
          <w:rFonts w:hint="eastAsia" w:ascii="宋体" w:hAnsi="宋体" w:cs="宋体"/>
          <w:sz w:val="28"/>
          <w:szCs w:val="28"/>
        </w:rPr>
        <w:t>W</w:t>
      </w:r>
      <w:r>
        <w:rPr>
          <w:rFonts w:hint="eastAsia" w:ascii="宋体" w:hAnsi="宋体" w:cs="宋体"/>
          <w:sz w:val="28"/>
          <w:szCs w:val="28"/>
          <w:vertAlign w:val="subscript"/>
        </w:rPr>
        <w:t>50%</w:t>
      </w:r>
      <w:r>
        <w:rPr>
          <w:rFonts w:hint="eastAsia" w:ascii="宋体" w:hAnsi="宋体" w:cs="宋体"/>
          <w:sz w:val="28"/>
          <w:szCs w:val="28"/>
        </w:rPr>
        <w:t>=1</w:t>
      </w:r>
      <w:r>
        <w:rPr>
          <w:rFonts w:ascii="宋体" w:hAnsi="宋体" w:cs="宋体"/>
          <w:sz w:val="28"/>
          <w:szCs w:val="28"/>
        </w:rPr>
        <w:t>3316</w:t>
      </w:r>
      <w:r>
        <w:rPr>
          <w:rFonts w:hint="eastAsia" w:ascii="宋体" w:hAnsi="宋体" w:cs="宋体"/>
          <w:sz w:val="28"/>
          <w:szCs w:val="28"/>
        </w:rPr>
        <w:t>+3044=1</w:t>
      </w:r>
      <w:r>
        <w:rPr>
          <w:rFonts w:ascii="宋体" w:hAnsi="宋体" w:cs="宋体"/>
          <w:sz w:val="28"/>
          <w:szCs w:val="28"/>
        </w:rPr>
        <w:t>6360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w:t>
      </w:r>
      <w:r>
        <w:rPr>
          <w:rFonts w:hint="eastAsia" w:ascii="宋体" w:hAnsi="宋体" w:cs="宋体"/>
          <w:sz w:val="28"/>
          <w:szCs w:val="28"/>
          <w:vertAlign w:val="subscript"/>
        </w:rPr>
        <w:t>75</w:t>
      </w:r>
      <w:r>
        <w:rPr>
          <w:rFonts w:hint="eastAsia" w:ascii="宋体" w:hAnsi="宋体" w:cs="宋体"/>
          <w:sz w:val="28"/>
          <w:szCs w:val="28"/>
        </w:rPr>
        <w:t>=1</w:t>
      </w:r>
      <w:r>
        <w:rPr>
          <w:rFonts w:ascii="宋体" w:hAnsi="宋体" w:cs="宋体"/>
          <w:sz w:val="28"/>
          <w:szCs w:val="28"/>
        </w:rPr>
        <w:t>6661</w:t>
      </w:r>
      <w:r>
        <w:rPr>
          <w:rFonts w:hint="eastAsia" w:ascii="宋体" w:hAnsi="宋体" w:cs="宋体"/>
          <w:sz w:val="28"/>
          <w:szCs w:val="28"/>
        </w:rPr>
        <w:t>+3044=1</w:t>
      </w:r>
      <w:r>
        <w:rPr>
          <w:rFonts w:ascii="宋体" w:hAnsi="宋体" w:cs="宋体"/>
          <w:sz w:val="28"/>
          <w:szCs w:val="28"/>
        </w:rPr>
        <w:t>9705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r>
        <w:rPr>
          <w:rFonts w:ascii="宋体" w:hAnsi="宋体" w:cs="宋体"/>
          <w:sz w:val="28"/>
          <w:szCs w:val="28"/>
        </w:rPr>
        <w:t>汤阴县</w:t>
      </w:r>
      <w:r>
        <w:rPr>
          <w:rFonts w:hint="eastAsia" w:ascii="宋体" w:hAnsi="宋体" w:cs="宋体"/>
          <w:sz w:val="28"/>
          <w:szCs w:val="28"/>
        </w:rPr>
        <w:t>2030年</w:t>
      </w:r>
      <w:r>
        <w:rPr>
          <w:rFonts w:ascii="宋体" w:hAnsi="宋体" w:cs="宋体"/>
          <w:sz w:val="28"/>
          <w:szCs w:val="28"/>
        </w:rPr>
        <w:t>总需水量为：</w:t>
      </w:r>
      <w:r>
        <w:rPr>
          <w:rFonts w:hint="eastAsia" w:ascii="宋体" w:hAnsi="宋体" w:cs="宋体"/>
          <w:sz w:val="28"/>
          <w:szCs w:val="28"/>
        </w:rPr>
        <w:t>W</w:t>
      </w:r>
      <w:r>
        <w:rPr>
          <w:rFonts w:hint="eastAsia" w:ascii="宋体" w:hAnsi="宋体" w:cs="宋体"/>
          <w:sz w:val="28"/>
          <w:szCs w:val="28"/>
          <w:vertAlign w:val="subscript"/>
        </w:rPr>
        <w:t>50%</w:t>
      </w:r>
      <w:r>
        <w:rPr>
          <w:rFonts w:hint="eastAsia" w:ascii="宋体" w:hAnsi="宋体" w:cs="宋体"/>
          <w:sz w:val="28"/>
          <w:szCs w:val="28"/>
        </w:rPr>
        <w:t>=1</w:t>
      </w:r>
      <w:r>
        <w:rPr>
          <w:rFonts w:ascii="宋体" w:hAnsi="宋体" w:cs="宋体"/>
          <w:sz w:val="28"/>
          <w:szCs w:val="28"/>
        </w:rPr>
        <w:t>3225</w:t>
      </w:r>
      <w:r>
        <w:rPr>
          <w:rFonts w:hint="eastAsia" w:ascii="宋体" w:hAnsi="宋体" w:cs="宋体"/>
          <w:sz w:val="28"/>
          <w:szCs w:val="28"/>
        </w:rPr>
        <w:t>+286</w:t>
      </w:r>
      <w:r>
        <w:rPr>
          <w:rFonts w:ascii="宋体" w:hAnsi="宋体" w:cs="宋体"/>
          <w:sz w:val="28"/>
          <w:szCs w:val="28"/>
        </w:rPr>
        <w:t>5</w:t>
      </w:r>
      <w:r>
        <w:rPr>
          <w:rFonts w:hint="eastAsia" w:ascii="宋体" w:hAnsi="宋体" w:cs="宋体"/>
          <w:sz w:val="28"/>
          <w:szCs w:val="28"/>
        </w:rPr>
        <w:t>=1</w:t>
      </w:r>
      <w:r>
        <w:rPr>
          <w:rFonts w:ascii="宋体" w:hAnsi="宋体" w:cs="宋体"/>
          <w:sz w:val="28"/>
          <w:szCs w:val="28"/>
        </w:rPr>
        <w:t>6090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w:t>
      </w:r>
      <w:r>
        <w:rPr>
          <w:rFonts w:hint="eastAsia" w:ascii="宋体" w:hAnsi="宋体" w:cs="宋体"/>
          <w:sz w:val="28"/>
          <w:szCs w:val="28"/>
          <w:vertAlign w:val="subscript"/>
        </w:rPr>
        <w:t>75</w:t>
      </w:r>
      <w:r>
        <w:rPr>
          <w:rFonts w:hint="eastAsia" w:ascii="宋体" w:hAnsi="宋体" w:cs="宋体"/>
          <w:sz w:val="28"/>
          <w:szCs w:val="28"/>
        </w:rPr>
        <w:t>=1</w:t>
      </w:r>
      <w:r>
        <w:rPr>
          <w:rFonts w:ascii="宋体" w:hAnsi="宋体" w:cs="宋体"/>
          <w:sz w:val="28"/>
          <w:szCs w:val="28"/>
        </w:rPr>
        <w:t>6546</w:t>
      </w:r>
      <w:r>
        <w:rPr>
          <w:rFonts w:hint="eastAsia" w:ascii="宋体" w:hAnsi="宋体" w:cs="宋体"/>
          <w:sz w:val="28"/>
          <w:szCs w:val="28"/>
        </w:rPr>
        <w:t>+286</w:t>
      </w:r>
      <w:r>
        <w:rPr>
          <w:rFonts w:ascii="宋体" w:hAnsi="宋体" w:cs="宋体"/>
          <w:sz w:val="28"/>
          <w:szCs w:val="28"/>
        </w:rPr>
        <w:t>5</w:t>
      </w:r>
      <w:r>
        <w:rPr>
          <w:rFonts w:hint="eastAsia" w:ascii="宋体" w:hAnsi="宋体" w:cs="宋体"/>
          <w:sz w:val="28"/>
          <w:szCs w:val="28"/>
        </w:rPr>
        <w:t>=1</w:t>
      </w:r>
      <w:r>
        <w:rPr>
          <w:rFonts w:ascii="宋体" w:hAnsi="宋体" w:cs="宋体"/>
          <w:sz w:val="28"/>
          <w:szCs w:val="28"/>
        </w:rPr>
        <w:t>9411</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rPr>
        <w:t>5</w:t>
      </w:r>
      <w:r>
        <w:rPr>
          <w:rFonts w:ascii="宋体" w:hAnsi="宋体" w:cs="宋体"/>
          <w:sz w:val="28"/>
          <w:szCs w:val="28"/>
        </w:rPr>
        <w:t>）供需平衡</w:t>
      </w:r>
    </w:p>
    <w:p>
      <w:pPr>
        <w:spacing w:line="360" w:lineRule="auto"/>
        <w:ind w:firstLine="560" w:firstLineChars="200"/>
        <w:rPr>
          <w:rFonts w:ascii="宋体" w:hAnsi="宋体" w:cs="宋体"/>
          <w:sz w:val="28"/>
          <w:szCs w:val="28"/>
        </w:rPr>
      </w:pPr>
      <w:r>
        <w:rPr>
          <w:rFonts w:hint="eastAsia" w:ascii="宋体" w:hAnsi="宋体" w:cs="宋体"/>
          <w:sz w:val="28"/>
          <w:szCs w:val="28"/>
        </w:rPr>
        <w:t>根据上述计算结果，汤阴县在2025年规划年P=50%年份下，可供水量2</w:t>
      </w:r>
      <w:r>
        <w:rPr>
          <w:rFonts w:ascii="宋体" w:hAnsi="宋体" w:cs="宋体"/>
          <w:sz w:val="28"/>
          <w:szCs w:val="28"/>
        </w:rPr>
        <w:t>1869</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，需水量1</w:t>
      </w:r>
      <w:r>
        <w:rPr>
          <w:rFonts w:ascii="宋体" w:hAnsi="宋体" w:cs="宋体"/>
          <w:sz w:val="28"/>
          <w:szCs w:val="28"/>
        </w:rPr>
        <w:t>6360</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，余水量5</w:t>
      </w:r>
      <w:r>
        <w:rPr>
          <w:rFonts w:ascii="宋体" w:hAnsi="宋体" w:cs="宋体"/>
          <w:sz w:val="28"/>
          <w:szCs w:val="28"/>
        </w:rPr>
        <w:t>509</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；P=75%年份下，可供水量1</w:t>
      </w:r>
      <w:r>
        <w:rPr>
          <w:rFonts w:ascii="宋体" w:hAnsi="宋体" w:cs="宋体"/>
          <w:sz w:val="28"/>
          <w:szCs w:val="28"/>
        </w:rPr>
        <w:t>9869</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w:t>
      </w:r>
      <w:r>
        <w:rPr>
          <w:rFonts w:ascii="宋体" w:hAnsi="宋体" w:cs="宋体"/>
          <w:sz w:val="28"/>
          <w:szCs w:val="28"/>
        </w:rPr>
        <w:t>19705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w:t>
      </w:r>
      <w:r>
        <w:rPr>
          <w:rFonts w:ascii="宋体" w:hAnsi="宋体" w:cs="宋体"/>
          <w:sz w:val="28"/>
          <w:szCs w:val="28"/>
        </w:rPr>
        <w:t>164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汤阴县在2030年规划年P=50%年份下，可供水量</w:t>
      </w:r>
      <w:r>
        <w:rPr>
          <w:rFonts w:ascii="宋体" w:hAnsi="宋体" w:cs="宋体"/>
          <w:sz w:val="28"/>
          <w:szCs w:val="28"/>
        </w:rPr>
        <w:t>21414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，需水量1</w:t>
      </w:r>
      <w:r>
        <w:rPr>
          <w:rFonts w:ascii="宋体" w:hAnsi="宋体" w:cs="宋体"/>
          <w:sz w:val="28"/>
          <w:szCs w:val="28"/>
        </w:rPr>
        <w:t>6089</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w:t>
      </w:r>
      <w:r>
        <w:rPr>
          <w:rFonts w:ascii="宋体" w:hAnsi="宋体" w:cs="宋体"/>
          <w:sz w:val="28"/>
          <w:szCs w:val="28"/>
        </w:rPr>
        <w:t>5325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；P=75%年份下，可供水量1</w:t>
      </w:r>
      <w:r>
        <w:rPr>
          <w:rFonts w:ascii="宋体" w:hAnsi="宋体" w:cs="宋体"/>
          <w:sz w:val="28"/>
          <w:szCs w:val="28"/>
        </w:rPr>
        <w:t>9455</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，需水量1</w:t>
      </w:r>
      <w:r>
        <w:rPr>
          <w:rFonts w:ascii="宋体" w:hAnsi="宋体" w:cs="宋体"/>
          <w:sz w:val="28"/>
          <w:szCs w:val="28"/>
        </w:rPr>
        <w:t>9411</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，余水量</w:t>
      </w:r>
      <w:r>
        <w:rPr>
          <w:rFonts w:ascii="宋体" w:hAnsi="宋体" w:cs="宋体"/>
          <w:sz w:val="28"/>
          <w:szCs w:val="28"/>
        </w:rPr>
        <w:t>44</w:t>
      </w:r>
      <w:r>
        <w:rPr>
          <w:rFonts w:hint="eastAsia" w:ascii="宋体" w:hAnsi="宋体" w:cs="宋体"/>
          <w:sz w:val="28"/>
          <w:szCs w:val="28"/>
        </w:rPr>
        <w:t>万m</w:t>
      </w:r>
      <w:r>
        <w:rPr>
          <w:rFonts w:hint="eastAsia" w:ascii="宋体" w:hAnsi="宋体" w:cs="宋体"/>
          <w:sz w:val="28"/>
          <w:szCs w:val="28"/>
          <w:vertAlign w:val="superscript"/>
        </w:rPr>
        <w:t>3</w:t>
      </w:r>
      <w:r>
        <w:rPr>
          <w:rFonts w:hint="eastAsia" w:ascii="宋体" w:hAnsi="宋体" w:cs="宋体"/>
          <w:sz w:val="28"/>
          <w:szCs w:val="28"/>
        </w:rPr>
        <w:t>。</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-23汤阴县2025年水资源供需平衡分析表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330"/>
        <w:gridCol w:w="1332"/>
        <w:gridCol w:w="1330"/>
        <w:gridCol w:w="1332"/>
        <w:gridCol w:w="1283"/>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行政区划</w:t>
            </w:r>
          </w:p>
        </w:tc>
        <w:tc>
          <w:tcPr>
            <w:tcW w:w="4301" w:type="pct"/>
            <w:gridSpan w:val="6"/>
            <w:shd w:val="clear" w:color="auto" w:fill="auto"/>
            <w:noWrap/>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continue"/>
            <w:vAlign w:val="center"/>
          </w:tcPr>
          <w:p>
            <w:pPr>
              <w:widowControl/>
              <w:jc w:val="left"/>
              <w:rPr>
                <w:rFonts w:ascii="等线" w:hAnsi="等线" w:eastAsia="等线" w:cs="宋体"/>
                <w:color w:val="000000"/>
                <w:kern w:val="0"/>
                <w:sz w:val="22"/>
                <w:szCs w:val="22"/>
              </w:rPr>
            </w:pPr>
          </w:p>
        </w:tc>
        <w:tc>
          <w:tcPr>
            <w:tcW w:w="1451"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可供水量（万m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451"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99"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余缺水量（万m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69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0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continue"/>
            <w:vAlign w:val="center"/>
          </w:tcPr>
          <w:p>
            <w:pPr>
              <w:widowControl/>
              <w:jc w:val="left"/>
              <w:rPr>
                <w:rFonts w:ascii="等线" w:hAnsi="等线" w:eastAsia="等线" w:cs="宋体"/>
                <w:color w:val="000000"/>
                <w:kern w:val="0"/>
                <w:sz w:val="22"/>
                <w:szCs w:val="22"/>
              </w:rPr>
            </w:pP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21869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19869 </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16360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19705 </w:t>
            </w:r>
          </w:p>
        </w:tc>
        <w:tc>
          <w:tcPr>
            <w:tcW w:w="69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5509 </w:t>
            </w:r>
          </w:p>
        </w:tc>
        <w:tc>
          <w:tcPr>
            <w:tcW w:w="70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164 </w:t>
            </w:r>
          </w:p>
        </w:tc>
      </w:tr>
    </w:tbl>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-24汤阴县2030年</w:t>
      </w:r>
      <w:r>
        <w:rPr>
          <w:rFonts w:hint="eastAsia"/>
          <w:sz w:val="28"/>
          <w:szCs w:val="28"/>
        </w:rPr>
        <w:t>水资源</w:t>
      </w:r>
      <w:r>
        <w:rPr>
          <w:rFonts w:hint="eastAsia" w:ascii="宋体" w:hAnsi="宋体" w:cs="宋体"/>
          <w:sz w:val="28"/>
          <w:szCs w:val="28"/>
        </w:rPr>
        <w:t>供需平衡分析表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330"/>
        <w:gridCol w:w="1332"/>
        <w:gridCol w:w="1330"/>
        <w:gridCol w:w="1332"/>
        <w:gridCol w:w="1283"/>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行政区划</w:t>
            </w:r>
          </w:p>
        </w:tc>
        <w:tc>
          <w:tcPr>
            <w:tcW w:w="4301" w:type="pct"/>
            <w:gridSpan w:val="6"/>
            <w:shd w:val="clear" w:color="auto" w:fill="auto"/>
            <w:noWrap/>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continue"/>
            <w:vAlign w:val="center"/>
          </w:tcPr>
          <w:p>
            <w:pPr>
              <w:widowControl/>
              <w:jc w:val="center"/>
              <w:rPr>
                <w:rFonts w:ascii="等线" w:hAnsi="等线" w:eastAsia="等线" w:cs="宋体"/>
                <w:color w:val="000000"/>
                <w:kern w:val="0"/>
                <w:sz w:val="22"/>
                <w:szCs w:val="22"/>
              </w:rPr>
            </w:pPr>
          </w:p>
        </w:tc>
        <w:tc>
          <w:tcPr>
            <w:tcW w:w="1451"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可供水量（万m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451"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需水量（万m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c>
          <w:tcPr>
            <w:tcW w:w="1399" w:type="pct"/>
            <w:gridSpan w:val="2"/>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余缺水量（万m</w:t>
            </w:r>
            <w:r>
              <w:rPr>
                <w:rFonts w:hint="eastAsia" w:ascii="等线" w:hAnsi="等线" w:eastAsia="等线" w:cs="宋体"/>
                <w:color w:val="000000"/>
                <w:kern w:val="0"/>
                <w:sz w:val="22"/>
                <w:szCs w:val="22"/>
                <w:vertAlign w:val="superscript"/>
              </w:rPr>
              <w:t>3</w:t>
            </w: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汤阴县</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c>
          <w:tcPr>
            <w:tcW w:w="69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50%</w:t>
            </w:r>
          </w:p>
        </w:tc>
        <w:tc>
          <w:tcPr>
            <w:tcW w:w="70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9" w:type="pct"/>
            <w:vMerge w:val="continue"/>
            <w:vAlign w:val="center"/>
          </w:tcPr>
          <w:p>
            <w:pPr>
              <w:widowControl/>
              <w:jc w:val="center"/>
              <w:rPr>
                <w:rFonts w:ascii="等线" w:hAnsi="等线" w:eastAsia="等线" w:cs="宋体"/>
                <w:color w:val="000000"/>
                <w:kern w:val="0"/>
                <w:sz w:val="22"/>
                <w:szCs w:val="22"/>
              </w:rPr>
            </w:pP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21414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19455 </w:t>
            </w:r>
          </w:p>
        </w:tc>
        <w:tc>
          <w:tcPr>
            <w:tcW w:w="72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16089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19411 </w:t>
            </w:r>
          </w:p>
        </w:tc>
        <w:tc>
          <w:tcPr>
            <w:tcW w:w="69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5325 </w:t>
            </w:r>
          </w:p>
        </w:tc>
        <w:tc>
          <w:tcPr>
            <w:tcW w:w="70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44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综上所述，汤阴县水资源量总体可满足不同规划年高标准农田灌溉面积的灌溉要求。</w:t>
      </w: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51" w:name="_Toc144903171"/>
      <w:r>
        <w:rPr>
          <w:rFonts w:hint="eastAsia" w:asciiTheme="minorEastAsia" w:hAnsiTheme="minorEastAsia" w:eastAsiaTheme="minorEastAsia"/>
          <w:b/>
          <w:sz w:val="36"/>
          <w:szCs w:val="36"/>
        </w:rPr>
        <w:t>6</w:t>
      </w:r>
      <w:r>
        <w:rPr>
          <w:rFonts w:asciiTheme="minorEastAsia" w:hAnsiTheme="minorEastAsia" w:eastAsiaTheme="minorEastAsia"/>
          <w:b/>
          <w:sz w:val="36"/>
          <w:szCs w:val="36"/>
        </w:rPr>
        <w:t>.</w:t>
      </w:r>
      <w:r>
        <w:rPr>
          <w:rFonts w:hint="eastAsia" w:asciiTheme="minorEastAsia" w:hAnsiTheme="minorEastAsia" w:eastAsiaTheme="minorEastAsia"/>
          <w:b/>
          <w:sz w:val="36"/>
          <w:szCs w:val="36"/>
        </w:rPr>
        <w:t>总体规划</w:t>
      </w:r>
      <w:bookmarkEnd w:id="51"/>
    </w:p>
    <w:p>
      <w:pPr>
        <w:pStyle w:val="3"/>
        <w:spacing w:before="0" w:after="0" w:line="360" w:lineRule="auto"/>
        <w:rPr>
          <w:rFonts w:asciiTheme="minorEastAsia" w:hAnsiTheme="minorEastAsia" w:eastAsiaTheme="minorEastAsia"/>
        </w:rPr>
      </w:pPr>
      <w:bookmarkStart w:id="52" w:name="_Toc144903172"/>
      <w:r>
        <w:rPr>
          <w:rFonts w:hint="eastAsia" w:asciiTheme="minorEastAsia" w:hAnsiTheme="minorEastAsia" w:eastAsiaTheme="minorEastAsia"/>
        </w:rPr>
        <w:t>6</w:t>
      </w:r>
      <w:r>
        <w:rPr>
          <w:rFonts w:asciiTheme="minorEastAsia" w:hAnsiTheme="minorEastAsia" w:eastAsiaTheme="minorEastAsia"/>
        </w:rPr>
        <w:t>.1</w:t>
      </w:r>
      <w:r>
        <w:rPr>
          <w:rFonts w:hint="eastAsia" w:asciiTheme="minorEastAsia" w:hAnsiTheme="minorEastAsia" w:eastAsiaTheme="minorEastAsia"/>
        </w:rPr>
        <w:t>指导思想</w:t>
      </w:r>
      <w:bookmarkEnd w:id="52"/>
    </w:p>
    <w:p>
      <w:pPr>
        <w:spacing w:line="360" w:lineRule="auto"/>
        <w:ind w:firstLine="560" w:firstLineChars="200"/>
        <w:rPr>
          <w:rFonts w:ascii="宋体" w:hAnsi="宋体" w:cs="宋体"/>
          <w:sz w:val="28"/>
          <w:szCs w:val="28"/>
        </w:rPr>
      </w:pPr>
      <w:r>
        <w:rPr>
          <w:rFonts w:hint="eastAsia" w:ascii="宋体" w:hAnsi="宋体" w:cs="宋体"/>
          <w:sz w:val="28"/>
          <w:szCs w:val="28"/>
        </w:rPr>
        <w:t>以习近平新时代中国特色社会主义思想和</w:t>
      </w:r>
      <w:r>
        <w:rPr>
          <w:rFonts w:ascii="宋体" w:hAnsi="宋体" w:cs="宋体"/>
          <w:sz w:val="28"/>
          <w:szCs w:val="28"/>
        </w:rPr>
        <w:t>“</w:t>
      </w:r>
      <w:r>
        <w:rPr>
          <w:rFonts w:hint="eastAsia" w:ascii="宋体" w:hAnsi="宋体" w:cs="宋体"/>
          <w:sz w:val="28"/>
          <w:szCs w:val="28"/>
        </w:rPr>
        <w:t>三农</w:t>
      </w:r>
      <w:r>
        <w:rPr>
          <w:rFonts w:ascii="宋体" w:hAnsi="宋体" w:cs="宋体"/>
          <w:sz w:val="28"/>
          <w:szCs w:val="28"/>
        </w:rPr>
        <w:t>”</w:t>
      </w:r>
      <w:r>
        <w:rPr>
          <w:rFonts w:hint="eastAsia" w:ascii="宋体" w:hAnsi="宋体" w:cs="宋体"/>
          <w:sz w:val="28"/>
          <w:szCs w:val="28"/>
        </w:rPr>
        <w:t>思想为指导，以创新、协调、绿色、开放和共享发展理念为引领，强化农田建设的基础作用和对产业发展的支撑作用，紧紧围绕乡村振兴战略实施的总目标，加大农田基础设施建设力度，提高农业装备水平，实现</w:t>
      </w:r>
      <w:r>
        <w:rPr>
          <w:rFonts w:ascii="宋体" w:hAnsi="宋体" w:cs="宋体"/>
          <w:sz w:val="28"/>
          <w:szCs w:val="28"/>
        </w:rPr>
        <w:t>“</w:t>
      </w:r>
      <w:r>
        <w:rPr>
          <w:rFonts w:hint="eastAsia" w:ascii="宋体" w:hAnsi="宋体" w:cs="宋体"/>
          <w:sz w:val="28"/>
          <w:szCs w:val="28"/>
        </w:rPr>
        <w:t>藏粮于地</w:t>
      </w:r>
      <w:r>
        <w:rPr>
          <w:rFonts w:ascii="宋体" w:hAnsi="宋体" w:cs="宋体"/>
          <w:sz w:val="28"/>
          <w:szCs w:val="28"/>
        </w:rPr>
        <w:t>”</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严格建设监管与后续管护，建立项目工作管护机制，推行信息化监管方式，确保工程规范、良性运行，长久发挥效益；</w:t>
      </w:r>
    </w:p>
    <w:p>
      <w:pPr>
        <w:spacing w:line="360" w:lineRule="auto"/>
        <w:ind w:firstLine="560" w:firstLineChars="200"/>
        <w:rPr>
          <w:rFonts w:ascii="宋体" w:hAnsi="宋体" w:cs="宋体"/>
          <w:sz w:val="28"/>
          <w:szCs w:val="28"/>
        </w:rPr>
      </w:pPr>
      <w:r>
        <w:rPr>
          <w:rFonts w:hint="eastAsia" w:ascii="宋体" w:hAnsi="宋体" w:cs="宋体"/>
          <w:sz w:val="28"/>
          <w:szCs w:val="28"/>
        </w:rPr>
        <w:t>转变农业发展方式，推进农业适度规模经营，提高土地产出率；积极实施农业科技创新，大力引进新品种、新技术，提高农业科技水平，实现</w:t>
      </w:r>
      <w:r>
        <w:rPr>
          <w:rFonts w:ascii="宋体" w:hAnsi="宋体" w:cs="宋体"/>
          <w:sz w:val="28"/>
          <w:szCs w:val="28"/>
        </w:rPr>
        <w:t>“</w:t>
      </w:r>
      <w:r>
        <w:rPr>
          <w:rFonts w:hint="eastAsia" w:ascii="宋体" w:hAnsi="宋体" w:cs="宋体"/>
          <w:sz w:val="28"/>
          <w:szCs w:val="28"/>
        </w:rPr>
        <w:t>藏粮于技</w:t>
      </w:r>
      <w:r>
        <w:rPr>
          <w:rFonts w:ascii="宋体" w:hAnsi="宋体" w:cs="宋体"/>
          <w:sz w:val="28"/>
          <w:szCs w:val="28"/>
        </w:rPr>
        <w:t>”</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强化政策支持，加大项目投入，创新投资机制，统筹协调各方面力量，合力推进高标准农田建设，促进农业增效、农民增收、农村发展，夯实乡村振兴的基础。</w:t>
      </w:r>
    </w:p>
    <w:p>
      <w:pPr>
        <w:spacing w:line="360" w:lineRule="auto"/>
        <w:ind w:firstLine="560" w:firstLineChars="200"/>
        <w:rPr>
          <w:rFonts w:ascii="宋体" w:hAnsi="宋体" w:cs="宋体"/>
          <w:sz w:val="28"/>
          <w:szCs w:val="28"/>
        </w:rPr>
      </w:pPr>
      <w:r>
        <w:rPr>
          <w:rFonts w:hint="eastAsia" w:ascii="宋体" w:hAnsi="宋体" w:cs="宋体"/>
          <w:sz w:val="28"/>
          <w:szCs w:val="28"/>
        </w:rPr>
        <w:t>坚持</w:t>
      </w:r>
      <w:r>
        <w:rPr>
          <w:rFonts w:ascii="宋体" w:hAnsi="宋体" w:cs="宋体"/>
          <w:sz w:val="28"/>
          <w:szCs w:val="28"/>
        </w:rPr>
        <w:t>“</w:t>
      </w:r>
      <w:r>
        <w:rPr>
          <w:rFonts w:hint="eastAsia" w:ascii="宋体" w:hAnsi="宋体" w:cs="宋体"/>
          <w:sz w:val="28"/>
          <w:szCs w:val="28"/>
        </w:rPr>
        <w:t>生态为本、注重实效、适度超前</w:t>
      </w:r>
      <w:r>
        <w:rPr>
          <w:rFonts w:ascii="宋体" w:hAnsi="宋体" w:cs="宋体"/>
          <w:sz w:val="28"/>
          <w:szCs w:val="28"/>
        </w:rPr>
        <w:t>”</w:t>
      </w:r>
      <w:r>
        <w:rPr>
          <w:rFonts w:hint="eastAsia" w:ascii="宋体" w:hAnsi="宋体" w:cs="宋体"/>
          <w:sz w:val="28"/>
          <w:szCs w:val="28"/>
        </w:rPr>
        <w:t>的治理思路，有序推进稻田退水</w:t>
      </w:r>
      <w:r>
        <w:rPr>
          <w:rFonts w:ascii="宋体" w:hAnsi="宋体" w:cs="宋体"/>
          <w:sz w:val="28"/>
          <w:szCs w:val="28"/>
        </w:rPr>
        <w:t>“</w:t>
      </w:r>
      <w:r>
        <w:rPr>
          <w:rFonts w:hint="eastAsia" w:ascii="宋体" w:hAnsi="宋体" w:cs="宋体"/>
          <w:sz w:val="28"/>
          <w:szCs w:val="28"/>
        </w:rPr>
        <w:t>零直排</w:t>
      </w:r>
      <w:r>
        <w:rPr>
          <w:rFonts w:ascii="宋体" w:hAnsi="宋体" w:cs="宋体"/>
          <w:sz w:val="28"/>
          <w:szCs w:val="28"/>
        </w:rPr>
        <w:t>”</w:t>
      </w:r>
      <w:r>
        <w:rPr>
          <w:rFonts w:hint="eastAsia" w:ascii="宋体" w:hAnsi="宋体" w:cs="宋体"/>
          <w:sz w:val="28"/>
          <w:szCs w:val="28"/>
        </w:rPr>
        <w:t>工程建设，加快构建生产清洁、产品绿色、资源节约、环境友好的现代农业生态环境体系。</w:t>
      </w:r>
    </w:p>
    <w:p>
      <w:pPr>
        <w:spacing w:line="360" w:lineRule="auto"/>
        <w:ind w:firstLine="560" w:firstLineChars="200"/>
        <w:rPr>
          <w:rFonts w:ascii="宋体" w:hAnsi="宋体" w:cs="宋体"/>
          <w:sz w:val="28"/>
          <w:szCs w:val="28"/>
        </w:rPr>
      </w:pPr>
      <w:r>
        <w:rPr>
          <w:kern w:val="0"/>
          <w:sz w:val="28"/>
          <w:szCs w:val="28"/>
        </w:rPr>
        <w:t>坚持以人为本，树立全面、协调、可持续的发展观，紧紧围绕全面</w:t>
      </w:r>
      <w:r>
        <w:rPr>
          <w:rFonts w:hint="eastAsia"/>
          <w:kern w:val="0"/>
          <w:sz w:val="28"/>
          <w:szCs w:val="28"/>
          <w:lang w:eastAsia="zh-CN"/>
        </w:rPr>
        <w:t>建成</w:t>
      </w:r>
      <w:bookmarkStart w:id="190" w:name="_GoBack"/>
      <w:bookmarkEnd w:id="190"/>
      <w:r>
        <w:rPr>
          <w:kern w:val="0"/>
          <w:sz w:val="28"/>
          <w:szCs w:val="28"/>
        </w:rPr>
        <w:t>小康社会的宏伟目标，将五个统筹的发展要求与水利发展的实际相结合，全面规划，统筹兼顾，标本兼治，综合治理，突出重点，全面提升水利服务于经济社会发展的综合能力，努力建设节水型社会，不断提高水资源利用效率和效益，促进水资源的可持续利用，为农业生产、粮食丰收提供保障</w:t>
      </w:r>
      <w:r>
        <w:rPr>
          <w:rFonts w:hint="eastAsia" w:ascii="宋体" w:hAnsi="宋体" w:cs="宋体"/>
          <w:sz w:val="28"/>
          <w:szCs w:val="28"/>
        </w:rPr>
        <w:t>。</w:t>
      </w:r>
    </w:p>
    <w:p>
      <w:pPr>
        <w:pStyle w:val="3"/>
        <w:spacing w:before="0" w:after="0" w:line="360" w:lineRule="auto"/>
        <w:rPr>
          <w:rFonts w:asciiTheme="minorEastAsia" w:hAnsiTheme="minorEastAsia" w:eastAsiaTheme="minorEastAsia"/>
        </w:rPr>
      </w:pPr>
      <w:bookmarkStart w:id="53" w:name="_Toc144903173"/>
      <w:r>
        <w:rPr>
          <w:rFonts w:hint="eastAsia" w:asciiTheme="minorEastAsia" w:hAnsiTheme="minorEastAsia" w:eastAsiaTheme="minorEastAsia"/>
        </w:rPr>
        <w:t>6</w:t>
      </w:r>
      <w:r>
        <w:rPr>
          <w:rFonts w:asciiTheme="minorEastAsia" w:hAnsiTheme="minorEastAsia" w:eastAsiaTheme="minorEastAsia"/>
        </w:rPr>
        <w:t>.2</w:t>
      </w:r>
      <w:r>
        <w:rPr>
          <w:rFonts w:hint="eastAsia" w:asciiTheme="minorEastAsia" w:hAnsiTheme="minorEastAsia" w:eastAsiaTheme="minorEastAsia"/>
        </w:rPr>
        <w:t>基本原则</w:t>
      </w:r>
      <w:bookmarkEnd w:id="53"/>
    </w:p>
    <w:p>
      <w:pPr>
        <w:spacing w:line="360" w:lineRule="auto"/>
        <w:ind w:firstLine="560" w:firstLineChars="200"/>
        <w:rPr>
          <w:rFonts w:ascii="宋体" w:hAnsi="宋体" w:cs="宋体"/>
          <w:sz w:val="28"/>
          <w:szCs w:val="28"/>
        </w:rPr>
      </w:pPr>
      <w:r>
        <w:rPr>
          <w:rFonts w:hint="eastAsia" w:ascii="宋体" w:hAnsi="宋体" w:cs="宋体"/>
          <w:sz w:val="28"/>
          <w:szCs w:val="28"/>
        </w:rPr>
        <w:t>坚持政府主导、多元参与，科学布局、突出重点，建改并举、注重质量，绿色生态、土壤健康，分类施策、综合配套，建管并重、良性运行，依法严管、良田粮用等工作原则，集中力量建设集中连片、旱涝保收、节水高效、稳产高产、生态友好的高标准农田。</w:t>
      </w:r>
    </w:p>
    <w:p>
      <w:pPr>
        <w:pStyle w:val="4"/>
        <w:spacing w:before="0" w:after="0" w:line="360" w:lineRule="auto"/>
        <w:rPr>
          <w:rFonts w:asciiTheme="minorEastAsia" w:hAnsiTheme="minorEastAsia" w:eastAsiaTheme="minorEastAsia"/>
          <w:sz w:val="28"/>
          <w:szCs w:val="28"/>
        </w:rPr>
      </w:pPr>
      <w:bookmarkStart w:id="54" w:name="_Toc4331"/>
      <w:bookmarkStart w:id="55" w:name="_Toc29446"/>
      <w:bookmarkStart w:id="56" w:name="_Toc2818"/>
      <w:bookmarkStart w:id="57" w:name="_Toc12267"/>
      <w:bookmarkStart w:id="58" w:name="_Toc30516"/>
      <w:bookmarkStart w:id="59" w:name="_Toc21849"/>
      <w:r>
        <w:rPr>
          <w:rFonts w:asciiTheme="minorEastAsia" w:hAnsiTheme="minorEastAsia" w:eastAsiaTheme="minorEastAsia"/>
          <w:sz w:val="28"/>
          <w:szCs w:val="28"/>
        </w:rPr>
        <w:t>6.2.1</w:t>
      </w:r>
      <w:r>
        <w:rPr>
          <w:rFonts w:hint="eastAsia" w:asciiTheme="minorEastAsia" w:hAnsiTheme="minorEastAsia" w:eastAsiaTheme="minorEastAsia"/>
          <w:sz w:val="28"/>
          <w:szCs w:val="28"/>
        </w:rPr>
        <w:t>政府主导、多元参与</w:t>
      </w:r>
      <w:bookmarkEnd w:id="54"/>
      <w:bookmarkEnd w:id="55"/>
      <w:bookmarkEnd w:id="56"/>
      <w:bookmarkEnd w:id="57"/>
      <w:bookmarkEnd w:id="58"/>
      <w:bookmarkEnd w:id="59"/>
    </w:p>
    <w:p>
      <w:pPr>
        <w:spacing w:line="360" w:lineRule="auto"/>
        <w:ind w:firstLine="560" w:firstLineChars="200"/>
        <w:rPr>
          <w:bCs/>
          <w:sz w:val="28"/>
          <w:szCs w:val="28"/>
        </w:rPr>
      </w:pPr>
      <w:bookmarkStart w:id="60" w:name="_Toc18360"/>
      <w:bookmarkStart w:id="61" w:name="_Toc18828"/>
      <w:bookmarkStart w:id="62" w:name="_Toc3599"/>
      <w:bookmarkStart w:id="63" w:name="_Toc10101"/>
      <w:bookmarkStart w:id="64" w:name="_Toc132"/>
      <w:bookmarkStart w:id="65" w:name="_Toc25804"/>
      <w:r>
        <w:rPr>
          <w:rFonts w:hint="eastAsia"/>
          <w:bCs/>
          <w:sz w:val="28"/>
          <w:szCs w:val="28"/>
        </w:rPr>
        <w:t>切实落实地方政府责任，加强政府投入保障，提高资金配置效率和使用效益。尊重农民意愿，维护农民权益，积极引导广大农民群众、新型农业经营主体、农村集体经济组织和各类社会资本参与高标准农田建设和管护，形成共谋一碗粮、共抓一块田的工作合力。</w:t>
      </w:r>
      <w:bookmarkEnd w:id="60"/>
      <w:bookmarkEnd w:id="61"/>
      <w:bookmarkEnd w:id="62"/>
      <w:bookmarkEnd w:id="63"/>
      <w:bookmarkEnd w:id="64"/>
      <w:bookmarkEnd w:id="65"/>
    </w:p>
    <w:p>
      <w:pPr>
        <w:pStyle w:val="4"/>
        <w:spacing w:before="0" w:after="0" w:line="360" w:lineRule="auto"/>
        <w:rPr>
          <w:sz w:val="28"/>
          <w:szCs w:val="28"/>
        </w:rPr>
      </w:pPr>
      <w:bookmarkStart w:id="66" w:name="_Toc16570"/>
      <w:bookmarkStart w:id="67" w:name="_Toc18839"/>
      <w:bookmarkStart w:id="68" w:name="_Toc18083"/>
      <w:bookmarkStart w:id="69" w:name="_Toc8981"/>
      <w:bookmarkStart w:id="70" w:name="_Toc13716"/>
      <w:bookmarkStart w:id="71" w:name="_Toc25807"/>
      <w:r>
        <w:rPr>
          <w:rFonts w:asciiTheme="minorEastAsia" w:hAnsiTheme="minorEastAsia" w:eastAsiaTheme="minorEastAsia"/>
          <w:sz w:val="28"/>
          <w:szCs w:val="28"/>
        </w:rPr>
        <w:t>6.2.2</w:t>
      </w:r>
      <w:r>
        <w:rPr>
          <w:rFonts w:hint="eastAsia"/>
          <w:sz w:val="28"/>
          <w:szCs w:val="28"/>
        </w:rPr>
        <w:t>科学布局、突出重点</w:t>
      </w:r>
      <w:bookmarkEnd w:id="66"/>
      <w:bookmarkEnd w:id="67"/>
      <w:bookmarkEnd w:id="68"/>
      <w:bookmarkEnd w:id="69"/>
      <w:bookmarkEnd w:id="70"/>
      <w:bookmarkEnd w:id="71"/>
    </w:p>
    <w:p>
      <w:pPr>
        <w:spacing w:line="360" w:lineRule="auto"/>
        <w:ind w:firstLine="560" w:firstLineChars="200"/>
        <w:rPr>
          <w:bCs/>
          <w:sz w:val="28"/>
          <w:szCs w:val="28"/>
        </w:rPr>
      </w:pPr>
      <w:bookmarkStart w:id="72" w:name="_Toc12994"/>
      <w:bookmarkStart w:id="73" w:name="_Toc12525"/>
      <w:bookmarkStart w:id="74" w:name="_Toc16219"/>
      <w:bookmarkStart w:id="75" w:name="_Toc11198"/>
      <w:bookmarkStart w:id="76" w:name="_Toc10370"/>
      <w:bookmarkStart w:id="77" w:name="_Toc20973"/>
      <w:r>
        <w:rPr>
          <w:rFonts w:hint="eastAsia"/>
          <w:bCs/>
          <w:sz w:val="28"/>
          <w:szCs w:val="28"/>
        </w:rPr>
        <w:t>依据国土空间规划、衔接水资源利用等相关专项规划，科学确定高标准农田建设布局，主要在农产品主产区，以永久基本农田为基础，优先在粮食生产功能区、重要农产品生产保护区建设高标准农田，筑牢国家粮食和重要农产品安全阵地。</w:t>
      </w:r>
      <w:bookmarkEnd w:id="72"/>
      <w:bookmarkEnd w:id="73"/>
      <w:bookmarkEnd w:id="74"/>
      <w:bookmarkEnd w:id="75"/>
      <w:bookmarkEnd w:id="76"/>
      <w:bookmarkEnd w:id="77"/>
    </w:p>
    <w:p>
      <w:pPr>
        <w:pStyle w:val="4"/>
        <w:spacing w:before="0" w:after="0" w:line="360" w:lineRule="auto"/>
        <w:rPr>
          <w:sz w:val="28"/>
          <w:szCs w:val="28"/>
        </w:rPr>
      </w:pPr>
      <w:bookmarkStart w:id="78" w:name="_Toc27227"/>
      <w:bookmarkStart w:id="79" w:name="_Toc15458"/>
      <w:bookmarkStart w:id="80" w:name="_Toc26491"/>
      <w:bookmarkStart w:id="81" w:name="_Toc1231"/>
      <w:bookmarkStart w:id="82" w:name="_Toc7915"/>
      <w:bookmarkStart w:id="83" w:name="_Toc13554"/>
      <w:r>
        <w:rPr>
          <w:rFonts w:asciiTheme="minorEastAsia" w:hAnsiTheme="minorEastAsia" w:eastAsiaTheme="minorEastAsia"/>
          <w:sz w:val="28"/>
          <w:szCs w:val="28"/>
        </w:rPr>
        <w:t>6.2.3</w:t>
      </w:r>
      <w:r>
        <w:rPr>
          <w:rFonts w:hint="eastAsia"/>
          <w:sz w:val="28"/>
          <w:szCs w:val="28"/>
        </w:rPr>
        <w:t>建改并举、注重质量</w:t>
      </w:r>
      <w:bookmarkEnd w:id="78"/>
      <w:bookmarkEnd w:id="79"/>
      <w:bookmarkEnd w:id="80"/>
      <w:bookmarkEnd w:id="81"/>
      <w:bookmarkEnd w:id="82"/>
      <w:bookmarkEnd w:id="83"/>
    </w:p>
    <w:p>
      <w:pPr>
        <w:spacing w:line="360" w:lineRule="auto"/>
        <w:ind w:firstLine="560" w:firstLineChars="200"/>
        <w:rPr>
          <w:bCs/>
          <w:sz w:val="28"/>
          <w:szCs w:val="28"/>
        </w:rPr>
      </w:pPr>
      <w:bookmarkStart w:id="84" w:name="_Toc30328"/>
      <w:bookmarkStart w:id="85" w:name="_Toc3298"/>
      <w:bookmarkStart w:id="86" w:name="_Toc12961"/>
      <w:bookmarkStart w:id="87" w:name="_Toc536"/>
      <w:bookmarkStart w:id="88" w:name="_Toc32548"/>
      <w:bookmarkStart w:id="89" w:name="_Toc4694"/>
      <w:r>
        <w:rPr>
          <w:rFonts w:hint="eastAsia"/>
          <w:bCs/>
          <w:sz w:val="28"/>
          <w:szCs w:val="28"/>
        </w:rPr>
        <w:t>落实高质量发展要求，在保质保量完成新增高标准农田建设任务的基础上，合理安排已建高标准农田改造提升，切实解决部分已建高标准农田设施不配套、工程老化、建设标准低等问题，有效提升高标准农田建设质量。</w:t>
      </w:r>
      <w:bookmarkEnd w:id="84"/>
      <w:bookmarkEnd w:id="85"/>
      <w:bookmarkEnd w:id="86"/>
      <w:bookmarkEnd w:id="87"/>
      <w:bookmarkEnd w:id="88"/>
      <w:bookmarkEnd w:id="89"/>
    </w:p>
    <w:p>
      <w:pPr>
        <w:pStyle w:val="4"/>
        <w:spacing w:before="0" w:after="0" w:line="360" w:lineRule="auto"/>
        <w:rPr>
          <w:sz w:val="28"/>
          <w:szCs w:val="28"/>
        </w:rPr>
      </w:pPr>
      <w:bookmarkStart w:id="90" w:name="_Toc20937"/>
      <w:bookmarkStart w:id="91" w:name="_Toc16730"/>
      <w:bookmarkStart w:id="92" w:name="_Toc28450"/>
      <w:bookmarkStart w:id="93" w:name="_Toc13439"/>
      <w:bookmarkStart w:id="94" w:name="_Toc3038"/>
      <w:bookmarkStart w:id="95" w:name="_Toc14914"/>
      <w:r>
        <w:rPr>
          <w:rFonts w:asciiTheme="minorEastAsia" w:hAnsiTheme="minorEastAsia" w:eastAsiaTheme="minorEastAsia"/>
          <w:sz w:val="28"/>
          <w:szCs w:val="28"/>
        </w:rPr>
        <w:t>6.2.4</w:t>
      </w:r>
      <w:r>
        <w:rPr>
          <w:rFonts w:hint="eastAsia"/>
          <w:sz w:val="28"/>
          <w:szCs w:val="28"/>
        </w:rPr>
        <w:t>绿色生态、土壤健康</w:t>
      </w:r>
      <w:bookmarkEnd w:id="90"/>
      <w:bookmarkEnd w:id="91"/>
      <w:bookmarkEnd w:id="92"/>
      <w:bookmarkEnd w:id="93"/>
      <w:bookmarkEnd w:id="94"/>
      <w:bookmarkEnd w:id="95"/>
    </w:p>
    <w:p>
      <w:pPr>
        <w:spacing w:line="360" w:lineRule="auto"/>
        <w:ind w:firstLine="560" w:firstLineChars="200"/>
        <w:rPr>
          <w:bCs/>
          <w:sz w:val="28"/>
          <w:szCs w:val="28"/>
        </w:rPr>
      </w:pPr>
      <w:bookmarkStart w:id="96" w:name="_Toc20363"/>
      <w:bookmarkStart w:id="97" w:name="_Toc29394"/>
      <w:bookmarkStart w:id="98" w:name="_Toc16631"/>
      <w:bookmarkStart w:id="99" w:name="_Toc286"/>
      <w:bookmarkStart w:id="100" w:name="_Toc81"/>
      <w:bookmarkStart w:id="101" w:name="_Toc8463"/>
      <w:r>
        <w:rPr>
          <w:rFonts w:hint="eastAsia"/>
          <w:bCs/>
          <w:sz w:val="28"/>
          <w:szCs w:val="28"/>
        </w:rPr>
        <w:t>将绿色发展理念贯穿于高标准农田建设全过程，切实加强水土资源集约节约利用和生态环境保护，强化耕地质量保护与提升，防止土壤污染，实现农业生产与生态保护相协调，提升农业可持续发展能力。</w:t>
      </w:r>
      <w:bookmarkEnd w:id="96"/>
      <w:bookmarkEnd w:id="97"/>
      <w:bookmarkEnd w:id="98"/>
      <w:bookmarkEnd w:id="99"/>
      <w:bookmarkEnd w:id="100"/>
      <w:bookmarkEnd w:id="101"/>
    </w:p>
    <w:p>
      <w:pPr>
        <w:pStyle w:val="4"/>
        <w:spacing w:before="0" w:after="0" w:line="360" w:lineRule="auto"/>
        <w:rPr>
          <w:sz w:val="28"/>
          <w:szCs w:val="28"/>
        </w:rPr>
      </w:pPr>
      <w:bookmarkStart w:id="102" w:name="_Toc8430"/>
      <w:bookmarkStart w:id="103" w:name="_Toc17786"/>
      <w:bookmarkStart w:id="104" w:name="_Toc25430"/>
      <w:bookmarkStart w:id="105" w:name="_Toc10305"/>
      <w:bookmarkStart w:id="106" w:name="_Toc26617"/>
      <w:bookmarkStart w:id="107" w:name="_Toc2463"/>
      <w:r>
        <w:rPr>
          <w:rFonts w:asciiTheme="minorEastAsia" w:hAnsiTheme="minorEastAsia" w:eastAsiaTheme="minorEastAsia"/>
          <w:sz w:val="28"/>
          <w:szCs w:val="28"/>
        </w:rPr>
        <w:t>6.2.5</w:t>
      </w:r>
      <w:r>
        <w:rPr>
          <w:rFonts w:hint="eastAsia"/>
          <w:sz w:val="28"/>
          <w:szCs w:val="28"/>
        </w:rPr>
        <w:t>分类施策、综合配套</w:t>
      </w:r>
      <w:bookmarkEnd w:id="102"/>
      <w:bookmarkEnd w:id="103"/>
      <w:bookmarkEnd w:id="104"/>
      <w:bookmarkEnd w:id="105"/>
      <w:bookmarkEnd w:id="106"/>
      <w:bookmarkEnd w:id="107"/>
    </w:p>
    <w:p>
      <w:pPr>
        <w:spacing w:line="360" w:lineRule="auto"/>
        <w:ind w:firstLine="560" w:firstLineChars="200"/>
        <w:rPr>
          <w:bCs/>
          <w:sz w:val="28"/>
          <w:szCs w:val="28"/>
        </w:rPr>
      </w:pPr>
      <w:bookmarkStart w:id="108" w:name="_Toc16346"/>
      <w:bookmarkStart w:id="109" w:name="_Toc20673"/>
      <w:bookmarkStart w:id="110" w:name="_Toc20227"/>
      <w:bookmarkStart w:id="111" w:name="_Toc417"/>
      <w:bookmarkStart w:id="112" w:name="_Toc20872"/>
      <w:bookmarkStart w:id="113" w:name="_Toc18868"/>
      <w:r>
        <w:rPr>
          <w:rFonts w:hint="eastAsia"/>
          <w:bCs/>
          <w:sz w:val="28"/>
          <w:szCs w:val="28"/>
        </w:rPr>
        <w:t>根据各项目区地形、地貌条件、土地利用现状、农业生产特征及生产主要障碍因素，因地制宜地确定土地利用方向、确定建设重点与内容；并根据区域水资源条件和水土资源平衡分析结果，设计作物种植结构，合理确定耕作田块布局、类型、规格；统筹推进田、土、水、路、林、电、技、管综合治理，完善农田基础设施，实现综合配套，满足现代农业发展需要。</w:t>
      </w:r>
      <w:bookmarkEnd w:id="108"/>
      <w:bookmarkEnd w:id="109"/>
      <w:bookmarkEnd w:id="110"/>
      <w:bookmarkEnd w:id="111"/>
      <w:bookmarkEnd w:id="112"/>
      <w:bookmarkEnd w:id="113"/>
    </w:p>
    <w:p>
      <w:pPr>
        <w:pStyle w:val="4"/>
        <w:spacing w:before="0" w:after="0" w:line="360" w:lineRule="auto"/>
        <w:rPr>
          <w:sz w:val="28"/>
          <w:szCs w:val="28"/>
        </w:rPr>
      </w:pPr>
      <w:bookmarkStart w:id="114" w:name="_Toc18615"/>
      <w:bookmarkStart w:id="115" w:name="_Toc5960"/>
      <w:bookmarkStart w:id="116" w:name="_Toc31931"/>
      <w:bookmarkStart w:id="117" w:name="_Toc14002"/>
      <w:r>
        <w:rPr>
          <w:rFonts w:asciiTheme="minorEastAsia" w:hAnsiTheme="minorEastAsia" w:eastAsiaTheme="minorEastAsia"/>
          <w:sz w:val="28"/>
          <w:szCs w:val="28"/>
        </w:rPr>
        <w:t>6.2.6</w:t>
      </w:r>
      <w:r>
        <w:rPr>
          <w:rFonts w:hint="eastAsia"/>
          <w:sz w:val="28"/>
          <w:szCs w:val="28"/>
        </w:rPr>
        <w:t>建管并重、良性运行</w:t>
      </w:r>
      <w:bookmarkEnd w:id="114"/>
      <w:bookmarkEnd w:id="115"/>
      <w:bookmarkEnd w:id="116"/>
      <w:bookmarkEnd w:id="117"/>
    </w:p>
    <w:p>
      <w:pPr>
        <w:spacing w:line="360" w:lineRule="auto"/>
        <w:ind w:firstLine="560" w:firstLineChars="200"/>
        <w:rPr>
          <w:rFonts w:ascii="宋体" w:hAnsi="宋体" w:cs="宋体"/>
          <w:sz w:val="28"/>
          <w:szCs w:val="28"/>
        </w:rPr>
      </w:pPr>
      <w:r>
        <w:rPr>
          <w:rFonts w:hint="eastAsia"/>
          <w:bCs/>
          <w:sz w:val="28"/>
          <w:szCs w:val="28"/>
        </w:rPr>
        <w:t>加强高标准农田建设和利用评价，确保建设成效。完善管护机制，落实管护主体和管护经费，确保工程长久发挥效益。完善耕地质量监测网络，强化长期跟踪监测</w:t>
      </w:r>
      <w:r>
        <w:rPr>
          <w:rFonts w:hint="eastAsia" w:ascii="宋体" w:hAnsi="宋体" w:cs="宋体"/>
          <w:sz w:val="28"/>
          <w:szCs w:val="28"/>
        </w:rPr>
        <w:t>。</w:t>
      </w:r>
    </w:p>
    <w:p>
      <w:pPr>
        <w:pStyle w:val="3"/>
        <w:spacing w:before="0" w:after="0" w:line="360" w:lineRule="auto"/>
        <w:rPr>
          <w:rFonts w:asciiTheme="minorEastAsia" w:hAnsiTheme="minorEastAsia" w:eastAsiaTheme="minorEastAsia"/>
        </w:rPr>
      </w:pPr>
      <w:bookmarkStart w:id="118" w:name="_Toc144903174"/>
      <w:r>
        <w:rPr>
          <w:rFonts w:hint="eastAsia" w:asciiTheme="minorEastAsia" w:hAnsiTheme="minorEastAsia" w:eastAsiaTheme="minorEastAsia"/>
        </w:rPr>
        <w:t>6</w:t>
      </w:r>
      <w:r>
        <w:rPr>
          <w:rFonts w:asciiTheme="minorEastAsia" w:hAnsiTheme="minorEastAsia" w:eastAsiaTheme="minorEastAsia"/>
        </w:rPr>
        <w:t>.3</w:t>
      </w:r>
      <w:r>
        <w:rPr>
          <w:rFonts w:hint="eastAsia" w:asciiTheme="minorEastAsia" w:hAnsiTheme="minorEastAsia" w:eastAsiaTheme="minorEastAsia"/>
        </w:rPr>
        <w:t>规划依据</w:t>
      </w:r>
      <w:bookmarkEnd w:id="118"/>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汤阴县三区三线划定成果。</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汤阴县市土地利用总体规划。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汤阴县市城市总体规划。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乡村振兴规划。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最新水资源综合规划/专项规划。。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）2021年耕地质量等别年度更新评价成果。</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第三次全国国土调查数据和2</w:t>
      </w:r>
      <w:r>
        <w:rPr>
          <w:rFonts w:asciiTheme="minorEastAsia" w:hAnsiTheme="minorEastAsia" w:eastAsiaTheme="minorEastAsia"/>
          <w:sz w:val="28"/>
          <w:szCs w:val="28"/>
        </w:rPr>
        <w:t>020</w:t>
      </w:r>
      <w:r>
        <w:rPr>
          <w:rFonts w:hint="eastAsia" w:asciiTheme="minorEastAsia" w:hAnsiTheme="minorEastAsia" w:eastAsiaTheme="minorEastAsia"/>
          <w:sz w:val="28"/>
          <w:szCs w:val="28"/>
        </w:rPr>
        <w:t>年度变更调查成果。</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（8）</w:t>
      </w:r>
      <w:r>
        <w:rPr>
          <w:rFonts w:hint="eastAsia" w:asciiTheme="minorEastAsia" w:hAnsiTheme="minorEastAsia" w:eastAsiaTheme="minorEastAsia"/>
          <w:sz w:val="28"/>
          <w:szCs w:val="28"/>
        </w:rPr>
        <w:t>耕地资源管理单元图（汤阴县）。</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（9）</w:t>
      </w:r>
      <w:r>
        <w:rPr>
          <w:rFonts w:hint="eastAsia" w:asciiTheme="minorEastAsia" w:hAnsiTheme="minorEastAsia" w:eastAsiaTheme="minorEastAsia"/>
          <w:sz w:val="28"/>
          <w:szCs w:val="28"/>
        </w:rPr>
        <w:t>农业种植区划图。</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（10）</w:t>
      </w:r>
      <w:r>
        <w:rPr>
          <w:rFonts w:hint="eastAsia" w:asciiTheme="minorEastAsia" w:hAnsiTheme="minorEastAsia" w:eastAsiaTheme="minorEastAsia"/>
          <w:sz w:val="28"/>
          <w:szCs w:val="28"/>
        </w:rPr>
        <w:t>第二、三次全国水资源调查评价成果。</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（11）</w:t>
      </w:r>
      <w:r>
        <w:rPr>
          <w:rFonts w:hint="eastAsia" w:asciiTheme="minorEastAsia" w:hAnsiTheme="minorEastAsia" w:eastAsiaTheme="minorEastAsia"/>
          <w:sz w:val="28"/>
          <w:szCs w:val="28"/>
        </w:rPr>
        <w:t>农业“两区”划定成果。</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（12）</w:t>
      </w:r>
      <w:r>
        <w:rPr>
          <w:rFonts w:hint="eastAsia" w:asciiTheme="minorEastAsia" w:hAnsiTheme="minorEastAsia" w:eastAsiaTheme="minorEastAsia"/>
          <w:sz w:val="28"/>
          <w:szCs w:val="28"/>
        </w:rPr>
        <w:t>已建成高标准农田范围图。</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（13）</w:t>
      </w:r>
      <w:r>
        <w:rPr>
          <w:rFonts w:hint="eastAsia" w:asciiTheme="minorEastAsia" w:hAnsiTheme="minorEastAsia" w:eastAsiaTheme="minorEastAsia"/>
          <w:sz w:val="28"/>
          <w:szCs w:val="28"/>
        </w:rPr>
        <w:t>高标准农田建设取得的成效。。</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（14）</w:t>
      </w:r>
      <w:r>
        <w:rPr>
          <w:rFonts w:hint="eastAsia" w:asciiTheme="minorEastAsia" w:hAnsiTheme="minorEastAsia" w:eastAsiaTheme="minorEastAsia"/>
          <w:sz w:val="28"/>
          <w:szCs w:val="28"/>
        </w:rPr>
        <w:t>高标准农田建设基本情况(截至2021年)。</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（15）</w:t>
      </w:r>
      <w:r>
        <w:rPr>
          <w:rFonts w:hint="eastAsia" w:asciiTheme="minorEastAsia" w:hAnsiTheme="minorEastAsia" w:eastAsiaTheme="minorEastAsia"/>
          <w:sz w:val="28"/>
          <w:szCs w:val="28"/>
        </w:rPr>
        <w:t>2021-2030年项目安排的总体考虑、优先投向和区域重点布局。</w:t>
      </w:r>
    </w:p>
    <w:p>
      <w:pPr>
        <w:pStyle w:val="3"/>
        <w:spacing w:before="0" w:after="0" w:line="360" w:lineRule="auto"/>
        <w:rPr>
          <w:rFonts w:asciiTheme="minorEastAsia" w:hAnsiTheme="minorEastAsia" w:eastAsiaTheme="minorEastAsia"/>
        </w:rPr>
      </w:pPr>
      <w:bookmarkStart w:id="119" w:name="_Toc144903175"/>
      <w:r>
        <w:rPr>
          <w:rFonts w:hint="eastAsia" w:asciiTheme="minorEastAsia" w:hAnsiTheme="minorEastAsia" w:eastAsiaTheme="minorEastAsia"/>
        </w:rPr>
        <w:t>6</w:t>
      </w:r>
      <w:r>
        <w:rPr>
          <w:rFonts w:asciiTheme="minorEastAsia" w:hAnsiTheme="minorEastAsia" w:eastAsiaTheme="minorEastAsia"/>
        </w:rPr>
        <w:t>.4</w:t>
      </w:r>
      <w:r>
        <w:rPr>
          <w:rFonts w:hint="eastAsia" w:asciiTheme="minorEastAsia" w:hAnsiTheme="minorEastAsia" w:eastAsiaTheme="minorEastAsia"/>
        </w:rPr>
        <w:t>规划水平年</w:t>
      </w:r>
      <w:bookmarkEnd w:id="119"/>
    </w:p>
    <w:p>
      <w:pPr>
        <w:spacing w:line="360" w:lineRule="auto"/>
        <w:ind w:firstLine="560" w:firstLineChars="200"/>
        <w:rPr>
          <w:rFonts w:ascii="宋体" w:hAnsi="宋体" w:cs="宋体"/>
          <w:sz w:val="28"/>
          <w:szCs w:val="28"/>
        </w:rPr>
      </w:pPr>
      <w:r>
        <w:rPr>
          <w:rFonts w:hint="eastAsia" w:ascii="宋体" w:hAnsi="宋体" w:cs="宋体"/>
          <w:sz w:val="28"/>
          <w:szCs w:val="28"/>
        </w:rPr>
        <w:t>现状基准年：2</w:t>
      </w:r>
      <w:r>
        <w:rPr>
          <w:rFonts w:ascii="宋体" w:hAnsi="宋体" w:cs="宋体"/>
          <w:sz w:val="28"/>
          <w:szCs w:val="28"/>
        </w:rPr>
        <w:t>020</w:t>
      </w:r>
      <w:r>
        <w:rPr>
          <w:rFonts w:hint="eastAsia" w:ascii="宋体" w:hAnsi="宋体" w:cs="宋体"/>
          <w:sz w:val="28"/>
          <w:szCs w:val="28"/>
        </w:rPr>
        <w:t>年；</w:t>
      </w:r>
    </w:p>
    <w:p>
      <w:pPr>
        <w:spacing w:line="360" w:lineRule="auto"/>
        <w:ind w:firstLine="560" w:firstLineChars="200"/>
        <w:rPr>
          <w:rFonts w:ascii="宋体" w:hAnsi="宋体" w:cs="宋体"/>
          <w:sz w:val="28"/>
          <w:szCs w:val="28"/>
        </w:rPr>
      </w:pPr>
      <w:r>
        <w:rPr>
          <w:rFonts w:hint="eastAsia" w:ascii="宋体" w:hAnsi="宋体" w:cs="宋体"/>
          <w:sz w:val="28"/>
          <w:szCs w:val="28"/>
        </w:rPr>
        <w:t>规划水平年：近期2</w:t>
      </w:r>
      <w:r>
        <w:rPr>
          <w:rFonts w:ascii="宋体" w:hAnsi="宋体" w:cs="宋体"/>
          <w:sz w:val="28"/>
          <w:szCs w:val="28"/>
        </w:rPr>
        <w:t>025</w:t>
      </w:r>
      <w:r>
        <w:rPr>
          <w:rFonts w:hint="eastAsia" w:ascii="宋体" w:hAnsi="宋体" w:cs="宋体"/>
          <w:sz w:val="28"/>
          <w:szCs w:val="28"/>
        </w:rPr>
        <w:t>年，远期2</w:t>
      </w:r>
      <w:r>
        <w:rPr>
          <w:rFonts w:ascii="宋体" w:hAnsi="宋体" w:cs="宋体"/>
          <w:sz w:val="28"/>
          <w:szCs w:val="28"/>
        </w:rPr>
        <w:t>030</w:t>
      </w:r>
      <w:r>
        <w:rPr>
          <w:rFonts w:hint="eastAsia" w:ascii="宋体" w:hAnsi="宋体" w:cs="宋体"/>
          <w:sz w:val="28"/>
          <w:szCs w:val="28"/>
        </w:rPr>
        <w:t>年，展望2</w:t>
      </w:r>
      <w:r>
        <w:rPr>
          <w:rFonts w:ascii="宋体" w:hAnsi="宋体" w:cs="宋体"/>
          <w:sz w:val="28"/>
          <w:szCs w:val="28"/>
        </w:rPr>
        <w:t>035</w:t>
      </w:r>
      <w:r>
        <w:rPr>
          <w:rFonts w:hint="eastAsia" w:ascii="宋体" w:hAnsi="宋体" w:cs="宋体"/>
          <w:sz w:val="28"/>
          <w:szCs w:val="28"/>
        </w:rPr>
        <w:t>年。</w:t>
      </w:r>
    </w:p>
    <w:p>
      <w:pPr>
        <w:pStyle w:val="3"/>
        <w:spacing w:before="0" w:after="0" w:line="360" w:lineRule="auto"/>
        <w:rPr>
          <w:rFonts w:asciiTheme="minorEastAsia" w:hAnsiTheme="minorEastAsia" w:eastAsiaTheme="minorEastAsia"/>
        </w:rPr>
      </w:pPr>
      <w:bookmarkStart w:id="120" w:name="_Toc144903176"/>
      <w:r>
        <w:rPr>
          <w:rFonts w:hint="eastAsia" w:asciiTheme="minorEastAsia" w:hAnsiTheme="minorEastAsia" w:eastAsiaTheme="minorEastAsia"/>
        </w:rPr>
        <w:t>6</w:t>
      </w:r>
      <w:r>
        <w:rPr>
          <w:rFonts w:asciiTheme="minorEastAsia" w:hAnsiTheme="minorEastAsia" w:eastAsiaTheme="minorEastAsia"/>
        </w:rPr>
        <w:t>.5</w:t>
      </w:r>
      <w:r>
        <w:rPr>
          <w:rFonts w:hint="eastAsia" w:asciiTheme="minorEastAsia" w:hAnsiTheme="minorEastAsia" w:eastAsiaTheme="minorEastAsia"/>
        </w:rPr>
        <w:t>规划范围</w:t>
      </w:r>
      <w:bookmarkEnd w:id="120"/>
    </w:p>
    <w:p>
      <w:pPr>
        <w:spacing w:line="360" w:lineRule="auto"/>
        <w:ind w:firstLine="560" w:firstLineChars="200"/>
        <w:rPr>
          <w:rFonts w:ascii="宋体" w:hAnsi="宋体" w:cs="宋体"/>
          <w:sz w:val="28"/>
          <w:szCs w:val="28"/>
        </w:rPr>
      </w:pPr>
      <w:r>
        <w:rPr>
          <w:rFonts w:hint="eastAsia" w:ascii="宋体" w:hAnsi="宋体" w:cs="宋体"/>
          <w:sz w:val="28"/>
          <w:szCs w:val="28"/>
        </w:rPr>
        <w:t>汤阴县现状年2</w:t>
      </w:r>
      <w:r>
        <w:rPr>
          <w:rFonts w:ascii="宋体" w:hAnsi="宋体" w:cs="宋体"/>
          <w:sz w:val="28"/>
          <w:szCs w:val="28"/>
        </w:rPr>
        <w:t>020</w:t>
      </w:r>
      <w:r>
        <w:rPr>
          <w:rFonts w:hint="eastAsia" w:ascii="宋体" w:hAnsi="宋体" w:cs="宋体"/>
          <w:sz w:val="28"/>
          <w:szCs w:val="28"/>
        </w:rPr>
        <w:t>年已建高标准农田面积51.17万亩，本次规划范围涉及汤阴县宜沟镇、菜园镇、任固镇、古贤镇、伏道镇、五陵镇、瓦岗乡、白营镇、韩庄镇共9个乡镇。项目规划年度为2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年，涉及耕地面积53.15万亩（其中新建项目3</w:t>
      </w:r>
      <w:r>
        <w:rPr>
          <w:rFonts w:ascii="宋体" w:hAnsi="宋体" w:cs="宋体"/>
          <w:sz w:val="28"/>
          <w:szCs w:val="28"/>
        </w:rPr>
        <w:t>.28</w:t>
      </w:r>
      <w:r>
        <w:rPr>
          <w:rFonts w:hint="eastAsia" w:ascii="宋体" w:hAnsi="宋体" w:cs="宋体"/>
          <w:sz w:val="28"/>
          <w:szCs w:val="28"/>
        </w:rPr>
        <w:t>万亩，提升项目4</w:t>
      </w:r>
      <w:r>
        <w:rPr>
          <w:rFonts w:ascii="宋体" w:hAnsi="宋体" w:cs="宋体"/>
          <w:sz w:val="28"/>
          <w:szCs w:val="28"/>
        </w:rPr>
        <w:t>9.87</w:t>
      </w:r>
      <w:r>
        <w:rPr>
          <w:rFonts w:hint="eastAsia" w:ascii="宋体" w:hAnsi="宋体" w:cs="宋体"/>
          <w:sz w:val="28"/>
          <w:szCs w:val="28"/>
        </w:rPr>
        <w:t>万亩，提升项目中包含10.39万亩水毁灾后重建Ι类提升项目），4</w:t>
      </w:r>
      <w:r>
        <w:rPr>
          <w:rFonts w:ascii="宋体" w:hAnsi="宋体" w:cs="宋体"/>
          <w:sz w:val="28"/>
          <w:szCs w:val="28"/>
        </w:rPr>
        <w:t>48871</w:t>
      </w:r>
      <w:r>
        <w:rPr>
          <w:rFonts w:hint="eastAsia" w:ascii="宋体" w:hAnsi="宋体" w:cs="宋体"/>
          <w:sz w:val="28"/>
          <w:szCs w:val="28"/>
        </w:rPr>
        <w:t>人，其中2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年新建高标准农田面积3</w:t>
      </w:r>
      <w:r>
        <w:rPr>
          <w:rFonts w:ascii="宋体" w:hAnsi="宋体" w:cs="宋体"/>
          <w:sz w:val="28"/>
          <w:szCs w:val="28"/>
        </w:rPr>
        <w:t>.28</w:t>
      </w:r>
      <w:r>
        <w:rPr>
          <w:rFonts w:hint="eastAsia" w:ascii="宋体" w:hAnsi="宋体" w:cs="宋体"/>
          <w:sz w:val="28"/>
          <w:szCs w:val="28"/>
        </w:rPr>
        <w:t>万亩，提升高标准农田面积</w:t>
      </w:r>
      <w:r>
        <w:rPr>
          <w:rFonts w:ascii="宋体" w:hAnsi="宋体" w:cs="宋体"/>
          <w:sz w:val="28"/>
          <w:szCs w:val="28"/>
        </w:rPr>
        <w:t>16.85</w:t>
      </w:r>
      <w:r>
        <w:rPr>
          <w:rFonts w:hint="eastAsia" w:ascii="宋体" w:hAnsi="宋体" w:cs="宋体"/>
          <w:sz w:val="28"/>
          <w:szCs w:val="28"/>
        </w:rPr>
        <w:t>万亩（包含10.39万亩水毁灾后重建Ι类提升项目），共</w:t>
      </w:r>
      <w:r>
        <w:rPr>
          <w:rFonts w:ascii="宋体" w:hAnsi="宋体" w:cs="宋体"/>
          <w:sz w:val="28"/>
          <w:szCs w:val="28"/>
        </w:rPr>
        <w:t>20.13</w:t>
      </w:r>
      <w:r>
        <w:rPr>
          <w:rFonts w:hint="eastAsia" w:ascii="宋体" w:hAnsi="宋体" w:cs="宋体"/>
          <w:sz w:val="28"/>
          <w:szCs w:val="28"/>
        </w:rPr>
        <w:t>万亩；2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年提升高标准农田面积33.0</w:t>
      </w:r>
      <w:r>
        <w:rPr>
          <w:rFonts w:ascii="宋体" w:hAnsi="宋体" w:cs="宋体"/>
          <w:sz w:val="28"/>
          <w:szCs w:val="28"/>
        </w:rPr>
        <w:t>2</w:t>
      </w:r>
      <w:r>
        <w:rPr>
          <w:rFonts w:hint="eastAsia" w:ascii="宋体" w:hAnsi="宋体" w:cs="宋体"/>
          <w:sz w:val="28"/>
          <w:szCs w:val="28"/>
        </w:rPr>
        <w:t>万亩。</w:t>
      </w:r>
    </w:p>
    <w:p>
      <w:pPr>
        <w:snapToGrid w:val="0"/>
        <w:ind w:firstLine="560" w:firstLineChars="200"/>
        <w:jc w:val="center"/>
        <w:rPr>
          <w:rFonts w:ascii="宋体" w:hAnsi="宋体" w:cs="宋体"/>
          <w:sz w:val="28"/>
          <w:szCs w:val="28"/>
        </w:rPr>
      </w:pPr>
      <w:r>
        <w:rPr>
          <w:rFonts w:hint="eastAsia" w:ascii="宋体" w:hAnsi="宋体" w:cs="宋体"/>
          <w:sz w:val="28"/>
          <w:szCs w:val="28"/>
        </w:rPr>
        <w:t>表6</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汤阴县各乡镇规划任务表</w:t>
      </w:r>
    </w:p>
    <w:tbl>
      <w:tblPr>
        <w:tblStyle w:val="26"/>
        <w:tblW w:w="9791" w:type="dxa"/>
        <w:tblInd w:w="113" w:type="dxa"/>
        <w:tblLayout w:type="autofit"/>
        <w:tblCellMar>
          <w:top w:w="0" w:type="dxa"/>
          <w:left w:w="108" w:type="dxa"/>
          <w:bottom w:w="0" w:type="dxa"/>
          <w:right w:w="108" w:type="dxa"/>
        </w:tblCellMar>
      </w:tblPr>
      <w:tblGrid>
        <w:gridCol w:w="708"/>
        <w:gridCol w:w="1143"/>
        <w:gridCol w:w="1412"/>
        <w:gridCol w:w="1015"/>
        <w:gridCol w:w="999"/>
        <w:gridCol w:w="1250"/>
        <w:gridCol w:w="892"/>
        <w:gridCol w:w="1142"/>
        <w:gridCol w:w="1230"/>
      </w:tblGrid>
      <w:tr>
        <w:tblPrEx>
          <w:tblCellMar>
            <w:top w:w="0" w:type="dxa"/>
            <w:left w:w="108" w:type="dxa"/>
            <w:bottom w:w="0" w:type="dxa"/>
            <w:right w:w="108" w:type="dxa"/>
          </w:tblCellMar>
        </w:tblPrEx>
        <w:trPr>
          <w:trHeight w:val="361" w:hRule="atLeast"/>
        </w:trPr>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1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14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现状年2020（万亩）</w:t>
            </w:r>
          </w:p>
        </w:tc>
        <w:tc>
          <w:tcPr>
            <w:tcW w:w="326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规划2021-2025年（万亩）</w:t>
            </w:r>
          </w:p>
        </w:tc>
        <w:tc>
          <w:tcPr>
            <w:tcW w:w="326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规划2026-2030年（万亩）</w:t>
            </w:r>
          </w:p>
        </w:tc>
      </w:tr>
      <w:tr>
        <w:tblPrEx>
          <w:tblCellMar>
            <w:top w:w="0" w:type="dxa"/>
            <w:left w:w="108" w:type="dxa"/>
            <w:bottom w:w="0" w:type="dxa"/>
            <w:right w:w="108" w:type="dxa"/>
          </w:tblCellMar>
        </w:tblPrEx>
        <w:trPr>
          <w:trHeight w:val="36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1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41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szCs w:val="22"/>
              </w:rPr>
            </w:pP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累计完成</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累计完成</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1.30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6.30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9.85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6.3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0.24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1.13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3.01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3.97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3.01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1.74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8.87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6.92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8.87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9.1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5.41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9.09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1.67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9.09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8.3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7.72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8.25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8.25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3.6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2.59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3.61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0.68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3.61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7.1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7.06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7.30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7.06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1.8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1.83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2.39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1.83 </w:t>
            </w:r>
          </w:p>
        </w:tc>
      </w:tr>
      <w:tr>
        <w:tblPrEx>
          <w:tblCellMar>
            <w:top w:w="0" w:type="dxa"/>
            <w:left w:w="108" w:type="dxa"/>
            <w:bottom w:w="0" w:type="dxa"/>
            <w:right w:w="108" w:type="dxa"/>
          </w:tblCellMar>
        </w:tblPrEx>
        <w:trPr>
          <w:trHeight w:val="361" w:hRule="atLeast"/>
        </w:trPr>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2.8 </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2.84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3.79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2.84 </w:t>
            </w:r>
          </w:p>
        </w:tc>
      </w:tr>
      <w:tr>
        <w:tblPrEx>
          <w:tblCellMar>
            <w:top w:w="0" w:type="dxa"/>
            <w:left w:w="108" w:type="dxa"/>
            <w:bottom w:w="0" w:type="dxa"/>
            <w:right w:w="108" w:type="dxa"/>
          </w:tblCellMar>
        </w:tblPrEx>
        <w:trPr>
          <w:trHeight w:val="361" w:hRule="atLeast"/>
        </w:trPr>
        <w:tc>
          <w:tcPr>
            <w:tcW w:w="1851"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　</w:t>
            </w:r>
          </w:p>
        </w:tc>
        <w:tc>
          <w:tcPr>
            <w:tcW w:w="141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51.17</w:t>
            </w:r>
          </w:p>
        </w:tc>
        <w:tc>
          <w:tcPr>
            <w:tcW w:w="1015"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w:t>
            </w:r>
            <w:r>
              <w:rPr>
                <w:rFonts w:ascii="等线" w:hAnsi="等线" w:eastAsia="等线" w:cs="宋体"/>
                <w:color w:val="000000"/>
                <w:kern w:val="0"/>
                <w:sz w:val="22"/>
                <w:szCs w:val="22"/>
              </w:rPr>
              <w:t>28</w:t>
            </w:r>
          </w:p>
        </w:tc>
        <w:tc>
          <w:tcPr>
            <w:tcW w:w="99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16.85 </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54.45 </w:t>
            </w:r>
          </w:p>
        </w:tc>
        <w:tc>
          <w:tcPr>
            <w:tcW w:w="89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0.00 </w:t>
            </w:r>
          </w:p>
        </w:tc>
        <w:tc>
          <w:tcPr>
            <w:tcW w:w="1142"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33.02 </w:t>
            </w:r>
          </w:p>
        </w:tc>
        <w:tc>
          <w:tcPr>
            <w:tcW w:w="1230"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olor w:val="000000"/>
                <w:sz w:val="22"/>
                <w:szCs w:val="22"/>
              </w:rPr>
              <w:t xml:space="preserve">54.45 </w:t>
            </w:r>
          </w:p>
        </w:tc>
      </w:tr>
    </w:tbl>
    <w:p>
      <w:pPr>
        <w:spacing w:line="360" w:lineRule="auto"/>
        <w:ind w:firstLine="560" w:firstLineChars="200"/>
        <w:rPr>
          <w:rFonts w:ascii="宋体" w:hAnsi="宋体" w:cs="宋体"/>
          <w:sz w:val="28"/>
          <w:szCs w:val="28"/>
        </w:rPr>
      </w:pPr>
      <w:r>
        <w:rPr>
          <w:rFonts w:hint="eastAsia" w:ascii="宋体" w:hAnsi="宋体" w:cs="宋体"/>
          <w:sz w:val="28"/>
          <w:szCs w:val="28"/>
        </w:rPr>
        <w:t>规划项目建设完成后，汤阴县高标准农田面积将达到5</w:t>
      </w:r>
      <w:r>
        <w:rPr>
          <w:rFonts w:ascii="宋体" w:hAnsi="宋体" w:cs="宋体"/>
          <w:sz w:val="28"/>
          <w:szCs w:val="28"/>
        </w:rPr>
        <w:t>4.45</w:t>
      </w:r>
      <w:r>
        <w:rPr>
          <w:rFonts w:hint="eastAsia" w:ascii="宋体" w:hAnsi="宋体" w:cs="宋体"/>
          <w:sz w:val="28"/>
          <w:szCs w:val="28"/>
        </w:rPr>
        <w:t>万亩。其中高效节水灌溉面积3</w:t>
      </w:r>
      <w:r>
        <w:rPr>
          <w:rFonts w:ascii="宋体" w:hAnsi="宋体" w:cs="宋体"/>
          <w:sz w:val="28"/>
          <w:szCs w:val="28"/>
        </w:rPr>
        <w:t>8.95</w:t>
      </w:r>
      <w:r>
        <w:rPr>
          <w:rFonts w:hint="eastAsia" w:ascii="宋体" w:hAnsi="宋体" w:cs="宋体"/>
          <w:sz w:val="28"/>
          <w:szCs w:val="28"/>
        </w:rPr>
        <w:t>万亩。详见下表：</w:t>
      </w:r>
    </w:p>
    <w:p>
      <w:pPr>
        <w:snapToGrid w:val="0"/>
        <w:ind w:firstLine="560" w:firstLineChars="200"/>
        <w:jc w:val="center"/>
        <w:rPr>
          <w:rFonts w:ascii="宋体" w:hAnsi="宋体" w:cs="宋体"/>
          <w:sz w:val="28"/>
          <w:szCs w:val="28"/>
        </w:rPr>
      </w:pPr>
      <w:r>
        <w:rPr>
          <w:rFonts w:hint="eastAsia" w:ascii="宋体" w:hAnsi="宋体" w:cs="宋体"/>
          <w:sz w:val="28"/>
          <w:szCs w:val="28"/>
        </w:rPr>
        <w:t>表6</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汤阴县十四五期间发展高标准</w:t>
      </w:r>
      <w:r>
        <w:rPr>
          <w:rFonts w:hint="eastAsia"/>
          <w:sz w:val="28"/>
          <w:szCs w:val="28"/>
        </w:rPr>
        <w:t>农田</w:t>
      </w:r>
      <w:r>
        <w:rPr>
          <w:rFonts w:hint="eastAsia" w:ascii="宋体" w:hAnsi="宋体" w:cs="宋体"/>
          <w:sz w:val="28"/>
          <w:szCs w:val="28"/>
        </w:rPr>
        <w:t>面积表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226"/>
        <w:gridCol w:w="1503"/>
        <w:gridCol w:w="1332"/>
        <w:gridCol w:w="1560"/>
        <w:gridCol w:w="1416"/>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年份</w:t>
            </w: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村庄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地貌</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建设性质</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建设面积（万亩）</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小计（万亩）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2021年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刘庄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大寺台</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寺台寺</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前小滩</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后小摊</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0.64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2022年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将城村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0.68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赵屯村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农场</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邶城村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李五屯村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马岗村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夏庄村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辛庄村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岳营村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郑家屯村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新建</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2.64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r>
              <w:rPr>
                <w:rFonts w:ascii="等线" w:hAnsi="等线" w:eastAsia="等线" w:cs="宋体"/>
                <w:color w:val="000000"/>
                <w:kern w:val="0"/>
                <w:sz w:val="22"/>
                <w:szCs w:val="22"/>
              </w:rPr>
              <w:t>023</w:t>
            </w:r>
            <w:r>
              <w:rPr>
                <w:rFonts w:hint="eastAsia" w:ascii="等线" w:hAnsi="等线" w:eastAsia="等线" w:cs="宋体"/>
                <w:color w:val="000000"/>
                <w:kern w:val="0"/>
                <w:sz w:val="22"/>
                <w:szCs w:val="22"/>
              </w:rPr>
              <w:t>年</w:t>
            </w: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2023年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3.00 （水毁灾后重建Ι类提升）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菜园西街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程岗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东杨庄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中杨庄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西杨庄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葛庄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官司</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马营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三八</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石辛庄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杨辛庄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hint="eastAsia"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p>
            <w:pPr>
              <w:widowControl/>
              <w:jc w:val="center"/>
              <w:rPr>
                <w:rFonts w:ascii="等线" w:hAnsi="等线" w:eastAsia="等线" w:cs="宋体"/>
                <w:color w:val="000000"/>
                <w:kern w:val="0"/>
                <w:sz w:val="22"/>
                <w:szCs w:val="22"/>
              </w:rPr>
            </w:pPr>
          </w:p>
          <w:p>
            <w:pPr>
              <w:widowControl/>
              <w:jc w:val="center"/>
              <w:rPr>
                <w:rFonts w:hint="eastAsia"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白龙一</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4.80 （水毁灾后重建Ι类提升）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北故城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蔡故城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东小庄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杜故城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杜施济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顾德</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后故城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姬施济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季庄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李施济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孟庄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南故城沟北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南故城沟南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前故城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商城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王施济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王辛庄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辛留</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任固三街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东冢上</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2.59 （水毁灾后重建Ι类提升）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北韩庄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东段村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西段村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枣园</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士昌屯</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北周流</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南周流</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10.39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2024年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北里于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0.51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东官庄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小贺屯</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大性北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1.13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w:t>
            </w:r>
            <w:r>
              <w:rPr>
                <w:rFonts w:ascii="等线" w:hAnsi="等线" w:eastAsia="等线" w:cs="宋体"/>
                <w:color w:val="000000"/>
                <w:kern w:val="0"/>
                <w:sz w:val="22"/>
                <w:szCs w:val="22"/>
              </w:rPr>
              <w:t>025</w:t>
            </w:r>
            <w:r>
              <w:rPr>
                <w:rFonts w:hint="eastAsia" w:ascii="等线" w:hAnsi="等线" w:eastAsia="等线" w:cs="宋体"/>
                <w:color w:val="000000"/>
                <w:kern w:val="0"/>
                <w:sz w:val="22"/>
                <w:szCs w:val="22"/>
              </w:rPr>
              <w:t>年</w:t>
            </w: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前岗头</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后岗头</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西河</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后高汉</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后皇甫</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前高汉</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报马厂</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大坡</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同庄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岳南村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0.38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岳北村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梁儿寨</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苏胡</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白龙二</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白龙三</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任固一街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任固二街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任固三街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任固四街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任固五街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任固六街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5.33</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ascii="等线" w:hAnsi="等线" w:eastAsia="等线" w:cs="宋体"/>
                <w:color w:val="000000"/>
                <w:kern w:val="0"/>
                <w:sz w:val="22"/>
                <w:szCs w:val="22"/>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十四五期间汤阴县新建高标准农田面积3.28万亩，提升改造高标准农田面积16.85万亩，共计20.13万亩（包含10.39万亩水毁灾后重建Ι类提升项目）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2026年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前李朱</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0.32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肖下扣</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赵窑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五陵镇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小宋村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东小章</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五三街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朱家营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水三街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水二街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麻庭寨</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五一街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农场村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旱塔河</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小葛寨</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镇抚寨</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0.97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翟庄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阎庄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南小章</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北后街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北前街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北中街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大宋村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水一街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屯庄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五二街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五四街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西小章</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俎佐</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8.00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2027年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0.65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小元村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大江窑村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东江窑村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苏庄村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东柳圈村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大寒泉村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龙虎村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南里于村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郑家屯村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李五屯村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夏庄村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邶城村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马岗村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辛庄村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岳营村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西柳圈村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南寒泉村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6.92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r>
              <w:rPr>
                <w:rFonts w:ascii="等线" w:hAnsi="等线" w:eastAsia="等线" w:cs="宋体"/>
                <w:color w:val="000000"/>
                <w:kern w:val="0"/>
                <w:sz w:val="22"/>
                <w:szCs w:val="22"/>
              </w:rPr>
              <w:t>028</w:t>
            </w:r>
            <w:r>
              <w:rPr>
                <w:rFonts w:hint="eastAsia" w:ascii="等线" w:hAnsi="等线" w:eastAsia="等线" w:cs="宋体"/>
                <w:color w:val="000000"/>
                <w:kern w:val="0"/>
                <w:sz w:val="22"/>
                <w:szCs w:val="22"/>
              </w:rPr>
              <w:t>年</w:t>
            </w: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hint="eastAsia"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p>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2028年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大朱庄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小朱庄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瓦子岗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东隆化</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河岸</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花耳庄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徐庄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西隆化</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西木佛</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小张盖</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闻石得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尧石得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东水磨湾村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0.22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伏道四街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后攸昙村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前攸昙村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西水磨湾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小屯村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北青村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0.45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大偏店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南青村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尚金寨</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小偏店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小坡</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5.68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2029年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庵上村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3.79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羑河</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李家湾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驸马营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康洼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娄湾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樊庄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王佐</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部落</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北张贾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南张贾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中张贾</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小河</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西冢上</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东酒寺</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庞洼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西云村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大云村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大光村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小光村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武洼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孙庄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董庄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三里屯</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大性南街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0.49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大性中街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伏道二街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岗阳南街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岗阳北街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辉泉</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司马</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0.54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6.08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2030年</w:t>
            </w: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宜沟镇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吴指挥营</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0.41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霍家洼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索下扣</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尚家庵</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大洼</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0.06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王下扣</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陈下口</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黄下扣</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长沙</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0.70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西六厂</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东六厂</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琵琶寺</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古垛</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0.23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香寺</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段庄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石庙</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0.27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王武岗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0.42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冯岗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0.10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唐王庄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0.08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李河</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牛村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0.39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魏城</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大盖族</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小莲庄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0.05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白营镇</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北店村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0.12 </w:t>
            </w:r>
          </w:p>
        </w:tc>
        <w:tc>
          <w:tcPr>
            <w:tcW w:w="615" w:type="pct"/>
            <w:vMerge w:val="restar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大付庄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0.09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戴村</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东木佛</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0.14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后湾张</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南店</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0.11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vMerge w:val="continue"/>
            <w:vAlign w:val="center"/>
          </w:tcPr>
          <w:p>
            <w:pPr>
              <w:widowControl/>
              <w:jc w:val="center"/>
              <w:rPr>
                <w:rFonts w:ascii="等线" w:hAnsi="等线" w:eastAsia="等线" w:cs="宋体"/>
                <w:color w:val="000000"/>
                <w:kern w:val="0"/>
                <w:sz w:val="22"/>
                <w:szCs w:val="22"/>
              </w:rPr>
            </w:pP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仝家庄</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0.07 </w:t>
            </w:r>
          </w:p>
        </w:tc>
        <w:tc>
          <w:tcPr>
            <w:tcW w:w="615" w:type="pct"/>
            <w:vMerge w:val="continue"/>
            <w:vAlign w:val="center"/>
          </w:tcPr>
          <w:p>
            <w:pPr>
              <w:widowControl/>
              <w:jc w:val="center"/>
              <w:rPr>
                <w:rFonts w:ascii="等线" w:hAnsi="等线" w:eastAsia="等线"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0" w:type="pct"/>
            <w:vMerge w:val="continue"/>
            <w:vAlign w:val="center"/>
          </w:tcPr>
          <w:p>
            <w:pPr>
              <w:widowControl/>
              <w:jc w:val="center"/>
              <w:rPr>
                <w:rFonts w:ascii="等线" w:hAnsi="等线" w:eastAsia="等线" w:cs="宋体"/>
                <w:color w:val="000000"/>
                <w:kern w:val="0"/>
                <w:sz w:val="22"/>
                <w:szCs w:val="22"/>
              </w:rPr>
            </w:pPr>
          </w:p>
        </w:tc>
        <w:tc>
          <w:tcPr>
            <w:tcW w:w="668"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819"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726"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5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提升改造</w:t>
            </w:r>
          </w:p>
        </w:tc>
        <w:tc>
          <w:tcPr>
            <w:tcW w:w="772"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6.34 </w:t>
            </w:r>
          </w:p>
        </w:tc>
        <w:tc>
          <w:tcPr>
            <w:tcW w:w="61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xml:space="preserve">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十五五期间，汤阴县共提升改造高标准农田面积33.02万亩</w:t>
            </w:r>
          </w:p>
        </w:tc>
      </w:tr>
    </w:tbl>
    <w:p>
      <w:pPr>
        <w:snapToGrid w:val="0"/>
        <w:ind w:firstLine="560" w:firstLineChars="200"/>
        <w:rPr>
          <w:rFonts w:ascii="宋体" w:hAnsi="宋体" w:cs="宋体"/>
          <w:sz w:val="28"/>
          <w:szCs w:val="28"/>
        </w:rPr>
      </w:pPr>
    </w:p>
    <w:p>
      <w:pPr>
        <w:pStyle w:val="3"/>
        <w:spacing w:before="0" w:after="0" w:line="360" w:lineRule="auto"/>
        <w:rPr>
          <w:rFonts w:asciiTheme="minorEastAsia" w:hAnsiTheme="minorEastAsia" w:eastAsiaTheme="minorEastAsia"/>
        </w:rPr>
      </w:pPr>
      <w:bookmarkStart w:id="121" w:name="_Toc144903177"/>
      <w:r>
        <w:rPr>
          <w:rFonts w:hint="eastAsia" w:asciiTheme="minorEastAsia" w:hAnsiTheme="minorEastAsia" w:eastAsiaTheme="minorEastAsia"/>
        </w:rPr>
        <w:t>6</w:t>
      </w:r>
      <w:r>
        <w:rPr>
          <w:rFonts w:asciiTheme="minorEastAsia" w:hAnsiTheme="minorEastAsia" w:eastAsiaTheme="minorEastAsia"/>
        </w:rPr>
        <w:t>.6</w:t>
      </w:r>
      <w:r>
        <w:rPr>
          <w:rFonts w:hint="eastAsia" w:asciiTheme="minorEastAsia" w:hAnsiTheme="minorEastAsia" w:eastAsiaTheme="minorEastAsia"/>
        </w:rPr>
        <w:t>规划总目标</w:t>
      </w:r>
      <w:bookmarkEnd w:id="121"/>
    </w:p>
    <w:p>
      <w:pPr>
        <w:spacing w:line="360" w:lineRule="auto"/>
        <w:ind w:firstLine="560" w:firstLineChars="200"/>
        <w:rPr>
          <w:bCs/>
          <w:sz w:val="28"/>
          <w:szCs w:val="28"/>
        </w:rPr>
      </w:pPr>
      <w:r>
        <w:rPr>
          <w:rFonts w:hint="eastAsia"/>
          <w:bCs/>
          <w:sz w:val="28"/>
          <w:szCs w:val="28"/>
        </w:rPr>
        <w:t>高标准农田建设总体目标是：“田地平整肥沃、水利设施配套、田间道路畅通、林网建设适宜、科技先进适用、优质高产高效”。通过高标准农田建设，结合农业新品种、新技术的推广应用和新型农业生产经营主体培育与扶持，提高亩均粮食综合产能、灌溉水利用系数达、主要农作物综合机械化水平等。</w:t>
      </w:r>
    </w:p>
    <w:p>
      <w:pPr>
        <w:snapToGrid w:val="0"/>
        <w:ind w:firstLine="560" w:firstLineChars="200"/>
        <w:jc w:val="center"/>
        <w:rPr>
          <w:sz w:val="28"/>
          <w:szCs w:val="28"/>
        </w:rPr>
      </w:pPr>
      <w:r>
        <w:rPr>
          <w:rFonts w:hint="eastAsia"/>
          <w:sz w:val="28"/>
          <w:szCs w:val="28"/>
        </w:rPr>
        <w:t>表6.</w:t>
      </w:r>
      <w:r>
        <w:rPr>
          <w:sz w:val="28"/>
          <w:szCs w:val="28"/>
        </w:rPr>
        <w:t>6</w:t>
      </w:r>
      <w:r>
        <w:rPr>
          <w:rFonts w:hint="eastAsia"/>
          <w:sz w:val="28"/>
          <w:szCs w:val="28"/>
        </w:rPr>
        <w:t>-</w:t>
      </w:r>
      <w:r>
        <w:rPr>
          <w:sz w:val="28"/>
          <w:szCs w:val="28"/>
        </w:rPr>
        <w:t>1</w:t>
      </w:r>
      <w:r>
        <w:rPr>
          <w:rFonts w:hint="eastAsia"/>
          <w:sz w:val="28"/>
          <w:szCs w:val="28"/>
        </w:rPr>
        <w:t xml:space="preserve"> 汤阴县高标准农田建设主要指标</w:t>
      </w:r>
    </w:p>
    <w:tbl>
      <w:tblPr>
        <w:tblStyle w:val="26"/>
        <w:tblW w:w="0" w:type="auto"/>
        <w:tblInd w:w="0" w:type="dxa"/>
        <w:tblLayout w:type="autofit"/>
        <w:tblCellMar>
          <w:top w:w="0" w:type="dxa"/>
          <w:left w:w="108" w:type="dxa"/>
          <w:bottom w:w="0" w:type="dxa"/>
          <w:right w:w="108" w:type="dxa"/>
        </w:tblCellMar>
      </w:tblPr>
      <w:tblGrid>
        <w:gridCol w:w="598"/>
        <w:gridCol w:w="2345"/>
        <w:gridCol w:w="5387"/>
        <w:gridCol w:w="844"/>
      </w:tblGrid>
      <w:tr>
        <w:tblPrEx>
          <w:tblCellMar>
            <w:top w:w="0" w:type="dxa"/>
            <w:left w:w="108" w:type="dxa"/>
            <w:bottom w:w="0" w:type="dxa"/>
            <w:right w:w="108" w:type="dxa"/>
          </w:tblCellMar>
        </w:tblPrEx>
        <w:trPr>
          <w:trHeight w:val="128"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23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指标</w:t>
            </w:r>
          </w:p>
        </w:tc>
        <w:tc>
          <w:tcPr>
            <w:tcW w:w="53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目标值</w:t>
            </w:r>
          </w:p>
        </w:tc>
        <w:tc>
          <w:tcPr>
            <w:tcW w:w="8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属性</w:t>
            </w:r>
          </w:p>
        </w:tc>
      </w:tr>
      <w:tr>
        <w:tblPrEx>
          <w:tblCellMar>
            <w:top w:w="0" w:type="dxa"/>
            <w:left w:w="108" w:type="dxa"/>
            <w:bottom w:w="0" w:type="dxa"/>
            <w:right w:w="108" w:type="dxa"/>
          </w:tblCellMar>
        </w:tblPrEx>
        <w:trPr>
          <w:trHeight w:val="23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23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高标准农田建设</w:t>
            </w: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到2025年新建、改造提升高标准农田面积</w:t>
            </w:r>
            <w:r>
              <w:rPr>
                <w:rFonts w:ascii="宋体" w:hAnsi="宋体" w:cs="宋体"/>
                <w:color w:val="000000"/>
                <w:kern w:val="0"/>
                <w:szCs w:val="21"/>
              </w:rPr>
              <w:t>20.13</w:t>
            </w:r>
            <w:r>
              <w:rPr>
                <w:rFonts w:hint="eastAsia" w:ascii="宋体" w:hAnsi="宋体" w:cs="宋体"/>
                <w:color w:val="000000"/>
                <w:kern w:val="0"/>
                <w:szCs w:val="21"/>
              </w:rPr>
              <w:t>万亩</w:t>
            </w:r>
          </w:p>
        </w:tc>
        <w:tc>
          <w:tcPr>
            <w:tcW w:w="84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约束性</w:t>
            </w:r>
          </w:p>
        </w:tc>
      </w:tr>
      <w:tr>
        <w:tblPrEx>
          <w:tblCellMar>
            <w:top w:w="0" w:type="dxa"/>
            <w:left w:w="108" w:type="dxa"/>
            <w:bottom w:w="0" w:type="dxa"/>
            <w:right w:w="108" w:type="dxa"/>
          </w:tblCellMar>
        </w:tblPrEx>
        <w:trPr>
          <w:trHeight w:val="2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3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到20</w:t>
            </w:r>
            <w:r>
              <w:rPr>
                <w:rFonts w:ascii="宋体" w:hAnsi="宋体" w:cs="宋体"/>
                <w:color w:val="000000"/>
                <w:kern w:val="0"/>
                <w:szCs w:val="21"/>
              </w:rPr>
              <w:t>25</w:t>
            </w:r>
            <w:r>
              <w:rPr>
                <w:rFonts w:hint="eastAsia" w:ascii="宋体" w:hAnsi="宋体" w:cs="宋体"/>
                <w:color w:val="000000"/>
                <w:kern w:val="0"/>
                <w:szCs w:val="21"/>
              </w:rPr>
              <w:t>年累计建成高标准农田面积</w:t>
            </w:r>
            <w:r>
              <w:rPr>
                <w:rFonts w:ascii="宋体" w:hAnsi="宋体" w:cs="宋体"/>
                <w:color w:val="000000"/>
                <w:kern w:val="0"/>
                <w:szCs w:val="21"/>
              </w:rPr>
              <w:t>54.45</w:t>
            </w:r>
            <w:r>
              <w:rPr>
                <w:rFonts w:hint="eastAsia" w:ascii="宋体" w:hAnsi="宋体" w:cs="宋体"/>
                <w:color w:val="000000"/>
                <w:kern w:val="0"/>
                <w:szCs w:val="21"/>
              </w:rPr>
              <w:t>万亩</w:t>
            </w:r>
          </w:p>
        </w:tc>
        <w:tc>
          <w:tcPr>
            <w:tcW w:w="8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2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3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到20</w:t>
            </w:r>
            <w:r>
              <w:rPr>
                <w:rFonts w:ascii="宋体" w:hAnsi="宋体" w:cs="宋体"/>
                <w:color w:val="000000"/>
                <w:kern w:val="0"/>
                <w:szCs w:val="21"/>
              </w:rPr>
              <w:t>30</w:t>
            </w:r>
            <w:r>
              <w:rPr>
                <w:rFonts w:hint="eastAsia" w:ascii="宋体" w:hAnsi="宋体" w:cs="宋体"/>
                <w:color w:val="000000"/>
                <w:kern w:val="0"/>
                <w:szCs w:val="21"/>
              </w:rPr>
              <w:t>年改造提升高标准农田面积</w:t>
            </w:r>
            <w:r>
              <w:rPr>
                <w:rFonts w:ascii="宋体" w:hAnsi="宋体" w:cs="宋体"/>
                <w:color w:val="000000"/>
                <w:kern w:val="0"/>
                <w:szCs w:val="21"/>
              </w:rPr>
              <w:t>33.02</w:t>
            </w:r>
            <w:r>
              <w:rPr>
                <w:rFonts w:hint="eastAsia" w:ascii="宋体" w:hAnsi="宋体" w:cs="宋体"/>
                <w:color w:val="000000"/>
                <w:kern w:val="0"/>
                <w:szCs w:val="21"/>
              </w:rPr>
              <w:t>万亩</w:t>
            </w:r>
          </w:p>
        </w:tc>
        <w:tc>
          <w:tcPr>
            <w:tcW w:w="8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2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3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到2030年累计建成高标准农田面积</w:t>
            </w:r>
            <w:r>
              <w:rPr>
                <w:rFonts w:ascii="宋体" w:hAnsi="宋体" w:cs="宋体"/>
                <w:color w:val="000000"/>
                <w:kern w:val="0"/>
                <w:szCs w:val="21"/>
              </w:rPr>
              <w:t>54.45</w:t>
            </w:r>
            <w:r>
              <w:rPr>
                <w:rFonts w:hint="eastAsia" w:ascii="宋体" w:hAnsi="宋体" w:cs="宋体"/>
                <w:color w:val="000000"/>
                <w:kern w:val="0"/>
                <w:szCs w:val="21"/>
              </w:rPr>
              <w:t>万亩</w:t>
            </w:r>
          </w:p>
        </w:tc>
        <w:tc>
          <w:tcPr>
            <w:tcW w:w="8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23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23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高效节水灌溉建设</w:t>
            </w: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到2022年累计建成高效节水灌溉面积38.95万亩</w:t>
            </w:r>
          </w:p>
        </w:tc>
        <w:tc>
          <w:tcPr>
            <w:tcW w:w="84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预期性</w:t>
            </w:r>
          </w:p>
        </w:tc>
      </w:tr>
      <w:tr>
        <w:tblPrEx>
          <w:tblCellMar>
            <w:top w:w="0" w:type="dxa"/>
            <w:left w:w="108" w:type="dxa"/>
            <w:bottom w:w="0" w:type="dxa"/>
            <w:right w:w="108" w:type="dxa"/>
          </w:tblCellMar>
        </w:tblPrEx>
        <w:trPr>
          <w:trHeight w:val="2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3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2021-2030年新增高效节水灌溉面积38.95万亩</w:t>
            </w:r>
          </w:p>
        </w:tc>
        <w:tc>
          <w:tcPr>
            <w:tcW w:w="8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352"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23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新增粮食综合生产能力</w:t>
            </w: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新增高标准农田亩均产能提高100公斤左右</w:t>
            </w:r>
          </w:p>
        </w:tc>
        <w:tc>
          <w:tcPr>
            <w:tcW w:w="84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预期性</w:t>
            </w:r>
          </w:p>
        </w:tc>
      </w:tr>
      <w:tr>
        <w:tblPrEx>
          <w:tblCellMar>
            <w:top w:w="0" w:type="dxa"/>
            <w:left w:w="108" w:type="dxa"/>
            <w:bottom w:w="0" w:type="dxa"/>
            <w:right w:w="108" w:type="dxa"/>
          </w:tblCellMar>
        </w:tblPrEx>
        <w:trPr>
          <w:trHeight w:val="2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3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改造提升高标准农田产能不低于当地高标准农田产能的平均水平</w:t>
            </w:r>
          </w:p>
        </w:tc>
        <w:tc>
          <w:tcPr>
            <w:tcW w:w="8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4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2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新增建设高标准农田亩均节水率</w:t>
            </w: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10%以上</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预期性</w:t>
            </w:r>
          </w:p>
        </w:tc>
      </w:tr>
      <w:tr>
        <w:tblPrEx>
          <w:tblCellMar>
            <w:top w:w="0" w:type="dxa"/>
            <w:left w:w="108" w:type="dxa"/>
            <w:bottom w:w="0" w:type="dxa"/>
            <w:right w:w="108" w:type="dxa"/>
          </w:tblCellMar>
        </w:tblPrEx>
        <w:trPr>
          <w:trHeight w:val="46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2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建成高标准农田上图入库覆盖率</w:t>
            </w:r>
          </w:p>
        </w:tc>
        <w:tc>
          <w:tcPr>
            <w:tcW w:w="5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预期性</w:t>
            </w:r>
          </w:p>
        </w:tc>
      </w:tr>
    </w:tbl>
    <w:p>
      <w:pPr>
        <w:spacing w:line="360" w:lineRule="auto"/>
        <w:ind w:firstLine="560" w:firstLineChars="200"/>
        <w:rPr>
          <w:bCs/>
          <w:sz w:val="28"/>
          <w:szCs w:val="28"/>
        </w:rPr>
      </w:pP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.6.1</w:t>
      </w:r>
      <w:r>
        <w:rPr>
          <w:rFonts w:hint="eastAsia" w:asciiTheme="minorEastAsia" w:hAnsiTheme="minorEastAsia" w:eastAsiaTheme="minorEastAsia"/>
          <w:sz w:val="28"/>
          <w:szCs w:val="28"/>
        </w:rPr>
        <w:t>建设目标</w:t>
      </w:r>
    </w:p>
    <w:p>
      <w:pPr>
        <w:spacing w:line="360" w:lineRule="auto"/>
        <w:ind w:firstLine="560" w:firstLineChars="200"/>
        <w:rPr>
          <w:bCs/>
          <w:sz w:val="28"/>
          <w:szCs w:val="28"/>
        </w:rPr>
      </w:pPr>
      <w:r>
        <w:rPr>
          <w:rFonts w:hint="eastAsia"/>
          <w:bCs/>
          <w:sz w:val="28"/>
          <w:szCs w:val="28"/>
        </w:rPr>
        <w:t>按照《高标准农田建设通则》（GB/T30600-20</w:t>
      </w:r>
      <w:r>
        <w:rPr>
          <w:bCs/>
          <w:sz w:val="28"/>
          <w:szCs w:val="28"/>
        </w:rPr>
        <w:t>22</w:t>
      </w:r>
      <w:r>
        <w:rPr>
          <w:rFonts w:hint="eastAsia"/>
          <w:bCs/>
          <w:sz w:val="28"/>
          <w:szCs w:val="28"/>
        </w:rPr>
        <w:t>）的要求。针对项目区农田设施现状，在项目区采取灌溉与排水、田间道路、农田防护与生态环境保护、农田输配电等措施，把项目区建设成为田成方、林成网、沟相通、路相连、旱能浇、涝能排、农机化、科技优的高标准农业。通过新增建设和改造提升，确保到20</w:t>
      </w:r>
      <w:r>
        <w:rPr>
          <w:bCs/>
          <w:sz w:val="28"/>
          <w:szCs w:val="28"/>
        </w:rPr>
        <w:t>30</w:t>
      </w:r>
      <w:r>
        <w:rPr>
          <w:rFonts w:hint="eastAsia"/>
          <w:bCs/>
          <w:sz w:val="28"/>
          <w:szCs w:val="28"/>
        </w:rPr>
        <w:t>年建成</w:t>
      </w:r>
      <w:r>
        <w:rPr>
          <w:bCs/>
          <w:sz w:val="28"/>
          <w:szCs w:val="28"/>
        </w:rPr>
        <w:t>54.45</w:t>
      </w:r>
      <w:r>
        <w:rPr>
          <w:rFonts w:hint="eastAsia"/>
          <w:bCs/>
          <w:sz w:val="28"/>
          <w:szCs w:val="28"/>
        </w:rPr>
        <w:t>万亩高标准农田，使工程设计灌溉保证率达到75%以上、工程建设质量合格率达到100%。到2035年，通过持续改造提升，全国高标准农田保有量和质量进一步提高，绿色农田、数字农田建设模式进一步普及，支撑粮食生产和重要农产品供给能力进一步提升，形成更高层次、更有效率、更可持续的国家粮食安全保障基础。</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.6.2</w:t>
      </w:r>
      <w:r>
        <w:rPr>
          <w:rFonts w:hint="eastAsia" w:asciiTheme="minorEastAsia" w:hAnsiTheme="minorEastAsia" w:eastAsiaTheme="minorEastAsia"/>
          <w:sz w:val="28"/>
          <w:szCs w:val="28"/>
        </w:rPr>
        <w:t>管理目标</w:t>
      </w:r>
    </w:p>
    <w:p>
      <w:pPr>
        <w:spacing w:line="360" w:lineRule="auto"/>
        <w:ind w:firstLine="560" w:firstLineChars="200"/>
        <w:rPr>
          <w:bCs/>
          <w:sz w:val="28"/>
          <w:szCs w:val="28"/>
        </w:rPr>
      </w:pPr>
      <w:r>
        <w:rPr>
          <w:rFonts w:hint="eastAsia"/>
          <w:bCs/>
          <w:sz w:val="28"/>
          <w:szCs w:val="28"/>
        </w:rPr>
        <w:t>产权和管护责任明晰率达到100%，全面推行农业水价改革，全面建立运行管护机制。</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.6.3</w:t>
      </w:r>
      <w:r>
        <w:rPr>
          <w:rFonts w:hint="eastAsia" w:asciiTheme="minorEastAsia" w:hAnsiTheme="minorEastAsia" w:eastAsiaTheme="minorEastAsia"/>
          <w:sz w:val="28"/>
          <w:szCs w:val="28"/>
        </w:rPr>
        <w:t>效益目标</w:t>
      </w:r>
    </w:p>
    <w:p>
      <w:pPr>
        <w:spacing w:line="360" w:lineRule="auto"/>
        <w:ind w:firstLine="560" w:firstLineChars="200"/>
        <w:rPr>
          <w:bCs/>
          <w:sz w:val="28"/>
          <w:szCs w:val="28"/>
        </w:rPr>
      </w:pPr>
      <w:r>
        <w:rPr>
          <w:rFonts w:hint="eastAsia"/>
          <w:bCs/>
          <w:sz w:val="28"/>
          <w:szCs w:val="28"/>
        </w:rPr>
        <w:t>通过高标准农田的建设，集中力量建设集中连片、旱涝保收、节水高效、稳产高产、生态友好的高标准农田，形成一批“一季千斤、两季吨粮”的口粮田，亩均粮食综合生产能力达到500kg 以上，农民人均收入增加 3000 元以上，主要农作物综合机械化水平达到 90%以上，农业适度规模经营比重达到 80%以上。</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.6.4</w:t>
      </w:r>
      <w:r>
        <w:rPr>
          <w:rFonts w:hint="eastAsia" w:asciiTheme="minorEastAsia" w:hAnsiTheme="minorEastAsia" w:eastAsiaTheme="minorEastAsia"/>
          <w:sz w:val="28"/>
          <w:szCs w:val="28"/>
        </w:rPr>
        <w:t>具体目标</w:t>
      </w:r>
    </w:p>
    <w:p>
      <w:pPr>
        <w:spacing w:line="360" w:lineRule="auto"/>
        <w:ind w:firstLine="560" w:firstLineChars="200"/>
        <w:rPr>
          <w:bCs/>
          <w:sz w:val="28"/>
          <w:szCs w:val="28"/>
        </w:rPr>
      </w:pPr>
      <w:r>
        <w:rPr>
          <w:rFonts w:hint="eastAsia"/>
          <w:bCs/>
          <w:sz w:val="28"/>
          <w:szCs w:val="28"/>
        </w:rPr>
        <w:t>高标准农田建设主要涉及田、土、水、路、林、电、管8个方面目标。</w:t>
      </w:r>
    </w:p>
    <w:p>
      <w:pPr>
        <w:spacing w:line="360" w:lineRule="auto"/>
        <w:ind w:firstLine="560" w:firstLineChars="200"/>
        <w:rPr>
          <w:bCs/>
          <w:sz w:val="28"/>
          <w:szCs w:val="28"/>
        </w:rPr>
      </w:pPr>
      <w:r>
        <w:rPr>
          <w:rFonts w:hint="eastAsia"/>
          <w:bCs/>
          <w:sz w:val="28"/>
          <w:szCs w:val="28"/>
        </w:rPr>
        <w:t>（1）通过合理归并和平整土地、坡耕地田坎修筑，实现田块规模适度、集中连片、田面平整，耕作层厚度适宜。</w:t>
      </w:r>
    </w:p>
    <w:p>
      <w:pPr>
        <w:spacing w:line="360" w:lineRule="auto"/>
        <w:ind w:firstLine="560" w:firstLineChars="200"/>
        <w:rPr>
          <w:bCs/>
          <w:sz w:val="28"/>
          <w:szCs w:val="28"/>
        </w:rPr>
      </w:pPr>
      <w:r>
        <w:rPr>
          <w:rFonts w:hint="eastAsia"/>
          <w:bCs/>
          <w:sz w:val="28"/>
          <w:szCs w:val="28"/>
        </w:rPr>
        <w:t>（2）通过培肥改良，实现土壤通透性能好、保水保肥能力强、酸碱平衡、有机质和营养元素丰富，着力提高耕地内在质量和产出能力。</w:t>
      </w:r>
    </w:p>
    <w:p>
      <w:pPr>
        <w:spacing w:line="360" w:lineRule="auto"/>
        <w:ind w:firstLine="560" w:firstLineChars="200"/>
        <w:rPr>
          <w:bCs/>
          <w:sz w:val="28"/>
          <w:szCs w:val="28"/>
        </w:rPr>
      </w:pPr>
      <w:r>
        <w:rPr>
          <w:rFonts w:hint="eastAsia"/>
          <w:bCs/>
          <w:sz w:val="28"/>
          <w:szCs w:val="28"/>
        </w:rPr>
        <w:t>（3）通过加强田间灌排设施建设和推进高效节水灌溉等，增加有效灌溉面积，提高灌溉保证率、用水效率和农田防洪排涝标准，实现旱涝保收。</w:t>
      </w:r>
    </w:p>
    <w:p>
      <w:pPr>
        <w:spacing w:line="360" w:lineRule="auto"/>
        <w:ind w:firstLine="560" w:firstLineChars="200"/>
        <w:rPr>
          <w:bCs/>
          <w:sz w:val="28"/>
          <w:szCs w:val="28"/>
        </w:rPr>
      </w:pPr>
      <w:r>
        <w:rPr>
          <w:rFonts w:hint="eastAsia"/>
          <w:bCs/>
          <w:sz w:val="28"/>
          <w:szCs w:val="28"/>
        </w:rPr>
        <w:t>（4）通过田间道(机耕路)和生产路建设、桥涵配套，合理增加路面宽度，提高道路的荷载标准和通达度，满足农机作业、生产物流要求。</w:t>
      </w:r>
    </w:p>
    <w:p>
      <w:pPr>
        <w:spacing w:line="360" w:lineRule="auto"/>
        <w:ind w:firstLine="560" w:firstLineChars="200"/>
        <w:rPr>
          <w:bCs/>
          <w:sz w:val="28"/>
          <w:szCs w:val="28"/>
        </w:rPr>
      </w:pPr>
      <w:r>
        <w:rPr>
          <w:rFonts w:hint="eastAsia"/>
          <w:bCs/>
          <w:sz w:val="28"/>
          <w:szCs w:val="28"/>
        </w:rPr>
        <w:t>（5）通过农田林网、岸坡防护、沟道治理等农田防护和生态环境保护工程建设，改善农田生态环境，提高农田防御风沙灾害和防止水土流失能力。</w:t>
      </w:r>
    </w:p>
    <w:p>
      <w:pPr>
        <w:spacing w:line="360" w:lineRule="auto"/>
        <w:ind w:firstLine="560" w:firstLineChars="200"/>
        <w:rPr>
          <w:bCs/>
          <w:sz w:val="28"/>
          <w:szCs w:val="28"/>
        </w:rPr>
      </w:pPr>
      <w:r>
        <w:rPr>
          <w:rFonts w:hint="eastAsia"/>
          <w:bCs/>
          <w:sz w:val="28"/>
          <w:szCs w:val="28"/>
        </w:rPr>
        <w:t>（6）通过完善农田电网、配套相应的输配电设施，满足农田设施用电需求，降低农业生产成本，提高农业生产的效率和效益。</w:t>
      </w:r>
    </w:p>
    <w:p>
      <w:pPr>
        <w:spacing w:line="360" w:lineRule="auto"/>
        <w:ind w:firstLine="560" w:firstLineChars="200"/>
        <w:rPr>
          <w:bCs/>
          <w:sz w:val="28"/>
          <w:szCs w:val="28"/>
        </w:rPr>
      </w:pPr>
      <w:r>
        <w:rPr>
          <w:rFonts w:hint="eastAsia"/>
          <w:bCs/>
          <w:sz w:val="28"/>
          <w:szCs w:val="28"/>
        </w:rPr>
        <w:t>（7）通过工程措施与农艺技术相结合，推广数字农业、良种良法、病虫害绿色防控、节水节肥减药等技术，提高农田可持续利用水平和综合生产能力。</w:t>
      </w:r>
    </w:p>
    <w:p>
      <w:pPr>
        <w:spacing w:line="360" w:lineRule="auto"/>
        <w:ind w:firstLine="560" w:firstLineChars="200"/>
        <w:rPr>
          <w:bCs/>
          <w:sz w:val="28"/>
          <w:szCs w:val="28"/>
        </w:rPr>
      </w:pPr>
      <w:r>
        <w:rPr>
          <w:rFonts w:hint="eastAsia"/>
          <w:bCs/>
          <w:sz w:val="28"/>
          <w:szCs w:val="28"/>
        </w:rPr>
        <w:t>（8）通过上图入库和全程管理，落实建后管护主体和责任、管护资金，完善管护机制，确保建成的工程设施在设计使用年限内正常运行、高标准农田用途不改变、质量有提高。</w:t>
      </w:r>
    </w:p>
    <w:p>
      <w:pPr>
        <w:pStyle w:val="3"/>
        <w:spacing w:before="0" w:after="0" w:line="360" w:lineRule="auto"/>
        <w:rPr>
          <w:rFonts w:asciiTheme="minorEastAsia" w:hAnsiTheme="minorEastAsia" w:eastAsiaTheme="minorEastAsia"/>
        </w:rPr>
      </w:pPr>
      <w:bookmarkStart w:id="122" w:name="_Toc144903178"/>
      <w:r>
        <w:rPr>
          <w:rFonts w:hint="eastAsia" w:asciiTheme="minorEastAsia" w:hAnsiTheme="minorEastAsia" w:eastAsiaTheme="minorEastAsia"/>
        </w:rPr>
        <w:t>6</w:t>
      </w:r>
      <w:r>
        <w:rPr>
          <w:rFonts w:asciiTheme="minorEastAsia" w:hAnsiTheme="minorEastAsia" w:eastAsiaTheme="minorEastAsia"/>
        </w:rPr>
        <w:t>.7</w:t>
      </w:r>
      <w:r>
        <w:rPr>
          <w:rFonts w:hint="eastAsia" w:asciiTheme="minorEastAsia" w:hAnsiTheme="minorEastAsia" w:eastAsiaTheme="minorEastAsia"/>
        </w:rPr>
        <w:t>规划重点任务</w:t>
      </w:r>
      <w:bookmarkEnd w:id="122"/>
    </w:p>
    <w:p>
      <w:pPr>
        <w:pStyle w:val="4"/>
        <w:spacing w:before="0" w:after="0" w:line="360" w:lineRule="auto"/>
        <w:rPr>
          <w:rFonts w:ascii="宋体" w:hAnsi="宋体" w:cs="宋体"/>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.7.1</w:t>
      </w:r>
      <w:r>
        <w:rPr>
          <w:rFonts w:hint="eastAsia" w:asciiTheme="minorEastAsia" w:hAnsiTheme="minorEastAsia" w:eastAsiaTheme="minorEastAsia"/>
          <w:sz w:val="28"/>
          <w:szCs w:val="28"/>
        </w:rPr>
        <w:t>规划方向</w:t>
      </w:r>
    </w:p>
    <w:p>
      <w:pPr>
        <w:spacing w:line="360" w:lineRule="auto"/>
        <w:ind w:firstLine="560" w:firstLineChars="200"/>
        <w:rPr>
          <w:rFonts w:ascii="宋体" w:hAnsi="宋体" w:cs="宋体"/>
          <w:sz w:val="28"/>
          <w:szCs w:val="28"/>
        </w:rPr>
      </w:pPr>
      <w:r>
        <w:rPr>
          <w:rFonts w:hint="eastAsia" w:ascii="宋体" w:hAnsi="宋体" w:cs="宋体"/>
          <w:sz w:val="28"/>
          <w:szCs w:val="28"/>
        </w:rPr>
        <w:t>汤阴县现状年2</w:t>
      </w:r>
      <w:r>
        <w:rPr>
          <w:rFonts w:ascii="宋体" w:hAnsi="宋体" w:cs="宋体"/>
          <w:sz w:val="28"/>
          <w:szCs w:val="28"/>
        </w:rPr>
        <w:t>020</w:t>
      </w:r>
      <w:r>
        <w:rPr>
          <w:rFonts w:hint="eastAsia" w:ascii="宋体" w:hAnsi="宋体" w:cs="宋体"/>
          <w:sz w:val="28"/>
          <w:szCs w:val="28"/>
        </w:rPr>
        <w:t>年已建高标准农田面积51.17万亩，规划项目建设完成后，汤阴县高标准农田面积将达到54.45万亩。其中高效节水灌溉面积38.95万亩。汤阴县重点规划任务主要是高标准农田示范工程。</w:t>
      </w:r>
    </w:p>
    <w:bookmarkEnd w:id="35"/>
    <w:bookmarkEnd w:id="36"/>
    <w:bookmarkEnd w:id="37"/>
    <w:p>
      <w:pPr>
        <w:spacing w:line="360" w:lineRule="auto"/>
        <w:ind w:firstLine="560" w:firstLineChars="200"/>
        <w:rPr>
          <w:rFonts w:ascii="宋体" w:hAnsi="宋体" w:cs="宋体"/>
          <w:sz w:val="28"/>
          <w:szCs w:val="28"/>
        </w:rPr>
      </w:pPr>
      <w:bookmarkStart w:id="123" w:name="_Toc16995"/>
      <w:bookmarkStart w:id="124" w:name="_Toc27652"/>
      <w:bookmarkStart w:id="125" w:name="_Toc968"/>
      <w:bookmarkStart w:id="126" w:name="_Toc7446"/>
      <w:bookmarkStart w:id="127" w:name="_Toc14430"/>
      <w:r>
        <w:rPr>
          <w:rFonts w:hint="eastAsia" w:ascii="宋体" w:hAnsi="宋体" w:cs="宋体"/>
          <w:sz w:val="28"/>
          <w:szCs w:val="28"/>
        </w:rPr>
        <w:t>高标准农田示范区项目以稳产高产、节水优先、绿色发展为导向，以提高农业灌溉效率、提升耕地地力、改善农田生态环境为核心，通过持续开展示范区建设，粮食稳产增产基础更加稳固，农业现代化生产条件更加完善。其主要特点有：</w:t>
      </w:r>
    </w:p>
    <w:p>
      <w:pPr>
        <w:spacing w:line="360" w:lineRule="auto"/>
        <w:ind w:firstLine="560" w:firstLineChars="200"/>
        <w:rPr>
          <w:rFonts w:ascii="宋体" w:hAnsi="宋体" w:cs="宋体"/>
          <w:sz w:val="28"/>
          <w:szCs w:val="28"/>
        </w:rPr>
      </w:pPr>
      <w:r>
        <w:rPr>
          <w:rFonts w:hint="eastAsia" w:ascii="宋体" w:hAnsi="宋体" w:cs="宋体"/>
          <w:sz w:val="28"/>
          <w:szCs w:val="28"/>
        </w:rPr>
        <w:t>（1）建设标准化。以构建高标准农田现代化标准体系为导向，以统一规划布局、统一设计标准、统一组织实施、统一竣工验收、统一上图入库的“五统一”为核心，坚持质量、数量和生态并举，总体达到“集中连片、旱涝保收、节水高效、稳产高产、生态友好”的要求。</w:t>
      </w:r>
    </w:p>
    <w:p>
      <w:pPr>
        <w:spacing w:line="360" w:lineRule="auto"/>
        <w:ind w:firstLine="560" w:firstLineChars="200"/>
        <w:rPr>
          <w:rFonts w:ascii="宋体" w:hAnsi="宋体" w:cs="宋体"/>
          <w:sz w:val="28"/>
          <w:szCs w:val="28"/>
        </w:rPr>
      </w:pPr>
      <w:r>
        <w:rPr>
          <w:rFonts w:hint="eastAsia" w:ascii="宋体" w:hAnsi="宋体" w:cs="宋体"/>
          <w:sz w:val="28"/>
          <w:szCs w:val="28"/>
        </w:rPr>
        <w:t>（2）装备现代化。以农田装备现代化为导向，充分利用现代装备制造业和信息产业发展成果，推动农田基础设施装配化和农田生产管理设备集成化，夯实农田生产设施现代化和管理手段现代化基础。推动基础设施装配式发展，着力提高基础设施绿色建筑水平，鼓励使用绿色环保新技术、新工艺、新材料和模块化、结构化组装建筑等，实现减少占地、宜拆装、节能、省工。推动农田管理手段现代化，着力提高农田生产管理设备的自动化、机械化、集成化水平，采用机电一体化泵站、水肥一体化灌溉设备、机电井首部集成化、水泵节能变频、遥感监测、飞机喷防等设备和技术，有效提高生产效率。</w:t>
      </w:r>
    </w:p>
    <w:p>
      <w:pPr>
        <w:spacing w:line="360" w:lineRule="auto"/>
        <w:ind w:firstLine="560" w:firstLineChars="200"/>
        <w:rPr>
          <w:rFonts w:ascii="宋体" w:hAnsi="宋体" w:cs="宋体"/>
          <w:sz w:val="28"/>
          <w:szCs w:val="28"/>
        </w:rPr>
      </w:pPr>
      <w:r>
        <w:rPr>
          <w:rFonts w:hint="eastAsia" w:ascii="宋体" w:hAnsi="宋体" w:cs="宋体"/>
          <w:sz w:val="28"/>
          <w:szCs w:val="28"/>
        </w:rPr>
        <w:t>（3）应用智能化。以支撑现代农田生产少人化和智能化为导向，充分运用物联网、人工智能发展成果，发挥农田数字赋能的作用，构建空地一体、万物互联的网络空间，提高农田全要素生产率（减少活劳动投入，减轻劳动强度，提高精准生产管理水平，降低成本，提高资源利用率和农田产出率）。推动农田“物联网+”体系建设，强化农田信息化管理、生产作业调度自动化、生产环境预报预警遥测、耕地质量监测等四大系统功能，实现现地感知、远动传输、遥控调度、实时读取、精准决策等智能化应用。</w:t>
      </w:r>
    </w:p>
    <w:p>
      <w:pPr>
        <w:spacing w:line="360" w:lineRule="auto"/>
        <w:ind w:firstLine="560" w:firstLineChars="200"/>
        <w:rPr>
          <w:rFonts w:ascii="宋体" w:hAnsi="宋体" w:cs="宋体"/>
          <w:sz w:val="28"/>
          <w:szCs w:val="28"/>
        </w:rPr>
      </w:pPr>
      <w:r>
        <w:rPr>
          <w:rFonts w:hint="eastAsia" w:ascii="宋体" w:hAnsi="宋体" w:cs="宋体"/>
          <w:sz w:val="28"/>
          <w:szCs w:val="28"/>
        </w:rPr>
        <w:t>（4）经营规模化。以适度规模化经营发展为导向，以整县示范、绿色示范、科技示范等为引领，促进以小农户之间承包田自主互换为基础、“四类”新型经营主体规模化经营为骨干、其他农耕农事服务主体为补充的农田适度规模化经营发展。一是通过农田基础设施建设，有效改善农田生产条件，提高耕地等级质量，促使小农户自发互换田块，提高田块规模化水平。二是充分发挥“四类”新型经营主体规模化经营农田的积极性，带动规模化经营发展。三是引导农业托管企业、订单企业等市场主体开展不同形式的农耕农事规模化经营和服务，促进规模化经营发展。</w:t>
      </w:r>
    </w:p>
    <w:p>
      <w:pPr>
        <w:spacing w:line="360" w:lineRule="auto"/>
        <w:ind w:firstLine="560" w:firstLineChars="200"/>
        <w:rPr>
          <w:rFonts w:ascii="宋体" w:hAnsi="宋体" w:cs="宋体"/>
          <w:sz w:val="28"/>
          <w:szCs w:val="28"/>
        </w:rPr>
      </w:pPr>
      <w:r>
        <w:rPr>
          <w:rFonts w:hint="eastAsia" w:ascii="宋体" w:hAnsi="宋体" w:cs="宋体"/>
          <w:sz w:val="28"/>
          <w:szCs w:val="28"/>
        </w:rPr>
        <w:t>（5）管理规范化。充分发挥新体制、新机制优势，通过工程建设管理、运行管理、利用保护全过程规范化管理，达到农田数量不减少、质量不降低，高水平管理、高效率利用。强化设计、施工、工程质量和耕地质量、竣工验收规范化管理，制度建设、产权明晰、管护责任落实、管护经费保障、运行服务体系等规范化管理；推进农田建后利用保护规范化，高标准农田建成后，及时划为永久基本农田，树立高标标识，统一上图入库，颁发合格证书，实行特殊保护。</w:t>
      </w:r>
    </w:p>
    <w:p>
      <w:pPr>
        <w:spacing w:line="360" w:lineRule="auto"/>
        <w:ind w:firstLine="560" w:firstLineChars="200"/>
        <w:rPr>
          <w:rFonts w:ascii="宋体" w:hAnsi="宋体" w:cs="宋体"/>
          <w:sz w:val="28"/>
          <w:szCs w:val="28"/>
        </w:rPr>
      </w:pPr>
      <w:r>
        <w:rPr>
          <w:rFonts w:hint="eastAsia" w:ascii="宋体" w:hAnsi="宋体" w:cs="宋体"/>
          <w:sz w:val="28"/>
          <w:szCs w:val="28"/>
        </w:rPr>
        <w:t>（6）环境生态化。大力发展喷灌、“微灌+水肥药一体化”等高效节水灌溉模式，提高节水减排压采能力；普及深耕深松、测土配方施肥等技术，提高农田健康水平和土壤涵养固碳能力。着力推广农田林网防护、沟渠田坎植物护坡、农田退水净化等绿色建设模式，改善农田气候条件，增强农田生态环境保护能力。</w:t>
      </w:r>
    </w:p>
    <w:p>
      <w:pPr>
        <w:spacing w:line="360" w:lineRule="auto"/>
        <w:ind w:firstLine="560" w:firstLineChars="200"/>
        <w:rPr>
          <w:rFonts w:ascii="宋体" w:hAnsi="宋体" w:cs="宋体"/>
          <w:sz w:val="28"/>
          <w:szCs w:val="28"/>
        </w:rPr>
      </w:pPr>
      <w:r>
        <w:rPr>
          <w:rFonts w:hint="eastAsia" w:ascii="宋体" w:hAnsi="宋体" w:cs="宋体"/>
          <w:sz w:val="28"/>
          <w:szCs w:val="28"/>
        </w:rPr>
        <w:t>本次汤阴县拟规划高标准农田示范面积2</w:t>
      </w:r>
      <w:r>
        <w:rPr>
          <w:rFonts w:ascii="宋体" w:hAnsi="宋体" w:cs="宋体"/>
          <w:sz w:val="28"/>
          <w:szCs w:val="28"/>
        </w:rPr>
        <w:t>3</w:t>
      </w:r>
      <w:r>
        <w:rPr>
          <w:rFonts w:hint="eastAsia" w:ascii="宋体" w:hAnsi="宋体" w:cs="宋体"/>
          <w:sz w:val="28"/>
          <w:szCs w:val="28"/>
        </w:rPr>
        <w:t>万亩，分为3个年度实施，分别为2</w:t>
      </w:r>
      <w:r>
        <w:rPr>
          <w:rFonts w:ascii="宋体" w:hAnsi="宋体" w:cs="宋体"/>
          <w:sz w:val="28"/>
          <w:szCs w:val="28"/>
        </w:rPr>
        <w:t>023</w:t>
      </w:r>
      <w:r>
        <w:rPr>
          <w:rFonts w:hint="eastAsia" w:ascii="宋体" w:hAnsi="宋体" w:cs="宋体"/>
          <w:sz w:val="28"/>
          <w:szCs w:val="28"/>
        </w:rPr>
        <w:t>年1</w:t>
      </w:r>
      <w:r>
        <w:rPr>
          <w:rFonts w:ascii="宋体" w:hAnsi="宋体" w:cs="宋体"/>
          <w:sz w:val="28"/>
          <w:szCs w:val="28"/>
        </w:rPr>
        <w:t>0</w:t>
      </w:r>
      <w:r>
        <w:rPr>
          <w:rFonts w:hint="eastAsia" w:ascii="宋体" w:hAnsi="宋体" w:cs="宋体"/>
          <w:sz w:val="28"/>
          <w:szCs w:val="28"/>
        </w:rPr>
        <w:t>万亩、2</w:t>
      </w:r>
      <w:r>
        <w:rPr>
          <w:rFonts w:ascii="宋体" w:hAnsi="宋体" w:cs="宋体"/>
          <w:sz w:val="28"/>
          <w:szCs w:val="28"/>
        </w:rPr>
        <w:t>024</w:t>
      </w:r>
      <w:r>
        <w:rPr>
          <w:rFonts w:hint="eastAsia" w:ascii="宋体" w:hAnsi="宋体" w:cs="宋体"/>
          <w:sz w:val="28"/>
          <w:szCs w:val="28"/>
        </w:rPr>
        <w:t>年8万亩、2</w:t>
      </w:r>
      <w:r>
        <w:rPr>
          <w:rFonts w:ascii="宋体" w:hAnsi="宋体" w:cs="宋体"/>
          <w:sz w:val="28"/>
          <w:szCs w:val="28"/>
        </w:rPr>
        <w:t>025</w:t>
      </w:r>
      <w:r>
        <w:rPr>
          <w:rFonts w:hint="eastAsia" w:ascii="宋体" w:hAnsi="宋体" w:cs="宋体"/>
          <w:sz w:val="28"/>
          <w:szCs w:val="28"/>
        </w:rPr>
        <w:t>年5万亩。</w:t>
      </w:r>
    </w:p>
    <w:p>
      <w:pPr>
        <w:snapToGrid w:val="0"/>
        <w:ind w:firstLine="560" w:firstLineChars="200"/>
        <w:jc w:val="center"/>
        <w:rPr>
          <w:rFonts w:ascii="宋体" w:hAnsi="宋体" w:cs="宋体"/>
          <w:sz w:val="28"/>
          <w:szCs w:val="28"/>
        </w:rPr>
      </w:pPr>
      <w:r>
        <w:rPr>
          <w:rFonts w:hint="eastAsia" w:ascii="宋体" w:hAnsi="宋体" w:cs="宋体"/>
          <w:sz w:val="28"/>
          <w:szCs w:val="28"/>
        </w:rPr>
        <w:t>表6</w:t>
      </w:r>
      <w:r>
        <w:rPr>
          <w:rFonts w:ascii="宋体" w:hAnsi="宋体" w:cs="宋体"/>
          <w:sz w:val="28"/>
          <w:szCs w:val="28"/>
        </w:rPr>
        <w:t>.7</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汤阴县高标准农田示范区工程规划表</w:t>
      </w:r>
    </w:p>
    <w:tbl>
      <w:tblPr>
        <w:tblStyle w:val="26"/>
        <w:tblW w:w="5000" w:type="pct"/>
        <w:tblInd w:w="0" w:type="dxa"/>
        <w:tblLayout w:type="autofit"/>
        <w:tblCellMar>
          <w:top w:w="0" w:type="dxa"/>
          <w:left w:w="108" w:type="dxa"/>
          <w:bottom w:w="0" w:type="dxa"/>
          <w:right w:w="108" w:type="dxa"/>
        </w:tblCellMar>
      </w:tblPr>
      <w:tblGrid>
        <w:gridCol w:w="1563"/>
        <w:gridCol w:w="3879"/>
        <w:gridCol w:w="3732"/>
      </w:tblGrid>
      <w:tr>
        <w:tblPrEx>
          <w:tblCellMar>
            <w:top w:w="0" w:type="dxa"/>
            <w:left w:w="108" w:type="dxa"/>
            <w:bottom w:w="0" w:type="dxa"/>
            <w:right w:w="108" w:type="dxa"/>
          </w:tblCellMar>
        </w:tblPrEx>
        <w:trPr>
          <w:trHeight w:val="520" w:hRule="atLeast"/>
        </w:trPr>
        <w:tc>
          <w:tcPr>
            <w:tcW w:w="8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年度</w:t>
            </w:r>
          </w:p>
        </w:tc>
        <w:tc>
          <w:tcPr>
            <w:tcW w:w="21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实施面积（万亩）</w:t>
            </w:r>
          </w:p>
        </w:tc>
        <w:tc>
          <w:tcPr>
            <w:tcW w:w="20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实施乡镇</w:t>
            </w:r>
          </w:p>
        </w:tc>
      </w:tr>
      <w:tr>
        <w:tblPrEx>
          <w:tblCellMar>
            <w:top w:w="0" w:type="dxa"/>
            <w:left w:w="108" w:type="dxa"/>
            <w:bottom w:w="0" w:type="dxa"/>
            <w:right w:w="108" w:type="dxa"/>
          </w:tblCellMar>
        </w:tblPrEx>
        <w:trPr>
          <w:trHeight w:val="520" w:hRule="atLeast"/>
        </w:trPr>
        <w:tc>
          <w:tcPr>
            <w:tcW w:w="8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2023</w:t>
            </w:r>
          </w:p>
        </w:tc>
        <w:tc>
          <w:tcPr>
            <w:tcW w:w="21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03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古贤镇、任固镇、菜园镇</w:t>
            </w:r>
          </w:p>
        </w:tc>
      </w:tr>
      <w:tr>
        <w:tblPrEx>
          <w:tblCellMar>
            <w:top w:w="0" w:type="dxa"/>
            <w:left w:w="108" w:type="dxa"/>
            <w:bottom w:w="0" w:type="dxa"/>
            <w:right w:w="108" w:type="dxa"/>
          </w:tblCellMar>
        </w:tblPrEx>
        <w:trPr>
          <w:trHeight w:val="520" w:hRule="atLeast"/>
        </w:trPr>
        <w:tc>
          <w:tcPr>
            <w:tcW w:w="8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2024</w:t>
            </w:r>
          </w:p>
        </w:tc>
        <w:tc>
          <w:tcPr>
            <w:tcW w:w="21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03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伏道镇、宜沟镇</w:t>
            </w:r>
          </w:p>
        </w:tc>
      </w:tr>
      <w:tr>
        <w:tblPrEx>
          <w:tblCellMar>
            <w:top w:w="0" w:type="dxa"/>
            <w:left w:w="108" w:type="dxa"/>
            <w:bottom w:w="0" w:type="dxa"/>
            <w:right w:w="108" w:type="dxa"/>
          </w:tblCellMar>
        </w:tblPrEx>
        <w:trPr>
          <w:trHeight w:val="520" w:hRule="atLeast"/>
        </w:trPr>
        <w:tc>
          <w:tcPr>
            <w:tcW w:w="8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2025</w:t>
            </w:r>
          </w:p>
        </w:tc>
        <w:tc>
          <w:tcPr>
            <w:tcW w:w="211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034"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菜园镇、任固镇</w:t>
            </w:r>
          </w:p>
        </w:tc>
      </w:tr>
    </w:tbl>
    <w:p>
      <w:pPr>
        <w:pStyle w:val="4"/>
        <w:spacing w:before="0" w:after="0" w:line="360" w:lineRule="auto"/>
        <w:rPr>
          <w:rFonts w:ascii="宋体" w:hAnsi="宋体" w:cs="宋体"/>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.7.2</w:t>
      </w:r>
      <w:r>
        <w:rPr>
          <w:rFonts w:hint="eastAsia" w:ascii="宋体" w:hAnsi="宋体" w:cs="宋体"/>
          <w:sz w:val="28"/>
          <w:szCs w:val="28"/>
        </w:rPr>
        <w:t xml:space="preserve"> 农田土壤质量提升任务</w:t>
      </w:r>
    </w:p>
    <w:p>
      <w:pPr>
        <w:spacing w:line="360" w:lineRule="auto"/>
        <w:ind w:firstLine="560" w:firstLineChars="200"/>
        <w:rPr>
          <w:rFonts w:ascii="宋体" w:hAnsi="宋体" w:cs="宋体"/>
          <w:sz w:val="28"/>
          <w:szCs w:val="28"/>
        </w:rPr>
      </w:pPr>
      <w:r>
        <w:rPr>
          <w:rFonts w:hint="eastAsia" w:ascii="宋体" w:hAnsi="宋体" w:cs="宋体"/>
          <w:sz w:val="28"/>
          <w:szCs w:val="28"/>
        </w:rPr>
        <w:t>到2025 年，全县耕地质量状况得到阶段性改善，耕地养分失衡、耕层变浅、白色污染等问题得到有效遏制，土壤生物群系逐步恢复。到 2030 年，全县耕地质量状况实现总体改善，对粮食生产和农业可持续发展的支撑能力明显提高。</w:t>
      </w:r>
    </w:p>
    <w:p>
      <w:pPr>
        <w:spacing w:line="360" w:lineRule="auto"/>
        <w:ind w:firstLine="560" w:firstLineChars="200"/>
        <w:rPr>
          <w:rFonts w:ascii="宋体" w:hAnsi="宋体" w:cs="宋体"/>
          <w:sz w:val="28"/>
          <w:szCs w:val="28"/>
        </w:rPr>
      </w:pPr>
      <w:r>
        <w:rPr>
          <w:rFonts w:hint="eastAsia" w:ascii="宋体" w:hAnsi="宋体" w:cs="宋体"/>
          <w:sz w:val="28"/>
          <w:szCs w:val="28"/>
        </w:rPr>
        <w:t>（1）有机肥资源利用水平持续提升</w:t>
      </w:r>
    </w:p>
    <w:p>
      <w:pPr>
        <w:spacing w:line="360" w:lineRule="auto"/>
        <w:ind w:firstLine="560" w:firstLineChars="200"/>
        <w:rPr>
          <w:rFonts w:ascii="宋体" w:hAnsi="宋体" w:cs="宋体"/>
          <w:sz w:val="28"/>
          <w:szCs w:val="28"/>
        </w:rPr>
      </w:pPr>
      <w:r>
        <w:rPr>
          <w:rFonts w:hint="eastAsia" w:ascii="宋体" w:hAnsi="宋体" w:cs="宋体"/>
          <w:sz w:val="28"/>
          <w:szCs w:val="28"/>
        </w:rPr>
        <w:t>到2025 年，畜禽粪便养分还田率达到34.62%，提高5 个百分点；农作物秸秆养分还田率达到 44%以上，提高8 个百分点以上</w:t>
      </w:r>
    </w:p>
    <w:p>
      <w:pPr>
        <w:spacing w:line="360" w:lineRule="auto"/>
        <w:ind w:firstLine="560" w:firstLineChars="200"/>
        <w:rPr>
          <w:rFonts w:ascii="宋体" w:hAnsi="宋体" w:cs="宋体"/>
          <w:sz w:val="28"/>
          <w:szCs w:val="28"/>
        </w:rPr>
      </w:pPr>
      <w:r>
        <w:rPr>
          <w:rFonts w:hint="eastAsia" w:ascii="宋体" w:hAnsi="宋体" w:cs="宋体"/>
          <w:sz w:val="28"/>
          <w:szCs w:val="28"/>
        </w:rPr>
        <w:t>（2）科学施肥水平持续提升</w:t>
      </w:r>
    </w:p>
    <w:p>
      <w:pPr>
        <w:spacing w:line="360" w:lineRule="auto"/>
        <w:ind w:firstLine="560" w:firstLineChars="200"/>
        <w:rPr>
          <w:rFonts w:ascii="宋体" w:hAnsi="宋体" w:cs="宋体"/>
          <w:sz w:val="28"/>
          <w:szCs w:val="28"/>
        </w:rPr>
      </w:pPr>
      <w:r>
        <w:rPr>
          <w:rFonts w:hint="eastAsia" w:ascii="宋体" w:hAnsi="宋体" w:cs="宋体"/>
          <w:sz w:val="28"/>
          <w:szCs w:val="28"/>
        </w:rPr>
        <w:t>到 2025 年，测土配方施肥技术覆盖率达到 90%以上；肥料利用率达到73.34%以上，提高10 个百分点以上，主要农作物化肥使用量实现零增长。</w:t>
      </w:r>
    </w:p>
    <w:p>
      <w:pPr>
        <w:pStyle w:val="4"/>
        <w:spacing w:before="0" w:after="0" w:line="360" w:lineRule="auto"/>
        <w:rPr>
          <w:rFonts w:ascii="宋体" w:hAnsi="宋体" w:cs="宋体"/>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.7.</w:t>
      </w:r>
      <w:r>
        <w:rPr>
          <w:rFonts w:hint="eastAsia" w:asciiTheme="minorEastAsia" w:hAnsiTheme="minorEastAsia" w:eastAsiaTheme="minorEastAsia"/>
          <w:sz w:val="28"/>
          <w:szCs w:val="28"/>
        </w:rPr>
        <w:t>3</w:t>
      </w:r>
      <w:r>
        <w:rPr>
          <w:rFonts w:hint="eastAsia" w:ascii="宋体" w:hAnsi="宋体" w:cs="宋体"/>
          <w:sz w:val="28"/>
          <w:szCs w:val="28"/>
        </w:rPr>
        <w:t xml:space="preserve"> 管理改革任务</w:t>
      </w:r>
    </w:p>
    <w:p>
      <w:pPr>
        <w:spacing w:line="360" w:lineRule="auto"/>
        <w:ind w:firstLine="560" w:firstLineChars="200"/>
        <w:rPr>
          <w:rFonts w:ascii="宋体" w:hAnsi="宋体" w:cs="宋体"/>
          <w:sz w:val="28"/>
          <w:szCs w:val="28"/>
        </w:rPr>
      </w:pPr>
      <w:r>
        <w:rPr>
          <w:rFonts w:hint="eastAsia" w:ascii="宋体" w:hAnsi="宋体" w:cs="宋体"/>
          <w:sz w:val="28"/>
          <w:szCs w:val="28"/>
        </w:rPr>
        <w:t>（1）筑牢管护基础</w:t>
      </w:r>
    </w:p>
    <w:p>
      <w:pPr>
        <w:spacing w:line="360" w:lineRule="auto"/>
        <w:ind w:firstLine="560" w:firstLineChars="200"/>
        <w:rPr>
          <w:rFonts w:ascii="宋体" w:hAnsi="宋体" w:cs="宋体"/>
          <w:sz w:val="28"/>
          <w:szCs w:val="28"/>
        </w:rPr>
      </w:pPr>
      <w:r>
        <w:rPr>
          <w:rFonts w:hint="eastAsia" w:ascii="宋体" w:hAnsi="宋体" w:cs="宋体"/>
          <w:sz w:val="28"/>
          <w:szCs w:val="28"/>
        </w:rPr>
        <w:t>严把管护关口，坚持建管并重，将农田水利设施建后管护作为新建项目前期工作的重要内容，在规划设计、建设施工、项目监理、竣工验收等环节，统筹考虑项目建设和运营管护。强化项目施工管理，对生产原料进行源头把控，明确工程监理的质量监督职责落实到人，确保工程建设达到质量标；工程质量保修期内由施工单位按照合同约定负责维修和更换，并依法依规承担相应责任。规范工程移交，指导乡镇（街道）与管护主体签订管护协议和目标责任书，纳入农业农村部门统一监管范围。</w:t>
      </w:r>
    </w:p>
    <w:p>
      <w:pPr>
        <w:spacing w:line="360" w:lineRule="auto"/>
        <w:ind w:firstLine="560" w:firstLineChars="200"/>
        <w:rPr>
          <w:rFonts w:ascii="宋体" w:hAnsi="宋体" w:cs="宋体"/>
          <w:sz w:val="28"/>
          <w:szCs w:val="28"/>
        </w:rPr>
      </w:pPr>
      <w:r>
        <w:rPr>
          <w:rFonts w:hint="eastAsia" w:ascii="宋体" w:hAnsi="宋体" w:cs="宋体"/>
          <w:sz w:val="28"/>
          <w:szCs w:val="28"/>
        </w:rPr>
        <w:t>（2）明确管护人员</w:t>
      </w:r>
    </w:p>
    <w:p>
      <w:pPr>
        <w:spacing w:line="360" w:lineRule="auto"/>
        <w:ind w:firstLine="560" w:firstLineChars="200"/>
        <w:rPr>
          <w:rFonts w:ascii="宋体" w:hAnsi="宋体" w:cs="宋体"/>
          <w:sz w:val="28"/>
          <w:szCs w:val="28"/>
        </w:rPr>
      </w:pPr>
      <w:r>
        <w:rPr>
          <w:rFonts w:hint="eastAsia" w:ascii="宋体" w:hAnsi="宋体" w:cs="宋体"/>
          <w:sz w:val="28"/>
          <w:szCs w:val="28"/>
        </w:rPr>
        <w:t>实行井长制、设立管护员、确定维修员。由村党支部书记任本村井长，牵头负责本村机井及其他高标设施的管理、使用及维护工作，协调解决用水矛盾、管理指导管护人员；管护员由村级确定，由乡级农业农村机构统一管理；维修人员由乡级任命，也由乡级农业农村机构统一管理。</w:t>
      </w:r>
    </w:p>
    <w:p>
      <w:pPr>
        <w:spacing w:line="360" w:lineRule="auto"/>
        <w:ind w:firstLine="560" w:firstLineChars="200"/>
        <w:rPr>
          <w:rFonts w:ascii="宋体" w:hAnsi="宋体" w:cs="宋体"/>
          <w:sz w:val="28"/>
          <w:szCs w:val="28"/>
        </w:rPr>
      </w:pPr>
      <w:r>
        <w:rPr>
          <w:rFonts w:hint="eastAsia" w:ascii="宋体" w:hAnsi="宋体" w:cs="宋体"/>
          <w:sz w:val="28"/>
          <w:szCs w:val="28"/>
        </w:rPr>
        <w:t>（3）落实管护经费</w:t>
      </w:r>
    </w:p>
    <w:p>
      <w:pPr>
        <w:spacing w:line="360" w:lineRule="auto"/>
        <w:ind w:firstLine="560" w:firstLineChars="200"/>
        <w:rPr>
          <w:rFonts w:ascii="宋体" w:hAnsi="宋体" w:cs="宋体"/>
          <w:sz w:val="28"/>
          <w:szCs w:val="28"/>
        </w:rPr>
      </w:pPr>
      <w:r>
        <w:rPr>
          <w:rFonts w:hint="eastAsia" w:ascii="宋体" w:hAnsi="宋体" w:cs="宋体"/>
          <w:sz w:val="28"/>
          <w:szCs w:val="28"/>
        </w:rPr>
        <w:t>建立高标准农田基础设施管护经费合理保障机制，创新受益者筹集为主，政府补助为辅、社会资本投入为补充的运行管护经费合理负担机制，确保高标准农田基础设施建得成、管得好、用得起、长受益</w:t>
      </w:r>
    </w:p>
    <w:p>
      <w:pPr>
        <w:spacing w:line="360" w:lineRule="auto"/>
        <w:ind w:firstLine="560" w:firstLineChars="200"/>
        <w:rPr>
          <w:rFonts w:ascii="宋体" w:hAnsi="宋体" w:cs="宋体"/>
          <w:sz w:val="28"/>
          <w:szCs w:val="28"/>
        </w:rPr>
      </w:pPr>
      <w:r>
        <w:rPr>
          <w:rFonts w:hint="eastAsia" w:ascii="宋体" w:hAnsi="宋体" w:cs="宋体"/>
          <w:sz w:val="28"/>
          <w:szCs w:val="28"/>
        </w:rPr>
        <w:t>（4）创新管护方式</w:t>
      </w:r>
    </w:p>
    <w:p>
      <w:pPr>
        <w:spacing w:line="360" w:lineRule="auto"/>
        <w:ind w:firstLine="560" w:firstLineChars="200"/>
        <w:rPr>
          <w:rFonts w:ascii="宋体" w:hAnsi="宋体" w:cs="宋体"/>
          <w:sz w:val="28"/>
          <w:szCs w:val="28"/>
        </w:rPr>
      </w:pPr>
      <w:r>
        <w:rPr>
          <w:rFonts w:hint="eastAsia" w:ascii="宋体" w:hAnsi="宋体" w:cs="宋体"/>
          <w:sz w:val="28"/>
          <w:szCs w:val="28"/>
        </w:rPr>
        <w:t>一是可呼吁工程受益群体成立用水协会，依托农民用水协会来进行涉农用水服务、将管护职责落实到人；二是委托新型农业经营主体按照合同约定落实管护要求、履行管护责任；三是可通过引入商业保险等，解决设施管护问题。</w:t>
      </w:r>
    </w:p>
    <w:p>
      <w:pPr>
        <w:pStyle w:val="3"/>
        <w:spacing w:before="0" w:after="0" w:line="360" w:lineRule="auto"/>
        <w:rPr>
          <w:rFonts w:asciiTheme="minorEastAsia" w:hAnsiTheme="minorEastAsia" w:eastAsiaTheme="minorEastAsia"/>
        </w:rPr>
      </w:pPr>
      <w:bookmarkStart w:id="128" w:name="_Toc144903179"/>
      <w:r>
        <w:rPr>
          <w:rFonts w:hint="eastAsia" w:asciiTheme="minorEastAsia" w:hAnsiTheme="minorEastAsia" w:eastAsiaTheme="minorEastAsia"/>
        </w:rPr>
        <w:t>6.</w:t>
      </w:r>
      <w:r>
        <w:rPr>
          <w:rFonts w:asciiTheme="minorEastAsia" w:hAnsiTheme="minorEastAsia" w:eastAsiaTheme="minorEastAsia"/>
        </w:rPr>
        <w:t>8</w:t>
      </w:r>
      <w:r>
        <w:rPr>
          <w:rFonts w:hint="eastAsia" w:asciiTheme="minorEastAsia" w:hAnsiTheme="minorEastAsia" w:eastAsiaTheme="minorEastAsia"/>
        </w:rPr>
        <w:t>规划有效衔接</w:t>
      </w:r>
      <w:bookmarkEnd w:id="123"/>
      <w:bookmarkEnd w:id="124"/>
      <w:bookmarkEnd w:id="125"/>
      <w:bookmarkEnd w:id="126"/>
      <w:bookmarkEnd w:id="127"/>
      <w:bookmarkEnd w:id="128"/>
    </w:p>
    <w:p>
      <w:pPr>
        <w:pStyle w:val="4"/>
        <w:spacing w:before="0" w:after="0" w:line="360" w:lineRule="auto"/>
        <w:rPr>
          <w:rFonts w:asciiTheme="minorEastAsia" w:hAnsiTheme="minorEastAsia" w:eastAsiaTheme="minorEastAsia"/>
          <w:sz w:val="28"/>
          <w:szCs w:val="28"/>
        </w:rPr>
      </w:pPr>
      <w:bookmarkStart w:id="129" w:name="_Toc2308"/>
      <w:bookmarkStart w:id="130" w:name="_Toc8351"/>
      <w:bookmarkStart w:id="131" w:name="_Toc22139"/>
      <w:r>
        <w:rPr>
          <w:rFonts w:hint="eastAsia" w:asciiTheme="minorEastAsia" w:hAnsiTheme="minorEastAsia" w:eastAsiaTheme="minorEastAsia"/>
          <w:sz w:val="28"/>
          <w:szCs w:val="28"/>
        </w:rPr>
        <w:t>6.</w:t>
      </w:r>
      <w:r>
        <w:rPr>
          <w:rFonts w:asciiTheme="minorEastAsia" w:hAnsiTheme="minorEastAsia" w:eastAsiaTheme="minorEastAsia"/>
          <w:sz w:val="28"/>
          <w:szCs w:val="28"/>
        </w:rPr>
        <w:t>8</w:t>
      </w:r>
      <w:r>
        <w:rPr>
          <w:rFonts w:hint="eastAsia" w:asciiTheme="minorEastAsia" w:hAnsiTheme="minorEastAsia" w:eastAsiaTheme="minorEastAsia"/>
          <w:sz w:val="28"/>
          <w:szCs w:val="28"/>
        </w:rPr>
        <w:t>.1衔接国土空间规划</w:t>
      </w:r>
      <w:bookmarkEnd w:id="129"/>
      <w:bookmarkEnd w:id="130"/>
      <w:bookmarkEnd w:id="131"/>
    </w:p>
    <w:p>
      <w:pPr>
        <w:spacing w:line="360" w:lineRule="auto"/>
        <w:ind w:firstLine="560" w:firstLineChars="200"/>
        <w:rPr>
          <w:rFonts w:ascii="宋体" w:hAnsi="宋体" w:cs="宋体"/>
          <w:sz w:val="28"/>
          <w:szCs w:val="28"/>
        </w:rPr>
      </w:pPr>
      <w:r>
        <w:rPr>
          <w:rFonts w:hint="eastAsia" w:ascii="宋体" w:hAnsi="宋体" w:cs="宋体"/>
          <w:sz w:val="28"/>
          <w:szCs w:val="28"/>
        </w:rPr>
        <w:t>《汤阴县2021—2030年高标准农田建设规划》以第三次全国国土调查数据和2</w:t>
      </w:r>
      <w:r>
        <w:rPr>
          <w:rFonts w:ascii="宋体" w:hAnsi="宋体" w:cs="宋体"/>
          <w:sz w:val="28"/>
          <w:szCs w:val="28"/>
        </w:rPr>
        <w:t>020</w:t>
      </w:r>
      <w:r>
        <w:rPr>
          <w:rFonts w:hint="eastAsia" w:ascii="宋体" w:hAnsi="宋体" w:cs="宋体"/>
          <w:sz w:val="28"/>
          <w:szCs w:val="28"/>
        </w:rPr>
        <w:t>年变更调查数据为基础，结合汤阴县三区三线划定成果，充分参考国土空间规划进行编制。</w:t>
      </w:r>
    </w:p>
    <w:p>
      <w:pPr>
        <w:pStyle w:val="4"/>
        <w:spacing w:before="0" w:after="0" w:line="360" w:lineRule="auto"/>
        <w:rPr>
          <w:rFonts w:asciiTheme="minorEastAsia" w:hAnsiTheme="minorEastAsia" w:eastAsiaTheme="minorEastAsia"/>
          <w:sz w:val="28"/>
          <w:szCs w:val="28"/>
        </w:rPr>
      </w:pPr>
      <w:bookmarkStart w:id="132" w:name="_Toc19415"/>
      <w:bookmarkStart w:id="133" w:name="_Toc30437"/>
      <w:bookmarkStart w:id="134" w:name="_Toc3692"/>
      <w:r>
        <w:rPr>
          <w:rFonts w:hint="eastAsia" w:asciiTheme="minorEastAsia" w:hAnsiTheme="minorEastAsia" w:eastAsiaTheme="minorEastAsia"/>
          <w:sz w:val="28"/>
          <w:szCs w:val="28"/>
        </w:rPr>
        <w:t>6.</w:t>
      </w:r>
      <w:r>
        <w:rPr>
          <w:rFonts w:asciiTheme="minorEastAsia" w:hAnsiTheme="minorEastAsia" w:eastAsiaTheme="minorEastAsia"/>
          <w:sz w:val="28"/>
          <w:szCs w:val="28"/>
        </w:rPr>
        <w:t>8</w:t>
      </w:r>
      <w:r>
        <w:rPr>
          <w:rFonts w:hint="eastAsia" w:asciiTheme="minorEastAsia" w:hAnsiTheme="minorEastAsia" w:eastAsiaTheme="minorEastAsia"/>
          <w:sz w:val="28"/>
          <w:szCs w:val="28"/>
        </w:rPr>
        <w:t>.2衔接土地综合利用规划</w:t>
      </w:r>
      <w:bookmarkEnd w:id="132"/>
      <w:bookmarkEnd w:id="133"/>
      <w:bookmarkEnd w:id="134"/>
    </w:p>
    <w:p>
      <w:pPr>
        <w:spacing w:line="360" w:lineRule="auto"/>
        <w:ind w:firstLine="560" w:firstLineChars="200"/>
        <w:rPr>
          <w:rFonts w:ascii="宋体" w:hAnsi="宋体" w:cs="宋体"/>
          <w:sz w:val="28"/>
          <w:szCs w:val="28"/>
        </w:rPr>
      </w:pPr>
      <w:r>
        <w:rPr>
          <w:rFonts w:hint="eastAsia" w:ascii="宋体" w:hAnsi="宋体" w:cs="宋体"/>
          <w:sz w:val="28"/>
          <w:szCs w:val="28"/>
        </w:rPr>
        <w:t>《汤阴县2021—2030年高标准农田建设规划》充分衔接土地综合利用规划，在高标准农田规划中严格按照土地综合利用规划方向进行规划。在规划过程中优化配置土地资源，协调解决土地综合利用规划中农田利用问题。</w:t>
      </w:r>
    </w:p>
    <w:p>
      <w:pPr>
        <w:pStyle w:val="4"/>
        <w:spacing w:before="0" w:after="0" w:line="360" w:lineRule="auto"/>
        <w:rPr>
          <w:rFonts w:asciiTheme="minorEastAsia" w:hAnsiTheme="minorEastAsia" w:eastAsiaTheme="minorEastAsia"/>
          <w:sz w:val="28"/>
          <w:szCs w:val="28"/>
        </w:rPr>
      </w:pPr>
      <w:bookmarkStart w:id="135" w:name="_Toc24935"/>
      <w:bookmarkStart w:id="136" w:name="_Toc5040"/>
      <w:bookmarkStart w:id="137" w:name="_Toc30460"/>
      <w:r>
        <w:rPr>
          <w:rFonts w:hint="eastAsia" w:asciiTheme="minorEastAsia" w:hAnsiTheme="minorEastAsia" w:eastAsiaTheme="minorEastAsia"/>
          <w:sz w:val="28"/>
          <w:szCs w:val="28"/>
        </w:rPr>
        <w:t>6.</w:t>
      </w:r>
      <w:r>
        <w:rPr>
          <w:rFonts w:asciiTheme="minorEastAsia" w:hAnsiTheme="minorEastAsia" w:eastAsiaTheme="minorEastAsia"/>
          <w:sz w:val="28"/>
          <w:szCs w:val="28"/>
        </w:rPr>
        <w:t>8</w:t>
      </w:r>
      <w:r>
        <w:rPr>
          <w:rFonts w:hint="eastAsia" w:asciiTheme="minorEastAsia" w:hAnsiTheme="minorEastAsia" w:eastAsiaTheme="minorEastAsia"/>
          <w:sz w:val="28"/>
          <w:szCs w:val="28"/>
        </w:rPr>
        <w:t>.3衔接水资源配置规划</w:t>
      </w:r>
      <w:bookmarkEnd w:id="135"/>
      <w:bookmarkEnd w:id="136"/>
      <w:bookmarkEnd w:id="137"/>
    </w:p>
    <w:p>
      <w:pPr>
        <w:spacing w:line="360" w:lineRule="auto"/>
        <w:ind w:firstLine="560" w:firstLineChars="200"/>
        <w:rPr>
          <w:rFonts w:ascii="宋体" w:hAnsi="宋体" w:cs="宋体"/>
          <w:sz w:val="28"/>
          <w:szCs w:val="28"/>
        </w:rPr>
      </w:pPr>
      <w:r>
        <w:rPr>
          <w:rFonts w:hint="eastAsia" w:ascii="宋体" w:hAnsi="宋体" w:cs="宋体"/>
          <w:sz w:val="28"/>
          <w:szCs w:val="28"/>
        </w:rPr>
        <w:t>《汤阴县2021—2030年高标准农田建设规划》以水资源配置规划为基础，查阅汤阴县2020年地下水资料年鉴、汤阴县2019年度农业水价综合改革实施方案以及2020年度农业水价综合改革实施方案。参考水利部门相关规划。与水资源配置规划充分衔接。</w:t>
      </w:r>
    </w:p>
    <w:p>
      <w:pPr>
        <w:pStyle w:val="4"/>
        <w:spacing w:before="0" w:after="0" w:line="360" w:lineRule="auto"/>
        <w:rPr>
          <w:rFonts w:asciiTheme="minorEastAsia" w:hAnsiTheme="minorEastAsia" w:eastAsiaTheme="minorEastAsia"/>
          <w:sz w:val="28"/>
          <w:szCs w:val="28"/>
        </w:rPr>
      </w:pPr>
      <w:bookmarkStart w:id="138" w:name="_Toc4301"/>
      <w:bookmarkStart w:id="139" w:name="_Toc17504"/>
      <w:bookmarkStart w:id="140" w:name="_Toc16082"/>
      <w:r>
        <w:rPr>
          <w:rFonts w:hint="eastAsia" w:asciiTheme="minorEastAsia" w:hAnsiTheme="minorEastAsia" w:eastAsiaTheme="minorEastAsia"/>
          <w:sz w:val="28"/>
          <w:szCs w:val="28"/>
        </w:rPr>
        <w:t>6.</w:t>
      </w:r>
      <w:r>
        <w:rPr>
          <w:rFonts w:asciiTheme="minorEastAsia" w:hAnsiTheme="minorEastAsia" w:eastAsiaTheme="minorEastAsia"/>
          <w:sz w:val="28"/>
          <w:szCs w:val="28"/>
        </w:rPr>
        <w:t>8</w:t>
      </w:r>
      <w:r>
        <w:rPr>
          <w:rFonts w:hint="eastAsia" w:asciiTheme="minorEastAsia" w:hAnsiTheme="minorEastAsia" w:eastAsiaTheme="minorEastAsia"/>
          <w:sz w:val="28"/>
          <w:szCs w:val="28"/>
        </w:rPr>
        <w:t>.4衔接乡村振兴规划</w:t>
      </w:r>
      <w:bookmarkEnd w:id="138"/>
      <w:bookmarkEnd w:id="139"/>
      <w:bookmarkEnd w:id="140"/>
    </w:p>
    <w:p>
      <w:pPr>
        <w:spacing w:line="360" w:lineRule="auto"/>
        <w:ind w:firstLine="560" w:firstLineChars="200"/>
        <w:rPr>
          <w:rFonts w:ascii="宋体" w:hAnsi="宋体" w:cs="宋体"/>
          <w:sz w:val="28"/>
          <w:szCs w:val="28"/>
        </w:rPr>
      </w:pPr>
      <w:r>
        <w:rPr>
          <w:rFonts w:hint="eastAsia" w:ascii="宋体" w:hAnsi="宋体" w:cs="宋体"/>
          <w:sz w:val="28"/>
          <w:szCs w:val="28"/>
        </w:rPr>
        <w:t>汤阴县2021—2030年高标准农田建设规划衔接乡村振兴规划。“</w:t>
      </w:r>
      <w:r>
        <w:rPr>
          <w:rFonts w:ascii="宋体" w:hAnsi="宋体" w:cs="宋体"/>
          <w:sz w:val="28"/>
          <w:szCs w:val="28"/>
        </w:rPr>
        <w:t>高标准农田+乡村</w:t>
      </w:r>
      <w:r>
        <w:rPr>
          <w:rFonts w:hint="eastAsia" w:ascii="宋体" w:hAnsi="宋体" w:cs="宋体"/>
          <w:sz w:val="28"/>
          <w:szCs w:val="28"/>
        </w:rPr>
        <w:t>振兴”</w:t>
      </w:r>
      <w:r>
        <w:rPr>
          <w:rFonts w:ascii="宋体" w:hAnsi="宋体" w:cs="宋体"/>
          <w:sz w:val="28"/>
          <w:szCs w:val="28"/>
        </w:rPr>
        <w:t>激发农村活力</w:t>
      </w:r>
      <w:r>
        <w:rPr>
          <w:rFonts w:hint="eastAsia" w:ascii="宋体" w:hAnsi="宋体" w:cs="宋体"/>
          <w:sz w:val="28"/>
          <w:szCs w:val="28"/>
        </w:rPr>
        <w:t>，</w:t>
      </w:r>
      <w:r>
        <w:rPr>
          <w:rFonts w:ascii="宋体" w:hAnsi="宋体" w:cs="宋体"/>
          <w:sz w:val="28"/>
          <w:szCs w:val="28"/>
        </w:rPr>
        <w:t>因地制宜激发乡村新活力。深入挖掘生产、生态、景观综合功能，促进高标准农田经济效益、生态效益、社会效益提升。夯实农业产业基础，确保增产增收，助力乡村振兴</w:t>
      </w:r>
      <w:r>
        <w:rPr>
          <w:rFonts w:hint="eastAsia" w:ascii="宋体" w:hAnsi="宋体" w:cs="宋体"/>
          <w:sz w:val="28"/>
          <w:szCs w:val="28"/>
        </w:rPr>
        <w:t>。</w:t>
      </w: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141" w:name="_Toc144903180"/>
      <w:r>
        <w:rPr>
          <w:rFonts w:asciiTheme="minorEastAsia" w:hAnsiTheme="minorEastAsia" w:eastAsiaTheme="minorEastAsia"/>
          <w:b/>
          <w:sz w:val="36"/>
          <w:szCs w:val="36"/>
        </w:rPr>
        <w:t>7.</w:t>
      </w:r>
      <w:r>
        <w:rPr>
          <w:rFonts w:hint="eastAsia" w:asciiTheme="minorEastAsia" w:hAnsiTheme="minorEastAsia" w:eastAsiaTheme="minorEastAsia"/>
          <w:b/>
          <w:sz w:val="36"/>
          <w:szCs w:val="36"/>
        </w:rPr>
        <w:t>建设内容与标准</w:t>
      </w:r>
      <w:bookmarkEnd w:id="141"/>
    </w:p>
    <w:p>
      <w:pPr>
        <w:pStyle w:val="3"/>
        <w:spacing w:before="0" w:after="0" w:line="360" w:lineRule="auto"/>
        <w:rPr>
          <w:rFonts w:asciiTheme="minorEastAsia" w:hAnsiTheme="minorEastAsia" w:eastAsiaTheme="minorEastAsia"/>
        </w:rPr>
      </w:pPr>
      <w:bookmarkStart w:id="142" w:name="_Toc144903181"/>
      <w:bookmarkStart w:id="143" w:name="_Toc23461"/>
      <w:bookmarkStart w:id="144" w:name="_Toc31409"/>
      <w:bookmarkStart w:id="145" w:name="_Toc16381"/>
      <w:bookmarkStart w:id="146" w:name="_Toc26030"/>
      <w:bookmarkStart w:id="147" w:name="_Toc22536"/>
      <w:bookmarkStart w:id="148" w:name="_Toc22323"/>
      <w:r>
        <w:rPr>
          <w:rFonts w:hint="eastAsia" w:asciiTheme="minorEastAsia" w:hAnsiTheme="minorEastAsia" w:eastAsiaTheme="minorEastAsia"/>
        </w:rPr>
        <w:t>7.1 建设标准</w:t>
      </w:r>
      <w:bookmarkEnd w:id="142"/>
    </w:p>
    <w:p>
      <w:pPr>
        <w:spacing w:line="360" w:lineRule="auto"/>
        <w:ind w:firstLine="560" w:firstLineChars="200"/>
        <w:rPr>
          <w:rFonts w:ascii="宋体" w:hAnsi="宋体" w:cs="宋体"/>
          <w:sz w:val="28"/>
          <w:szCs w:val="28"/>
        </w:rPr>
      </w:pPr>
      <w:r>
        <w:rPr>
          <w:rFonts w:hint="eastAsia" w:ascii="宋体" w:hAnsi="宋体" w:cs="宋体"/>
          <w:sz w:val="28"/>
          <w:szCs w:val="28"/>
        </w:rPr>
        <w:t>依据《高标准农田建设通则》《河南省高标准农田建设标准》等规定，按照高质量建设、高水平管理的总体要求，以构建现代化高标准农田体系为导向，以持续提高粮食产能为中心任务，以农田旱涝保收和宜机化为基础，质量、数量和生态并举，田、土、水、路、林、电、气、技、管等综合配套，总体达到“集中连片、旱涝保收、节水高效、稳产高产、生态友好”的高标准农田标准。</w:t>
      </w:r>
    </w:p>
    <w:p>
      <w:pPr>
        <w:spacing w:line="360" w:lineRule="auto"/>
        <w:ind w:firstLine="560" w:firstLineChars="200"/>
        <w:rPr>
          <w:rFonts w:ascii="宋体" w:hAnsi="宋体" w:cs="宋体"/>
          <w:sz w:val="28"/>
          <w:szCs w:val="28"/>
        </w:rPr>
      </w:pPr>
      <w:r>
        <w:rPr>
          <w:rFonts w:hint="eastAsia" w:ascii="宋体" w:hAnsi="宋体" w:cs="宋体"/>
          <w:sz w:val="28"/>
          <w:szCs w:val="28"/>
        </w:rPr>
        <w:t>建成的高标准农田，主要工程使用年限一般不低于15年，工程质量合格率达到100%，田间基础设施占地率不超过8%，灌溉设计保证率不低于75%，宜机化率不低于90%，作物生产能力大于前三年平均水平（其中平原区年亩均粮食产能大于500公斤）。</w:t>
      </w:r>
    </w:p>
    <w:p>
      <w:pPr>
        <w:spacing w:line="360" w:lineRule="auto"/>
        <w:ind w:firstLine="560" w:firstLineChars="200"/>
        <w:rPr>
          <w:rFonts w:ascii="宋体" w:hAnsi="宋体" w:cs="宋体"/>
          <w:sz w:val="28"/>
          <w:szCs w:val="28"/>
        </w:rPr>
      </w:pPr>
      <w:r>
        <w:rPr>
          <w:rFonts w:hint="eastAsia" w:ascii="宋体" w:hAnsi="宋体" w:cs="宋体"/>
          <w:sz w:val="28"/>
          <w:szCs w:val="28"/>
        </w:rPr>
        <w:t>综合考虑汤阴县农业经营、水利设施、耕地资源、林业生产、供电状况、气候条件等各方面因素，通过高标准农田建设，实现“田地平整肥沃、水利设施配套、田间道路畅通、林网建设适宜、科技先进适用、优质高产高效”的总体目标。依据《高标准农田建设通则》（GB/T30600-2022）、《河南省农业综合开发高标准农田建设项目工程建设标准实施细则》，田、土、水、路、林、电、技、管要达到以下标准：</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7.1.1 田块整治工程</w:t>
      </w:r>
    </w:p>
    <w:p>
      <w:pPr>
        <w:spacing w:line="360" w:lineRule="auto"/>
        <w:ind w:firstLine="560" w:firstLineChars="200"/>
        <w:rPr>
          <w:rFonts w:ascii="宋体" w:hAnsi="宋体" w:cs="宋体"/>
          <w:sz w:val="28"/>
          <w:szCs w:val="28"/>
        </w:rPr>
      </w:pPr>
      <w:r>
        <w:rPr>
          <w:rFonts w:hint="eastAsia" w:ascii="宋体" w:hAnsi="宋体" w:cs="宋体"/>
          <w:sz w:val="28"/>
          <w:szCs w:val="28"/>
        </w:rPr>
        <w:t>耕作田块应实现田面平整。田面高差、横向坡度和纵向坡度根据土壤条件和灌溉方式合理确定。</w:t>
      </w:r>
    </w:p>
    <w:p>
      <w:pPr>
        <w:spacing w:line="360" w:lineRule="auto"/>
        <w:ind w:firstLine="560" w:firstLineChars="200"/>
        <w:rPr>
          <w:rFonts w:ascii="宋体" w:hAnsi="宋体" w:cs="宋体"/>
          <w:sz w:val="28"/>
          <w:szCs w:val="28"/>
        </w:rPr>
      </w:pPr>
      <w:r>
        <w:rPr>
          <w:rFonts w:hint="eastAsia" w:ascii="宋体" w:hAnsi="宋体" w:cs="宋体"/>
          <w:sz w:val="28"/>
          <w:szCs w:val="28"/>
        </w:rPr>
        <w:t>田块平整时不宜打乱表土层与心土层，确需打乱应先将表土进行剥离，单独堆放，待田块平整完成后，再将表土均匀摊铺到田面上。田块整治后，有效土层厚度和耕层厚度应符合作物生长需要。</w:t>
      </w:r>
    </w:p>
    <w:p>
      <w:pPr>
        <w:spacing w:line="360" w:lineRule="auto"/>
        <w:ind w:firstLine="560" w:firstLineChars="200"/>
        <w:rPr>
          <w:rFonts w:ascii="宋体" w:hAnsi="宋体" w:cs="宋体"/>
          <w:sz w:val="28"/>
          <w:szCs w:val="28"/>
        </w:rPr>
      </w:pPr>
      <w:r>
        <w:rPr>
          <w:rFonts w:hint="eastAsia" w:ascii="宋体" w:hAnsi="宋体" w:cs="宋体"/>
          <w:sz w:val="28"/>
          <w:szCs w:val="28"/>
        </w:rPr>
        <w:t>平原区以修筑条田为主；丘陵、山区以修筑梯田为主，并配套坡面防护设施，梯田田面长边宜平行等高线布置；水田区耕作田块内部宜布置格田。田面长度根据实际情况确定，宽度应便于机械作业和田间管理。</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7.1.2 农田地力提升工程</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（1）土壤改良工程 </w:t>
      </w:r>
    </w:p>
    <w:p>
      <w:pPr>
        <w:spacing w:line="360" w:lineRule="auto"/>
        <w:ind w:firstLine="560" w:firstLineChars="200"/>
        <w:rPr>
          <w:rFonts w:ascii="宋体" w:hAnsi="宋体" w:cs="宋体"/>
          <w:sz w:val="28"/>
          <w:szCs w:val="28"/>
        </w:rPr>
      </w:pPr>
      <w:r>
        <w:rPr>
          <w:rFonts w:hint="eastAsia" w:ascii="宋体" w:hAnsi="宋体" w:cs="宋体"/>
          <w:sz w:val="28"/>
          <w:szCs w:val="28"/>
        </w:rPr>
        <w:t>根据土壤退化成因，可采取物理、化学、生物或工程等综合措施治理。农田土壤风蚀沙化防治，可采取建设农田防护林，实施保护性耕作等措施。土壤板结治理，可采取秸秆还田、增施腐植酸肥料、生物有机肥、种植绿肥、保护性耕作、深耕深松，施用土壤调理剂，测土配方施肥等措施，改善耕层土壤团粒结构。</w:t>
      </w:r>
    </w:p>
    <w:p>
      <w:pPr>
        <w:spacing w:line="360" w:lineRule="auto"/>
        <w:ind w:firstLine="560" w:firstLineChars="200"/>
        <w:rPr>
          <w:rFonts w:ascii="宋体" w:hAnsi="宋体" w:cs="宋体"/>
          <w:sz w:val="28"/>
          <w:szCs w:val="28"/>
        </w:rPr>
      </w:pPr>
      <w:r>
        <w:rPr>
          <w:rFonts w:hint="eastAsia" w:ascii="宋体" w:hAnsi="宋体" w:cs="宋体"/>
          <w:sz w:val="28"/>
          <w:szCs w:val="28"/>
        </w:rPr>
        <w:t>（2）土壤培肥工程</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高标准农田建成后，应通过秸秆还田、施有机肥、种植绿肥、深耕深松等措施，保持或提高耕地地力；应实施测土配方施肥，使养分比例适宜作物生长。测土配方施肥覆盖率应达到95%以上。</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7.1.3 灌溉与排水工程</w:t>
      </w:r>
    </w:p>
    <w:p>
      <w:pPr>
        <w:spacing w:line="360" w:lineRule="auto"/>
        <w:ind w:firstLine="560" w:firstLineChars="200"/>
        <w:rPr>
          <w:rFonts w:ascii="宋体" w:hAnsi="宋体" w:cs="宋体"/>
          <w:sz w:val="28"/>
          <w:szCs w:val="28"/>
        </w:rPr>
      </w:pPr>
      <w:r>
        <w:rPr>
          <w:rFonts w:hint="eastAsia" w:ascii="宋体" w:hAnsi="宋体" w:cs="宋体"/>
          <w:sz w:val="28"/>
          <w:szCs w:val="28"/>
        </w:rPr>
        <w:t>水源选择应根据当地实际情况，选用能满足灌溉用水要求的水源，水质应符合《农田灌溉水质标准》（GB5084-2021）的规定。水源利用应以地表水为主，地下水为辅，严格控制开采深层地下水。水源配置应考虑地形条件、水源特点等因素，合理选用蓄、引、提或组合的方式。水资源论证应按《农田灌溉建设项目水资源论证导则》SL/T769-</w:t>
      </w:r>
      <w:r>
        <w:rPr>
          <w:rFonts w:hint="eastAsia"/>
        </w:rPr>
        <w:t xml:space="preserve"> </w:t>
      </w:r>
      <w:r>
        <w:rPr>
          <w:rFonts w:hint="eastAsia" w:ascii="宋体" w:hAnsi="宋体" w:cs="宋体"/>
          <w:sz w:val="28"/>
          <w:szCs w:val="28"/>
        </w:rPr>
        <w:t>2020 规定执行。</w:t>
      </w:r>
    </w:p>
    <w:p>
      <w:pPr>
        <w:spacing w:line="360" w:lineRule="auto"/>
        <w:ind w:firstLine="560" w:firstLineChars="200"/>
        <w:rPr>
          <w:rFonts w:ascii="宋体" w:hAnsi="宋体" w:cs="宋体"/>
          <w:sz w:val="28"/>
          <w:szCs w:val="28"/>
        </w:rPr>
      </w:pPr>
      <w:r>
        <w:rPr>
          <w:rFonts w:hint="eastAsia" w:ascii="宋体" w:hAnsi="宋体" w:cs="宋体"/>
          <w:sz w:val="28"/>
          <w:szCs w:val="28"/>
        </w:rPr>
        <w:t>斗渠和农渠等固定渠道宜综合考虑生产与生态需要，因地制宜进行衬砌处理。防渗应满足《渠道防渗衬砌工程技术标准》GB/T50600- 2020 的规定。采用管道输水灌溉，管道系统应结合地形、水源位置、田块形状及沟、路走向优化布置。支管上布置出水口，单个出水口的出水量应通过控制灌溉的格田面积、作物类型、灌水定额计算确定各用水单位应独立配水。管道系统宜采用干管续灌、支管轮灌的工作制度。规模不大的管道系统可采用续灌工作制度。管道输水灌溉工程建设应按《管道输水灌溉工程技术规范》GB/T20203-2017 规定执行。</w:t>
      </w:r>
    </w:p>
    <w:p>
      <w:pPr>
        <w:spacing w:line="360" w:lineRule="auto"/>
        <w:ind w:firstLine="560" w:firstLineChars="200"/>
        <w:rPr>
          <w:rFonts w:ascii="宋体" w:hAnsi="宋体" w:cs="宋体"/>
          <w:sz w:val="28"/>
          <w:szCs w:val="28"/>
        </w:rPr>
      </w:pPr>
      <w:r>
        <w:rPr>
          <w:rFonts w:hint="eastAsia" w:ascii="宋体" w:hAnsi="宋体" w:cs="宋体"/>
          <w:sz w:val="28"/>
          <w:szCs w:val="28"/>
        </w:rPr>
        <w:t>季节性冻土区，冻土深度大于10cm 的衬砌渠道应进行抗冻胀设计。冻土深度小于 1.5m 的地区，固定管道应埋在冻土层以下，且顶部覆土厚度不小于 70cm，管道系统末端需布置泄水井；冻土深度大于或等于 15m 的地区，固定管道抗冻要求按《灌溉与排水工程设计标准》（GB50288-2018）规定执行。</w:t>
      </w:r>
    </w:p>
    <w:p>
      <w:pPr>
        <w:spacing w:line="360" w:lineRule="auto"/>
        <w:ind w:firstLine="560" w:firstLineChars="200"/>
        <w:rPr>
          <w:rFonts w:ascii="宋体" w:hAnsi="宋体" w:cs="宋体"/>
          <w:sz w:val="28"/>
          <w:szCs w:val="28"/>
        </w:rPr>
      </w:pPr>
      <w:r>
        <w:rPr>
          <w:rFonts w:hint="eastAsia" w:ascii="宋体" w:hAnsi="宋体" w:cs="宋体"/>
          <w:sz w:val="28"/>
          <w:szCs w:val="28"/>
        </w:rPr>
        <w:t>应根据气象、作物、地形、土壤、水源、水质及农业生产、发展、管理和经济社会等条件综合分析确定田间灌溉方式。地面灌溉工程建设应按《灌溉与排水工程设计标准》（GB50288-2018）规定执行，喷灌工程建设应按《喷灌工程技术规范》GB/T50085-2007 规定执行，滴灌、微喷和小管出流等形式的微灌工程建设应按《微灌工程技术标准》 GB/T50485-2020 规定执行，管道输水灌溉工程建设应按《管道输水灌溉工程技术规范》GB/T20203-2017 规定执行。</w:t>
      </w:r>
    </w:p>
    <w:p>
      <w:pPr>
        <w:spacing w:line="360" w:lineRule="auto"/>
        <w:ind w:firstLine="560" w:firstLineChars="200"/>
        <w:rPr>
          <w:rFonts w:ascii="宋体" w:hAnsi="宋体" w:cs="宋体"/>
          <w:sz w:val="28"/>
          <w:szCs w:val="28"/>
        </w:rPr>
      </w:pPr>
      <w:r>
        <w:rPr>
          <w:rFonts w:hint="eastAsia" w:ascii="宋体" w:hAnsi="宋体" w:cs="宋体"/>
          <w:sz w:val="28"/>
          <w:szCs w:val="28"/>
        </w:rPr>
        <w:t>田间排水应按照排涝、排渍、改良盐碱地或防治土壤盐碱化任务要求，根据涝、渍、碱的成因，结合地形、降水、土壤、水文地质条件，兼顾生物多样性保护，因地制宜选择水平或垂直排水、自流、抽排或相结合的方式，采取明沟、暗管、排水井等工程措施。在无塌坡或塌坡易于处理地区或地段，宜采用明沟排水；采用明沟降低地下水位不易达到设计控制深度，或明沟断面结构不稳定塌坡不易处理时，宜采用暗管排水；采用明沟或暗管降低地下水位不易达到设计控制深度，且含水层的水质和出水条件较好的地区可采用井排。采用明沟排水时，排水沟布置应与田间渠、路、林相协调，在平原地区一般与灌溉渠系相分离，在丘陵山区可选用灌排兼用或灌排分离的形式。排水沟可采取生态型结构，减少对生态环境的影响。排涝达到五年一遇，一日暴雨一日排出。</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7.1.4 田间道路工程</w:t>
      </w:r>
    </w:p>
    <w:p>
      <w:pPr>
        <w:spacing w:line="360" w:lineRule="auto"/>
        <w:ind w:firstLine="560" w:firstLineChars="200"/>
        <w:rPr>
          <w:rFonts w:ascii="宋体" w:hAnsi="宋体" w:cs="宋体"/>
          <w:sz w:val="28"/>
          <w:szCs w:val="28"/>
        </w:rPr>
      </w:pPr>
      <w:r>
        <w:rPr>
          <w:rFonts w:hint="eastAsia" w:ascii="宋体" w:hAnsi="宋体" w:cs="宋体"/>
          <w:sz w:val="28"/>
          <w:szCs w:val="28"/>
        </w:rPr>
        <w:t>田间道路工程应减少占地面积，宜与沟渠，林带结合布置，提高土地节约集约利用率。应符合宜机耕作业要求，设置必要的下田设施，错车点和末端掉头点。</w:t>
      </w:r>
    </w:p>
    <w:p>
      <w:pPr>
        <w:spacing w:line="360" w:lineRule="auto"/>
        <w:ind w:firstLine="560" w:firstLineChars="200"/>
        <w:rPr>
          <w:rFonts w:ascii="宋体" w:hAnsi="宋体" w:cs="宋体"/>
          <w:sz w:val="28"/>
          <w:szCs w:val="28"/>
        </w:rPr>
      </w:pPr>
      <w:r>
        <w:rPr>
          <w:rFonts w:hint="eastAsia" w:ascii="宋体" w:hAnsi="宋体" w:cs="宋体"/>
          <w:sz w:val="28"/>
          <w:szCs w:val="28"/>
        </w:rPr>
        <w:t>黄淮海地区机耕路宜为4m，生产路的路面宽度≤3m；道路通达路率平原区 100%，丘陵区≥90%。在大型机械化作业区，路面宽度可适当放宽。</w:t>
      </w:r>
    </w:p>
    <w:p>
      <w:pPr>
        <w:spacing w:line="360" w:lineRule="auto"/>
        <w:ind w:firstLine="560" w:firstLineChars="200"/>
        <w:rPr>
          <w:rFonts w:ascii="宋体" w:hAnsi="宋体" w:cs="宋体"/>
          <w:sz w:val="28"/>
          <w:szCs w:val="28"/>
        </w:rPr>
      </w:pPr>
      <w:r>
        <w:rPr>
          <w:rFonts w:hint="eastAsia" w:ascii="宋体" w:hAnsi="宋体" w:cs="宋体"/>
          <w:sz w:val="28"/>
          <w:szCs w:val="28"/>
        </w:rPr>
        <w:t>田间道(机耕路)与田面之间高差大于0.5m或存在宽度(深度)大于0.5m 的沟渠，宣结合实际合理设置下田坡道或下田管涵。</w:t>
      </w:r>
    </w:p>
    <w:p>
      <w:pPr>
        <w:spacing w:line="360" w:lineRule="auto"/>
        <w:ind w:firstLine="560" w:firstLineChars="200"/>
        <w:rPr>
          <w:rFonts w:ascii="宋体" w:hAnsi="宋体" w:cs="宋体"/>
          <w:sz w:val="28"/>
          <w:szCs w:val="28"/>
        </w:rPr>
      </w:pPr>
      <w:r>
        <w:rPr>
          <w:rFonts w:hint="eastAsia" w:ascii="宋体" w:hAnsi="宋体" w:cs="宋体"/>
          <w:sz w:val="28"/>
          <w:szCs w:val="28"/>
        </w:rPr>
        <w:t>田间道(机耕路)路面应满足强度、稳定性和平整度的要求，宜采用泥结石、碎石等材质和车辙路(轨迹路)、砌石(块)间隔铺装等生态化结构。根据路面类型和荷载要求，推广应用生物凝结技术、透水路面等生态化设计。在暴雨冲刷严重的区域，可采用混凝土硬化路面。道路两侧可视情况设置路肩，路肩宽宜为30cm～50cm。</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7.1.5 农田防护与生态环境保护工程</w:t>
      </w:r>
    </w:p>
    <w:p>
      <w:pPr>
        <w:spacing w:line="360" w:lineRule="auto"/>
        <w:ind w:firstLine="560" w:firstLineChars="200"/>
        <w:rPr>
          <w:rFonts w:ascii="宋体" w:hAnsi="宋体" w:cs="宋体"/>
          <w:sz w:val="28"/>
          <w:szCs w:val="28"/>
        </w:rPr>
      </w:pPr>
      <w:r>
        <w:rPr>
          <w:rFonts w:hint="eastAsia" w:ascii="宋体" w:hAnsi="宋体" w:cs="宋体"/>
          <w:sz w:val="28"/>
          <w:szCs w:val="28"/>
        </w:rPr>
        <w:t>农田防护面积比例指通过各类农田防护与生态环境保护工程建设，受防护的农田面积占建设区农田面积的比例，黄淮海地区农田防护面积比例应≥90%。</w:t>
      </w:r>
    </w:p>
    <w:p>
      <w:pPr>
        <w:spacing w:line="360" w:lineRule="auto"/>
        <w:ind w:firstLine="560" w:firstLineChars="200"/>
        <w:rPr>
          <w:rFonts w:ascii="宋体" w:hAnsi="宋体" w:cs="宋体"/>
          <w:sz w:val="28"/>
          <w:szCs w:val="28"/>
        </w:rPr>
      </w:pPr>
      <w:r>
        <w:rPr>
          <w:rFonts w:hint="eastAsia" w:ascii="宋体" w:hAnsi="宋体" w:cs="宋体"/>
          <w:sz w:val="28"/>
          <w:szCs w:val="28"/>
        </w:rPr>
        <w:t>在有大风、扬沙、沙尘暴、干热风等危害的地区，应建设农田防护林工程。建设农田防护林工程应选择适宜的造林树种、造林密度及树种配置。窄林带宜采用纯林配置，宽林带宜采用多树种行间混交配置。农田防护林造林成活率应达到90%以上，三年后林木保存率应达到85%以上，林相整齐，结构合理。</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7.1.6 农田输配电工程</w:t>
      </w:r>
    </w:p>
    <w:p>
      <w:pPr>
        <w:spacing w:line="360" w:lineRule="auto"/>
        <w:ind w:firstLine="560" w:firstLineChars="200"/>
        <w:rPr>
          <w:rFonts w:ascii="宋体" w:hAnsi="宋体" w:cs="宋体"/>
          <w:sz w:val="28"/>
          <w:szCs w:val="28"/>
        </w:rPr>
      </w:pPr>
      <w:r>
        <w:rPr>
          <w:rFonts w:hint="eastAsia" w:ascii="宋体" w:hAnsi="宋体" w:cs="宋体"/>
          <w:sz w:val="28"/>
          <w:szCs w:val="28"/>
        </w:rPr>
        <w:t>农田输配电工程应满足农业生产用电需求，并应与当地电网建设规划相协调。农田输配电线路宜采用 10kV 及以下电压等级，包括10kV、1kV，380V 和220V，应设立相应标识。农田输配电设备接地方式宜采用TT 系统，对安全有特殊要求的宜采用IT 系统。</w:t>
      </w:r>
    </w:p>
    <w:p>
      <w:pPr>
        <w:spacing w:line="360" w:lineRule="auto"/>
        <w:ind w:firstLine="560" w:firstLineChars="200"/>
        <w:rPr>
          <w:rFonts w:ascii="宋体" w:hAnsi="宋体" w:cs="宋体"/>
          <w:sz w:val="28"/>
          <w:szCs w:val="28"/>
        </w:rPr>
      </w:pPr>
      <w:r>
        <w:rPr>
          <w:rFonts w:hint="eastAsia" w:ascii="宋体" w:hAnsi="宋体" w:cs="宋体"/>
          <w:sz w:val="28"/>
          <w:szCs w:val="28"/>
        </w:rPr>
        <w:t>输配电线路的线间距应在保障安全的前提下，结合运行经验确定；塔杆宜采用钢筋混凝土杆，应在塔杆上标明线路的名称、代号、塔杆号和警示标识等；塔基宜选用钢筋混凝土或混凝土基础。</w:t>
      </w:r>
    </w:p>
    <w:p>
      <w:pPr>
        <w:spacing w:line="360" w:lineRule="auto"/>
        <w:ind w:firstLine="560" w:firstLineChars="200"/>
        <w:rPr>
          <w:rFonts w:ascii="宋体" w:hAnsi="宋体" w:cs="宋体"/>
          <w:sz w:val="28"/>
          <w:szCs w:val="28"/>
        </w:rPr>
      </w:pPr>
      <w:r>
        <w:rPr>
          <w:rFonts w:hint="eastAsia" w:ascii="宋体" w:hAnsi="宋体" w:cs="宋体"/>
          <w:sz w:val="28"/>
          <w:szCs w:val="28"/>
        </w:rPr>
        <w:t>变配电设施宜采用地上变台或杆上变台，应设置警示标识。变压器外壳距地面建筑物的净距离应大于 0.8m；变压器装设在杆上时，无遮拦导电部分距地面应大于 3.5m。变压器的绝缘子最低瓷裙距地面高度小于 2.5m 时，应设置固定围栏，其高度应大于1.5m。接地装置的地下部分埋深应大于0.7m，且不应影响机械化作业。</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7.1.7 科技措施</w:t>
      </w:r>
    </w:p>
    <w:p>
      <w:pPr>
        <w:spacing w:line="360" w:lineRule="auto"/>
        <w:ind w:firstLine="560" w:firstLineChars="200"/>
        <w:rPr>
          <w:rFonts w:ascii="宋体" w:hAnsi="宋体" w:cs="宋体"/>
          <w:sz w:val="28"/>
          <w:szCs w:val="28"/>
        </w:rPr>
      </w:pPr>
      <w:r>
        <w:rPr>
          <w:rFonts w:hint="eastAsia" w:ascii="宋体" w:hAnsi="宋体" w:cs="宋体"/>
          <w:sz w:val="28"/>
          <w:szCs w:val="28"/>
        </w:rPr>
        <w:t>推广先进适用技术，主要是农产品质量安全、良种良法、生态保护、综合防治、地膜覆盖、配方施肥、病虫害综合防治、化学除草、节水灌溉、秸秆还田等方面技术，鼓励采用经济适用的新技术、新工艺，提高工程建设质量。对基层干部、农民技术员、受益农户和科技示范户进行3-4 次先进技术和政策方面的培训。</w:t>
      </w:r>
    </w:p>
    <w:p>
      <w:pPr>
        <w:spacing w:line="360" w:lineRule="auto"/>
        <w:ind w:firstLine="560" w:firstLineChars="200"/>
        <w:rPr>
          <w:rFonts w:ascii="宋体" w:hAnsi="宋体" w:cs="宋体"/>
          <w:sz w:val="28"/>
          <w:szCs w:val="28"/>
        </w:rPr>
      </w:pPr>
      <w:r>
        <w:rPr>
          <w:rFonts w:hint="eastAsia" w:ascii="宋体" w:hAnsi="宋体" w:cs="宋体"/>
          <w:sz w:val="28"/>
          <w:szCs w:val="28"/>
        </w:rPr>
        <w:t>扶持农技服务组织，为具有技术推广服务功能的农民专业合作经济组织配备必要的仪器设备、提供适量服务经费，明确其具体任务，并适当扶持原有农机服务体系，并进行严格考核。</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7.1.8 管理要求</w:t>
      </w:r>
    </w:p>
    <w:p>
      <w:pPr>
        <w:spacing w:line="360" w:lineRule="auto"/>
        <w:ind w:firstLine="560" w:firstLineChars="200"/>
        <w:rPr>
          <w:rFonts w:ascii="宋体" w:hAnsi="宋体" w:cs="宋体"/>
          <w:sz w:val="28"/>
          <w:szCs w:val="28"/>
        </w:rPr>
      </w:pPr>
      <w:r>
        <w:rPr>
          <w:rFonts w:hint="eastAsia" w:ascii="宋体" w:hAnsi="宋体" w:cs="宋体"/>
          <w:sz w:val="28"/>
          <w:szCs w:val="28"/>
        </w:rPr>
        <w:t>（1）土地权属确认与地类变更</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设前，应查清土地权属现状，纳入项目库的耕地不应有权属纠纷。高标准农田建设涉及土地权属调整的，要充分尊重权利人意愿，在高标准农田建成后，依法进行土地确权，办理土地变更登记手续，发放土地权利证书，及时更新地籍档案资料。</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高标准农田建成后，应按照《土地利用现状分类》GB/T21010-2017和自然资源调查监测相关规定，以实际现状进行地类认定与变更，完善有关手续。</w:t>
      </w:r>
    </w:p>
    <w:p>
      <w:pPr>
        <w:spacing w:line="360" w:lineRule="auto"/>
        <w:ind w:firstLine="560" w:firstLineChars="200"/>
        <w:rPr>
          <w:rFonts w:ascii="宋体" w:hAnsi="宋体" w:cs="宋体"/>
          <w:sz w:val="28"/>
          <w:szCs w:val="28"/>
        </w:rPr>
      </w:pPr>
      <w:r>
        <w:rPr>
          <w:rFonts w:hint="eastAsia" w:ascii="宋体" w:hAnsi="宋体" w:cs="宋体"/>
          <w:sz w:val="28"/>
          <w:szCs w:val="28"/>
        </w:rPr>
        <w:t>（2）验收与建设评价</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设项目竣工后，应由项目主管部门按照项目现行管理规定组织验收。相关的管理、技术等资料应及时立卷归档，档案资料应真实、完整。高标准农田建设项目竣工验收后，应按照有关规定开展评价。因灌溉与排水设施、田间道路、农田防护林等配套设施建设占用，造成建设区域内永久基本农田面积减少的，应予以补足或补划。</w:t>
      </w:r>
    </w:p>
    <w:p>
      <w:pPr>
        <w:spacing w:line="360" w:lineRule="auto"/>
        <w:ind w:firstLine="560" w:firstLineChars="200"/>
        <w:rPr>
          <w:rFonts w:ascii="宋体" w:hAnsi="宋体" w:cs="宋体"/>
          <w:sz w:val="28"/>
          <w:szCs w:val="28"/>
        </w:rPr>
      </w:pPr>
      <w:r>
        <w:rPr>
          <w:rFonts w:hint="eastAsia" w:ascii="宋体" w:hAnsi="宋体" w:cs="宋体"/>
          <w:sz w:val="28"/>
          <w:szCs w:val="28"/>
        </w:rPr>
        <w:t>（3）耕地质量评价监测与信息化管理</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高标准农田建设前后，应开展耕地质量等级评定。评定应按《耕地质量等级》GB/T33469-2016 规定执行。建设所产生的新增耕地若用于占补平衡，需在耕地质量评定上与自然资源部门有关管理规定相衔接。高标准农田耕地质量监测应按《耕地质量监测技术规程》 NY/T1119-2019 规定执行。</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高标准农田建设和利用全过程应采用信息化手段管理，实现集中统一、全程全面，实时动态的管理目标。高标准农田建设信息应上图入库，实现信息共享。高标准农田建设情况应以适当方式适时向社会发布。</w:t>
      </w:r>
    </w:p>
    <w:p>
      <w:pPr>
        <w:spacing w:line="360" w:lineRule="auto"/>
        <w:ind w:firstLine="560" w:firstLineChars="200"/>
        <w:rPr>
          <w:rFonts w:ascii="宋体" w:hAnsi="宋体" w:cs="宋体"/>
          <w:sz w:val="28"/>
          <w:szCs w:val="28"/>
        </w:rPr>
      </w:pPr>
      <w:r>
        <w:rPr>
          <w:rFonts w:hint="eastAsia" w:ascii="宋体" w:hAnsi="宋体" w:cs="宋体"/>
          <w:sz w:val="28"/>
          <w:szCs w:val="28"/>
        </w:rPr>
        <w:t>（4）建后管护</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高标准农田建成后，应编制，更新相关图、表、册，完善数据库，设立统一标识，落实保护责任，实行特殊保护。</w:t>
      </w:r>
    </w:p>
    <w:p>
      <w:pPr>
        <w:spacing w:line="360" w:lineRule="auto"/>
        <w:ind w:firstLine="560" w:firstLineChars="200"/>
        <w:rPr>
          <w:rFonts w:ascii="宋体" w:hAnsi="宋体" w:cs="宋体"/>
          <w:sz w:val="28"/>
          <w:szCs w:val="28"/>
        </w:rPr>
      </w:pPr>
      <w:r>
        <w:rPr>
          <w:rFonts w:hint="eastAsia" w:ascii="宋体" w:hAnsi="宋体" w:cs="宋体"/>
          <w:sz w:val="28"/>
          <w:szCs w:val="28"/>
        </w:rPr>
        <w:t>建立政府引导，行业部门监管，村级组织、受益农户，新型农业经营主体和专业管理机构、社会化服务组织等共同参与的管护机制和体系。</w:t>
      </w:r>
    </w:p>
    <w:p>
      <w:pPr>
        <w:spacing w:line="360" w:lineRule="auto"/>
        <w:ind w:firstLine="560" w:firstLineChars="200"/>
        <w:rPr>
          <w:rFonts w:ascii="宋体" w:hAnsi="宋体" w:cs="宋体"/>
          <w:sz w:val="28"/>
          <w:szCs w:val="28"/>
        </w:rPr>
      </w:pPr>
      <w:r>
        <w:rPr>
          <w:rFonts w:hint="eastAsia" w:ascii="宋体" w:hAnsi="宋体" w:cs="宋体"/>
          <w:sz w:val="28"/>
          <w:szCs w:val="28"/>
        </w:rPr>
        <w:t>按照“谁受益，谁管护，谁使用、谁管护”的原则，落实管护主体，压实管护责任，办理移交手续，签订管护合同。管护主体应对各项工程设施进行经常性检查维护，确保长期有效稳定利用。新建成的高标准农田应优先划入永久基本农田储备区。</w:t>
      </w:r>
    </w:p>
    <w:p>
      <w:pPr>
        <w:pStyle w:val="3"/>
        <w:spacing w:before="0" w:after="0" w:line="360" w:lineRule="auto"/>
        <w:rPr>
          <w:rFonts w:asciiTheme="minorEastAsia" w:hAnsiTheme="minorEastAsia" w:eastAsiaTheme="minorEastAsia"/>
        </w:rPr>
      </w:pPr>
      <w:bookmarkStart w:id="149" w:name="_Toc144903182"/>
      <w:r>
        <w:rPr>
          <w:rFonts w:hint="eastAsia" w:asciiTheme="minorEastAsia" w:hAnsiTheme="minorEastAsia" w:eastAsiaTheme="minorEastAsia"/>
        </w:rPr>
        <w:t>7.2 建设内容</w:t>
      </w:r>
      <w:bookmarkEnd w:id="149"/>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高标准农田建设内容包括田块整治、农田地力提升、灌溉与排水、田间道路、农田防护与生态环境保护、农田输配电以及科技措施。</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7.2.1 田块整治工程</w:t>
      </w:r>
    </w:p>
    <w:p>
      <w:pPr>
        <w:spacing w:line="360" w:lineRule="auto"/>
        <w:ind w:firstLine="560" w:firstLineChars="200"/>
        <w:rPr>
          <w:rFonts w:ascii="宋体" w:hAnsi="宋体" w:cs="宋体"/>
          <w:sz w:val="28"/>
          <w:szCs w:val="28"/>
        </w:rPr>
      </w:pPr>
      <w:r>
        <w:rPr>
          <w:rFonts w:hint="eastAsia" w:ascii="宋体" w:hAnsi="宋体" w:cs="宋体"/>
          <w:sz w:val="28"/>
          <w:szCs w:val="28"/>
        </w:rPr>
        <w:t>田块整治工程主要包括耕作田块修筑工程和耕作层地力保持工程。</w:t>
      </w:r>
    </w:p>
    <w:p>
      <w:pPr>
        <w:spacing w:line="360" w:lineRule="auto"/>
        <w:ind w:firstLine="560" w:firstLineChars="200"/>
        <w:rPr>
          <w:rFonts w:ascii="宋体" w:hAnsi="宋体" w:cs="宋体"/>
          <w:sz w:val="28"/>
          <w:szCs w:val="28"/>
        </w:rPr>
      </w:pPr>
      <w:r>
        <w:rPr>
          <w:rFonts w:hint="eastAsia" w:ascii="宋体" w:hAnsi="宋体" w:cs="宋体"/>
          <w:sz w:val="28"/>
          <w:szCs w:val="28"/>
        </w:rPr>
        <w:t>耕作田块修筑工程要根据永久基本农田划定和土地利用现状分类结果，充分考虑人均耕地水平和农业种植结构，优化农田结构布局。根据气候条件、地形地貌、作物种类、机械作业效率和灌溉与排水效率、确定田块长度和宽度，合理规划田块，提高田块归并程度，使耕作田块相对集中。减小农田地表坡降，调整优化田块内部地类结构功能分工和布局。耕作层地力保持工程通过机械深耕深松，保持一般农田耕作土层厚度，采用土壤剥离、回填方式，调节土壤质地。根据土壤条件和灌溉方式确定田块横、纵向坡度，实施坡耕地水土流失综合治理，因地制宜修筑梯田，增强农田保土、保水、保肥能力。汤阴县属于黄淮海区，根据《高标准农田建设通则》对各区域高标准农田基础设施工程建设要求，田块平整后耕层厚度应不小于 25cm，有效土层厚度不小于60cm。</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7.2.2 土壤改良与培肥工程</w:t>
      </w:r>
    </w:p>
    <w:p>
      <w:pPr>
        <w:spacing w:line="360" w:lineRule="auto"/>
        <w:ind w:firstLine="560" w:firstLineChars="200"/>
        <w:rPr>
          <w:rFonts w:ascii="宋体" w:hAnsi="宋体" w:cs="宋体"/>
          <w:sz w:val="28"/>
          <w:szCs w:val="28"/>
        </w:rPr>
      </w:pPr>
      <w:r>
        <w:rPr>
          <w:rFonts w:hint="eastAsia" w:ascii="宋体" w:hAnsi="宋体" w:cs="宋体"/>
          <w:sz w:val="28"/>
          <w:szCs w:val="28"/>
        </w:rPr>
        <w:t>根据作物种植类型、耕作方式、灌排方式、地形、土壤条件和农田保护等要求，确定田块的形状、规格和方向，提出土壤改良措施。</w:t>
      </w:r>
    </w:p>
    <w:p>
      <w:pPr>
        <w:spacing w:line="360" w:lineRule="auto"/>
        <w:ind w:firstLine="560" w:firstLineChars="200"/>
        <w:rPr>
          <w:rFonts w:ascii="宋体" w:hAnsi="宋体" w:cs="宋体"/>
          <w:sz w:val="28"/>
          <w:szCs w:val="28"/>
        </w:rPr>
      </w:pPr>
      <w:r>
        <w:rPr>
          <w:rFonts w:hint="eastAsia" w:ascii="宋体" w:hAnsi="宋体" w:cs="宋体"/>
          <w:sz w:val="28"/>
          <w:szCs w:val="28"/>
        </w:rPr>
        <w:t>在项目区进行土地深耕和秸秆还田并施用土壤调理剂。土地深耕能疏松土壤，加厚耕层，改善土壤的水，气热状况，打破犁底层，加深耕层、熟化底土，利于作物根系深扎，能改良土壤结构、提高土壤肥力、增加粮食收成；秸秆还田能增加土壤有机质，改良土壤结构，使土壤疏松，孔隙度增加，容量减轻，促进微生物活力和作物根系的发育。</w:t>
      </w:r>
    </w:p>
    <w:p>
      <w:pPr>
        <w:spacing w:line="360" w:lineRule="auto"/>
        <w:ind w:firstLine="560" w:firstLineChars="200"/>
        <w:rPr>
          <w:rFonts w:ascii="宋体" w:hAnsi="宋体" w:cs="宋体"/>
          <w:sz w:val="28"/>
          <w:szCs w:val="28"/>
        </w:rPr>
      </w:pPr>
      <w:r>
        <w:rPr>
          <w:rFonts w:hint="eastAsia" w:ascii="宋体" w:hAnsi="宋体" w:cs="宋体"/>
          <w:sz w:val="28"/>
          <w:szCs w:val="28"/>
        </w:rPr>
        <w:t>通过施入土壤调理剂(松土促根剂），增加土壤的孔隙度，使土壤疏松、改善土壤通透状况，打破土壤板结，加深土壤耕层 7～15cm，降低土壤硬度56～135N/cm2，降低土壤容重3%～10%，同时增加土壤团粒结构，有效协调土壤肥力因素，全面改善土壤水、肥、气、热状况，为农作物根系生长发育创造有利的立地环境条件，有效提高土壤养分和肥料利用率，增强土壤供肥性能，有利于提高土壤肥力，培肥地力、提高土壤产能。</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7.2.3 灌溉与排水工程</w:t>
      </w:r>
    </w:p>
    <w:p>
      <w:pPr>
        <w:spacing w:line="360" w:lineRule="auto"/>
        <w:ind w:firstLine="560" w:firstLineChars="200"/>
        <w:rPr>
          <w:rFonts w:ascii="宋体" w:hAnsi="宋体" w:cs="宋体"/>
          <w:sz w:val="28"/>
          <w:szCs w:val="28"/>
        </w:rPr>
      </w:pPr>
      <w:r>
        <w:rPr>
          <w:rFonts w:hint="eastAsia" w:ascii="宋体" w:hAnsi="宋体" w:cs="宋体"/>
          <w:sz w:val="28"/>
          <w:szCs w:val="28"/>
        </w:rPr>
        <w:t>汤阴县的丘陵地区灌溉水源可采用地表水，主要依托琵琶寺灌区、汤河灌区、瓦岗灌区以及五陵灌区的各级渠系，对渠系进行硬化、防渗处理、配套渠系建筑物等措施，挖掘现有水利工程潜力，辅以塘坝、排灌站、雨水集蓄工程等“五小水利工程”建设，重点加强农业机械化建设和灌区水利建设。</w:t>
      </w:r>
    </w:p>
    <w:p>
      <w:pPr>
        <w:spacing w:line="360" w:lineRule="auto"/>
        <w:ind w:firstLine="560" w:firstLineChars="200"/>
        <w:rPr>
          <w:rFonts w:ascii="宋体" w:hAnsi="宋体" w:cs="宋体"/>
          <w:sz w:val="28"/>
          <w:szCs w:val="28"/>
        </w:rPr>
      </w:pPr>
      <w:r>
        <w:rPr>
          <w:rFonts w:hint="eastAsia" w:ascii="宋体" w:hAnsi="宋体" w:cs="宋体"/>
          <w:sz w:val="28"/>
          <w:szCs w:val="28"/>
        </w:rPr>
        <w:t>平原区可采用井灌或井渠结合方式，可大力发展固定式喷灌、半固定式喷灌、卷盘式喷灌、桁架式、平移式指针式喷灌，调节农田水分状况。</w:t>
      </w:r>
    </w:p>
    <w:p>
      <w:pPr>
        <w:spacing w:line="360" w:lineRule="auto"/>
        <w:ind w:firstLine="560" w:firstLineChars="200"/>
        <w:rPr>
          <w:rFonts w:ascii="宋体" w:hAnsi="宋体" w:cs="宋体"/>
          <w:sz w:val="28"/>
          <w:szCs w:val="28"/>
        </w:rPr>
      </w:pPr>
      <w:r>
        <w:rPr>
          <w:rFonts w:hint="eastAsia" w:ascii="宋体" w:hAnsi="宋体" w:cs="宋体"/>
          <w:sz w:val="28"/>
          <w:szCs w:val="28"/>
        </w:rPr>
        <w:t>排水沟及农田防护林沿道路布置，位于道路两侧。为了更好地发挥灌排系统的灌排作用，一般情况下，灌排系统应分开布置，各成系统，以免相互干扰，造成排水与灌水困难。各级排水沟道应尽量布置在各自控制范围内的最低处，以便控制较大的排水面积和获得最好的控制条件，尽可能地实现自流排水。农田排水设计暴雨重现期采用五年，一日暴雨从作物受淹起一日排至田面无积水。</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7.2.4 田间道路工程</w:t>
      </w:r>
    </w:p>
    <w:p>
      <w:pPr>
        <w:spacing w:line="360" w:lineRule="auto"/>
        <w:ind w:firstLine="560" w:firstLineChars="200"/>
        <w:rPr>
          <w:rFonts w:ascii="宋体" w:hAnsi="宋体" w:cs="宋体"/>
          <w:sz w:val="28"/>
          <w:szCs w:val="28"/>
        </w:rPr>
      </w:pPr>
      <w:r>
        <w:rPr>
          <w:rFonts w:hint="eastAsia" w:ascii="宋体" w:hAnsi="宋体" w:cs="宋体"/>
          <w:sz w:val="28"/>
          <w:szCs w:val="28"/>
        </w:rPr>
        <w:t>根据农用物资和农产品运输及农机作业的要求，新建和改造田间机耕路和生产路，配套建设完善路桥等设施，提高农田道路通达率和农业生产效率。田间道、生产路布置要适应农业现代化生产的需要，与田、水、林、电、村规划相衔接，合理确定路网密度，与县乡级道路配套链接。汤阴县属于黄淮海区，根据《高标准农田建设通则》对各区域高标准农田基础设施工程建设要求，田间道路建设后田间机耕路硬化宽度达到4m 至6m 宽。</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7.2.5 农田防护与生态环境保持工程</w:t>
      </w:r>
    </w:p>
    <w:p>
      <w:pPr>
        <w:spacing w:line="360" w:lineRule="auto"/>
        <w:ind w:firstLine="560" w:firstLineChars="200"/>
        <w:rPr>
          <w:rFonts w:ascii="宋体" w:hAnsi="宋体" w:cs="宋体"/>
          <w:sz w:val="28"/>
          <w:szCs w:val="28"/>
        </w:rPr>
      </w:pPr>
      <w:r>
        <w:rPr>
          <w:rFonts w:hint="eastAsia" w:ascii="宋体" w:hAnsi="宋体" w:cs="宋体"/>
          <w:sz w:val="28"/>
          <w:szCs w:val="28"/>
        </w:rPr>
        <w:t>以生态脆弱农田保护为重点，加强农田生态防护与生态环境保护工程。根据防护需要，新建、修复农田防护林网，主要道路、沟、渠两侧适时、适地、适树设置农田防护带，提高农田林网建设水平；在水土流失易发区，修筑岸坡防护、沟道治理、坡面防护等设施，防治水土流失，利用截留沟、排水沟、排洪渠等设施，搜集和引导坡面径流进入蓄水池；在丘陵地区对已经修建的梯田的田埂进行砌石防护，防治暴雨冲刷，增强梯田稳定性。汤阴县属于黄淮海区，根据《高标准农田建设通则》对各区域高标准农田基础设施工程建设要求，农田防护林建成后能使得规划区农田防护面积比不小于90%。</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7.2.6 农田输配电工程</w:t>
      </w:r>
    </w:p>
    <w:p>
      <w:pPr>
        <w:spacing w:line="360" w:lineRule="auto"/>
        <w:ind w:firstLine="560" w:firstLineChars="200"/>
        <w:rPr>
          <w:rFonts w:ascii="宋体" w:hAnsi="宋体" w:cs="宋体"/>
          <w:sz w:val="28"/>
          <w:szCs w:val="28"/>
        </w:rPr>
      </w:pPr>
      <w:r>
        <w:rPr>
          <w:rFonts w:hint="eastAsia" w:ascii="宋体" w:hAnsi="宋体" w:cs="宋体"/>
          <w:sz w:val="28"/>
          <w:szCs w:val="28"/>
        </w:rPr>
        <w:t>根据《河南省农业农村厅国网河南省电力公司关于明确高标准农田项目区新建输配电设施建管责任的通知》（豫农明电［2020］8 号）要求，“2020 年及以后年度项目，以变压器台区计量箱为界，高压部分（含配变设施和计量表计）由供电部门负责筹措资金配套建设；低压部分由高标准农田建设项目单位负责建设。需要建设配电房的，由项目单位负责建设”。</w:t>
      </w:r>
    </w:p>
    <w:p>
      <w:pPr>
        <w:spacing w:line="360" w:lineRule="auto"/>
        <w:ind w:firstLine="560" w:firstLineChars="200"/>
        <w:rPr>
          <w:rFonts w:ascii="宋体" w:hAnsi="宋体" w:cs="宋体"/>
          <w:sz w:val="28"/>
          <w:szCs w:val="28"/>
        </w:rPr>
      </w:pPr>
      <w:r>
        <w:rPr>
          <w:rFonts w:hint="eastAsia" w:ascii="宋体" w:hAnsi="宋体" w:cs="宋体"/>
          <w:sz w:val="28"/>
          <w:szCs w:val="28"/>
        </w:rPr>
        <w:t>按照便于引线、分村设置的原则合理布局。即电力工程布置遵循低压满足最大控制半径要求，考虑使用管理需要，尽可能不跨行政边界布置台区。低压布置上采用“一井一线、集中计量”设计模式敷设380V 低压地埋电缆。</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7.2.7 农业科技服务配套工程</w:t>
      </w:r>
    </w:p>
    <w:p>
      <w:pPr>
        <w:spacing w:line="360" w:lineRule="auto"/>
        <w:ind w:firstLine="560" w:firstLineChars="200"/>
        <w:rPr>
          <w:rFonts w:ascii="宋体" w:hAnsi="宋体" w:cs="宋体"/>
          <w:b/>
          <w:sz w:val="28"/>
          <w:szCs w:val="28"/>
        </w:rPr>
      </w:pPr>
      <w:r>
        <w:rPr>
          <w:rFonts w:hint="eastAsia" w:ascii="宋体" w:hAnsi="宋体" w:cs="宋体"/>
          <w:sz w:val="28"/>
          <w:szCs w:val="28"/>
        </w:rPr>
        <w:t>本次重点叙述示范区内农业科技服务配套设施。</w:t>
      </w:r>
    </w:p>
    <w:p>
      <w:pPr>
        <w:spacing w:line="360" w:lineRule="auto"/>
        <w:ind w:firstLine="562" w:firstLineChars="200"/>
        <w:outlineLvl w:val="3"/>
        <w:rPr>
          <w:rFonts w:ascii="宋体" w:hAnsi="宋体" w:cs="宋体"/>
          <w:b/>
          <w:sz w:val="28"/>
          <w:szCs w:val="28"/>
        </w:rPr>
      </w:pPr>
      <w:r>
        <w:rPr>
          <w:rFonts w:hint="eastAsia" w:ascii="宋体" w:hAnsi="宋体" w:cs="宋体"/>
          <w:b/>
          <w:sz w:val="28"/>
          <w:szCs w:val="28"/>
        </w:rPr>
        <w:t>7.2.7.1四情检测平台系统</w:t>
      </w:r>
    </w:p>
    <w:p>
      <w:pPr>
        <w:spacing w:line="360" w:lineRule="auto"/>
        <w:ind w:firstLine="560" w:firstLineChars="200"/>
        <w:rPr>
          <w:rFonts w:ascii="宋体" w:hAnsi="宋体" w:cs="宋体"/>
          <w:sz w:val="28"/>
          <w:szCs w:val="28"/>
        </w:rPr>
      </w:pPr>
      <w:r>
        <w:rPr>
          <w:rFonts w:hint="eastAsia" w:ascii="宋体" w:hAnsi="宋体" w:cs="宋体"/>
          <w:sz w:val="28"/>
          <w:szCs w:val="28"/>
        </w:rPr>
        <w:t>重点推广由四情监测平台搭建构成的智慧农业示范点，四情监测平台由土壤墒情监测系统、病虫害防治植保系统、物联农业气象系统和苗情监测系统四部分组成。可通过土壤墒情监测系统、病虫害防治植保系统、物联农业气象系统和苗情监测系统对每个监测点的病虫状况、作物生长情况、灾害情况、空气温度、空气湿度、露点温度、土壤温度、光照强度等各种作物生长过程中重要的参数进行实时监测。监测结果可以在网站上直观的显示出来，同时还可远程设置每个点的各种参数。并且还配套数据服务器或者云服务平台，将数据传入数据中心服务器或者云平台上，再配合专业的分析处理功能，可以对作物生长环境信息的处理分析，提供更多更好的科学指导。农业物联网装备体系的推广应用将有效解决现在智能农业系统设施的不足，另外，通过系统中的智能监控预警功能，能够及时有效的预防、治理相关农业灾害的发生，为农产品的丰收保驾护航。四情检测平台各部分系统的主要功能如下：</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（1）土壤墒情监测系统 </w:t>
      </w:r>
    </w:p>
    <w:p>
      <w:pPr>
        <w:spacing w:line="360" w:lineRule="auto"/>
        <w:ind w:firstLine="560" w:firstLineChars="200"/>
        <w:rPr>
          <w:rFonts w:ascii="宋体" w:hAnsi="宋体" w:cs="宋体"/>
          <w:sz w:val="28"/>
          <w:szCs w:val="28"/>
        </w:rPr>
      </w:pPr>
      <w:r>
        <w:rPr>
          <w:rFonts w:hint="eastAsia" w:ascii="宋体" w:hAnsi="宋体" w:cs="宋体"/>
          <w:sz w:val="28"/>
          <w:szCs w:val="28"/>
        </w:rPr>
        <w:t>土壤墒情监测系统是一款集土壤温湿度采集、存储、传输和管理于一体的土壤墒情自动监测系统。整机由多通道数据采集仪、土壤水分传感器、土壤温度传感器等气象传感器和软件平台组成。土壤墒情监测系统主要是针对土壤水分含量和土壤温度进行监测，通过墒情传感器和温度传感器测量土壤的体积含水量（VWC）和温度值。同时，可以根据用户的需求，该系统可以扩展配置空气温湿度、土壤电导率、太阳辐射、二氧化碳等气象传感器，监测数据统一由自动监测站发送到网络数据平台，数据按照统一的格式进行存储，通过图表格式直观展现给用户。可以拓展开发苗情旱情监测系统，以对田间苗情、灾情实现自动监测，使管理人员可以远程关注作物生长状况，根据作物在不同生长周期的需求，指导灌溉、施肥、喷药等措施。</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（2）病虫害防治植保系统 </w:t>
      </w:r>
    </w:p>
    <w:p>
      <w:pPr>
        <w:spacing w:line="360" w:lineRule="auto"/>
        <w:ind w:firstLine="560" w:firstLineChars="200"/>
        <w:rPr>
          <w:rFonts w:ascii="宋体" w:hAnsi="宋体" w:cs="宋体"/>
          <w:sz w:val="28"/>
          <w:szCs w:val="28"/>
        </w:rPr>
      </w:pPr>
      <w:r>
        <w:rPr>
          <w:rFonts w:hint="eastAsia" w:ascii="宋体" w:hAnsi="宋体" w:cs="宋体"/>
          <w:sz w:val="28"/>
          <w:szCs w:val="28"/>
        </w:rPr>
        <w:t>病虫害防治植保系统利用现代光、电、数控技术，实现了在无人监管的情况下，能自动完成诱虫、杀虫、收集、分装、排水等系统作业；通过 GPRS 移动无线网络，定时拍照采集接虫盒内收集的虫体图片，自动上传到远程物联网监控平台，平台每天自动记录采集数据，形成虫害数据库，可以通过数据列表和图表的形式展现，工作人员可随时远程了解虫体的情况和变化，制定防控措施。</w:t>
      </w:r>
    </w:p>
    <w:p>
      <w:pPr>
        <w:spacing w:line="360" w:lineRule="auto"/>
        <w:ind w:firstLine="560" w:firstLineChars="200"/>
        <w:rPr>
          <w:rFonts w:ascii="宋体" w:hAnsi="宋体" w:cs="宋体"/>
          <w:sz w:val="28"/>
          <w:szCs w:val="28"/>
        </w:rPr>
      </w:pPr>
      <w:r>
        <w:rPr>
          <w:rFonts w:hint="eastAsia" w:ascii="宋体" w:hAnsi="宋体" w:cs="宋体"/>
          <w:sz w:val="28"/>
          <w:szCs w:val="28"/>
        </w:rPr>
        <w:t>智能孢子捕捉仪设备内含高倍显微拍照装置，采用了气流定量、定时采集、自动培养、自动拍照、无线传输等功能。全天候实时采集分析病原菌孢子图像，分析其数量的变化，预测病害发生的时间、程度和传播路线，实现了病原菌孢子采集的数字化、自动化，及时预防农业的发生和蔓延。</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（3）物联农业气象系统 </w:t>
      </w:r>
    </w:p>
    <w:p>
      <w:pPr>
        <w:spacing w:line="360" w:lineRule="auto"/>
        <w:ind w:firstLine="560" w:firstLineChars="200"/>
        <w:rPr>
          <w:rFonts w:ascii="宋体" w:hAnsi="宋体" w:cs="宋体"/>
          <w:sz w:val="28"/>
          <w:szCs w:val="28"/>
        </w:rPr>
      </w:pPr>
      <w:r>
        <w:rPr>
          <w:rFonts w:hint="eastAsia" w:ascii="宋体" w:hAnsi="宋体" w:cs="宋体"/>
          <w:sz w:val="28"/>
          <w:szCs w:val="28"/>
        </w:rPr>
        <w:t>物联农业气象系统是一种集气象数据采集、存储、传输和管理于一体的无人值守的气象采集系统。可对风向、风速、雨量、温度、湿度、辐射、大气压等气象要素进行全天候现场精确测量，并将数据传输到中心计算机气象数据库中，用于统计分析和处理，然后根据农田气象状况，进行针对性防治。</w:t>
      </w:r>
    </w:p>
    <w:p>
      <w:pPr>
        <w:spacing w:line="360" w:lineRule="auto"/>
        <w:ind w:firstLine="560" w:firstLineChars="200"/>
        <w:rPr>
          <w:rFonts w:ascii="宋体" w:hAnsi="宋体" w:cs="宋体"/>
          <w:sz w:val="28"/>
          <w:szCs w:val="28"/>
        </w:rPr>
      </w:pPr>
      <w:r>
        <w:rPr>
          <w:rFonts w:hint="eastAsia" w:ascii="宋体" w:hAnsi="宋体" w:cs="宋体"/>
          <w:sz w:val="28"/>
          <w:szCs w:val="28"/>
        </w:rPr>
        <w:t>本系统配套风速传感器（0-70m/s）、风向传感器（0-360°）、温湿压传感器、雨量传感器（≤4mm/min）、光照度传感器、太阳总辐射传感器、二氧化碳传感器、智能采集控制系统（16 个通道）和通讯系统（含流量卡及3 年流量费）各1 套。</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（4）苗情监测系统 </w:t>
      </w:r>
    </w:p>
    <w:p>
      <w:pPr>
        <w:spacing w:line="360" w:lineRule="auto"/>
        <w:ind w:firstLine="560" w:firstLineChars="200"/>
        <w:rPr>
          <w:rFonts w:ascii="宋体" w:hAnsi="宋体" w:cs="宋体"/>
          <w:sz w:val="28"/>
          <w:szCs w:val="28"/>
        </w:rPr>
      </w:pPr>
      <w:r>
        <w:rPr>
          <w:rFonts w:hint="eastAsia" w:ascii="宋体" w:hAnsi="宋体" w:cs="宋体"/>
          <w:sz w:val="28"/>
          <w:szCs w:val="28"/>
        </w:rPr>
        <w:t>苗情监测系统主要用于农林病虫的远程诊断、预测、预报、预警、研究和监测控制等工作领域。设定可视化通道监测植物的生长、病虫的数量和种类等数据，通过Internet 网络实时传输到相关地区和部门，快速准确预测预报监控区的病虫害发生动态、环境因子，分析种群的空间格局，植保专家远程实时遥控诊断，根据监测到的害虫、天敌数量的多少，提出最佳防治方案，以维护生物链的平衡，大大促进了农业病虫害预测预报预警工作的标准化、网络化、现代化、自动化、可视化发展。</w:t>
      </w:r>
    </w:p>
    <w:p>
      <w:pPr>
        <w:spacing w:line="360" w:lineRule="auto"/>
        <w:ind w:firstLine="562" w:firstLineChars="200"/>
        <w:outlineLvl w:val="3"/>
        <w:rPr>
          <w:rFonts w:ascii="宋体" w:hAnsi="宋体" w:cs="宋体"/>
          <w:b/>
          <w:sz w:val="28"/>
          <w:szCs w:val="28"/>
        </w:rPr>
      </w:pPr>
      <w:r>
        <w:rPr>
          <w:rFonts w:hint="eastAsia" w:ascii="宋体" w:hAnsi="宋体" w:cs="宋体"/>
          <w:b/>
          <w:sz w:val="28"/>
          <w:szCs w:val="28"/>
        </w:rPr>
        <w:t xml:space="preserve">7.2.7.2智能灭虫设备 </w:t>
      </w:r>
    </w:p>
    <w:p>
      <w:pPr>
        <w:spacing w:line="360" w:lineRule="auto"/>
        <w:ind w:firstLine="560" w:firstLineChars="200"/>
        <w:rPr>
          <w:rFonts w:ascii="宋体" w:hAnsi="宋体" w:cs="宋体"/>
          <w:sz w:val="28"/>
          <w:szCs w:val="28"/>
        </w:rPr>
      </w:pPr>
      <w:r>
        <w:rPr>
          <w:rFonts w:hint="eastAsia" w:ascii="宋体" w:hAnsi="宋体" w:cs="宋体"/>
          <w:sz w:val="28"/>
          <w:szCs w:val="28"/>
        </w:rPr>
        <w:t>在规划的高标准农田建设中配备智能灭虫设备，智能灭虫设备主要有风吸式杀虫灯和高空杀虫灯两种。</w:t>
      </w:r>
    </w:p>
    <w:p>
      <w:pPr>
        <w:spacing w:line="360" w:lineRule="auto"/>
        <w:ind w:firstLine="560" w:firstLineChars="200"/>
        <w:rPr>
          <w:rFonts w:ascii="宋体" w:hAnsi="宋体" w:cs="宋体"/>
          <w:sz w:val="28"/>
          <w:szCs w:val="28"/>
        </w:rPr>
      </w:pPr>
      <w:r>
        <w:rPr>
          <w:rFonts w:hint="eastAsia" w:ascii="宋体" w:hAnsi="宋体" w:cs="宋体"/>
          <w:sz w:val="28"/>
          <w:szCs w:val="28"/>
        </w:rPr>
        <w:t>（1）风吸式杀虫灯</w:t>
      </w:r>
    </w:p>
    <w:p>
      <w:pPr>
        <w:spacing w:line="360" w:lineRule="auto"/>
        <w:ind w:firstLine="560" w:firstLineChars="200"/>
        <w:rPr>
          <w:rFonts w:ascii="宋体" w:hAnsi="宋体" w:cs="宋体"/>
          <w:sz w:val="28"/>
          <w:szCs w:val="28"/>
        </w:rPr>
      </w:pPr>
      <w:r>
        <w:rPr>
          <w:rFonts w:hint="eastAsia" w:ascii="宋体" w:hAnsi="宋体" w:cs="宋体"/>
          <w:sz w:val="28"/>
          <w:szCs w:val="28"/>
        </w:rPr>
        <w:t>风吸式杀虫灯是一款物理灭虫器械，采用抽拉式箱体及设备集成结构，利用光波引诱害虫成虫扑灯，然后风机转动产生气流将虫子吸入到收集器中，使之风干、脱水，达到杀虫的目的。</w:t>
      </w:r>
    </w:p>
    <w:p>
      <w:pPr>
        <w:spacing w:line="360" w:lineRule="auto"/>
        <w:ind w:firstLine="560" w:firstLineChars="200"/>
        <w:rPr>
          <w:rFonts w:ascii="宋体" w:hAnsi="宋体" w:cs="宋体"/>
          <w:sz w:val="28"/>
          <w:szCs w:val="28"/>
        </w:rPr>
      </w:pPr>
      <w:r>
        <w:rPr>
          <w:rFonts w:hint="eastAsia" w:ascii="宋体" w:hAnsi="宋体" w:cs="宋体"/>
          <w:sz w:val="28"/>
          <w:szCs w:val="28"/>
        </w:rPr>
        <w:t>（2）高空杀虫灯</w:t>
      </w:r>
    </w:p>
    <w:p>
      <w:pPr>
        <w:spacing w:line="360" w:lineRule="auto"/>
        <w:ind w:firstLine="560" w:firstLineChars="200"/>
        <w:rPr>
          <w:rFonts w:ascii="宋体" w:hAnsi="宋体" w:cs="宋体"/>
          <w:sz w:val="28"/>
          <w:szCs w:val="28"/>
        </w:rPr>
      </w:pPr>
      <w:r>
        <w:rPr>
          <w:rFonts w:hint="eastAsia" w:ascii="宋体" w:hAnsi="宋体" w:cs="宋体"/>
          <w:sz w:val="28"/>
          <w:szCs w:val="28"/>
        </w:rPr>
        <w:t>高空杀虫灯是针对于草地贪夜蛾等迁飞性害虫防控研制的专业设备，该灯采用高空投射灯，主要用于对高空迁徙性害虫的监测和防治。本产品生产及加工符合 GB/T 24689.1-2009 植物保护机械虫情测报灯国家标准，采用不锈钢整体结构，利用光、电、数控技术，兼容病虫测防系统及物联网系统（选配）；实现虫体远红外自动处理、整灯自动运行等功能；在无人监管的情况下，能自动完成诱虫、杀虫排水等系统作业。</w:t>
      </w:r>
    </w:p>
    <w:p>
      <w:pPr>
        <w:spacing w:line="360" w:lineRule="auto"/>
        <w:ind w:firstLine="562" w:firstLineChars="200"/>
        <w:outlineLvl w:val="3"/>
        <w:rPr>
          <w:rFonts w:ascii="宋体" w:hAnsi="宋体" w:cs="宋体"/>
          <w:b/>
          <w:sz w:val="28"/>
          <w:szCs w:val="28"/>
        </w:rPr>
      </w:pPr>
      <w:r>
        <w:rPr>
          <w:rFonts w:hint="eastAsia" w:ascii="宋体" w:hAnsi="宋体" w:cs="宋体"/>
          <w:b/>
          <w:sz w:val="28"/>
          <w:szCs w:val="28"/>
        </w:rPr>
        <w:t xml:space="preserve">7.2.7.3无人机遥感监测作物病虫害技术 </w:t>
      </w:r>
    </w:p>
    <w:p>
      <w:pPr>
        <w:spacing w:line="360" w:lineRule="auto"/>
        <w:ind w:firstLine="560" w:firstLineChars="200"/>
        <w:rPr>
          <w:rFonts w:ascii="宋体" w:hAnsi="宋体" w:cs="宋体"/>
          <w:sz w:val="28"/>
          <w:szCs w:val="28"/>
        </w:rPr>
      </w:pPr>
      <w:r>
        <w:rPr>
          <w:rFonts w:hint="eastAsia" w:ascii="宋体" w:hAnsi="宋体" w:cs="宋体"/>
          <w:sz w:val="28"/>
          <w:szCs w:val="28"/>
        </w:rPr>
        <w:t>无人机农业遥感因其图像空间分辨率高、数据获取时效性强和成本低等特点，在作物病虫害胁迫监测中发挥了重要作用。利用无人机遥感监测作物病虫害是基于绿色植物在病虫害胁迫下，叶绿素等色素的浓度降低，植物在蓝、红波段吸收减少反射增强，光谱特征发生明显变化，这一变化可用归一化植被指数（NDVI）体现；通过遥感监测下的光谱反射率变化规律（NDVI 变化曲线），并与田间表型数据做相关性分析，从而定量评估病虫害所造成的产量损失。适用于小麦、水稻、玉米等大宗作物，田间正常叶面表现为绿叶时，精度较高。</w:t>
      </w:r>
    </w:p>
    <w:p>
      <w:pPr>
        <w:spacing w:line="360" w:lineRule="auto"/>
        <w:ind w:firstLine="562" w:firstLineChars="200"/>
        <w:rPr>
          <w:rFonts w:ascii="宋体" w:hAnsi="宋体" w:cs="宋体"/>
          <w:b/>
          <w:sz w:val="28"/>
          <w:szCs w:val="28"/>
        </w:rPr>
      </w:pPr>
      <w:r>
        <w:rPr>
          <w:rFonts w:hint="eastAsia" w:ascii="宋体" w:hAnsi="宋体" w:cs="宋体"/>
          <w:b/>
          <w:sz w:val="28"/>
          <w:szCs w:val="28"/>
        </w:rPr>
        <w:t xml:space="preserve">7.2.7.4智能灌溉水肥一体化系统 </w:t>
      </w:r>
    </w:p>
    <w:p>
      <w:pPr>
        <w:spacing w:line="360" w:lineRule="auto"/>
        <w:ind w:firstLine="560" w:firstLineChars="200"/>
        <w:rPr>
          <w:rFonts w:ascii="宋体" w:hAnsi="宋体" w:cs="宋体"/>
          <w:sz w:val="28"/>
          <w:szCs w:val="28"/>
        </w:rPr>
      </w:pPr>
      <w:r>
        <w:rPr>
          <w:rFonts w:hint="eastAsia" w:ascii="宋体" w:hAnsi="宋体" w:cs="宋体"/>
          <w:sz w:val="28"/>
          <w:szCs w:val="28"/>
        </w:rPr>
        <w:t>智能灌溉水肥一体化系统是基于物联网的精准灌溉控制系统。该系统可通过手机端小程序进行远程灌溉操控，通过无线网端控制微控制器，其核心是微控制器，它包括了温度、湿度、光照度等模块以及微喷器或控制阀的驱动电路。当检测到的信号被发送到微喷器或控制阀时，微喷器或控制阀就会自动工作，并发出指令，完成整个过程。智能灌溉水肥一体化设备的一般灌溉流程为水流经过增压泵到达输水管道，经砂石过滤器、叠片过滤器进行过滤后，与经过水肥一体机预设参数混合后的肥料一并输送到田间地头，对作物进行灌溉。</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7.2.8 管理措施</w:t>
      </w:r>
    </w:p>
    <w:p>
      <w:pPr>
        <w:spacing w:line="360" w:lineRule="auto"/>
        <w:ind w:firstLine="560" w:firstLineChars="200"/>
        <w:rPr>
          <w:rFonts w:ascii="宋体" w:hAnsi="宋体" w:cs="宋体"/>
          <w:sz w:val="28"/>
          <w:szCs w:val="28"/>
        </w:rPr>
      </w:pPr>
      <w:r>
        <w:rPr>
          <w:rFonts w:hint="eastAsia" w:ascii="宋体" w:hAnsi="宋体" w:cs="宋体"/>
          <w:sz w:val="28"/>
          <w:szCs w:val="28"/>
        </w:rPr>
        <w:t>（1）明晰产权</w:t>
      </w:r>
    </w:p>
    <w:p>
      <w:pPr>
        <w:spacing w:line="360" w:lineRule="auto"/>
        <w:ind w:firstLine="560" w:firstLineChars="200"/>
        <w:rPr>
          <w:rFonts w:ascii="宋体" w:hAnsi="宋体" w:cs="宋体"/>
          <w:sz w:val="28"/>
          <w:szCs w:val="28"/>
        </w:rPr>
      </w:pPr>
      <w:r>
        <w:rPr>
          <w:rFonts w:hint="eastAsia" w:ascii="宋体" w:hAnsi="宋体" w:cs="宋体"/>
          <w:sz w:val="28"/>
          <w:szCs w:val="28"/>
        </w:rPr>
        <w:t>1）明晰工程产权。结合农村土地承包经营权确权登记工作，推行农田水利设施“权属登记”制度，理清权属。县级人民政府或其授权的部门负责对辖区内的农田水利设施登记造册，健全工程档案，并向工程产权所有者核发由县级人民政府统一监制的《农田水利设施产权证书》。</w:t>
      </w:r>
    </w:p>
    <w:p>
      <w:pPr>
        <w:spacing w:line="360" w:lineRule="auto"/>
        <w:ind w:firstLine="560" w:firstLineChars="200"/>
        <w:rPr>
          <w:rFonts w:ascii="宋体" w:hAnsi="宋体" w:cs="宋体"/>
          <w:sz w:val="28"/>
          <w:szCs w:val="28"/>
        </w:rPr>
      </w:pPr>
      <w:r>
        <w:rPr>
          <w:rFonts w:hint="eastAsia" w:ascii="宋体" w:hAnsi="宋体" w:cs="宋体"/>
          <w:sz w:val="28"/>
          <w:szCs w:val="28"/>
        </w:rPr>
        <w:t>2）明确工程使用权。依据产权归属和受益情况确定农田水利设施使用权，由乡（镇）人民政府负责向工程使用权人颁发由县级人民政府统一监制的《农田水利设施使用权证书》。</w:t>
      </w:r>
    </w:p>
    <w:p>
      <w:pPr>
        <w:spacing w:line="360" w:lineRule="auto"/>
        <w:ind w:firstLine="560" w:firstLineChars="200"/>
        <w:rPr>
          <w:rFonts w:ascii="宋体" w:hAnsi="宋体" w:cs="宋体"/>
          <w:sz w:val="28"/>
          <w:szCs w:val="28"/>
        </w:rPr>
      </w:pPr>
      <w:r>
        <w:rPr>
          <w:rFonts w:hint="eastAsia" w:ascii="宋体" w:hAnsi="宋体" w:cs="宋体"/>
          <w:sz w:val="28"/>
          <w:szCs w:val="28"/>
        </w:rPr>
        <w:t>3）探索产权使用、转换模式。创新产权抵押借贷融资模式，探索产权所有人、使用权人以农田水利设施作为抵押，取得金融贷款支持的有效途径。在建立和完善合理的水价形成机制和投资回报机制的基础上，研究金融机构加大对农田水利建设管理信贷投入的办法。探索建立农田水利设施产权交易平台，研究完善推动所有权、使用权、经营权分离的具体措施，鼓励产权所有者、使用者按照市场规律自主经营，促进农田水利设施所有权、使用权、经营权的依法、有序、市场化流动，切实搞活。</w:t>
      </w:r>
    </w:p>
    <w:p>
      <w:pPr>
        <w:spacing w:line="360" w:lineRule="auto"/>
        <w:ind w:firstLine="560" w:firstLineChars="200"/>
        <w:rPr>
          <w:rFonts w:ascii="宋体" w:hAnsi="宋体" w:cs="宋体"/>
          <w:sz w:val="28"/>
          <w:szCs w:val="28"/>
        </w:rPr>
      </w:pPr>
      <w:r>
        <w:rPr>
          <w:rFonts w:hint="eastAsia" w:ascii="宋体" w:hAnsi="宋体" w:cs="宋体"/>
          <w:sz w:val="28"/>
          <w:szCs w:val="28"/>
        </w:rPr>
        <w:t>（2）压实管护责任</w:t>
      </w:r>
    </w:p>
    <w:p>
      <w:pPr>
        <w:spacing w:line="360" w:lineRule="auto"/>
        <w:ind w:firstLine="560" w:firstLineChars="200"/>
        <w:rPr>
          <w:rFonts w:ascii="宋体" w:hAnsi="宋体" w:cs="宋体"/>
          <w:sz w:val="28"/>
          <w:szCs w:val="28"/>
        </w:rPr>
      </w:pPr>
      <w:r>
        <w:rPr>
          <w:rFonts w:hint="eastAsia" w:ascii="宋体" w:hAnsi="宋体" w:cs="宋体"/>
          <w:sz w:val="28"/>
          <w:szCs w:val="28"/>
        </w:rPr>
        <w:t>汤阴县人民政府对高标准农田建设项目建后管护负总责，汤阴县农业农村局负责制定建后管护方案，组织协调、监督指导和检查考核建后管护工作。项目所在镇人民政府对建后管护负有主体责任，要遵照国家法律、法规和本办法的规定，承担行政区域内高标准农田建后管护职责，负责组织实施、协调、监督、落实高标准农田工程设施管护。已规模流转的高标准农田，由取得土地经营权的专业大户、家庭农场、专业合作社、农民企业等新型农业经营主体负责高标准农田工程设施的维修、养护和管理；未流转的高标准农田，由所在村委会负责高标准农田工程设施的维修、养护和管理。管护主体要认真落实高标准农田建后管护工作，加强宣传高标准农田建后管护的法律、法规及相关制度，积极引导村民珍惜爱护高标准农田工程设施。所有村民都有维护高标准农田工程设施的义务，有权制止、检举损害高标准农田工程设施的行为。</w:t>
      </w:r>
    </w:p>
    <w:p>
      <w:pPr>
        <w:spacing w:line="360" w:lineRule="auto"/>
        <w:ind w:firstLine="560" w:firstLineChars="200"/>
        <w:rPr>
          <w:rFonts w:ascii="宋体" w:hAnsi="宋体" w:cs="宋体"/>
          <w:sz w:val="28"/>
          <w:szCs w:val="28"/>
        </w:rPr>
      </w:pPr>
      <w:r>
        <w:rPr>
          <w:rFonts w:hint="eastAsia" w:ascii="宋体" w:hAnsi="宋体" w:cs="宋体"/>
          <w:sz w:val="28"/>
          <w:szCs w:val="28"/>
        </w:rPr>
        <w:t>（3）落实管护经费</w:t>
      </w:r>
    </w:p>
    <w:p>
      <w:pPr>
        <w:spacing w:line="360" w:lineRule="auto"/>
        <w:ind w:firstLine="560" w:firstLineChars="200"/>
        <w:rPr>
          <w:rFonts w:ascii="宋体" w:hAnsi="宋体" w:cs="宋体"/>
          <w:sz w:val="28"/>
          <w:szCs w:val="28"/>
        </w:rPr>
      </w:pPr>
      <w:r>
        <w:rPr>
          <w:rFonts w:hint="eastAsia" w:ascii="宋体" w:hAnsi="宋体" w:cs="宋体"/>
          <w:sz w:val="28"/>
          <w:szCs w:val="28"/>
        </w:rPr>
        <w:t>建立高标准农田基础设施管护经费合理保障机制，创新受益者筹集为主，政府补助为辅、社会资本投入为补充的运行管护经费合理负担机制，确保高标准农田基础设施建得成、管得好、用得起、长受益。</w:t>
      </w:r>
    </w:p>
    <w:p>
      <w:pPr>
        <w:spacing w:line="360" w:lineRule="auto"/>
        <w:ind w:firstLine="560" w:firstLineChars="200"/>
        <w:rPr>
          <w:rFonts w:ascii="宋体" w:hAnsi="宋体" w:cs="宋体"/>
          <w:sz w:val="28"/>
          <w:szCs w:val="28"/>
        </w:rPr>
      </w:pPr>
      <w:r>
        <w:rPr>
          <w:rFonts w:hint="eastAsia" w:ascii="宋体" w:hAnsi="宋体" w:cs="宋体"/>
          <w:sz w:val="28"/>
          <w:szCs w:val="28"/>
        </w:rPr>
        <w:t>根据《河南省人民政府办公厅关于加强农田水利设施管护工作的指导意见》（豫政办〔2021〕42 号），各地可按照使用高标准农田建设结余资金、评价奖励资金、管护奖补资金、新增耕地指标交易收入和统筹整合涉农资金。高标准农田建设项目结转结余资金按规定可优先用于工程设施管护等。鼓励各地通过政府和社会资本合作等方式，拓展管护经费来源。</w:t>
      </w:r>
    </w:p>
    <w:bookmarkEnd w:id="143"/>
    <w:bookmarkEnd w:id="144"/>
    <w:bookmarkEnd w:id="145"/>
    <w:bookmarkEnd w:id="146"/>
    <w:bookmarkEnd w:id="147"/>
    <w:bookmarkEnd w:id="148"/>
    <w:p>
      <w:pPr>
        <w:widowControl/>
        <w:jc w:val="left"/>
        <w:rPr>
          <w:rFonts w:asciiTheme="minorEastAsia" w:hAnsiTheme="minorEastAsia" w:eastAsiaTheme="minorEastAsia"/>
          <w:b/>
          <w:sz w:val="36"/>
          <w:szCs w:val="36"/>
        </w:rPr>
      </w:pPr>
      <w:r>
        <w:rPr>
          <w:rFonts w:asciiTheme="minorEastAsia" w:hAnsiTheme="minorEastAsia" w:eastAsiaTheme="minorEastAsia"/>
          <w:b/>
          <w:sz w:val="36"/>
          <w:szCs w:val="36"/>
        </w:rPr>
        <w:br w:type="page"/>
      </w:r>
    </w:p>
    <w:p>
      <w:pPr>
        <w:spacing w:line="360" w:lineRule="auto"/>
        <w:outlineLvl w:val="0"/>
        <w:rPr>
          <w:rFonts w:asciiTheme="minorEastAsia" w:hAnsiTheme="minorEastAsia" w:eastAsiaTheme="minorEastAsia"/>
          <w:b/>
          <w:sz w:val="36"/>
          <w:szCs w:val="36"/>
        </w:rPr>
      </w:pPr>
      <w:bookmarkStart w:id="150" w:name="_Toc144903183"/>
      <w:r>
        <w:rPr>
          <w:rFonts w:asciiTheme="minorEastAsia" w:hAnsiTheme="minorEastAsia" w:eastAsiaTheme="minorEastAsia"/>
          <w:b/>
          <w:sz w:val="36"/>
          <w:szCs w:val="36"/>
        </w:rPr>
        <w:t>8.</w:t>
      </w:r>
      <w:r>
        <w:rPr>
          <w:rFonts w:hint="eastAsia" w:asciiTheme="minorEastAsia" w:hAnsiTheme="minorEastAsia" w:eastAsiaTheme="minorEastAsia"/>
          <w:b/>
          <w:sz w:val="36"/>
          <w:szCs w:val="36"/>
        </w:rPr>
        <w:t>分区规划与建设任务</w:t>
      </w:r>
      <w:bookmarkEnd w:id="150"/>
    </w:p>
    <w:p>
      <w:pPr>
        <w:spacing w:line="360" w:lineRule="auto"/>
        <w:ind w:firstLine="560" w:firstLineChars="200"/>
        <w:rPr>
          <w:rFonts w:ascii="宋体" w:hAnsi="宋体" w:cs="宋体"/>
          <w:sz w:val="28"/>
          <w:szCs w:val="28"/>
        </w:rPr>
      </w:pPr>
      <w:r>
        <w:rPr>
          <w:rFonts w:hint="eastAsia" w:ascii="宋体" w:hAnsi="宋体" w:cs="宋体"/>
          <w:sz w:val="28"/>
          <w:szCs w:val="28"/>
        </w:rPr>
        <w:t>根据上述章节内容，根据汤阴县水资源条件不同，将汤阴县划分为：①西部丘陵区、②南部丘陵区、③中部平原区，各区位置建下表：</w:t>
      </w:r>
    </w:p>
    <w:p>
      <w:pPr>
        <w:snapToGrid w:val="0"/>
        <w:ind w:firstLine="560" w:firstLineChars="200"/>
        <w:jc w:val="center"/>
        <w:rPr>
          <w:rFonts w:ascii="宋体" w:hAnsi="宋体" w:cs="宋体"/>
          <w:sz w:val="28"/>
          <w:szCs w:val="28"/>
        </w:rPr>
      </w:pPr>
      <w:r>
        <w:rPr>
          <w:rFonts w:hint="eastAsia" w:ascii="宋体" w:hAnsi="宋体" w:cs="宋体"/>
          <w:sz w:val="28"/>
          <w:szCs w:val="28"/>
        </w:rPr>
        <w:t>表5</w:t>
      </w:r>
      <w:r>
        <w:rPr>
          <w:rFonts w:ascii="宋体" w:hAnsi="宋体" w:cs="宋体"/>
          <w:sz w:val="28"/>
          <w:szCs w:val="28"/>
        </w:rPr>
        <w:t>.5</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汤阴县水资源分区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991"/>
        <w:gridCol w:w="4963"/>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分区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地形</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乡镇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面积（万亩）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西部丘陵区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韩庄镇、宜沟镇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南部丘陵区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丘陵</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菜园镇、伏道镇、瓦岗乡</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中部平原区</w:t>
            </w:r>
          </w:p>
        </w:tc>
        <w:tc>
          <w:tcPr>
            <w:tcW w:w="5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平原</w:t>
            </w:r>
          </w:p>
        </w:tc>
        <w:tc>
          <w:tcPr>
            <w:tcW w:w="270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城关镇、韩庄镇、白营镇、古贤镇、菜园镇、任固镇、五陵镇、伏道镇、宜沟镇</w:t>
            </w: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60.</w:t>
            </w:r>
            <w:r>
              <w:rPr>
                <w:rFonts w:ascii="等线" w:hAnsi="等线" w:eastAsia="等线" w:cs="宋体"/>
                <w:color w:val="000000"/>
                <w:kern w:val="0"/>
                <w:sz w:val="22"/>
                <w:szCs w:val="22"/>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合计</w:t>
            </w:r>
          </w:p>
        </w:tc>
        <w:tc>
          <w:tcPr>
            <w:tcW w:w="540" w:type="pct"/>
            <w:shd w:val="clear" w:color="auto" w:fill="auto"/>
            <w:vAlign w:val="center"/>
          </w:tcPr>
          <w:p>
            <w:pPr>
              <w:widowControl/>
              <w:jc w:val="center"/>
              <w:rPr>
                <w:rFonts w:ascii="等线" w:hAnsi="等线" w:eastAsia="等线" w:cs="宋体"/>
                <w:color w:val="000000"/>
                <w:kern w:val="0"/>
                <w:sz w:val="22"/>
                <w:szCs w:val="22"/>
              </w:rPr>
            </w:pPr>
          </w:p>
        </w:tc>
        <w:tc>
          <w:tcPr>
            <w:tcW w:w="2705" w:type="pct"/>
            <w:shd w:val="clear" w:color="auto" w:fill="auto"/>
            <w:vAlign w:val="center"/>
          </w:tcPr>
          <w:p>
            <w:pPr>
              <w:widowControl/>
              <w:jc w:val="center"/>
              <w:rPr>
                <w:rFonts w:ascii="等线" w:hAnsi="等线" w:eastAsia="等线" w:cs="宋体"/>
                <w:color w:val="000000"/>
                <w:kern w:val="0"/>
                <w:sz w:val="22"/>
                <w:szCs w:val="22"/>
              </w:rPr>
            </w:pPr>
          </w:p>
        </w:tc>
        <w:tc>
          <w:tcPr>
            <w:tcW w:w="845"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95.49</w:t>
            </w:r>
          </w:p>
        </w:tc>
      </w:tr>
    </w:tbl>
    <w:p>
      <w:pPr>
        <w:pStyle w:val="3"/>
        <w:spacing w:before="0" w:after="0" w:line="360" w:lineRule="auto"/>
        <w:rPr>
          <w:rFonts w:asciiTheme="minorEastAsia" w:hAnsiTheme="minorEastAsia" w:eastAsiaTheme="minorEastAsia"/>
        </w:rPr>
      </w:pPr>
      <w:bookmarkStart w:id="151" w:name="_Toc144903184"/>
      <w:r>
        <w:rPr>
          <w:rFonts w:hint="eastAsia" w:asciiTheme="minorEastAsia" w:hAnsiTheme="minorEastAsia" w:eastAsiaTheme="minorEastAsia"/>
        </w:rPr>
        <w:t>8</w:t>
      </w:r>
      <w:r>
        <w:rPr>
          <w:rFonts w:asciiTheme="minorEastAsia" w:hAnsiTheme="minorEastAsia" w:eastAsiaTheme="minorEastAsia"/>
        </w:rPr>
        <w:t>.1</w:t>
      </w:r>
      <w:r>
        <w:rPr>
          <w:rFonts w:hint="eastAsia" w:asciiTheme="minorEastAsia" w:hAnsiTheme="minorEastAsia" w:eastAsiaTheme="minorEastAsia"/>
        </w:rPr>
        <w:t>丘陵区</w:t>
      </w:r>
      <w:bookmarkEnd w:id="151"/>
    </w:p>
    <w:p>
      <w:pPr>
        <w:spacing w:line="360" w:lineRule="auto"/>
        <w:ind w:firstLine="560" w:firstLineChars="200"/>
        <w:rPr>
          <w:rFonts w:ascii="宋体" w:hAnsi="宋体" w:cs="宋体"/>
          <w:sz w:val="28"/>
          <w:szCs w:val="28"/>
        </w:rPr>
      </w:pPr>
      <w:r>
        <w:rPr>
          <w:rFonts w:hint="eastAsia" w:ascii="宋体" w:hAnsi="宋体" w:cs="宋体"/>
          <w:sz w:val="28"/>
          <w:szCs w:val="28"/>
        </w:rPr>
        <w:t>丘陵区灌溉水源采用地表水，主要依托琵琶寺灌区、汤河灌区、瓦岗灌区以及五陵灌区的各级渠系，对渠系进行硬化、防渗处理、配套渠系建筑物等措施，部分地区可结合“五小水利工程”，使其满足灌溉需求。</w:t>
      </w:r>
    </w:p>
    <w:p>
      <w:pPr>
        <w:spacing w:line="360" w:lineRule="auto"/>
        <w:ind w:firstLine="560" w:firstLineChars="200"/>
        <w:rPr>
          <w:rFonts w:ascii="宋体" w:hAnsi="宋体" w:cs="宋体"/>
          <w:sz w:val="28"/>
          <w:szCs w:val="28"/>
        </w:rPr>
      </w:pPr>
      <w:r>
        <w:rPr>
          <w:rFonts w:hint="eastAsia" w:ascii="宋体" w:hAnsi="宋体" w:cs="宋体"/>
          <w:sz w:val="28"/>
          <w:szCs w:val="28"/>
        </w:rPr>
        <w:t>（1）农田平整建设。以适应农机作业、节水灌溉为基本标准，结合农田灌排体系、林网和田间道路布局，合理划分和适度归并田块，基本达到中型农机作业的田块要求，宜机化率达到90%以上。田面平整度水田格田内田面高差不超过±3厘米，水浇地畦田内田面高差不超过±5厘米。水浇地有效土层厚度达到80厘米以上，耕作层厚度大于25厘米。地面坡度为5～25°的坡耕地宜改造成水平梯田，梯田化率不宜低于90%。</w:t>
      </w:r>
    </w:p>
    <w:p>
      <w:pPr>
        <w:spacing w:line="360" w:lineRule="auto"/>
        <w:ind w:firstLine="560" w:firstLineChars="200"/>
        <w:rPr>
          <w:rFonts w:ascii="宋体" w:hAnsi="宋体" w:cs="宋体"/>
          <w:sz w:val="28"/>
          <w:szCs w:val="28"/>
        </w:rPr>
      </w:pPr>
      <w:r>
        <w:rPr>
          <w:rFonts w:hint="eastAsia" w:ascii="宋体" w:hAnsi="宋体" w:cs="宋体"/>
          <w:sz w:val="28"/>
          <w:szCs w:val="28"/>
        </w:rPr>
        <w:t>（2）灌溉工程建设。以旱能浇为基本标准，灌溉设计保证率保障中等干旱年农作物用水需求。水浇地灌溉设计保证率达到75%以上。优先考虑地表水灌溉，充分发挥已建成大中型灌区的灌溉条件，合理采用田间灌溉形式。因地制宜推广“五小水利工程”拦蓄雨洪资源互为补充工程模式。</w:t>
      </w:r>
    </w:p>
    <w:p>
      <w:pPr>
        <w:spacing w:line="360" w:lineRule="auto"/>
        <w:ind w:firstLine="560" w:firstLineChars="200"/>
        <w:rPr>
          <w:rFonts w:ascii="宋体" w:hAnsi="宋体" w:cs="宋体"/>
          <w:sz w:val="28"/>
          <w:szCs w:val="28"/>
        </w:rPr>
      </w:pPr>
      <w:r>
        <w:rPr>
          <w:rFonts w:hint="eastAsia" w:ascii="宋体" w:hAnsi="宋体" w:cs="宋体"/>
          <w:sz w:val="28"/>
          <w:szCs w:val="28"/>
        </w:rPr>
        <w:t>（3）排涝工程建设。按照涝能排的要求，完善排涝体系，总体上达到5年一遇排涝标准，做到一日暴雨三日排除。田间排涝沟道不低于3年一遇排涝标准。外排涝沟道达到5～10年一遇排涝标准。</w:t>
      </w:r>
    </w:p>
    <w:p>
      <w:pPr>
        <w:spacing w:line="360" w:lineRule="auto"/>
        <w:ind w:firstLine="560" w:firstLineChars="200"/>
        <w:rPr>
          <w:rFonts w:ascii="宋体" w:hAnsi="宋体" w:cs="宋体"/>
          <w:sz w:val="28"/>
          <w:szCs w:val="28"/>
        </w:rPr>
      </w:pPr>
      <w:r>
        <w:rPr>
          <w:rFonts w:hint="eastAsia" w:ascii="宋体" w:hAnsi="宋体" w:cs="宋体"/>
          <w:sz w:val="28"/>
          <w:szCs w:val="28"/>
        </w:rPr>
        <w:t>（4）田间道路建设。适应农业现代化需要，与田、水、林、电、路、村规划相衔接，统筹兼顾，满足中型农机田间作业要求。机耕路的路面宽度4米以上，生产路路面宽度控制在3米以内。</w:t>
      </w:r>
    </w:p>
    <w:p>
      <w:pPr>
        <w:spacing w:line="360" w:lineRule="auto"/>
        <w:ind w:firstLine="560" w:firstLineChars="200"/>
        <w:rPr>
          <w:rFonts w:ascii="宋体" w:hAnsi="宋体" w:cs="宋体"/>
          <w:sz w:val="28"/>
          <w:szCs w:val="28"/>
        </w:rPr>
      </w:pPr>
      <w:r>
        <w:rPr>
          <w:rFonts w:hint="eastAsia" w:ascii="宋体" w:hAnsi="宋体" w:cs="宋体"/>
          <w:sz w:val="28"/>
          <w:szCs w:val="28"/>
        </w:rPr>
        <w:t>（5）农田防护林网建设。适应农田适度规模化经营发展趋势，结合周边生态林、防护林、环村林防护条件，因地制宜利用道路、防洪沟道、田坎等种植生态防护林、多年生深根乔木，有效保护和改善农田生态环境。合理修筑岸坡防护、沟道治理、坡面防护等设施，提高水土保持和防洪能力。</w:t>
      </w:r>
    </w:p>
    <w:p>
      <w:pPr>
        <w:spacing w:line="360" w:lineRule="auto"/>
        <w:ind w:firstLine="560" w:firstLineChars="200"/>
        <w:rPr>
          <w:rFonts w:ascii="宋体" w:hAnsi="宋体" w:cs="宋体"/>
          <w:sz w:val="28"/>
          <w:szCs w:val="28"/>
        </w:rPr>
      </w:pPr>
      <w:r>
        <w:rPr>
          <w:rFonts w:hint="eastAsia" w:ascii="宋体" w:hAnsi="宋体" w:cs="宋体"/>
          <w:sz w:val="28"/>
          <w:szCs w:val="28"/>
        </w:rPr>
        <w:t>（6）科技措施。按照农田现代化建设要求，以科技措施基础化为导向，以数字农田建设为引领，充分发挥数字赋能作用，提高全要素生产率。配套推进人工影响天气保障系统建设，提高干旱抵御能力。推进农田基础设施装配化、集成化建设和经营管理自动化、智能化。充分利用县域或区域农业信息化平台及现有农业生产监测设施，通过完善补充达到网络互联互通、设施设备兼容、数据资源共享、操作程序便捷的标准。农田生产环境和耕地质量监测网络覆盖率达到100%。大力引进、应用、普及良机、良种、良法，科技普及率达到100%。</w:t>
      </w:r>
    </w:p>
    <w:p>
      <w:pPr>
        <w:spacing w:line="360" w:lineRule="auto"/>
        <w:ind w:firstLine="560" w:firstLineChars="200"/>
        <w:rPr>
          <w:rFonts w:ascii="宋体" w:hAnsi="宋体" w:cs="宋体"/>
          <w:sz w:val="28"/>
          <w:szCs w:val="28"/>
        </w:rPr>
      </w:pPr>
      <w:r>
        <w:rPr>
          <w:rFonts w:hint="eastAsia" w:ascii="宋体" w:hAnsi="宋体" w:cs="宋体"/>
          <w:sz w:val="28"/>
          <w:szCs w:val="28"/>
        </w:rPr>
        <w:t>（7）农田土壤质量提升。根据粮食生产和重要农产品生产规划，因地制宜通过综合措施提高耕地质量。通过2～3年的持续治理，达到高标准农田耕地质量和环境质量标准。土壤有机质含量丘陵区一般不低于12克/公斤，土壤pH值一般保持在6.0～7.5，盐碱区土壤pH值不超过8.5，耕地质量等级达到4.5等以上。</w:t>
      </w:r>
    </w:p>
    <w:p>
      <w:pPr>
        <w:spacing w:line="360" w:lineRule="auto"/>
        <w:ind w:firstLine="560" w:firstLineChars="200"/>
        <w:rPr>
          <w:rFonts w:ascii="Microsoft YaHei UI" w:hAnsi="Microsoft YaHei UI" w:eastAsia="Microsoft YaHei UI"/>
          <w:color w:val="222222"/>
          <w:spacing w:val="8"/>
          <w:sz w:val="26"/>
          <w:szCs w:val="26"/>
        </w:rPr>
      </w:pPr>
      <w:r>
        <w:rPr>
          <w:rFonts w:hint="eastAsia" w:ascii="宋体" w:hAnsi="宋体" w:cs="宋体"/>
          <w:sz w:val="28"/>
          <w:szCs w:val="28"/>
        </w:rPr>
        <w:t>土壤培肥主要通过增施有机肥、秸秆还田、种植绿肥、科学施用化肥等农艺和生物措施，使耕地基础地力保持或持续提高，使土壤有机质含量达到当地中值以上水平。高标准农田应持续实施测土配方施肥。</w:t>
      </w:r>
    </w:p>
    <w:p>
      <w:pPr>
        <w:pStyle w:val="3"/>
        <w:spacing w:before="0" w:after="0" w:line="360" w:lineRule="auto"/>
        <w:rPr>
          <w:rFonts w:asciiTheme="minorEastAsia" w:hAnsiTheme="minorEastAsia" w:eastAsiaTheme="minorEastAsia"/>
        </w:rPr>
      </w:pPr>
      <w:bookmarkStart w:id="152" w:name="_Toc144903185"/>
      <w:r>
        <w:rPr>
          <w:rFonts w:hint="eastAsia" w:asciiTheme="minorEastAsia" w:hAnsiTheme="minorEastAsia" w:eastAsiaTheme="minorEastAsia"/>
        </w:rPr>
        <w:t>8</w:t>
      </w:r>
      <w:r>
        <w:rPr>
          <w:rFonts w:asciiTheme="minorEastAsia" w:hAnsiTheme="minorEastAsia" w:eastAsiaTheme="minorEastAsia"/>
        </w:rPr>
        <w:t>.2</w:t>
      </w:r>
      <w:r>
        <w:rPr>
          <w:rFonts w:hint="eastAsia" w:asciiTheme="minorEastAsia" w:hAnsiTheme="minorEastAsia" w:eastAsiaTheme="minorEastAsia"/>
        </w:rPr>
        <w:t>平原区</w:t>
      </w:r>
      <w:bookmarkEnd w:id="152"/>
    </w:p>
    <w:p>
      <w:pPr>
        <w:spacing w:line="360" w:lineRule="auto"/>
        <w:ind w:firstLine="560" w:firstLineChars="200"/>
        <w:rPr>
          <w:rFonts w:ascii="宋体" w:hAnsi="宋体" w:cs="宋体"/>
          <w:sz w:val="28"/>
          <w:szCs w:val="28"/>
        </w:rPr>
      </w:pPr>
      <w:r>
        <w:rPr>
          <w:rFonts w:hint="eastAsia" w:ascii="宋体" w:hAnsi="宋体" w:cs="宋体"/>
          <w:sz w:val="28"/>
          <w:szCs w:val="28"/>
        </w:rPr>
        <w:t>（1）农田平整建设。以适应农机作业、节水灌溉为基本任务，结合农田灌排体系、林网和田间道路布局，合理划分和适度归并田块，基本达到大型农机作业的田块要求。田面平整度高差应不超过±5厘米。有效土层厚度应达到80厘米以上，耕作层厚度达到25厘米以上。宜机化率达到100%。</w:t>
      </w:r>
    </w:p>
    <w:p>
      <w:pPr>
        <w:spacing w:line="360" w:lineRule="auto"/>
        <w:ind w:firstLine="560" w:firstLineChars="200"/>
        <w:rPr>
          <w:rFonts w:ascii="宋体" w:hAnsi="宋体" w:cs="宋体"/>
          <w:sz w:val="28"/>
          <w:szCs w:val="28"/>
        </w:rPr>
      </w:pPr>
      <w:r>
        <w:rPr>
          <w:rFonts w:hint="eastAsia" w:ascii="宋体" w:hAnsi="宋体" w:cs="宋体"/>
          <w:sz w:val="28"/>
          <w:szCs w:val="28"/>
        </w:rPr>
        <w:t>（2）灌溉工程建设。以旱能浇为基本任务，灌溉设计保证率达到75%以上，保障中等干旱年农作物用水需求。优先考虑地表水灌溉，充分发挥已建成大中型灌区的灌溉条件，合理采用田间灌溉形式。全面推广高效节水灌溉生产方式，渠道防渗、管灌、喷灌等工程节水条件。平原井灌区大力推广管灌、喷灌等高效节水灌溉模式，适度规模化推广粮食作物水肥一体化灌溉模式。</w:t>
      </w:r>
    </w:p>
    <w:p>
      <w:pPr>
        <w:spacing w:line="360" w:lineRule="auto"/>
        <w:ind w:firstLine="560" w:firstLineChars="200"/>
        <w:rPr>
          <w:rFonts w:ascii="宋体" w:hAnsi="宋体" w:cs="宋体"/>
          <w:sz w:val="28"/>
          <w:szCs w:val="28"/>
        </w:rPr>
      </w:pPr>
      <w:r>
        <w:rPr>
          <w:rFonts w:hint="eastAsia" w:ascii="宋体" w:hAnsi="宋体" w:cs="宋体"/>
          <w:sz w:val="28"/>
          <w:szCs w:val="28"/>
        </w:rPr>
        <w:t>（3）排涝工程建设。以减少水涝灾害保稳产为基本任务，完善排涝体系，总体上达到5年一遇排涝标准，做到一日暴雨三日排除。田间排涝沟道不低于3年一遇排涝标准。外排涝沟道达到5～10年一遇排涝标准。</w:t>
      </w:r>
    </w:p>
    <w:p>
      <w:pPr>
        <w:spacing w:line="360" w:lineRule="auto"/>
        <w:ind w:firstLine="560" w:firstLineChars="200"/>
        <w:rPr>
          <w:rFonts w:ascii="宋体" w:hAnsi="宋体" w:cs="宋体"/>
          <w:sz w:val="28"/>
          <w:szCs w:val="28"/>
        </w:rPr>
      </w:pPr>
      <w:r>
        <w:rPr>
          <w:rFonts w:hint="eastAsia" w:ascii="宋体" w:hAnsi="宋体" w:cs="宋体"/>
          <w:sz w:val="28"/>
          <w:szCs w:val="28"/>
        </w:rPr>
        <w:t>（4）田间道路建设。适应大型农机具田间作业要求，田间道路通达度达到100%，机耕路的路面宽度4～</w:t>
      </w:r>
      <w:r>
        <w:rPr>
          <w:rFonts w:ascii="宋体" w:hAnsi="宋体" w:cs="宋体"/>
          <w:sz w:val="28"/>
          <w:szCs w:val="28"/>
        </w:rPr>
        <w:t>6</w:t>
      </w:r>
      <w:r>
        <w:rPr>
          <w:rFonts w:hint="eastAsia" w:ascii="宋体" w:hAnsi="宋体" w:cs="宋体"/>
          <w:sz w:val="28"/>
          <w:szCs w:val="28"/>
        </w:rPr>
        <w:t>米，生产路的路面宽度控制在3米以内。</w:t>
      </w:r>
    </w:p>
    <w:p>
      <w:pPr>
        <w:spacing w:line="360" w:lineRule="auto"/>
        <w:ind w:firstLine="560" w:firstLineChars="200"/>
        <w:rPr>
          <w:rFonts w:ascii="宋体" w:hAnsi="宋体" w:cs="宋体"/>
          <w:sz w:val="28"/>
          <w:szCs w:val="28"/>
        </w:rPr>
      </w:pPr>
      <w:r>
        <w:rPr>
          <w:rFonts w:hint="eastAsia" w:ascii="宋体" w:hAnsi="宋体" w:cs="宋体"/>
          <w:sz w:val="28"/>
          <w:szCs w:val="28"/>
        </w:rPr>
        <w:t>（5）农田防护林网建设。适应农田适度规模化经营发展趋势，在考虑周边生态林、防护林、环村林防护条件的同时，因地制宜，按照15～60公顷规划设计网格，有效保护和改善农田生态环境，农田防护控制率不低于90%。</w:t>
      </w:r>
    </w:p>
    <w:p>
      <w:pPr>
        <w:spacing w:line="360" w:lineRule="auto"/>
        <w:ind w:firstLine="560" w:firstLineChars="200"/>
        <w:rPr>
          <w:rFonts w:ascii="宋体" w:hAnsi="宋体" w:cs="宋体"/>
          <w:sz w:val="28"/>
          <w:szCs w:val="28"/>
        </w:rPr>
      </w:pPr>
      <w:r>
        <w:rPr>
          <w:rFonts w:hint="eastAsia" w:ascii="宋体" w:hAnsi="宋体" w:cs="宋体"/>
          <w:sz w:val="28"/>
          <w:szCs w:val="28"/>
        </w:rPr>
        <w:t>（6）科技措施。按照农田现代化建设要求，以数字农田建设为重点，充分发挥数字赋能作用，提高全要素生产率。充分利用县域或区域农业信息化平台及现有农业生产监测设施，通过完善补充达到网络互联互通、设施设备兼容、数据资源共享、操作程序便捷的标准。大力引进、应用、普及良机、良种、良法，科技普及率达到100%。</w:t>
      </w:r>
    </w:p>
    <w:p>
      <w:pPr>
        <w:spacing w:line="360" w:lineRule="auto"/>
        <w:ind w:firstLine="560" w:firstLineChars="200"/>
        <w:rPr>
          <w:rFonts w:ascii="宋体" w:hAnsi="宋体" w:cs="宋体"/>
          <w:sz w:val="28"/>
          <w:szCs w:val="28"/>
        </w:rPr>
      </w:pPr>
      <w:r>
        <w:rPr>
          <w:rFonts w:hint="eastAsia" w:ascii="宋体" w:hAnsi="宋体" w:cs="宋体"/>
          <w:sz w:val="28"/>
          <w:szCs w:val="28"/>
        </w:rPr>
        <w:t>（7）农田土壤质量提升。</w:t>
      </w:r>
    </w:p>
    <w:p>
      <w:pPr>
        <w:spacing w:line="360" w:lineRule="auto"/>
        <w:ind w:firstLine="560" w:firstLineChars="200"/>
        <w:rPr>
          <w:rFonts w:ascii="宋体" w:hAnsi="宋体" w:cs="宋体"/>
          <w:sz w:val="28"/>
          <w:szCs w:val="28"/>
        </w:rPr>
      </w:pPr>
      <w:r>
        <w:rPr>
          <w:rFonts w:hint="eastAsia" w:ascii="宋体" w:hAnsi="宋体" w:cs="宋体"/>
          <w:sz w:val="28"/>
          <w:szCs w:val="28"/>
        </w:rPr>
        <w:t>以农田肥沃健康为基本任务，通过2～3年的持续治理，达到高标准农田耕地质量和环境质量标准。土壤有机质含量平原区不低于1</w:t>
      </w:r>
      <w:r>
        <w:rPr>
          <w:rFonts w:ascii="宋体" w:hAnsi="宋体" w:cs="宋体"/>
          <w:sz w:val="28"/>
          <w:szCs w:val="28"/>
        </w:rPr>
        <w:t>5</w:t>
      </w:r>
      <w:r>
        <w:rPr>
          <w:rFonts w:hint="eastAsia" w:ascii="宋体" w:hAnsi="宋体" w:cs="宋体"/>
          <w:sz w:val="28"/>
          <w:szCs w:val="28"/>
        </w:rPr>
        <w:t>克/公斤（示范区不低于1</w:t>
      </w:r>
      <w:r>
        <w:rPr>
          <w:rFonts w:ascii="宋体" w:hAnsi="宋体" w:cs="宋体"/>
          <w:sz w:val="28"/>
          <w:szCs w:val="28"/>
        </w:rPr>
        <w:t>6</w:t>
      </w:r>
      <w:r>
        <w:rPr>
          <w:rFonts w:hint="eastAsia" w:ascii="宋体" w:hAnsi="宋体" w:cs="宋体"/>
          <w:sz w:val="28"/>
          <w:szCs w:val="28"/>
        </w:rPr>
        <w:t>克/公斤）、山地丘陵区不低于1</w:t>
      </w:r>
      <w:r>
        <w:rPr>
          <w:rFonts w:ascii="宋体" w:hAnsi="宋体" w:cs="宋体"/>
          <w:sz w:val="28"/>
          <w:szCs w:val="28"/>
        </w:rPr>
        <w:t>2</w:t>
      </w:r>
      <w:r>
        <w:rPr>
          <w:rFonts w:hint="eastAsia" w:ascii="宋体" w:hAnsi="宋体" w:cs="宋体"/>
          <w:sz w:val="28"/>
          <w:szCs w:val="28"/>
        </w:rPr>
        <w:t>克/公斤，土壤pH值一般保持在6.0～7.5，盐碱区土壤pH值不超过8.5（示范区不超过7</w:t>
      </w:r>
      <w:r>
        <w:rPr>
          <w:rFonts w:ascii="宋体" w:hAnsi="宋体" w:cs="宋体"/>
          <w:sz w:val="28"/>
          <w:szCs w:val="28"/>
        </w:rPr>
        <w:t>.5</w:t>
      </w:r>
      <w:r>
        <w:rPr>
          <w:rFonts w:hint="eastAsia" w:ascii="宋体" w:hAnsi="宋体" w:cs="宋体"/>
          <w:sz w:val="28"/>
          <w:szCs w:val="28"/>
        </w:rPr>
        <w:t>），耕地质量等级平原区应达到4等以上，山地丘陵区大道5等以上。</w:t>
      </w:r>
    </w:p>
    <w:p>
      <w:pPr>
        <w:spacing w:line="360" w:lineRule="auto"/>
        <w:ind w:firstLine="560" w:firstLineChars="200"/>
        <w:rPr>
          <w:rFonts w:ascii="宋体" w:hAnsi="宋体" w:cs="宋体"/>
          <w:sz w:val="28"/>
          <w:szCs w:val="28"/>
        </w:rPr>
      </w:pPr>
      <w:r>
        <w:rPr>
          <w:rFonts w:hint="eastAsia" w:ascii="宋体" w:hAnsi="宋体" w:cs="宋体"/>
          <w:sz w:val="28"/>
          <w:szCs w:val="28"/>
        </w:rPr>
        <w:t>土壤培肥主要通过增施有机肥、秸秆还田、种植绿肥、科学施用化肥等农艺和生物措施，使耕地基础地力保持或持续提高，使土壤有机质含量达到当地中值以上水平。高标准农田应持续实施测土配方施肥。</w:t>
      </w:r>
    </w:p>
    <w:p>
      <w:pPr>
        <w:spacing w:line="360" w:lineRule="auto"/>
        <w:ind w:firstLine="560" w:firstLineChars="200"/>
        <w:rPr>
          <w:rFonts w:ascii="宋体" w:hAnsi="宋体" w:cs="宋体"/>
          <w:sz w:val="28"/>
          <w:szCs w:val="28"/>
        </w:rPr>
      </w:pPr>
    </w:p>
    <w:p>
      <w:pPr>
        <w:pStyle w:val="25"/>
        <w:shd w:val="clear" w:color="auto" w:fill="FFFFFF"/>
        <w:spacing w:before="0" w:beforeAutospacing="0" w:after="360" w:afterAutospacing="0"/>
        <w:jc w:val="both"/>
        <w:rPr>
          <w:rFonts w:ascii="Microsoft YaHei UI" w:hAnsi="Microsoft YaHei UI" w:eastAsia="Microsoft YaHei UI"/>
          <w:color w:val="222222"/>
          <w:spacing w:val="8"/>
          <w:sz w:val="26"/>
          <w:szCs w:val="26"/>
        </w:rPr>
      </w:pP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153" w:name="_Toc144903186"/>
      <w:r>
        <w:rPr>
          <w:rFonts w:asciiTheme="minorEastAsia" w:hAnsiTheme="minorEastAsia" w:eastAsiaTheme="minorEastAsia"/>
          <w:b/>
          <w:sz w:val="36"/>
          <w:szCs w:val="36"/>
        </w:rPr>
        <w:t>9.</w:t>
      </w:r>
      <w:r>
        <w:rPr>
          <w:rFonts w:hint="eastAsia" w:asciiTheme="minorEastAsia" w:hAnsiTheme="minorEastAsia" w:eastAsiaTheme="minorEastAsia"/>
          <w:b/>
          <w:sz w:val="36"/>
          <w:szCs w:val="36"/>
        </w:rPr>
        <w:t>投资测算与资金筹措</w:t>
      </w:r>
      <w:bookmarkEnd w:id="153"/>
    </w:p>
    <w:p>
      <w:pPr>
        <w:pStyle w:val="3"/>
        <w:spacing w:before="0" w:after="0" w:line="360" w:lineRule="auto"/>
        <w:rPr>
          <w:rFonts w:asciiTheme="minorEastAsia" w:hAnsiTheme="minorEastAsia" w:eastAsiaTheme="minorEastAsia"/>
        </w:rPr>
      </w:pPr>
      <w:bookmarkStart w:id="154" w:name="_Toc144903187"/>
      <w:r>
        <w:rPr>
          <w:rFonts w:hint="eastAsia" w:asciiTheme="minorEastAsia" w:hAnsiTheme="minorEastAsia" w:eastAsiaTheme="minorEastAsia"/>
        </w:rPr>
        <w:t>9</w:t>
      </w:r>
      <w:r>
        <w:rPr>
          <w:rFonts w:asciiTheme="minorEastAsia" w:hAnsiTheme="minorEastAsia" w:eastAsiaTheme="minorEastAsia"/>
        </w:rPr>
        <w:t xml:space="preserve">.1 </w:t>
      </w:r>
      <w:r>
        <w:rPr>
          <w:rFonts w:hint="eastAsia" w:asciiTheme="minorEastAsia" w:hAnsiTheme="minorEastAsia" w:eastAsiaTheme="minorEastAsia"/>
        </w:rPr>
        <w:t>投资测算</w:t>
      </w:r>
      <w:bookmarkEnd w:id="154"/>
    </w:p>
    <w:p>
      <w:pPr>
        <w:spacing w:line="360" w:lineRule="auto"/>
        <w:ind w:firstLine="560" w:firstLineChars="200"/>
        <w:rPr>
          <w:rFonts w:ascii="宋体" w:hAnsi="宋体" w:cs="宋体"/>
          <w:sz w:val="28"/>
          <w:szCs w:val="28"/>
        </w:rPr>
      </w:pPr>
      <w:r>
        <w:rPr>
          <w:rFonts w:hint="eastAsia" w:ascii="宋体" w:hAnsi="宋体" w:cs="宋体"/>
          <w:sz w:val="28"/>
          <w:szCs w:val="28"/>
        </w:rPr>
        <w:t>项目规划主要建设内容为田块整治、土壤改良、灌溉和排水、田间道路、农田防护和生态环境保护、农田输配电、科技服务等。</w:t>
      </w:r>
    </w:p>
    <w:p>
      <w:pPr>
        <w:spacing w:line="360" w:lineRule="auto"/>
        <w:ind w:firstLine="560" w:firstLineChars="200"/>
        <w:rPr>
          <w:rFonts w:ascii="宋体" w:hAnsi="宋体" w:cs="宋体"/>
          <w:sz w:val="28"/>
          <w:szCs w:val="28"/>
        </w:rPr>
      </w:pPr>
      <w:r>
        <w:rPr>
          <w:rFonts w:hint="eastAsia" w:ascii="宋体" w:hAnsi="宋体" w:cs="宋体"/>
          <w:sz w:val="28"/>
          <w:szCs w:val="28"/>
        </w:rPr>
        <w:t>本规划投资匡算按照《河南省水利水电工程设计概（估）算编制规定》（豫水建〔2017〕1号）及《河南省水利水电工程概预算定额》（豫水建〔2006〕52号），结合不同类型区的典型调查和典型设计，确定各项建设内容综合单价，然后计算总价。</w:t>
      </w:r>
    </w:p>
    <w:p>
      <w:pPr>
        <w:spacing w:line="360" w:lineRule="auto"/>
        <w:ind w:firstLine="560" w:firstLineChars="200"/>
        <w:rPr>
          <w:rFonts w:ascii="宋体" w:hAnsi="宋体" w:cs="宋体"/>
          <w:sz w:val="28"/>
          <w:szCs w:val="28"/>
        </w:rPr>
      </w:pPr>
      <w:r>
        <w:rPr>
          <w:rFonts w:hint="eastAsia" w:ascii="宋体" w:hAnsi="宋体" w:cs="宋体"/>
          <w:sz w:val="28"/>
          <w:szCs w:val="28"/>
        </w:rPr>
        <w:t>项目规划年度为2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年，涉及耕地面积53.15万亩，4</w:t>
      </w:r>
      <w:r>
        <w:rPr>
          <w:rFonts w:ascii="宋体" w:hAnsi="宋体" w:cs="宋体"/>
          <w:sz w:val="28"/>
          <w:szCs w:val="28"/>
        </w:rPr>
        <w:t>48871</w:t>
      </w:r>
      <w:r>
        <w:rPr>
          <w:rFonts w:hint="eastAsia" w:ascii="宋体" w:hAnsi="宋体" w:cs="宋体"/>
          <w:sz w:val="28"/>
          <w:szCs w:val="28"/>
        </w:rPr>
        <w:t>人，建设投资2</w:t>
      </w:r>
      <w:r>
        <w:rPr>
          <w:rFonts w:ascii="宋体" w:hAnsi="宋体" w:cs="宋体"/>
          <w:sz w:val="28"/>
          <w:szCs w:val="28"/>
        </w:rPr>
        <w:t>021</w:t>
      </w:r>
      <w:r>
        <w:rPr>
          <w:rFonts w:hint="eastAsia" w:ascii="宋体" w:hAnsi="宋体" w:cs="宋体"/>
          <w:sz w:val="28"/>
          <w:szCs w:val="28"/>
        </w:rPr>
        <w:t>年取1</w:t>
      </w:r>
      <w:r>
        <w:rPr>
          <w:rFonts w:ascii="宋体" w:hAnsi="宋体" w:cs="宋体"/>
          <w:sz w:val="28"/>
          <w:szCs w:val="28"/>
        </w:rPr>
        <w:t>500</w:t>
      </w:r>
      <w:r>
        <w:rPr>
          <w:rFonts w:hint="eastAsia" w:ascii="宋体" w:hAnsi="宋体" w:cs="宋体"/>
          <w:sz w:val="28"/>
          <w:szCs w:val="28"/>
        </w:rPr>
        <w:t>元/亩，</w:t>
      </w:r>
      <w:r>
        <w:rPr>
          <w:rFonts w:ascii="宋体" w:hAnsi="宋体" w:cs="宋体"/>
          <w:sz w:val="28"/>
          <w:szCs w:val="28"/>
        </w:rPr>
        <w:t>2022</w:t>
      </w:r>
      <w:r>
        <w:rPr>
          <w:rFonts w:hint="eastAsia" w:ascii="宋体" w:hAnsi="宋体" w:cs="宋体"/>
          <w:sz w:val="28"/>
          <w:szCs w:val="28"/>
        </w:rPr>
        <w:t>年取1</w:t>
      </w:r>
      <w:r>
        <w:rPr>
          <w:rFonts w:ascii="宋体" w:hAnsi="宋体" w:cs="宋体"/>
          <w:sz w:val="28"/>
          <w:szCs w:val="28"/>
        </w:rPr>
        <w:t>600</w:t>
      </w:r>
      <w:r>
        <w:rPr>
          <w:rFonts w:hint="eastAsia" w:ascii="宋体" w:hAnsi="宋体" w:cs="宋体"/>
          <w:sz w:val="28"/>
          <w:szCs w:val="28"/>
        </w:rPr>
        <w:t>元/亩，2</w:t>
      </w:r>
      <w:r>
        <w:rPr>
          <w:rFonts w:ascii="宋体" w:hAnsi="宋体" w:cs="宋体"/>
          <w:sz w:val="28"/>
          <w:szCs w:val="28"/>
        </w:rPr>
        <w:t>023</w:t>
      </w:r>
      <w:r>
        <w:rPr>
          <w:rFonts w:hint="eastAsia" w:ascii="宋体" w:hAnsi="宋体" w:cs="宋体"/>
          <w:sz w:val="28"/>
          <w:szCs w:val="28"/>
        </w:rPr>
        <w:t>年取2</w:t>
      </w:r>
      <w:r>
        <w:rPr>
          <w:rFonts w:ascii="宋体" w:hAnsi="宋体" w:cs="宋体"/>
          <w:sz w:val="28"/>
          <w:szCs w:val="28"/>
        </w:rPr>
        <w:t>000</w:t>
      </w:r>
      <w:r>
        <w:rPr>
          <w:rFonts w:hint="eastAsia" w:ascii="宋体" w:hAnsi="宋体" w:cs="宋体"/>
          <w:sz w:val="28"/>
          <w:szCs w:val="28"/>
        </w:rPr>
        <w:t>元/亩，2</w:t>
      </w:r>
      <w:r>
        <w:rPr>
          <w:rFonts w:ascii="宋体" w:hAnsi="宋体" w:cs="宋体"/>
          <w:sz w:val="28"/>
          <w:szCs w:val="28"/>
        </w:rPr>
        <w:t>024</w:t>
      </w:r>
      <w:r>
        <w:rPr>
          <w:rFonts w:hint="eastAsia" w:ascii="宋体" w:hAnsi="宋体" w:cs="宋体"/>
          <w:sz w:val="28"/>
          <w:szCs w:val="28"/>
        </w:rPr>
        <w:t>年取2</w:t>
      </w:r>
      <w:r>
        <w:rPr>
          <w:rFonts w:ascii="宋体" w:hAnsi="宋体" w:cs="宋体"/>
          <w:sz w:val="28"/>
          <w:szCs w:val="28"/>
        </w:rPr>
        <w:t>500</w:t>
      </w:r>
      <w:r>
        <w:rPr>
          <w:rFonts w:hint="eastAsia" w:ascii="宋体" w:hAnsi="宋体" w:cs="宋体"/>
          <w:sz w:val="28"/>
          <w:szCs w:val="28"/>
        </w:rPr>
        <w:t>元/亩，2</w:t>
      </w:r>
      <w:r>
        <w:rPr>
          <w:rFonts w:ascii="宋体" w:hAnsi="宋体" w:cs="宋体"/>
          <w:sz w:val="28"/>
          <w:szCs w:val="28"/>
        </w:rPr>
        <w:t>025</w:t>
      </w:r>
      <w:r>
        <w:rPr>
          <w:rFonts w:hint="eastAsia" w:ascii="宋体" w:hAnsi="宋体" w:cs="宋体"/>
          <w:sz w:val="28"/>
          <w:szCs w:val="28"/>
        </w:rPr>
        <w:t>年取3</w:t>
      </w:r>
      <w:r>
        <w:rPr>
          <w:rFonts w:ascii="宋体" w:hAnsi="宋体" w:cs="宋体"/>
          <w:sz w:val="28"/>
          <w:szCs w:val="28"/>
        </w:rPr>
        <w:t>000</w:t>
      </w:r>
      <w:r>
        <w:rPr>
          <w:rFonts w:hint="eastAsia" w:ascii="宋体" w:hAnsi="宋体" w:cs="宋体"/>
          <w:sz w:val="28"/>
          <w:szCs w:val="28"/>
        </w:rPr>
        <w:t>元/亩，2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年取3</w:t>
      </w:r>
      <w:r>
        <w:rPr>
          <w:rFonts w:ascii="宋体" w:hAnsi="宋体" w:cs="宋体"/>
          <w:sz w:val="28"/>
          <w:szCs w:val="28"/>
        </w:rPr>
        <w:t>000</w:t>
      </w:r>
      <w:r>
        <w:rPr>
          <w:rFonts w:hint="eastAsia" w:ascii="宋体" w:hAnsi="宋体" w:cs="宋体"/>
          <w:sz w:val="28"/>
          <w:szCs w:val="28"/>
        </w:rPr>
        <w:t>元/亩。</w:t>
      </w:r>
    </w:p>
    <w:p>
      <w:pPr>
        <w:spacing w:line="360" w:lineRule="auto"/>
        <w:ind w:firstLine="560" w:firstLineChars="200"/>
        <w:rPr>
          <w:rFonts w:ascii="宋体" w:hAnsi="宋体" w:cs="宋体"/>
          <w:sz w:val="28"/>
          <w:szCs w:val="28"/>
        </w:rPr>
      </w:pPr>
      <w:r>
        <w:rPr>
          <w:rFonts w:hint="eastAsia" w:ascii="宋体" w:hAnsi="宋体" w:cs="宋体"/>
          <w:sz w:val="28"/>
          <w:szCs w:val="28"/>
        </w:rPr>
        <w:t>规划建设总投资</w:t>
      </w:r>
      <w:r>
        <w:rPr>
          <w:rFonts w:ascii="宋体" w:hAnsi="宋体" w:cs="宋体"/>
          <w:sz w:val="28"/>
          <w:szCs w:val="28"/>
        </w:rPr>
        <w:t>143839</w:t>
      </w:r>
      <w:r>
        <w:rPr>
          <w:rFonts w:hint="eastAsia" w:ascii="宋体" w:hAnsi="宋体" w:cs="宋体"/>
          <w:sz w:val="28"/>
          <w:szCs w:val="28"/>
        </w:rPr>
        <w:t>万元，其中2</w:t>
      </w:r>
      <w:r>
        <w:rPr>
          <w:rFonts w:ascii="宋体" w:hAnsi="宋体" w:cs="宋体"/>
          <w:sz w:val="28"/>
          <w:szCs w:val="28"/>
        </w:rPr>
        <w:t>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年新建、提升改造面积</w:t>
      </w:r>
      <w:r>
        <w:rPr>
          <w:rFonts w:ascii="宋体" w:hAnsi="宋体" w:cs="宋体"/>
          <w:sz w:val="28"/>
          <w:szCs w:val="28"/>
        </w:rPr>
        <w:t>20.13</w:t>
      </w:r>
      <w:r>
        <w:rPr>
          <w:rFonts w:hint="eastAsia" w:ascii="宋体" w:hAnsi="宋体" w:cs="宋体"/>
          <w:sz w:val="28"/>
          <w:szCs w:val="28"/>
        </w:rPr>
        <w:t>万亩，建设投资</w:t>
      </w:r>
      <w:r>
        <w:rPr>
          <w:rFonts w:ascii="宋体" w:hAnsi="宋体" w:cs="宋体"/>
          <w:sz w:val="28"/>
          <w:szCs w:val="28"/>
        </w:rPr>
        <w:t>44779</w:t>
      </w:r>
      <w:r>
        <w:rPr>
          <w:rFonts w:hint="eastAsia" w:ascii="宋体" w:hAnsi="宋体" w:cs="宋体"/>
          <w:sz w:val="28"/>
          <w:szCs w:val="28"/>
        </w:rPr>
        <w:t>万元；2</w:t>
      </w:r>
      <w:r>
        <w:rPr>
          <w:rFonts w:ascii="宋体" w:hAnsi="宋体" w:cs="宋体"/>
          <w:sz w:val="28"/>
          <w:szCs w:val="28"/>
        </w:rPr>
        <w:t>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年发展高标准农田面积33.02万亩，建设投资</w:t>
      </w:r>
      <w:r>
        <w:rPr>
          <w:rFonts w:ascii="宋体" w:hAnsi="宋体" w:cs="宋体"/>
          <w:sz w:val="28"/>
          <w:szCs w:val="28"/>
        </w:rPr>
        <w:t>99060</w:t>
      </w:r>
      <w:r>
        <w:rPr>
          <w:rFonts w:hint="eastAsia" w:ascii="宋体" w:hAnsi="宋体" w:cs="宋体"/>
          <w:sz w:val="28"/>
          <w:szCs w:val="28"/>
        </w:rPr>
        <w:t>万元。详见下表：</w:t>
      </w: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表9</w:t>
      </w:r>
      <w:r>
        <w:rPr>
          <w:rFonts w:ascii="宋体" w:hAnsi="宋体" w:cs="宋体"/>
          <w:sz w:val="28"/>
          <w:szCs w:val="28"/>
        </w:rPr>
        <w:t>.1</w:t>
      </w:r>
      <w:r>
        <w:rPr>
          <w:rFonts w:hint="eastAsia" w:ascii="宋体" w:hAnsi="宋体" w:cs="宋体"/>
          <w:sz w:val="28"/>
          <w:szCs w:val="28"/>
        </w:rPr>
        <w:t>-</w:t>
      </w:r>
      <w:r>
        <w:rPr>
          <w:rFonts w:ascii="宋体" w:hAnsi="宋体" w:cs="宋体"/>
          <w:sz w:val="28"/>
          <w:szCs w:val="28"/>
        </w:rPr>
        <w:t xml:space="preserve">1 </w:t>
      </w:r>
      <w:r>
        <w:rPr>
          <w:rFonts w:hint="eastAsia" w:ascii="宋体" w:hAnsi="宋体" w:cs="宋体"/>
          <w:sz w:val="28"/>
          <w:szCs w:val="28"/>
        </w:rPr>
        <w:t>汤阴县</w:t>
      </w:r>
      <w:r>
        <w:rPr>
          <w:rFonts w:ascii="宋体" w:hAnsi="宋体" w:cs="宋体"/>
          <w:sz w:val="28"/>
          <w:szCs w:val="28"/>
        </w:rPr>
        <w:t>2021</w:t>
      </w:r>
      <w:r>
        <w:rPr>
          <w:rFonts w:hint="eastAsia" w:ascii="宋体" w:hAnsi="宋体" w:cs="宋体"/>
          <w:sz w:val="28"/>
          <w:szCs w:val="28"/>
        </w:rPr>
        <w:t>-</w:t>
      </w:r>
      <w:r>
        <w:rPr>
          <w:rFonts w:ascii="宋体" w:hAnsi="宋体" w:cs="宋体"/>
          <w:sz w:val="28"/>
          <w:szCs w:val="28"/>
        </w:rPr>
        <w:t>2025</w:t>
      </w:r>
      <w:r>
        <w:rPr>
          <w:rFonts w:hint="eastAsia" w:ascii="宋体" w:hAnsi="宋体" w:cs="宋体"/>
          <w:sz w:val="28"/>
          <w:szCs w:val="28"/>
        </w:rPr>
        <w:t>年投资测算表</w:t>
      </w:r>
    </w:p>
    <w:tbl>
      <w:tblPr>
        <w:tblStyle w:val="26"/>
        <w:tblW w:w="5033" w:type="pct"/>
        <w:tblInd w:w="0" w:type="dxa"/>
        <w:tblLayout w:type="autofit"/>
        <w:tblCellMar>
          <w:top w:w="0" w:type="dxa"/>
          <w:left w:w="108" w:type="dxa"/>
          <w:bottom w:w="0" w:type="dxa"/>
          <w:right w:w="108" w:type="dxa"/>
        </w:tblCellMar>
      </w:tblPr>
      <w:tblGrid>
        <w:gridCol w:w="679"/>
        <w:gridCol w:w="1343"/>
        <w:gridCol w:w="811"/>
        <w:gridCol w:w="3029"/>
        <w:gridCol w:w="809"/>
        <w:gridCol w:w="809"/>
        <w:gridCol w:w="1755"/>
      </w:tblGrid>
      <w:tr>
        <w:tblPrEx>
          <w:tblCellMar>
            <w:top w:w="0" w:type="dxa"/>
            <w:left w:w="108" w:type="dxa"/>
            <w:bottom w:w="0" w:type="dxa"/>
            <w:right w:w="108" w:type="dxa"/>
          </w:tblCellMar>
        </w:tblPrEx>
        <w:trPr>
          <w:trHeight w:val="579" w:hRule="atLeast"/>
          <w:tblHeader/>
        </w:trPr>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年份</w:t>
            </w:r>
          </w:p>
        </w:tc>
        <w:tc>
          <w:tcPr>
            <w:tcW w:w="7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高标准农田</w:t>
            </w:r>
            <w:r>
              <w:rPr>
                <w:color w:val="000000"/>
                <w:kern w:val="0"/>
                <w:szCs w:val="21"/>
              </w:rPr>
              <w:t>/</w:t>
            </w:r>
            <w:r>
              <w:rPr>
                <w:rFonts w:hint="eastAsia" w:ascii="宋体" w:hAnsi="宋体" w:cs="宋体"/>
                <w:color w:val="000000"/>
                <w:kern w:val="0"/>
                <w:szCs w:val="21"/>
              </w:rPr>
              <w:t>提升改造</w:t>
            </w:r>
          </w:p>
        </w:tc>
        <w:tc>
          <w:tcPr>
            <w:tcW w:w="43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建设面积</w:t>
            </w:r>
          </w:p>
        </w:tc>
        <w:tc>
          <w:tcPr>
            <w:tcW w:w="164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建设内容</w:t>
            </w:r>
          </w:p>
        </w:tc>
        <w:tc>
          <w:tcPr>
            <w:tcW w:w="4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4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w:t>
            </w:r>
          </w:p>
        </w:tc>
        <w:tc>
          <w:tcPr>
            <w:tcW w:w="9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投资（万元）</w:t>
            </w:r>
          </w:p>
        </w:tc>
      </w:tr>
      <w:tr>
        <w:tblPrEx>
          <w:tblCellMar>
            <w:top w:w="0" w:type="dxa"/>
            <w:left w:w="108" w:type="dxa"/>
            <w:bottom w:w="0" w:type="dxa"/>
            <w:right w:w="108" w:type="dxa"/>
          </w:tblCellMar>
        </w:tblPrEx>
        <w:trPr>
          <w:trHeight w:val="314"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2021年</w:t>
            </w:r>
          </w:p>
        </w:tc>
        <w:tc>
          <w:tcPr>
            <w:tcW w:w="72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高标准农田</w:t>
            </w:r>
          </w:p>
        </w:tc>
        <w:tc>
          <w:tcPr>
            <w:tcW w:w="4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0.64</w:t>
            </w: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color w:val="000000"/>
                <w:szCs w:val="21"/>
              </w:rPr>
              <w:t xml:space="preserve">432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color w:val="000000"/>
                <w:szCs w:val="21"/>
              </w:rPr>
              <w:t xml:space="preserve">378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color w:val="000000"/>
                <w:szCs w:val="21"/>
              </w:rPr>
              <w:t xml:space="preserve">77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color w:val="000000"/>
                <w:szCs w:val="21"/>
              </w:rPr>
              <w:t xml:space="preserve">72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color w:val="000000"/>
                <w:szCs w:val="21"/>
              </w:rPr>
              <w:t xml:space="preserve">960 </w:t>
            </w:r>
          </w:p>
        </w:tc>
      </w:tr>
      <w:tr>
        <w:tblPrEx>
          <w:tblCellMar>
            <w:top w:w="0" w:type="dxa"/>
            <w:left w:w="108" w:type="dxa"/>
            <w:bottom w:w="0" w:type="dxa"/>
            <w:right w:w="108" w:type="dxa"/>
          </w:tblCellMar>
        </w:tblPrEx>
        <w:trPr>
          <w:trHeight w:val="314"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2022</w:t>
            </w:r>
            <w:r>
              <w:rPr>
                <w:rFonts w:hint="eastAsia" w:ascii="宋体" w:hAnsi="宋体"/>
                <w:color w:val="000000"/>
                <w:kern w:val="0"/>
                <w:szCs w:val="21"/>
              </w:rPr>
              <w:t>年</w:t>
            </w:r>
          </w:p>
        </w:tc>
        <w:tc>
          <w:tcPr>
            <w:tcW w:w="72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高标准农田</w:t>
            </w:r>
          </w:p>
        </w:tc>
        <w:tc>
          <w:tcPr>
            <w:tcW w:w="4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2.64</w:t>
            </w: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2212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1549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96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76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292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4224 </w:t>
            </w:r>
          </w:p>
        </w:tc>
      </w:tr>
      <w:tr>
        <w:tblPrEx>
          <w:tblCellMar>
            <w:top w:w="0" w:type="dxa"/>
            <w:left w:w="108" w:type="dxa"/>
            <w:bottom w:w="0" w:type="dxa"/>
            <w:right w:w="108" w:type="dxa"/>
          </w:tblCellMar>
        </w:tblPrEx>
        <w:trPr>
          <w:trHeight w:val="314"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2023</w:t>
            </w:r>
            <w:r>
              <w:rPr>
                <w:rFonts w:hint="eastAsia" w:ascii="宋体" w:hAnsi="宋体"/>
                <w:color w:val="000000"/>
                <w:kern w:val="0"/>
                <w:szCs w:val="21"/>
              </w:rPr>
              <w:t>年</w:t>
            </w:r>
          </w:p>
        </w:tc>
        <w:tc>
          <w:tcPr>
            <w:tcW w:w="72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10.39</w:t>
            </w: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50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12470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4559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154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1402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2195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20780 </w:t>
            </w:r>
          </w:p>
        </w:tc>
      </w:tr>
      <w:tr>
        <w:tblPrEx>
          <w:tblCellMar>
            <w:top w:w="0" w:type="dxa"/>
            <w:left w:w="108" w:type="dxa"/>
            <w:bottom w:w="0" w:type="dxa"/>
            <w:right w:w="108" w:type="dxa"/>
          </w:tblCellMar>
        </w:tblPrEx>
        <w:trPr>
          <w:trHeight w:val="314"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2024</w:t>
            </w:r>
            <w:r>
              <w:rPr>
                <w:rFonts w:hint="eastAsia" w:ascii="宋体" w:hAnsi="宋体"/>
                <w:color w:val="000000"/>
                <w:kern w:val="0"/>
                <w:szCs w:val="21"/>
              </w:rPr>
              <w:t>年</w:t>
            </w:r>
          </w:p>
        </w:tc>
        <w:tc>
          <w:tcPr>
            <w:tcW w:w="72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1.13</w:t>
            </w: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113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113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1223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917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31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122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306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2825 </w:t>
            </w:r>
          </w:p>
        </w:tc>
      </w:tr>
      <w:tr>
        <w:tblPrEx>
          <w:tblCellMar>
            <w:top w:w="0" w:type="dxa"/>
            <w:left w:w="108" w:type="dxa"/>
            <w:bottom w:w="0" w:type="dxa"/>
            <w:right w:w="108" w:type="dxa"/>
          </w:tblCellMar>
        </w:tblPrEx>
        <w:trPr>
          <w:trHeight w:val="314" w:hRule="atLeast"/>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2025</w:t>
            </w:r>
            <w:r>
              <w:rPr>
                <w:rFonts w:hint="eastAsia" w:ascii="宋体" w:hAnsi="宋体"/>
                <w:color w:val="000000"/>
                <w:kern w:val="0"/>
                <w:szCs w:val="21"/>
              </w:rPr>
              <w:t>年</w:t>
            </w:r>
          </w:p>
        </w:tc>
        <w:tc>
          <w:tcPr>
            <w:tcW w:w="72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4.24</w:t>
            </w: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533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533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7041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5281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176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666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1760 </w:t>
            </w:r>
          </w:p>
        </w:tc>
      </w:tr>
      <w:tr>
        <w:tblPrEx>
          <w:tblCellMar>
            <w:top w:w="0" w:type="dxa"/>
            <w:left w:w="108" w:type="dxa"/>
            <w:bottom w:w="0" w:type="dxa"/>
            <w:right w:w="108" w:type="dxa"/>
          </w:tblCellMar>
        </w:tblPrEx>
        <w:trPr>
          <w:trHeight w:val="314" w:hRule="atLeast"/>
        </w:trPr>
        <w:tc>
          <w:tcPr>
            <w:tcW w:w="368"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72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39" w:type="pct"/>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Cs w:val="21"/>
              </w:rPr>
            </w:pPr>
          </w:p>
        </w:tc>
        <w:tc>
          <w:tcPr>
            <w:tcW w:w="164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szCs w:val="21"/>
              </w:rPr>
              <w:t xml:space="preserve">15990 </w:t>
            </w:r>
          </w:p>
        </w:tc>
      </w:tr>
      <w:tr>
        <w:tblPrEx>
          <w:tblCellMar>
            <w:top w:w="0" w:type="dxa"/>
            <w:left w:w="108" w:type="dxa"/>
            <w:bottom w:w="0" w:type="dxa"/>
            <w:right w:w="108" w:type="dxa"/>
          </w:tblCellMar>
        </w:tblPrEx>
        <w:trPr>
          <w:trHeight w:val="314" w:hRule="atLeast"/>
        </w:trPr>
        <w:tc>
          <w:tcPr>
            <w:tcW w:w="153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总计</w:t>
            </w:r>
          </w:p>
        </w:tc>
        <w:tc>
          <w:tcPr>
            <w:tcW w:w="2078"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44779</w:t>
            </w:r>
          </w:p>
        </w:tc>
      </w:tr>
      <w:tr>
        <w:tblPrEx>
          <w:tblCellMar>
            <w:top w:w="0" w:type="dxa"/>
            <w:left w:w="108" w:type="dxa"/>
            <w:bottom w:w="0" w:type="dxa"/>
            <w:right w:w="108" w:type="dxa"/>
          </w:tblCellMar>
        </w:tblPrEx>
        <w:trPr>
          <w:trHeight w:val="314"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等线"/>
                <w:color w:val="000000"/>
                <w:kern w:val="0"/>
                <w:szCs w:val="21"/>
              </w:rPr>
            </w:pPr>
            <w:r>
              <w:rPr>
                <w:rFonts w:eastAsia="等线"/>
                <w:color w:val="000000"/>
                <w:kern w:val="0"/>
                <w:szCs w:val="21"/>
              </w:rPr>
              <w:t>2021-2025</w:t>
            </w:r>
            <w:r>
              <w:rPr>
                <w:rFonts w:hint="eastAsia" w:ascii="宋体" w:hAnsi="宋体"/>
                <w:color w:val="000000"/>
                <w:kern w:val="0"/>
                <w:szCs w:val="21"/>
              </w:rPr>
              <w:t>年之间发展高标准农田面积</w:t>
            </w:r>
            <w:r>
              <w:rPr>
                <w:rFonts w:eastAsia="等线"/>
                <w:color w:val="000000"/>
                <w:kern w:val="0"/>
                <w:szCs w:val="21"/>
              </w:rPr>
              <w:t>20.13</w:t>
            </w:r>
            <w:r>
              <w:rPr>
                <w:rFonts w:hint="eastAsia" w:ascii="宋体" w:hAnsi="宋体"/>
                <w:color w:val="000000"/>
                <w:kern w:val="0"/>
                <w:szCs w:val="21"/>
              </w:rPr>
              <w:t>万亩，投资</w:t>
            </w:r>
            <w:r>
              <w:rPr>
                <w:rFonts w:eastAsia="等线"/>
                <w:color w:val="000000"/>
                <w:kern w:val="0"/>
                <w:szCs w:val="21"/>
              </w:rPr>
              <w:t>44779</w:t>
            </w:r>
            <w:r>
              <w:rPr>
                <w:rFonts w:hint="eastAsia" w:ascii="宋体" w:hAnsi="宋体"/>
                <w:color w:val="000000"/>
                <w:kern w:val="0"/>
                <w:szCs w:val="21"/>
              </w:rPr>
              <w:t>万元</w:t>
            </w:r>
          </w:p>
        </w:tc>
      </w:tr>
    </w:tbl>
    <w:p>
      <w:pPr>
        <w:snapToGrid w:val="0"/>
        <w:ind w:firstLine="560" w:firstLineChars="200"/>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p>
    <w:p>
      <w:pPr>
        <w:snapToGrid w:val="0"/>
        <w:ind w:firstLine="560" w:firstLineChars="200"/>
        <w:jc w:val="center"/>
        <w:rPr>
          <w:rFonts w:ascii="宋体" w:hAnsi="宋体" w:cs="宋体"/>
          <w:sz w:val="28"/>
          <w:szCs w:val="28"/>
        </w:rPr>
      </w:pPr>
      <w:r>
        <w:rPr>
          <w:rFonts w:hint="eastAsia" w:ascii="宋体" w:hAnsi="宋体" w:cs="宋体"/>
          <w:sz w:val="28"/>
          <w:szCs w:val="28"/>
        </w:rPr>
        <w:t>表9</w:t>
      </w:r>
      <w:r>
        <w:rPr>
          <w:rFonts w:ascii="宋体" w:hAnsi="宋体" w:cs="宋体"/>
          <w:sz w:val="28"/>
          <w:szCs w:val="28"/>
        </w:rPr>
        <w:t>.1</w:t>
      </w:r>
      <w:r>
        <w:rPr>
          <w:rFonts w:hint="eastAsia" w:ascii="宋体" w:hAnsi="宋体" w:cs="宋体"/>
          <w:sz w:val="28"/>
          <w:szCs w:val="28"/>
        </w:rPr>
        <w:t>-</w:t>
      </w:r>
      <w:r>
        <w:rPr>
          <w:rFonts w:ascii="宋体" w:hAnsi="宋体" w:cs="宋体"/>
          <w:sz w:val="28"/>
          <w:szCs w:val="28"/>
        </w:rPr>
        <w:t xml:space="preserve">2 </w:t>
      </w:r>
      <w:r>
        <w:rPr>
          <w:rFonts w:hint="eastAsia" w:ascii="宋体" w:hAnsi="宋体" w:cs="宋体"/>
          <w:sz w:val="28"/>
          <w:szCs w:val="28"/>
        </w:rPr>
        <w:t>汤阴县</w:t>
      </w:r>
      <w:r>
        <w:rPr>
          <w:rFonts w:ascii="宋体" w:hAnsi="宋体" w:cs="宋体"/>
          <w:sz w:val="28"/>
          <w:szCs w:val="28"/>
        </w:rPr>
        <w:t>2026</w:t>
      </w:r>
      <w:r>
        <w:rPr>
          <w:rFonts w:hint="eastAsia" w:ascii="宋体" w:hAnsi="宋体" w:cs="宋体"/>
          <w:sz w:val="28"/>
          <w:szCs w:val="28"/>
        </w:rPr>
        <w:t>-</w:t>
      </w:r>
      <w:r>
        <w:rPr>
          <w:rFonts w:ascii="宋体" w:hAnsi="宋体" w:cs="宋体"/>
          <w:sz w:val="28"/>
          <w:szCs w:val="28"/>
        </w:rPr>
        <w:t>2030</w:t>
      </w:r>
      <w:r>
        <w:rPr>
          <w:rFonts w:hint="eastAsia" w:ascii="宋体" w:hAnsi="宋体" w:cs="宋体"/>
          <w:sz w:val="28"/>
          <w:szCs w:val="28"/>
        </w:rPr>
        <w:t>年投资测算表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34"/>
        <w:gridCol w:w="805"/>
        <w:gridCol w:w="3009"/>
        <w:gridCol w:w="804"/>
        <w:gridCol w:w="80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6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年份</w:t>
            </w:r>
          </w:p>
        </w:tc>
        <w:tc>
          <w:tcPr>
            <w:tcW w:w="727"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高标准农田</w:t>
            </w:r>
            <w:r>
              <w:rPr>
                <w:color w:val="000000"/>
                <w:kern w:val="0"/>
                <w:szCs w:val="21"/>
              </w:rPr>
              <w:t>/</w:t>
            </w:r>
            <w:r>
              <w:rPr>
                <w:rFonts w:hint="eastAsia" w:ascii="宋体" w:hAnsi="宋体" w:cs="宋体"/>
                <w:color w:val="000000"/>
                <w:kern w:val="0"/>
                <w:szCs w:val="21"/>
              </w:rPr>
              <w:t>提升改造</w:t>
            </w:r>
          </w:p>
        </w:tc>
        <w:tc>
          <w:tcPr>
            <w:tcW w:w="43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建设面积</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建设内容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单位</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w:t>
            </w:r>
          </w:p>
        </w:tc>
        <w:tc>
          <w:tcPr>
            <w:tcW w:w="95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2026</w:t>
            </w:r>
            <w:r>
              <w:rPr>
                <w:rFonts w:hint="eastAsia" w:ascii="宋体" w:hAnsi="宋体"/>
                <w:color w:val="000000"/>
                <w:kern w:val="0"/>
                <w:szCs w:val="21"/>
              </w:rPr>
              <w:t>年</w:t>
            </w:r>
          </w:p>
        </w:tc>
        <w:tc>
          <w:tcPr>
            <w:tcW w:w="727" w:type="pct"/>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8.0</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10571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7886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2629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2027</w:t>
            </w:r>
            <w:r>
              <w:rPr>
                <w:rFonts w:hint="eastAsia" w:ascii="宋体" w:hAnsi="宋体"/>
                <w:color w:val="000000"/>
                <w:kern w:val="0"/>
                <w:szCs w:val="21"/>
              </w:rPr>
              <w:t>年</w:t>
            </w:r>
          </w:p>
        </w:tc>
        <w:tc>
          <w:tcPr>
            <w:tcW w:w="727" w:type="pct"/>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6.92</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9158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20760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2028</w:t>
            </w:r>
            <w:r>
              <w:rPr>
                <w:rFonts w:hint="eastAsia" w:ascii="宋体" w:hAnsi="宋体"/>
                <w:color w:val="000000"/>
                <w:kern w:val="0"/>
                <w:szCs w:val="21"/>
              </w:rPr>
              <w:t>年</w:t>
            </w:r>
          </w:p>
        </w:tc>
        <w:tc>
          <w:tcPr>
            <w:tcW w:w="727" w:type="pct"/>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5.68</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7529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5584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1861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17040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2029</w:t>
            </w:r>
            <w:r>
              <w:rPr>
                <w:rFonts w:hint="eastAsia" w:ascii="宋体" w:hAnsi="宋体"/>
                <w:color w:val="000000"/>
                <w:kern w:val="0"/>
                <w:szCs w:val="21"/>
              </w:rPr>
              <w:t>年</w:t>
            </w:r>
          </w:p>
        </w:tc>
        <w:tc>
          <w:tcPr>
            <w:tcW w:w="727" w:type="pct"/>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6.08</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18240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2030</w:t>
            </w:r>
            <w:r>
              <w:rPr>
                <w:rFonts w:hint="eastAsia" w:ascii="宋体" w:hAnsi="宋体"/>
                <w:color w:val="000000"/>
                <w:kern w:val="0"/>
                <w:szCs w:val="21"/>
              </w:rPr>
              <w:t>年</w:t>
            </w:r>
          </w:p>
        </w:tc>
        <w:tc>
          <w:tcPr>
            <w:tcW w:w="727" w:type="pct"/>
            <w:vMerge w:val="restar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提升改造</w:t>
            </w:r>
          </w:p>
        </w:tc>
        <w:tc>
          <w:tcPr>
            <w:tcW w:w="439" w:type="pct"/>
            <w:vMerge w:val="restart"/>
            <w:shd w:val="clear" w:color="auto" w:fill="auto"/>
            <w:vAlign w:val="center"/>
          </w:tcPr>
          <w:p>
            <w:pPr>
              <w:widowControl/>
              <w:jc w:val="center"/>
              <w:rPr>
                <w:rFonts w:eastAsia="等线"/>
                <w:color w:val="000000"/>
                <w:kern w:val="0"/>
                <w:szCs w:val="21"/>
              </w:rPr>
            </w:pPr>
            <w:r>
              <w:rPr>
                <w:rFonts w:eastAsia="等线"/>
                <w:color w:val="000000"/>
                <w:kern w:val="0"/>
                <w:szCs w:val="21"/>
              </w:rPr>
              <w:t>6.34</w:t>
            </w: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土地平整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土壤改良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灌溉与排水</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田间道路</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6265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农田防护与生态环境保护</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农田输配电</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835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其他费用</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项</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2088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8" w:type="pct"/>
            <w:vMerge w:val="continue"/>
            <w:vAlign w:val="center"/>
          </w:tcPr>
          <w:p>
            <w:pPr>
              <w:widowControl/>
              <w:jc w:val="left"/>
              <w:rPr>
                <w:rFonts w:eastAsia="等线"/>
                <w:color w:val="000000"/>
                <w:kern w:val="0"/>
                <w:szCs w:val="21"/>
              </w:rPr>
            </w:pPr>
          </w:p>
        </w:tc>
        <w:tc>
          <w:tcPr>
            <w:tcW w:w="727" w:type="pct"/>
            <w:vMerge w:val="continue"/>
            <w:vAlign w:val="center"/>
          </w:tcPr>
          <w:p>
            <w:pPr>
              <w:widowControl/>
              <w:jc w:val="left"/>
              <w:rPr>
                <w:rFonts w:ascii="宋体" w:hAnsi="宋体" w:cs="宋体"/>
                <w:color w:val="000000"/>
                <w:kern w:val="0"/>
                <w:szCs w:val="21"/>
              </w:rPr>
            </w:pPr>
          </w:p>
        </w:tc>
        <w:tc>
          <w:tcPr>
            <w:tcW w:w="439" w:type="pct"/>
            <w:vMerge w:val="continue"/>
            <w:vAlign w:val="center"/>
          </w:tcPr>
          <w:p>
            <w:pPr>
              <w:widowControl/>
              <w:jc w:val="left"/>
              <w:rPr>
                <w:rFonts w:eastAsia="等线"/>
                <w:color w:val="000000"/>
                <w:kern w:val="0"/>
                <w:szCs w:val="21"/>
              </w:rPr>
            </w:pPr>
          </w:p>
        </w:tc>
        <w:tc>
          <w:tcPr>
            <w:tcW w:w="1640"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438"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szCs w:val="21"/>
              </w:rPr>
              <w:t xml:space="preserve">19020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4" w:type="pct"/>
            <w:gridSpan w:val="3"/>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总计</w:t>
            </w:r>
          </w:p>
        </w:tc>
        <w:tc>
          <w:tcPr>
            <w:tcW w:w="2078" w:type="pct"/>
            <w:gridSpan w:val="2"/>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38" w:type="pct"/>
            <w:shd w:val="clear" w:color="auto" w:fill="auto"/>
            <w:vAlign w:val="center"/>
          </w:tcPr>
          <w:p>
            <w:pPr>
              <w:widowControl/>
              <w:jc w:val="center"/>
              <w:rPr>
                <w:rFonts w:eastAsia="等线"/>
                <w:color w:val="000000"/>
                <w:kern w:val="0"/>
                <w:szCs w:val="21"/>
              </w:rPr>
            </w:pPr>
            <w:r>
              <w:rPr>
                <w:rFonts w:eastAsia="等线"/>
                <w:color w:val="000000"/>
                <w:kern w:val="0"/>
                <w:szCs w:val="21"/>
              </w:rPr>
              <w:t>　</w:t>
            </w:r>
          </w:p>
        </w:tc>
        <w:tc>
          <w:tcPr>
            <w:tcW w:w="950" w:type="pct"/>
            <w:shd w:val="clear" w:color="auto" w:fill="auto"/>
            <w:vAlign w:val="center"/>
          </w:tcPr>
          <w:p>
            <w:pPr>
              <w:widowControl/>
              <w:jc w:val="center"/>
              <w:rPr>
                <w:rFonts w:eastAsia="等线"/>
                <w:color w:val="000000"/>
                <w:kern w:val="0"/>
                <w:szCs w:val="21"/>
              </w:rPr>
            </w:pPr>
            <w:r>
              <w:rPr>
                <w:rFonts w:eastAsia="等线"/>
                <w:color w:val="000000"/>
                <w:kern w:val="0"/>
                <w:szCs w:val="21"/>
              </w:rPr>
              <w:t xml:space="preserve">99060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widowControl/>
              <w:jc w:val="center"/>
              <w:rPr>
                <w:rFonts w:eastAsia="等线"/>
                <w:color w:val="000000"/>
                <w:kern w:val="0"/>
                <w:szCs w:val="21"/>
              </w:rPr>
            </w:pPr>
            <w:r>
              <w:rPr>
                <w:rFonts w:eastAsia="等线"/>
                <w:color w:val="000000"/>
                <w:kern w:val="0"/>
                <w:szCs w:val="21"/>
              </w:rPr>
              <w:t>2026-2030</w:t>
            </w:r>
            <w:r>
              <w:rPr>
                <w:rFonts w:hint="eastAsia" w:ascii="宋体" w:hAnsi="宋体"/>
                <w:color w:val="000000"/>
                <w:kern w:val="0"/>
                <w:szCs w:val="21"/>
              </w:rPr>
              <w:t>年之间发展高标准农田面积</w:t>
            </w:r>
            <w:r>
              <w:rPr>
                <w:rFonts w:eastAsia="等线"/>
                <w:color w:val="000000"/>
                <w:kern w:val="0"/>
                <w:szCs w:val="21"/>
              </w:rPr>
              <w:t>33.02</w:t>
            </w:r>
            <w:r>
              <w:rPr>
                <w:rFonts w:hint="eastAsia" w:ascii="宋体" w:hAnsi="宋体"/>
                <w:color w:val="000000"/>
                <w:kern w:val="0"/>
                <w:szCs w:val="21"/>
              </w:rPr>
              <w:t>万亩，投资</w:t>
            </w:r>
            <w:r>
              <w:rPr>
                <w:rFonts w:eastAsia="等线"/>
                <w:color w:val="000000"/>
                <w:kern w:val="0"/>
                <w:szCs w:val="21"/>
              </w:rPr>
              <w:t>99060</w:t>
            </w:r>
            <w:r>
              <w:rPr>
                <w:rFonts w:hint="eastAsia" w:ascii="宋体" w:hAnsi="宋体"/>
                <w:color w:val="000000"/>
                <w:kern w:val="0"/>
                <w:szCs w:val="21"/>
              </w:rPr>
              <w:t>万元</w:t>
            </w:r>
          </w:p>
        </w:tc>
      </w:tr>
    </w:tbl>
    <w:p>
      <w:pPr>
        <w:pStyle w:val="3"/>
        <w:spacing w:before="0" w:after="0" w:line="360" w:lineRule="auto"/>
        <w:rPr>
          <w:rFonts w:asciiTheme="minorEastAsia" w:hAnsiTheme="minorEastAsia" w:eastAsiaTheme="minorEastAsia"/>
        </w:rPr>
      </w:pPr>
      <w:bookmarkStart w:id="155" w:name="_Toc144903188"/>
      <w:r>
        <w:rPr>
          <w:rFonts w:hint="eastAsia" w:asciiTheme="minorEastAsia" w:hAnsiTheme="minorEastAsia" w:eastAsiaTheme="minorEastAsia"/>
        </w:rPr>
        <w:t>9</w:t>
      </w:r>
      <w:r>
        <w:rPr>
          <w:rFonts w:asciiTheme="minorEastAsia" w:hAnsiTheme="minorEastAsia" w:eastAsiaTheme="minorEastAsia"/>
        </w:rPr>
        <w:t>.2</w:t>
      </w:r>
      <w:r>
        <w:rPr>
          <w:rFonts w:hint="eastAsia" w:asciiTheme="minorEastAsia" w:hAnsiTheme="minorEastAsia" w:eastAsiaTheme="minorEastAsia"/>
        </w:rPr>
        <w:t>资金筹措</w:t>
      </w:r>
      <w:bookmarkEnd w:id="155"/>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9.2.1 加大财政资金投入</w:t>
      </w:r>
    </w:p>
    <w:p>
      <w:pPr>
        <w:spacing w:line="360" w:lineRule="auto"/>
        <w:ind w:firstLine="560" w:firstLineChars="200"/>
        <w:rPr>
          <w:rFonts w:ascii="宋体" w:hAnsi="宋体" w:cs="宋体"/>
          <w:sz w:val="28"/>
          <w:szCs w:val="28"/>
        </w:rPr>
      </w:pPr>
      <w:r>
        <w:rPr>
          <w:rFonts w:hint="eastAsia" w:ascii="宋体" w:hAnsi="宋体" w:cs="宋体"/>
          <w:sz w:val="28"/>
          <w:szCs w:val="28"/>
        </w:rPr>
        <w:t>参与高标准农田建设的各职能部门，应结合本部门的具体实施规划，积极向国家申请涉农项目建设资金，投入我县的高标准农田建设项目。县级作为高标准农田建设的责任主体，应通过预算安排加大高标准农田建设的投入力度。</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9.2.2 统筹整合资金，发挥聚合效应</w:t>
      </w:r>
    </w:p>
    <w:p>
      <w:pPr>
        <w:spacing w:line="360" w:lineRule="auto"/>
        <w:ind w:firstLine="560" w:firstLineChars="200"/>
        <w:rPr>
          <w:rFonts w:ascii="宋体" w:hAnsi="宋体" w:cs="宋体"/>
          <w:sz w:val="28"/>
          <w:szCs w:val="28"/>
        </w:rPr>
      </w:pPr>
      <w:r>
        <w:rPr>
          <w:rFonts w:hint="eastAsia" w:ascii="宋体" w:hAnsi="宋体" w:cs="宋体"/>
          <w:sz w:val="28"/>
          <w:szCs w:val="28"/>
        </w:rPr>
        <w:t>以完成《汤阴县高标准农田建设规划（2021-2030 年）》确定的建设任务为目标，在不改变现有资金渠道的前提下，统筹整合高标准农田建设相关资金，形成建设合力。</w:t>
      </w:r>
    </w:p>
    <w:p>
      <w:pPr>
        <w:spacing w:line="360" w:lineRule="auto"/>
        <w:ind w:firstLine="560" w:firstLineChars="200"/>
        <w:rPr>
          <w:rFonts w:ascii="宋体" w:hAnsi="宋体" w:cs="宋体"/>
          <w:sz w:val="28"/>
          <w:szCs w:val="28"/>
        </w:rPr>
      </w:pPr>
      <w:r>
        <w:rPr>
          <w:rFonts w:hint="eastAsia" w:ascii="宋体" w:hAnsi="宋体" w:cs="宋体"/>
          <w:sz w:val="28"/>
          <w:szCs w:val="28"/>
        </w:rPr>
        <w:t>在县级政府的统一领导下，通过成立领导小组，建立决策协商制度和征求意见制度等方式，建立健全协调机制，形成建设规划、实施区域、投入方向、支持环节、项目选择等方面有机联结、相互匹配、协调衔接的工作局面；依据高标准农田建设规划，围绕主导产业、先易后难、连片治理、配套建设、整体推进；研究制定统筹整合资金的具体方案，引导各类高标准农田建设资金统筹使用和规模投入，明确各业务部门任务，分头组织实施，确保责任落实。</w:t>
      </w:r>
    </w:p>
    <w:p>
      <w:pPr>
        <w:pStyle w:val="4"/>
        <w:spacing w:before="0" w:after="0"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9.2.3 切实调动社会资金投入</w:t>
      </w:r>
    </w:p>
    <w:p>
      <w:pPr>
        <w:spacing w:line="360" w:lineRule="auto"/>
        <w:ind w:firstLine="560" w:firstLineChars="200"/>
        <w:rPr>
          <w:rFonts w:ascii="宋体" w:hAnsi="宋体" w:cs="宋体"/>
          <w:sz w:val="28"/>
          <w:szCs w:val="28"/>
        </w:rPr>
      </w:pPr>
      <w:r>
        <w:rPr>
          <w:rFonts w:hint="eastAsia" w:ascii="宋体" w:hAnsi="宋体" w:cs="宋体"/>
          <w:sz w:val="28"/>
          <w:szCs w:val="28"/>
        </w:rPr>
        <w:t>财政局投入高标准农田建设的资金要积极向农民专业合作组织、家庭农场、专业大户、涉农企业等新型经营主体倾斜，探索实行财政贴息、财政部分补贴等方式，引导和支持各类专业新型经营主体和广大农民群众筹资开展高标准农田建设。创新农业政策性投入机制，完善金融支持农业基础设施建设相关政策，积极引导各类社会资本投入高标准农田建设。</w:t>
      </w: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156" w:name="_Toc144903189"/>
      <w:r>
        <w:rPr>
          <w:rFonts w:hint="eastAsia" w:asciiTheme="minorEastAsia" w:hAnsiTheme="minorEastAsia" w:eastAsiaTheme="minorEastAsia"/>
          <w:b/>
          <w:sz w:val="36"/>
          <w:szCs w:val="36"/>
        </w:rPr>
        <w:t>1</w:t>
      </w:r>
      <w:r>
        <w:rPr>
          <w:rFonts w:asciiTheme="minorEastAsia" w:hAnsiTheme="minorEastAsia" w:eastAsiaTheme="minorEastAsia"/>
          <w:b/>
          <w:sz w:val="36"/>
          <w:szCs w:val="36"/>
        </w:rPr>
        <w:t>0.</w:t>
      </w:r>
      <w:r>
        <w:rPr>
          <w:rFonts w:hint="eastAsia" w:asciiTheme="minorEastAsia" w:hAnsiTheme="minorEastAsia" w:eastAsiaTheme="minorEastAsia"/>
          <w:b/>
          <w:sz w:val="36"/>
          <w:szCs w:val="36"/>
        </w:rPr>
        <w:t>建设管理和后续管护</w:t>
      </w:r>
      <w:bookmarkEnd w:id="156"/>
    </w:p>
    <w:p>
      <w:pPr>
        <w:pStyle w:val="3"/>
        <w:spacing w:before="0" w:after="0" w:line="360" w:lineRule="auto"/>
        <w:rPr>
          <w:rFonts w:asciiTheme="minorEastAsia" w:hAnsiTheme="minorEastAsia" w:eastAsiaTheme="minorEastAsia"/>
        </w:rPr>
      </w:pPr>
      <w:bookmarkStart w:id="157" w:name="_Toc144903190"/>
      <w:r>
        <w:rPr>
          <w:rFonts w:hint="eastAsia" w:asciiTheme="minorEastAsia" w:hAnsiTheme="minorEastAsia" w:eastAsiaTheme="minorEastAsia"/>
        </w:rPr>
        <w:t>1</w:t>
      </w:r>
      <w:r>
        <w:rPr>
          <w:rFonts w:asciiTheme="minorEastAsia" w:hAnsiTheme="minorEastAsia" w:eastAsiaTheme="minorEastAsia"/>
        </w:rPr>
        <w:t xml:space="preserve">0.1 </w:t>
      </w:r>
      <w:r>
        <w:rPr>
          <w:rFonts w:hint="eastAsia" w:asciiTheme="minorEastAsia" w:hAnsiTheme="minorEastAsia" w:eastAsiaTheme="minorEastAsia"/>
        </w:rPr>
        <w:t>建设管理</w:t>
      </w:r>
      <w:bookmarkEnd w:id="157"/>
    </w:p>
    <w:p>
      <w:pPr>
        <w:pStyle w:val="4"/>
        <w:spacing w:before="0" w:after="0" w:line="360" w:lineRule="auto"/>
        <w:rPr>
          <w:rFonts w:asciiTheme="minorEastAsia" w:hAnsiTheme="minorEastAsia" w:eastAsiaTheme="minorEastAsia"/>
          <w:sz w:val="28"/>
          <w:szCs w:val="28"/>
        </w:rPr>
      </w:pPr>
      <w:r>
        <w:rPr>
          <w:rFonts w:asciiTheme="minorEastAsia" w:hAnsiTheme="minorEastAsia" w:eastAsiaTheme="minorEastAsia"/>
          <w:sz w:val="28"/>
          <w:szCs w:val="28"/>
        </w:rPr>
        <w:t>10</w:t>
      </w:r>
      <w:r>
        <w:rPr>
          <w:rFonts w:hint="eastAsia" w:asciiTheme="minorEastAsia" w:hAnsiTheme="minorEastAsia" w:eastAsiaTheme="minorEastAsia"/>
          <w:sz w:val="28"/>
          <w:szCs w:val="28"/>
        </w:rPr>
        <w:t>.1.1强化质量管理</w:t>
      </w:r>
    </w:p>
    <w:p>
      <w:pPr>
        <w:spacing w:line="360" w:lineRule="auto"/>
        <w:ind w:firstLine="560" w:firstLineChars="200"/>
        <w:rPr>
          <w:rFonts w:ascii="宋体" w:hAnsi="宋体" w:cs="宋体"/>
          <w:sz w:val="28"/>
          <w:szCs w:val="28"/>
        </w:rPr>
      </w:pPr>
      <w:r>
        <w:rPr>
          <w:rFonts w:hint="eastAsia" w:ascii="宋体" w:hAnsi="宋体" w:cs="宋体"/>
          <w:sz w:val="28"/>
          <w:szCs w:val="28"/>
        </w:rPr>
        <w:t>（1）严控建设质量</w:t>
      </w:r>
    </w:p>
    <w:p>
      <w:pPr>
        <w:spacing w:line="360" w:lineRule="auto"/>
        <w:ind w:firstLine="560" w:firstLineChars="200"/>
        <w:rPr>
          <w:rFonts w:ascii="宋体" w:hAnsi="宋体" w:cs="宋体"/>
          <w:sz w:val="28"/>
          <w:szCs w:val="28"/>
        </w:rPr>
      </w:pPr>
      <w:r>
        <w:rPr>
          <w:rFonts w:hint="eastAsia" w:ascii="宋体" w:hAnsi="宋体" w:cs="宋体"/>
          <w:sz w:val="28"/>
          <w:szCs w:val="28"/>
        </w:rPr>
        <w:t>适应农业高质量发展要求，合理规划建设布局，科学设计建设内容，统一组织项目实施。全面推行项目法人制、招标投标制、工程监理制、合同管理制，实现项目精细化管理，严格执行相关建设标准和规范，落实工程质量管理责任，确保建设质量。</w:t>
      </w:r>
    </w:p>
    <w:p>
      <w:pPr>
        <w:spacing w:line="360" w:lineRule="auto"/>
        <w:ind w:firstLine="560" w:firstLineChars="200"/>
        <w:rPr>
          <w:rFonts w:ascii="宋体" w:hAnsi="宋体" w:cs="宋体"/>
          <w:sz w:val="28"/>
          <w:szCs w:val="28"/>
        </w:rPr>
      </w:pPr>
      <w:bookmarkStart w:id="158" w:name="_Toc2092"/>
      <w:r>
        <w:rPr>
          <w:rFonts w:hint="eastAsia" w:ascii="宋体" w:hAnsi="宋体" w:cs="宋体"/>
          <w:sz w:val="28"/>
          <w:szCs w:val="28"/>
        </w:rPr>
        <w:t>（2）开展质量评价</w:t>
      </w:r>
      <w:bookmarkEnd w:id="158"/>
    </w:p>
    <w:p>
      <w:pPr>
        <w:spacing w:line="360" w:lineRule="auto"/>
        <w:ind w:firstLine="560" w:firstLineChars="200"/>
        <w:rPr>
          <w:rFonts w:ascii="宋体" w:hAnsi="宋体" w:cs="宋体"/>
          <w:sz w:val="28"/>
          <w:szCs w:val="28"/>
        </w:rPr>
      </w:pPr>
      <w:r>
        <w:rPr>
          <w:rFonts w:hint="eastAsia" w:ascii="宋体" w:hAnsi="宋体" w:cs="宋体"/>
          <w:sz w:val="28"/>
          <w:szCs w:val="28"/>
        </w:rPr>
        <w:t>依托布设的高标准农田耕地质量长期定位监测点，跟踪监测土壤理化性状、区域性特征等指标。按照《耕地质量等级》( GB / T 33469) 国家标准，在建设前后分别开展耕地质量等级变更调查，评价高标准农田粮食产能水平，逐步实现“建设一片、调查一片、评价一片”。</w:t>
      </w:r>
    </w:p>
    <w:p>
      <w:pPr>
        <w:spacing w:line="360" w:lineRule="auto"/>
        <w:ind w:firstLine="560" w:firstLineChars="200"/>
        <w:rPr>
          <w:rFonts w:ascii="宋体" w:hAnsi="宋体" w:cs="宋体"/>
          <w:sz w:val="28"/>
          <w:szCs w:val="28"/>
        </w:rPr>
      </w:pPr>
      <w:bookmarkStart w:id="159" w:name="_Toc17038"/>
      <w:r>
        <w:rPr>
          <w:rFonts w:hint="eastAsia" w:ascii="宋体" w:hAnsi="宋体" w:cs="宋体"/>
          <w:sz w:val="28"/>
          <w:szCs w:val="28"/>
        </w:rPr>
        <w:t>（3）加强社会监督</w:t>
      </w:r>
      <w:bookmarkEnd w:id="159"/>
    </w:p>
    <w:p>
      <w:pPr>
        <w:spacing w:line="360" w:lineRule="auto"/>
        <w:ind w:firstLine="560" w:firstLineChars="200"/>
        <w:rPr>
          <w:rFonts w:ascii="宋体" w:hAnsi="宋体" w:cs="宋体"/>
          <w:sz w:val="28"/>
          <w:szCs w:val="28"/>
        </w:rPr>
      </w:pPr>
      <w:r>
        <w:rPr>
          <w:rFonts w:hint="eastAsia" w:ascii="宋体" w:hAnsi="宋体" w:cs="宋体"/>
          <w:sz w:val="28"/>
          <w:szCs w:val="28"/>
        </w:rPr>
        <w:t>尊重农民意愿，维护农民权益，保障农民知情权、参与权和监督权。及时公开项目建设相关信息，在项目区设立统一规范的公示标牌和标志，接受社会和群众监督。</w:t>
      </w:r>
    </w:p>
    <w:p>
      <w:pPr>
        <w:spacing w:line="360" w:lineRule="auto"/>
        <w:ind w:firstLine="560" w:firstLineChars="200"/>
        <w:rPr>
          <w:rFonts w:ascii="宋体" w:hAnsi="宋体" w:cs="宋体"/>
          <w:sz w:val="28"/>
          <w:szCs w:val="28"/>
        </w:rPr>
      </w:pPr>
      <w:bookmarkStart w:id="160" w:name="_Toc26962"/>
      <w:r>
        <w:rPr>
          <w:rFonts w:hint="eastAsia" w:ascii="宋体" w:hAnsi="宋体" w:cs="宋体"/>
          <w:sz w:val="28"/>
          <w:szCs w:val="28"/>
        </w:rPr>
        <w:t>（4）质量控制</w:t>
      </w:r>
      <w:bookmarkEnd w:id="160"/>
    </w:p>
    <w:p>
      <w:pPr>
        <w:spacing w:line="360" w:lineRule="auto"/>
        <w:ind w:firstLine="560" w:firstLineChars="200"/>
        <w:rPr>
          <w:rFonts w:ascii="宋体" w:hAnsi="宋体" w:cs="宋体"/>
          <w:sz w:val="28"/>
          <w:szCs w:val="28"/>
        </w:rPr>
      </w:pPr>
      <w:r>
        <w:rPr>
          <w:rFonts w:hint="eastAsia" w:ascii="宋体" w:hAnsi="宋体" w:cs="宋体"/>
          <w:sz w:val="28"/>
          <w:szCs w:val="28"/>
        </w:rPr>
        <w:t>对于建设项目，应始终将建设高标准、高质量作为终极目标，要从各方面加强质量控制和管理。针对不同时期、不同重点采取不同的控制手段，最终完成对建设项目的质量控制，达到预期的质量标准。在工程的设计、施工、验收中，要严格执行我国现有各类规范、规程及法规。对我国规范没有规定的，要参照国际上较先进国家的标准进行实施。要建立和健全质量保证体系，使质量管理工作制度化，要聘请设计监理和施工监理，督促总包及分包设专职质量部、质量科及质检员，形成质检网络。建立分包自检、总包复检、施工监理跟踪检验制度，隐蔽工程验收制度和质量一票否决制度。</w:t>
      </w:r>
    </w:p>
    <w:p>
      <w:pPr>
        <w:pStyle w:val="4"/>
        <w:spacing w:before="0" w:after="0" w:line="360" w:lineRule="auto"/>
        <w:rPr>
          <w:rFonts w:asciiTheme="minorEastAsia" w:hAnsiTheme="minorEastAsia" w:eastAsiaTheme="minorEastAsia"/>
          <w:sz w:val="28"/>
          <w:szCs w:val="28"/>
        </w:rPr>
      </w:pPr>
      <w:bookmarkStart w:id="161" w:name="_Toc4286"/>
      <w:r>
        <w:rPr>
          <w:rFonts w:asciiTheme="minorEastAsia" w:hAnsiTheme="minorEastAsia" w:eastAsiaTheme="minorEastAsia"/>
          <w:sz w:val="28"/>
          <w:szCs w:val="28"/>
        </w:rPr>
        <w:t>10</w:t>
      </w:r>
      <w:r>
        <w:rPr>
          <w:rFonts w:hint="eastAsia" w:asciiTheme="minorEastAsia" w:hAnsiTheme="minorEastAsia" w:eastAsiaTheme="minorEastAsia"/>
          <w:sz w:val="28"/>
          <w:szCs w:val="28"/>
        </w:rPr>
        <w:t>.1.2 统一上图入库管理</w:t>
      </w:r>
      <w:bookmarkEnd w:id="161"/>
    </w:p>
    <w:p>
      <w:pPr>
        <w:spacing w:line="360" w:lineRule="auto"/>
        <w:ind w:firstLine="560" w:firstLineChars="200"/>
        <w:rPr>
          <w:rFonts w:ascii="宋体" w:hAnsi="宋体" w:cs="宋体"/>
          <w:sz w:val="28"/>
          <w:szCs w:val="28"/>
        </w:rPr>
      </w:pPr>
      <w:r>
        <w:rPr>
          <w:rFonts w:hint="eastAsia" w:ascii="宋体" w:hAnsi="宋体" w:cs="宋体"/>
          <w:sz w:val="28"/>
          <w:szCs w:val="28"/>
        </w:rPr>
        <w:t>充分利用现有资源，加快农田管理大数据平台建设，做好相关信息系统的对接移交和数据共享，以土地利用现状图为底图，全面承接高标准农田建设历史数据，把高标准农田建设项目立项、实施、验收、使用等各阶段信息及时上图入库，形成全县域高标准农田建设“一张图”。</w:t>
      </w:r>
    </w:p>
    <w:p>
      <w:pPr>
        <w:pStyle w:val="4"/>
        <w:spacing w:before="0" w:after="0" w:line="360" w:lineRule="auto"/>
        <w:rPr>
          <w:rFonts w:asciiTheme="minorEastAsia" w:hAnsiTheme="minorEastAsia" w:eastAsiaTheme="minorEastAsia"/>
          <w:sz w:val="28"/>
          <w:szCs w:val="28"/>
        </w:rPr>
      </w:pPr>
      <w:bookmarkStart w:id="162" w:name="_Toc16832"/>
      <w:r>
        <w:rPr>
          <w:rFonts w:asciiTheme="minorEastAsia" w:hAnsiTheme="minorEastAsia" w:eastAsiaTheme="minorEastAsia"/>
          <w:sz w:val="28"/>
          <w:szCs w:val="28"/>
        </w:rPr>
        <w:t>10</w:t>
      </w:r>
      <w:r>
        <w:rPr>
          <w:rFonts w:hint="eastAsia" w:asciiTheme="minorEastAsia" w:hAnsiTheme="minorEastAsia" w:eastAsiaTheme="minorEastAsia"/>
          <w:sz w:val="28"/>
          <w:szCs w:val="28"/>
        </w:rPr>
        <w:t>.1.3 规范竣工验收</w:t>
      </w:r>
      <w:bookmarkEnd w:id="162"/>
    </w:p>
    <w:p>
      <w:pPr>
        <w:spacing w:line="360" w:lineRule="auto"/>
        <w:ind w:firstLine="560" w:firstLineChars="200"/>
        <w:rPr>
          <w:rFonts w:ascii="宋体" w:hAnsi="宋体" w:cs="宋体"/>
          <w:sz w:val="28"/>
          <w:szCs w:val="28"/>
        </w:rPr>
      </w:pPr>
      <w:bookmarkStart w:id="163" w:name="_Toc27785"/>
      <w:r>
        <w:rPr>
          <w:rFonts w:hint="eastAsia" w:ascii="宋体" w:hAnsi="宋体" w:cs="宋体"/>
          <w:sz w:val="28"/>
          <w:szCs w:val="28"/>
        </w:rPr>
        <w:t>（1）明确验收程序</w:t>
      </w:r>
      <w:bookmarkEnd w:id="163"/>
    </w:p>
    <w:p>
      <w:pPr>
        <w:spacing w:line="360" w:lineRule="auto"/>
        <w:ind w:firstLine="560" w:firstLineChars="200"/>
        <w:rPr>
          <w:rFonts w:ascii="宋体" w:hAnsi="宋体" w:cs="宋体"/>
          <w:sz w:val="28"/>
          <w:szCs w:val="28"/>
        </w:rPr>
      </w:pPr>
      <w:r>
        <w:rPr>
          <w:rFonts w:hint="eastAsia" w:ascii="宋体" w:hAnsi="宋体" w:cs="宋体"/>
          <w:sz w:val="28"/>
          <w:szCs w:val="28"/>
        </w:rPr>
        <w:t>按照“谁审批、谁验收”的原则，由市农业农村部门组织竣工验收。满足以下条件方可验收：</w:t>
      </w:r>
    </w:p>
    <w:p>
      <w:pPr>
        <w:spacing w:line="360" w:lineRule="auto"/>
        <w:ind w:firstLine="560" w:firstLineChars="200"/>
        <w:rPr>
          <w:rFonts w:ascii="宋体" w:hAnsi="宋体" w:cs="宋体"/>
          <w:sz w:val="28"/>
          <w:szCs w:val="28"/>
        </w:rPr>
      </w:pPr>
      <w:r>
        <w:rPr>
          <w:rFonts w:hint="eastAsia" w:ascii="宋体" w:hAnsi="宋体" w:cs="宋体"/>
          <w:sz w:val="28"/>
          <w:szCs w:val="28"/>
        </w:rPr>
        <w:t>1）完成批复的初步设计文件中各项建设内容。</w:t>
      </w:r>
    </w:p>
    <w:p>
      <w:pPr>
        <w:spacing w:line="360" w:lineRule="auto"/>
        <w:ind w:firstLine="560" w:firstLineChars="200"/>
        <w:rPr>
          <w:rFonts w:ascii="宋体" w:hAnsi="宋体" w:cs="宋体"/>
          <w:sz w:val="28"/>
          <w:szCs w:val="28"/>
        </w:rPr>
      </w:pPr>
      <w:r>
        <w:rPr>
          <w:rFonts w:hint="eastAsia" w:ascii="宋体" w:hAnsi="宋体" w:cs="宋体"/>
          <w:sz w:val="28"/>
          <w:szCs w:val="28"/>
        </w:rPr>
        <w:t>2）技术文件材料分类立卷，技术档案和施工管理资料齐全、完整。</w:t>
      </w:r>
    </w:p>
    <w:p>
      <w:pPr>
        <w:spacing w:line="360" w:lineRule="auto"/>
        <w:ind w:firstLine="560" w:firstLineChars="200"/>
        <w:rPr>
          <w:rFonts w:ascii="宋体" w:hAnsi="宋体" w:cs="宋体"/>
          <w:sz w:val="28"/>
          <w:szCs w:val="28"/>
        </w:rPr>
      </w:pPr>
      <w:r>
        <w:rPr>
          <w:rFonts w:hint="eastAsia" w:ascii="宋体" w:hAnsi="宋体" w:cs="宋体"/>
          <w:sz w:val="28"/>
          <w:szCs w:val="28"/>
        </w:rPr>
        <w:t>3）主要设备及配套设施运行正常，达到项目设计目标。</w:t>
      </w:r>
    </w:p>
    <w:p>
      <w:pPr>
        <w:spacing w:line="360" w:lineRule="auto"/>
        <w:ind w:firstLine="560" w:firstLineChars="200"/>
        <w:rPr>
          <w:rFonts w:ascii="宋体" w:hAnsi="宋体" w:cs="宋体"/>
          <w:sz w:val="28"/>
          <w:szCs w:val="28"/>
        </w:rPr>
      </w:pPr>
      <w:r>
        <w:rPr>
          <w:rFonts w:hint="eastAsia" w:ascii="宋体" w:hAnsi="宋体" w:cs="宋体"/>
          <w:sz w:val="28"/>
          <w:szCs w:val="28"/>
        </w:rPr>
        <w:t>4）各单项工程已经设计单位、施工单位、监理单位和建设单位等四方验收。</w:t>
      </w:r>
    </w:p>
    <w:p>
      <w:pPr>
        <w:spacing w:line="360" w:lineRule="auto"/>
        <w:ind w:firstLine="560" w:firstLineChars="200"/>
        <w:rPr>
          <w:rFonts w:ascii="宋体" w:hAnsi="宋体" w:cs="宋体"/>
          <w:sz w:val="28"/>
          <w:szCs w:val="28"/>
        </w:rPr>
      </w:pPr>
      <w:r>
        <w:rPr>
          <w:rFonts w:hint="eastAsia" w:ascii="宋体" w:hAnsi="宋体" w:cs="宋体"/>
          <w:sz w:val="28"/>
          <w:szCs w:val="28"/>
        </w:rPr>
        <w:t>5）编制竣工决算，并经有资质的机构审计。</w:t>
      </w:r>
    </w:p>
    <w:p>
      <w:pPr>
        <w:spacing w:line="360" w:lineRule="auto"/>
        <w:ind w:firstLine="560" w:firstLineChars="200"/>
        <w:rPr>
          <w:rFonts w:ascii="宋体" w:hAnsi="宋体" w:cs="宋体"/>
          <w:sz w:val="28"/>
          <w:szCs w:val="28"/>
        </w:rPr>
      </w:pPr>
      <w:r>
        <w:rPr>
          <w:rFonts w:hint="eastAsia" w:ascii="宋体" w:hAnsi="宋体" w:cs="宋体"/>
          <w:sz w:val="28"/>
          <w:szCs w:val="28"/>
        </w:rPr>
        <w:t>县级初验合格后，提出竣工验收申请报告，并附初步验收结论意见、竣工决算审计报告等。市农村农业部门在收到项目竣工验收申请报告后，及时组织竣工验收，并将验收结果报省农业农村厅备案。省农业农村厅按照一定比例对年度竣工项目进行抽查考评。农业农村部对各省验收工作进行抽查、指导和监督。</w:t>
      </w:r>
    </w:p>
    <w:p>
      <w:pPr>
        <w:spacing w:line="360" w:lineRule="auto"/>
        <w:ind w:firstLine="560" w:firstLineChars="200"/>
        <w:rPr>
          <w:rFonts w:ascii="宋体" w:hAnsi="宋体" w:cs="宋体"/>
          <w:sz w:val="28"/>
          <w:szCs w:val="28"/>
        </w:rPr>
      </w:pPr>
      <w:bookmarkStart w:id="164" w:name="_Toc3472"/>
      <w:r>
        <w:rPr>
          <w:rFonts w:hint="eastAsia" w:ascii="宋体" w:hAnsi="宋体" w:cs="宋体"/>
          <w:sz w:val="28"/>
          <w:szCs w:val="28"/>
        </w:rPr>
        <w:t>（2）规范项目归档</w:t>
      </w:r>
      <w:bookmarkEnd w:id="164"/>
    </w:p>
    <w:p>
      <w:pPr>
        <w:spacing w:line="360" w:lineRule="auto"/>
        <w:ind w:firstLine="560" w:firstLineChars="200"/>
        <w:rPr>
          <w:rFonts w:ascii="宋体" w:hAnsi="宋体" w:cs="宋体"/>
          <w:sz w:val="28"/>
          <w:szCs w:val="28"/>
        </w:rPr>
      </w:pPr>
      <w:r>
        <w:rPr>
          <w:rFonts w:hint="eastAsia" w:ascii="宋体" w:hAnsi="宋体" w:cs="宋体"/>
          <w:sz w:val="28"/>
          <w:szCs w:val="28"/>
        </w:rPr>
        <w:t>项目竣工验收后，按照高标准农田档案管理有关规定，做好项目档案的收集、整理、组卷、存档工作。</w:t>
      </w:r>
    </w:p>
    <w:p>
      <w:pPr>
        <w:spacing w:line="360" w:lineRule="auto"/>
        <w:ind w:firstLine="560" w:firstLineChars="200"/>
        <w:rPr>
          <w:rFonts w:ascii="宋体" w:hAnsi="宋体" w:cs="宋体"/>
          <w:sz w:val="28"/>
          <w:szCs w:val="28"/>
        </w:rPr>
      </w:pPr>
      <w:bookmarkStart w:id="165" w:name="_Toc2690"/>
      <w:r>
        <w:rPr>
          <w:rFonts w:hint="eastAsia" w:ascii="宋体" w:hAnsi="宋体" w:cs="宋体"/>
          <w:sz w:val="28"/>
          <w:szCs w:val="28"/>
        </w:rPr>
        <w:t>（3）做好工程移交</w:t>
      </w:r>
      <w:bookmarkEnd w:id="165"/>
    </w:p>
    <w:p>
      <w:pPr>
        <w:spacing w:line="360" w:lineRule="auto"/>
        <w:ind w:firstLine="560" w:firstLineChars="200"/>
        <w:rPr>
          <w:rFonts w:ascii="宋体" w:hAnsi="宋体" w:cs="宋体"/>
          <w:sz w:val="28"/>
          <w:szCs w:val="28"/>
        </w:rPr>
      </w:pPr>
      <w:r>
        <w:rPr>
          <w:rFonts w:hint="eastAsia" w:ascii="宋体" w:hAnsi="宋体" w:cs="宋体"/>
          <w:sz w:val="28"/>
          <w:szCs w:val="28"/>
        </w:rPr>
        <w:t>工程竣工验收后，及时按照有关规定办理交付利用手续，做好登记造册，明确工程设施的所有权和使用权。需要变更权属的，及时办理变更登记发证，确保建成后的高标准农田权属清晰。</w:t>
      </w:r>
    </w:p>
    <w:p>
      <w:pPr>
        <w:pStyle w:val="3"/>
        <w:spacing w:before="0" w:after="0" w:line="360" w:lineRule="auto"/>
        <w:rPr>
          <w:rFonts w:asciiTheme="minorEastAsia" w:hAnsiTheme="minorEastAsia" w:eastAsiaTheme="minorEastAsia"/>
        </w:rPr>
      </w:pPr>
      <w:bookmarkStart w:id="166" w:name="_Toc26378"/>
      <w:bookmarkStart w:id="167" w:name="_Toc144903191"/>
      <w:bookmarkStart w:id="168" w:name="_Toc17289"/>
      <w:r>
        <w:rPr>
          <w:rFonts w:asciiTheme="minorEastAsia" w:hAnsiTheme="minorEastAsia" w:eastAsiaTheme="minorEastAsia"/>
        </w:rPr>
        <w:t>10</w:t>
      </w:r>
      <w:r>
        <w:rPr>
          <w:rFonts w:hint="eastAsia" w:asciiTheme="minorEastAsia" w:hAnsiTheme="minorEastAsia" w:eastAsiaTheme="minorEastAsia"/>
        </w:rPr>
        <w:t>.2 加强后续管护</w:t>
      </w:r>
      <w:bookmarkEnd w:id="166"/>
      <w:bookmarkEnd w:id="167"/>
      <w:bookmarkEnd w:id="168"/>
    </w:p>
    <w:p>
      <w:pPr>
        <w:spacing w:line="360" w:lineRule="auto"/>
        <w:ind w:firstLine="560" w:firstLineChars="200"/>
        <w:rPr>
          <w:rFonts w:ascii="宋体" w:hAnsi="宋体" w:cs="宋体"/>
          <w:sz w:val="28"/>
          <w:szCs w:val="28"/>
        </w:rPr>
      </w:pPr>
      <w:bookmarkStart w:id="169" w:name="_Toc15626"/>
      <w:r>
        <w:rPr>
          <w:rFonts w:hint="eastAsia" w:ascii="宋体" w:hAnsi="宋体" w:cs="宋体"/>
          <w:sz w:val="28"/>
          <w:szCs w:val="28"/>
        </w:rPr>
        <w:t>（1）明确管护责任</w:t>
      </w:r>
      <w:bookmarkEnd w:id="169"/>
    </w:p>
    <w:p>
      <w:pPr>
        <w:spacing w:line="360" w:lineRule="auto"/>
        <w:ind w:firstLine="560" w:firstLineChars="200"/>
        <w:rPr>
          <w:rFonts w:ascii="宋体" w:hAnsi="宋体" w:cs="宋体"/>
          <w:sz w:val="28"/>
          <w:szCs w:val="28"/>
        </w:rPr>
      </w:pPr>
      <w:r>
        <w:rPr>
          <w:rFonts w:hint="eastAsia" w:ascii="宋体" w:hAnsi="宋体" w:cs="宋体"/>
          <w:sz w:val="28"/>
          <w:szCs w:val="28"/>
        </w:rPr>
        <w:t>完善高标准农田建后管护制度，明确地方各级政府相关责任，落实管护主体，压实管护责任。发挥村级组织、承包经营者在工程管护中的主体作用，落实受益对象管护投入责任，引导和激励专业大户、家庭农场、农民合作社等参与农田设施的日常维护，相关基层服务组织要加强对管护主体和管护人员的定期技术指导、服务和监管。</w:t>
      </w:r>
    </w:p>
    <w:p>
      <w:pPr>
        <w:spacing w:line="360" w:lineRule="auto"/>
        <w:ind w:firstLine="560" w:firstLineChars="200"/>
        <w:rPr>
          <w:rFonts w:ascii="宋体" w:hAnsi="宋体" w:cs="宋体"/>
          <w:sz w:val="28"/>
          <w:szCs w:val="28"/>
        </w:rPr>
      </w:pPr>
      <w:bookmarkStart w:id="170" w:name="_Toc1845"/>
      <w:r>
        <w:rPr>
          <w:rFonts w:hint="eastAsia" w:ascii="宋体" w:hAnsi="宋体" w:cs="宋体"/>
          <w:sz w:val="28"/>
          <w:szCs w:val="28"/>
        </w:rPr>
        <w:t>（2）健全管护机制</w:t>
      </w:r>
      <w:bookmarkEnd w:id="170"/>
    </w:p>
    <w:p>
      <w:pPr>
        <w:spacing w:line="360" w:lineRule="auto"/>
        <w:ind w:firstLine="560" w:firstLineChars="200"/>
        <w:rPr>
          <w:rFonts w:ascii="宋体" w:hAnsi="宋体" w:cs="宋体"/>
          <w:sz w:val="28"/>
          <w:szCs w:val="28"/>
        </w:rPr>
      </w:pPr>
      <w:r>
        <w:rPr>
          <w:rFonts w:hint="eastAsia" w:ascii="宋体" w:hAnsi="宋体" w:cs="宋体"/>
          <w:sz w:val="28"/>
          <w:szCs w:val="28"/>
        </w:rPr>
        <w:t>按照权责明晰、运行有效的原则，建立健全日常管护和专项维护相结合的工程管护机制。相关部门要做好灌溉与排水、农田林网、输配电等工程管护的衔接，确保管护机制落实到位。为了加强项目管护，使建成后的工程正常运转并长期发挥效益，按照“建管并重”、“谁受益、谁负责”和“以工程养工程”的原则，结合汤阴县实际情况，在充分征求受益村干部、群众意见的基础上，制定了工程管护相关制度，在有偿服务机制下，实行“一井一长制”、“林权确认制”、“占地补偿制”、“一事一议制”。</w:t>
      </w:r>
    </w:p>
    <w:p>
      <w:pPr>
        <w:spacing w:line="360" w:lineRule="auto"/>
        <w:ind w:firstLine="560" w:firstLineChars="200"/>
        <w:rPr>
          <w:rFonts w:ascii="宋体" w:hAnsi="宋体" w:cs="宋体"/>
          <w:sz w:val="28"/>
          <w:szCs w:val="28"/>
        </w:rPr>
      </w:pPr>
      <w:bookmarkStart w:id="171" w:name="_Toc22371"/>
      <w:r>
        <w:rPr>
          <w:rFonts w:hint="eastAsia" w:ascii="宋体" w:hAnsi="宋体" w:cs="宋体"/>
          <w:sz w:val="28"/>
          <w:szCs w:val="28"/>
        </w:rPr>
        <w:t>（3）落实管护资金</w:t>
      </w:r>
      <w:bookmarkEnd w:id="171"/>
    </w:p>
    <w:p>
      <w:pPr>
        <w:spacing w:line="360" w:lineRule="auto"/>
        <w:ind w:firstLine="560" w:firstLineChars="200"/>
        <w:rPr>
          <w:rFonts w:ascii="宋体" w:hAnsi="宋体" w:cs="宋体"/>
          <w:sz w:val="28"/>
          <w:szCs w:val="28"/>
        </w:rPr>
      </w:pPr>
      <w:r>
        <w:rPr>
          <w:rFonts w:hint="eastAsia" w:ascii="宋体" w:hAnsi="宋体" w:cs="宋体"/>
          <w:sz w:val="28"/>
          <w:szCs w:val="28"/>
        </w:rPr>
        <w:t>建立健全农田建设项目管护经费合理保障机制，制订管护经费标准，对管护资金全面实施预算绩效管理。对灌溉渠系、喷灌、微灌设施、机耕路、生产桥(涵) 、农田林网等公益性强的农田基础设施管护，地方政府根据实际情况适当给予运行管护经费补助。完善鼓励社会资本积极参与高标准农田管护的政策措施，保障管护主体合理收益。</w:t>
      </w:r>
    </w:p>
    <w:p>
      <w:pPr>
        <w:spacing w:line="360" w:lineRule="auto"/>
        <w:ind w:firstLine="560" w:firstLineChars="200"/>
        <w:rPr>
          <w:rFonts w:ascii="宋体" w:hAnsi="宋体" w:cs="宋体"/>
          <w:sz w:val="28"/>
          <w:szCs w:val="28"/>
        </w:rPr>
      </w:pPr>
      <w:bookmarkStart w:id="172" w:name="_Toc24891"/>
      <w:r>
        <w:rPr>
          <w:rFonts w:hint="eastAsia" w:ascii="宋体" w:hAnsi="宋体" w:cs="宋体"/>
          <w:sz w:val="28"/>
          <w:szCs w:val="28"/>
        </w:rPr>
        <w:t>（4）推进农业水价综合改革</w:t>
      </w:r>
      <w:bookmarkEnd w:id="172"/>
    </w:p>
    <w:p>
      <w:pPr>
        <w:spacing w:line="360" w:lineRule="auto"/>
        <w:ind w:firstLine="560" w:firstLineChars="200"/>
        <w:rPr>
          <w:rFonts w:ascii="宋体" w:hAnsi="宋体" w:cs="宋体"/>
          <w:sz w:val="28"/>
          <w:szCs w:val="28"/>
        </w:rPr>
      </w:pPr>
      <w:r>
        <w:rPr>
          <w:rFonts w:hint="eastAsia" w:ascii="宋体" w:hAnsi="宋体" w:cs="宋体"/>
          <w:sz w:val="28"/>
          <w:szCs w:val="28"/>
        </w:rPr>
        <w:t>在有条件的地区统筹推进农业水价形成机制、农田水利工程建设和管护机制、精准补贴和节水奖励机制、终端用水管理机制等机制的建立、健全，促进农业节水和农田水利工程的良性运行。</w:t>
      </w:r>
    </w:p>
    <w:p>
      <w:pPr>
        <w:pStyle w:val="3"/>
        <w:spacing w:before="0" w:after="0" w:line="360" w:lineRule="auto"/>
        <w:rPr>
          <w:rFonts w:asciiTheme="minorEastAsia" w:hAnsiTheme="minorEastAsia" w:eastAsiaTheme="minorEastAsia"/>
        </w:rPr>
      </w:pPr>
      <w:bookmarkStart w:id="173" w:name="_Toc8040"/>
      <w:bookmarkStart w:id="174" w:name="_Toc313"/>
      <w:bookmarkStart w:id="175" w:name="_Toc144903192"/>
      <w:r>
        <w:rPr>
          <w:rFonts w:asciiTheme="minorEastAsia" w:hAnsiTheme="minorEastAsia" w:eastAsiaTheme="minorEastAsia"/>
        </w:rPr>
        <w:t>10</w:t>
      </w:r>
      <w:r>
        <w:rPr>
          <w:rFonts w:hint="eastAsia" w:asciiTheme="minorEastAsia" w:hAnsiTheme="minorEastAsia" w:eastAsiaTheme="minorEastAsia"/>
        </w:rPr>
        <w:t>.3 严格保护利用</w:t>
      </w:r>
      <w:bookmarkEnd w:id="173"/>
      <w:bookmarkEnd w:id="174"/>
      <w:bookmarkEnd w:id="175"/>
    </w:p>
    <w:p>
      <w:pPr>
        <w:spacing w:line="360" w:lineRule="auto"/>
        <w:ind w:firstLine="560" w:firstLineChars="200"/>
        <w:rPr>
          <w:rFonts w:ascii="宋体" w:hAnsi="宋体" w:cs="宋体"/>
          <w:sz w:val="28"/>
          <w:szCs w:val="28"/>
        </w:rPr>
      </w:pPr>
      <w:bookmarkStart w:id="176" w:name="_Toc8861"/>
      <w:r>
        <w:rPr>
          <w:rFonts w:hint="eastAsia" w:ascii="宋体" w:hAnsi="宋体" w:cs="宋体"/>
          <w:sz w:val="28"/>
          <w:szCs w:val="28"/>
        </w:rPr>
        <w:t>（1）强化用途管控</w:t>
      </w:r>
      <w:bookmarkEnd w:id="176"/>
    </w:p>
    <w:p>
      <w:pPr>
        <w:spacing w:line="360" w:lineRule="auto"/>
        <w:ind w:firstLine="560" w:firstLineChars="200"/>
        <w:rPr>
          <w:rFonts w:ascii="宋体" w:hAnsi="宋体" w:cs="宋体"/>
          <w:sz w:val="28"/>
          <w:szCs w:val="28"/>
        </w:rPr>
      </w:pPr>
      <w:r>
        <w:rPr>
          <w:rFonts w:hint="eastAsia" w:ascii="宋体" w:hAnsi="宋体" w:cs="宋体"/>
          <w:sz w:val="28"/>
          <w:szCs w:val="28"/>
        </w:rPr>
        <w:t>已建成的高标准农田，要及时划为永久基本农田，实行特殊保护，遏制“非农化”、防止“非粮化”，任何单位和个人不得损毁、擅自占用或改变用途。严格耕地占用审批，经依法批准占用高标准农田的，要及时补充，确保高标准农田数量不减少、质量不降低。</w:t>
      </w:r>
    </w:p>
    <w:p>
      <w:pPr>
        <w:spacing w:line="360" w:lineRule="auto"/>
        <w:ind w:firstLine="560" w:firstLineChars="200"/>
        <w:rPr>
          <w:rFonts w:ascii="宋体" w:hAnsi="宋体" w:cs="宋体"/>
          <w:sz w:val="28"/>
          <w:szCs w:val="28"/>
        </w:rPr>
      </w:pPr>
      <w:bookmarkStart w:id="177" w:name="_Toc19589"/>
      <w:r>
        <w:rPr>
          <w:rFonts w:hint="eastAsia" w:ascii="宋体" w:hAnsi="宋体" w:cs="宋体"/>
          <w:sz w:val="28"/>
          <w:szCs w:val="28"/>
        </w:rPr>
        <w:t>（2）加强农田保护</w:t>
      </w:r>
      <w:bookmarkEnd w:id="177"/>
    </w:p>
    <w:p>
      <w:pPr>
        <w:spacing w:line="360" w:lineRule="auto"/>
        <w:ind w:firstLine="560" w:firstLineChars="200"/>
        <w:rPr>
          <w:rFonts w:ascii="宋体" w:hAnsi="宋体" w:cs="宋体"/>
          <w:sz w:val="28"/>
          <w:szCs w:val="28"/>
        </w:rPr>
      </w:pPr>
      <w:r>
        <w:rPr>
          <w:rFonts w:hint="eastAsia" w:ascii="宋体" w:hAnsi="宋体" w:cs="宋体"/>
          <w:sz w:val="28"/>
          <w:szCs w:val="28"/>
        </w:rPr>
        <w:t>推行合理耕作制度，实行用地养地相结合，加强后续培肥，防止地力下降，确保可持续利用。对水毁等自然损毁的高标准农田，要纳入年度建设任务，及时进行修复或补充。严禁将不达标污水排入农田，严禁将生活垃圾、工业废弃物等倾倒、排放、存放到农田。</w:t>
      </w:r>
    </w:p>
    <w:p>
      <w:pPr>
        <w:spacing w:line="360" w:lineRule="auto"/>
        <w:ind w:firstLine="560" w:firstLineChars="200"/>
        <w:rPr>
          <w:rFonts w:ascii="宋体" w:hAnsi="宋体" w:cs="宋体"/>
          <w:sz w:val="28"/>
          <w:szCs w:val="28"/>
        </w:rPr>
      </w:pPr>
      <w:bookmarkStart w:id="178" w:name="_Toc11778"/>
      <w:r>
        <w:rPr>
          <w:rFonts w:hint="eastAsia" w:ascii="宋体" w:hAnsi="宋体" w:cs="宋体"/>
          <w:sz w:val="28"/>
          <w:szCs w:val="28"/>
        </w:rPr>
        <w:t>（3）坚持良田粮用</w:t>
      </w:r>
      <w:bookmarkEnd w:id="178"/>
    </w:p>
    <w:p>
      <w:pPr>
        <w:spacing w:line="360" w:lineRule="auto"/>
        <w:ind w:firstLine="560" w:firstLineChars="200"/>
        <w:rPr>
          <w:rFonts w:ascii="宋体" w:hAnsi="宋体" w:cs="宋体"/>
          <w:sz w:val="28"/>
          <w:szCs w:val="28"/>
        </w:rPr>
      </w:pPr>
      <w:r>
        <w:rPr>
          <w:rFonts w:hint="eastAsia" w:ascii="宋体" w:hAnsi="宋体" w:cs="宋体"/>
          <w:sz w:val="28"/>
          <w:szCs w:val="28"/>
        </w:rPr>
        <w:t>完善粮食主产区利益补偿机制，健全产粮大县奖补政策和农民种粮激励政策，压实主销区和产销平衡区稳定粮食生产责任，保障农民种粮合理收益，调动地方政府重农抓粮积极性和农民种粮积极性。引导高标准农田集中用于重要农产品特别是粮食生产。引导作物一年两熟以上的粮食生产功能区至少生产一季粮食，种植非粮作物的要在一季后能够恢复粮食生产。</w:t>
      </w:r>
    </w:p>
    <w:p>
      <w:pPr>
        <w:widowControl/>
        <w:jc w:val="left"/>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179" w:name="_Toc144903193"/>
      <w:r>
        <w:rPr>
          <w:rFonts w:hint="eastAsia" w:asciiTheme="minorEastAsia" w:hAnsiTheme="minorEastAsia" w:eastAsiaTheme="minorEastAsia"/>
          <w:b/>
          <w:sz w:val="36"/>
          <w:szCs w:val="36"/>
        </w:rPr>
        <w:t>1</w:t>
      </w:r>
      <w:r>
        <w:rPr>
          <w:rFonts w:asciiTheme="minorEastAsia" w:hAnsiTheme="minorEastAsia" w:eastAsiaTheme="minorEastAsia"/>
          <w:b/>
          <w:sz w:val="36"/>
          <w:szCs w:val="36"/>
        </w:rPr>
        <w:t>1.</w:t>
      </w:r>
      <w:r>
        <w:rPr>
          <w:rFonts w:hint="eastAsia" w:asciiTheme="minorEastAsia" w:hAnsiTheme="minorEastAsia" w:eastAsiaTheme="minorEastAsia"/>
          <w:b/>
          <w:sz w:val="36"/>
          <w:szCs w:val="36"/>
        </w:rPr>
        <w:t>预期效果</w:t>
      </w:r>
      <w:bookmarkEnd w:id="179"/>
    </w:p>
    <w:p>
      <w:pPr>
        <w:pStyle w:val="3"/>
        <w:spacing w:before="0" w:after="0" w:line="360" w:lineRule="auto"/>
        <w:rPr>
          <w:rFonts w:asciiTheme="minorEastAsia" w:hAnsiTheme="minorEastAsia" w:eastAsiaTheme="minorEastAsia"/>
        </w:rPr>
      </w:pPr>
      <w:bookmarkStart w:id="180" w:name="_Toc144903194"/>
      <w:r>
        <w:rPr>
          <w:rFonts w:hint="eastAsia" w:asciiTheme="minorEastAsia" w:hAnsiTheme="minorEastAsia" w:eastAsiaTheme="minorEastAsia"/>
        </w:rPr>
        <w:t>1</w:t>
      </w:r>
      <w:r>
        <w:rPr>
          <w:rFonts w:asciiTheme="minorEastAsia" w:hAnsiTheme="minorEastAsia" w:eastAsiaTheme="minorEastAsia"/>
        </w:rPr>
        <w:t>1.1</w:t>
      </w:r>
      <w:r>
        <w:rPr>
          <w:rFonts w:hint="eastAsia" w:asciiTheme="minorEastAsia" w:hAnsiTheme="minorEastAsia" w:eastAsiaTheme="minorEastAsia"/>
        </w:rPr>
        <w:t>经济效益</w:t>
      </w:r>
      <w:bookmarkEnd w:id="180"/>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成后，新增建设高标准农田亩均预计可提高粮食综合产能100公斤左右、改造提升高标准农田亩均预计可提高粮食综合产能80公斤左右，节水、节能、节肥、节药、节劳效果显著，亩均每年增收节支约500元。规划实施后，每年亩均粮食综合产能达到5</w:t>
      </w:r>
      <w:r>
        <w:rPr>
          <w:rFonts w:ascii="宋体" w:hAnsi="宋体" w:cs="宋体"/>
          <w:sz w:val="28"/>
          <w:szCs w:val="28"/>
        </w:rPr>
        <w:t>00</w:t>
      </w:r>
      <w:r>
        <w:rPr>
          <w:rFonts w:hint="eastAsia" w:ascii="宋体" w:hAnsi="宋体" w:cs="宋体"/>
          <w:sz w:val="28"/>
          <w:szCs w:val="28"/>
        </w:rPr>
        <w:t>公斤左右。通过节本增效，促进农民增收效果明显。</w:t>
      </w:r>
    </w:p>
    <w:p>
      <w:pPr>
        <w:spacing w:line="360" w:lineRule="auto"/>
        <w:ind w:firstLine="560" w:firstLineChars="200"/>
        <w:rPr>
          <w:rFonts w:ascii="宋体" w:hAnsi="宋体" w:cs="宋体"/>
          <w:sz w:val="28"/>
          <w:szCs w:val="28"/>
        </w:rPr>
      </w:pPr>
      <w:r>
        <w:rPr>
          <w:rFonts w:hint="eastAsia" w:ascii="宋体" w:hAnsi="宋体" w:cs="宋体"/>
          <w:sz w:val="28"/>
          <w:szCs w:val="28"/>
        </w:rPr>
        <w:t>高标准农田建成后可全部实现节水灌溉。项目区内机耕、机播、机收、秸杆还田面积均达95%以上；项目区生产条件的改善，促使土地产出率大幅度提高。</w:t>
      </w:r>
    </w:p>
    <w:p>
      <w:pPr>
        <w:pStyle w:val="3"/>
        <w:spacing w:before="0" w:after="0" w:line="360" w:lineRule="auto"/>
        <w:rPr>
          <w:rFonts w:asciiTheme="minorEastAsia" w:hAnsiTheme="minorEastAsia" w:eastAsiaTheme="minorEastAsia"/>
        </w:rPr>
      </w:pPr>
      <w:bookmarkStart w:id="181" w:name="_Toc144903195"/>
      <w:r>
        <w:rPr>
          <w:rFonts w:hint="eastAsia" w:asciiTheme="minorEastAsia" w:hAnsiTheme="minorEastAsia" w:eastAsiaTheme="minorEastAsia"/>
        </w:rPr>
        <w:t>1</w:t>
      </w:r>
      <w:r>
        <w:rPr>
          <w:rFonts w:asciiTheme="minorEastAsia" w:hAnsiTheme="minorEastAsia" w:eastAsiaTheme="minorEastAsia"/>
        </w:rPr>
        <w:t>1.2</w:t>
      </w:r>
      <w:r>
        <w:rPr>
          <w:rFonts w:hint="eastAsia" w:asciiTheme="minorEastAsia" w:hAnsiTheme="minorEastAsia" w:eastAsiaTheme="minorEastAsia"/>
        </w:rPr>
        <w:t>社会效益</w:t>
      </w:r>
      <w:bookmarkEnd w:id="181"/>
    </w:p>
    <w:p>
      <w:pPr>
        <w:spacing w:line="360" w:lineRule="auto"/>
        <w:ind w:firstLine="560" w:firstLineChars="200"/>
        <w:rPr>
          <w:rFonts w:ascii="宋体" w:hAnsi="宋体" w:cs="宋体"/>
          <w:sz w:val="28"/>
          <w:szCs w:val="28"/>
        </w:rPr>
      </w:pPr>
      <w:r>
        <w:rPr>
          <w:rFonts w:hint="eastAsia" w:ascii="宋体" w:hAnsi="宋体" w:cs="宋体"/>
          <w:sz w:val="28"/>
          <w:szCs w:val="28"/>
        </w:rPr>
        <w:t>（1）通过加强农业基础设施建设，农业生产条件得到根本改善</w:t>
      </w:r>
    </w:p>
    <w:p>
      <w:pPr>
        <w:spacing w:line="360" w:lineRule="auto"/>
        <w:ind w:firstLine="560" w:firstLineChars="200"/>
        <w:rPr>
          <w:rFonts w:ascii="宋体" w:hAnsi="宋体" w:cs="宋体"/>
          <w:sz w:val="28"/>
          <w:szCs w:val="28"/>
        </w:rPr>
      </w:pPr>
      <w:r>
        <w:rPr>
          <w:rFonts w:hint="eastAsia" w:ascii="宋体" w:hAnsi="宋体" w:cs="宋体"/>
          <w:sz w:val="28"/>
          <w:szCs w:val="28"/>
        </w:rPr>
        <w:t>项目区内道路平直、通畅，农田林网纵横交错，道路两旁树木整齐挺拔，真正形成田成方、林成网；渠相通、路相连；旱能浇、涝能排；行路易、农机化；品种优、科技新；设施配套、功能齐全；稳产高产、节本高效；生态和谐、持续发展的现代农业新格局。农田形象大幅度提升，产出效益明显提高，成为全区现代农业的示范区、样板区、高产创建和有机农业试验区，从而推进全区农业生产整体水平的提高，实现农村经济持续健康发展。</w:t>
      </w:r>
    </w:p>
    <w:p>
      <w:pPr>
        <w:spacing w:line="360" w:lineRule="auto"/>
        <w:ind w:firstLine="560" w:firstLineChars="200"/>
        <w:rPr>
          <w:rFonts w:ascii="宋体" w:hAnsi="宋体" w:cs="宋体"/>
          <w:sz w:val="28"/>
          <w:szCs w:val="28"/>
        </w:rPr>
      </w:pPr>
      <w:r>
        <w:rPr>
          <w:rFonts w:hint="eastAsia" w:ascii="宋体" w:hAnsi="宋体" w:cs="宋体"/>
          <w:sz w:val="28"/>
          <w:szCs w:val="28"/>
        </w:rPr>
        <w:t>（2）通过高标准项目的实施，促进了社会主义新农村的建设</w:t>
      </w:r>
    </w:p>
    <w:p>
      <w:pPr>
        <w:spacing w:line="360" w:lineRule="auto"/>
        <w:ind w:firstLine="560" w:firstLineChars="200"/>
        <w:rPr>
          <w:rFonts w:ascii="宋体" w:hAnsi="宋体" w:cs="宋体"/>
          <w:sz w:val="28"/>
          <w:szCs w:val="28"/>
        </w:rPr>
      </w:pPr>
      <w:r>
        <w:rPr>
          <w:rFonts w:hint="eastAsia" w:ascii="宋体" w:hAnsi="宋体" w:cs="宋体"/>
          <w:sz w:val="28"/>
          <w:szCs w:val="28"/>
        </w:rPr>
        <w:t>通过高标准农田建设，农民热切盼望解决的问题得到有效解决，使党的惠农政策得到落实，农民的生产生活水平显著提高，进一步增强了基层党组织凝聚力和战斗力，密切了党群、干群关系。通过“民主开发”机制的引导示范，村民自制机制健全，民主管理规范，农民群众的知情权、参与权、管理权和监督权得到有效行使，村民对村级管理的满意度明显提升，对保持农村大局稳定和加快社会主义新农村建设进程将产生积极的影响。</w:t>
      </w:r>
    </w:p>
    <w:p>
      <w:pPr>
        <w:spacing w:line="360" w:lineRule="auto"/>
        <w:ind w:firstLine="560" w:firstLineChars="200"/>
        <w:rPr>
          <w:rFonts w:ascii="宋体" w:hAnsi="宋体" w:cs="宋体"/>
          <w:sz w:val="28"/>
          <w:szCs w:val="28"/>
        </w:rPr>
      </w:pPr>
      <w:r>
        <w:rPr>
          <w:rFonts w:hint="eastAsia" w:ascii="宋体" w:hAnsi="宋体" w:cs="宋体"/>
          <w:sz w:val="28"/>
          <w:szCs w:val="28"/>
        </w:rPr>
        <w:t>（3）促进农业现代化进程，提高农业组织化程度</w:t>
      </w:r>
    </w:p>
    <w:p>
      <w:pPr>
        <w:spacing w:line="360" w:lineRule="auto"/>
        <w:ind w:firstLine="560" w:firstLineChars="200"/>
        <w:rPr>
          <w:rFonts w:ascii="宋体" w:hAnsi="宋体" w:cs="宋体"/>
          <w:sz w:val="28"/>
          <w:szCs w:val="28"/>
        </w:rPr>
      </w:pPr>
      <w:r>
        <w:rPr>
          <w:rFonts w:hint="eastAsia" w:ascii="宋体" w:hAnsi="宋体" w:cs="宋体"/>
          <w:sz w:val="28"/>
          <w:szCs w:val="28"/>
        </w:rPr>
        <w:t>在开发的基础上，积极引导组织农民进行适度规模化经营，着力组建、扶持农机、农技、植保和水利等多种形式的社会化服务化体系，提高社会化服务水平，推进现代农业发展</w:t>
      </w:r>
    </w:p>
    <w:p>
      <w:pPr>
        <w:pStyle w:val="3"/>
        <w:spacing w:before="0" w:after="0" w:line="360" w:lineRule="auto"/>
        <w:rPr>
          <w:rFonts w:asciiTheme="minorEastAsia" w:hAnsiTheme="minorEastAsia" w:eastAsiaTheme="minorEastAsia"/>
        </w:rPr>
      </w:pPr>
      <w:bookmarkStart w:id="182" w:name="_Toc144903196"/>
      <w:r>
        <w:rPr>
          <w:rFonts w:hint="eastAsia" w:asciiTheme="minorEastAsia" w:hAnsiTheme="minorEastAsia" w:eastAsiaTheme="minorEastAsia"/>
        </w:rPr>
        <w:t>1</w:t>
      </w:r>
      <w:r>
        <w:rPr>
          <w:rFonts w:asciiTheme="minorEastAsia" w:hAnsiTheme="minorEastAsia" w:eastAsiaTheme="minorEastAsia"/>
        </w:rPr>
        <w:t>1.3</w:t>
      </w:r>
      <w:r>
        <w:rPr>
          <w:rFonts w:hint="eastAsia" w:asciiTheme="minorEastAsia" w:hAnsiTheme="minorEastAsia" w:eastAsiaTheme="minorEastAsia"/>
        </w:rPr>
        <w:t>生态效益</w:t>
      </w:r>
      <w:bookmarkEnd w:id="182"/>
    </w:p>
    <w:p>
      <w:pPr>
        <w:spacing w:line="360" w:lineRule="auto"/>
        <w:ind w:firstLine="560" w:firstLineChars="200"/>
        <w:rPr>
          <w:rFonts w:ascii="宋体" w:hAnsi="宋体" w:cs="宋体"/>
          <w:sz w:val="28"/>
          <w:szCs w:val="28"/>
        </w:rPr>
      </w:pPr>
      <w:r>
        <w:rPr>
          <w:rFonts w:hint="eastAsia" w:ascii="宋体" w:hAnsi="宋体" w:cs="宋体"/>
          <w:sz w:val="28"/>
          <w:szCs w:val="28"/>
        </w:rPr>
        <w:t>通过项目的实施项目区全部建成田成方、林成网、沟相通、路相连、旱能浇、涝能排的高标准农田，进一步提高了项目区的植被覆盖率，增强了水土保护能力，减少了水土流失，增强了抗御自然灾害能力，改善了生态气候环境。通过项目区的提升改造，提升或降低农田林网温度，提高空气相对湿度22%～28%，减少土壤蒸发量18%～24%，可有效改善农田小气候，减轻干热风、龙卷风等灾害性天气的危害，提高农田抵御自然灾害的能力，促进作物增产，实现林茂粮丰。</w:t>
      </w:r>
    </w:p>
    <w:p>
      <w:pPr>
        <w:spacing w:line="360" w:lineRule="auto"/>
        <w:ind w:firstLine="560" w:firstLineChars="200"/>
        <w:rPr>
          <w:rFonts w:ascii="宋体" w:hAnsi="宋体" w:cs="宋体"/>
          <w:sz w:val="28"/>
          <w:szCs w:val="28"/>
        </w:rPr>
      </w:pPr>
      <w:r>
        <w:rPr>
          <w:rFonts w:hint="eastAsia" w:ascii="宋体" w:hAnsi="宋体" w:cs="宋体"/>
          <w:sz w:val="28"/>
          <w:szCs w:val="28"/>
        </w:rPr>
        <w:t>项目实施阶段，施工会对当地环境造成短暂的影响，必须采取切实可行的水保环保措施，加强扬尘控制，安全生产、文明施工、确保把对环境的影响降到最低。</w:t>
      </w:r>
    </w:p>
    <w:p>
      <w:pPr>
        <w:spacing w:line="360" w:lineRule="auto"/>
        <w:ind w:firstLine="560" w:firstLineChars="200"/>
        <w:rPr>
          <w:rFonts w:ascii="宋体" w:hAnsi="宋体" w:cs="宋体"/>
          <w:sz w:val="28"/>
          <w:szCs w:val="28"/>
        </w:rPr>
      </w:pPr>
      <w:r>
        <w:rPr>
          <w:rFonts w:ascii="宋体" w:hAnsi="宋体" w:cs="宋体"/>
          <w:sz w:val="28"/>
          <w:szCs w:val="28"/>
        </w:rPr>
        <w:br w:type="page"/>
      </w:r>
    </w:p>
    <w:p>
      <w:pPr>
        <w:spacing w:line="360" w:lineRule="auto"/>
        <w:outlineLvl w:val="0"/>
        <w:rPr>
          <w:rFonts w:asciiTheme="minorEastAsia" w:hAnsiTheme="minorEastAsia" w:eastAsiaTheme="minorEastAsia"/>
          <w:b/>
          <w:sz w:val="36"/>
          <w:szCs w:val="36"/>
        </w:rPr>
      </w:pPr>
      <w:bookmarkStart w:id="183" w:name="_Toc16041"/>
      <w:bookmarkStart w:id="184" w:name="_Toc144903197"/>
      <w:r>
        <w:rPr>
          <w:rFonts w:hint="eastAsia" w:asciiTheme="minorEastAsia" w:hAnsiTheme="minorEastAsia" w:eastAsiaTheme="minorEastAsia"/>
          <w:b/>
          <w:sz w:val="36"/>
          <w:szCs w:val="36"/>
        </w:rPr>
        <w:t>1</w:t>
      </w:r>
      <w:r>
        <w:rPr>
          <w:rFonts w:asciiTheme="minorEastAsia" w:hAnsiTheme="minorEastAsia" w:eastAsiaTheme="minorEastAsia"/>
          <w:b/>
          <w:sz w:val="36"/>
          <w:szCs w:val="36"/>
        </w:rPr>
        <w:t>2.</w:t>
      </w:r>
      <w:r>
        <w:rPr>
          <w:rFonts w:hint="eastAsia" w:asciiTheme="minorEastAsia" w:hAnsiTheme="minorEastAsia" w:eastAsiaTheme="minorEastAsia"/>
          <w:b/>
          <w:sz w:val="36"/>
          <w:szCs w:val="36"/>
        </w:rPr>
        <w:t>项目实施的保障措施</w:t>
      </w:r>
      <w:bookmarkEnd w:id="183"/>
      <w:bookmarkEnd w:id="184"/>
    </w:p>
    <w:p>
      <w:pPr>
        <w:pStyle w:val="3"/>
        <w:spacing w:before="0" w:after="0" w:line="360" w:lineRule="auto"/>
        <w:rPr>
          <w:rFonts w:asciiTheme="minorEastAsia" w:hAnsiTheme="minorEastAsia" w:eastAsiaTheme="minorEastAsia"/>
        </w:rPr>
      </w:pPr>
      <w:bookmarkStart w:id="185" w:name="_Toc144903198"/>
      <w:r>
        <w:rPr>
          <w:rFonts w:hint="eastAsia" w:asciiTheme="minorEastAsia" w:hAnsiTheme="minorEastAsia" w:eastAsiaTheme="minorEastAsia"/>
        </w:rPr>
        <w:t>1</w:t>
      </w:r>
      <w:r>
        <w:rPr>
          <w:rFonts w:asciiTheme="minorEastAsia" w:hAnsiTheme="minorEastAsia" w:eastAsiaTheme="minorEastAsia"/>
        </w:rPr>
        <w:t>2.1</w:t>
      </w:r>
      <w:r>
        <w:rPr>
          <w:rFonts w:hint="eastAsia" w:asciiTheme="minorEastAsia" w:hAnsiTheme="minorEastAsia" w:eastAsiaTheme="minorEastAsia"/>
        </w:rPr>
        <w:t>加强组织领导</w:t>
      </w:r>
      <w:bookmarkEnd w:id="185"/>
    </w:p>
    <w:p>
      <w:pPr>
        <w:spacing w:line="360" w:lineRule="auto"/>
        <w:ind w:firstLine="560" w:firstLineChars="200"/>
        <w:rPr>
          <w:rFonts w:ascii="宋体" w:hAnsi="宋体" w:cs="宋体"/>
          <w:sz w:val="28"/>
          <w:szCs w:val="28"/>
        </w:rPr>
      </w:pPr>
      <w:r>
        <w:rPr>
          <w:rFonts w:hint="eastAsia" w:ascii="宋体" w:hAnsi="宋体" w:cs="宋体"/>
          <w:sz w:val="28"/>
          <w:szCs w:val="28"/>
        </w:rPr>
        <w:t>（1）完善体制机制。落实高标准农田建设统一规划布局、统一建设标准、统一组织实施、统一验收考核、统一上图入库要求，构建集中统一高效的管理新体制。高标准农田建设实行省负总责、市县抓落实、群众参与的工作机制。强化政府主要领导负总责、分管领导直接负责的责任制，加强规划实施、任务落实、资金保障、监督评价和运营管护等工作。省农业农村厅要全面履行高标准农田建设集中统一管理职责，省发展改革、财政、自然资源、水利、电力等相关部门要按照职责分工，密切配合，做好规划指导、资金投入、新增耕地核定和交易、水资源利用和管理、金融支持等工作，协同推进高标准农田建设。各地农业农村部门要逐级落实建设任务和工作责任，地方有关部门要按照职责分工，主动协作配合，确保各项工作任务按期完成。加强建设资金全过程绩效管理，科学设定绩效目标，加强绩效运行监控和评价，强化结果应用，提高资金使用效益。</w:t>
      </w:r>
    </w:p>
    <w:p>
      <w:pPr>
        <w:spacing w:line="360" w:lineRule="auto"/>
        <w:ind w:firstLine="560" w:firstLineChars="200"/>
        <w:rPr>
          <w:rFonts w:ascii="宋体" w:hAnsi="宋体" w:cs="宋体"/>
          <w:sz w:val="28"/>
          <w:szCs w:val="28"/>
        </w:rPr>
      </w:pPr>
      <w:r>
        <w:rPr>
          <w:rFonts w:hint="eastAsia" w:ascii="宋体" w:hAnsi="宋体" w:cs="宋体"/>
          <w:sz w:val="28"/>
          <w:szCs w:val="28"/>
        </w:rPr>
        <w:t>（2）加强行业管理。严把高标准农田建设从业机构资质审查关，提高勘察、设计、施工和监理等相关单位门槛，杜绝无资质或资质不符合要求的从业机构承接相关业务。大力推行信用承诺制度，依法依规建立健全高标准农田建设从业机构失信惩戒机制。加强行业自律和动态监管，紧盯2种对象（招标人和投标人），抓住3个关键方面（勘察设计、招投标、工程质量），督查15项禁止事项，形成竞争有序、诚实守信的高标准农田建设市场环境，确保高标准农田建设项目资金安全，把高标准农田建设项目打造成惠民工程、优质工程和廉洁工程。</w:t>
      </w:r>
    </w:p>
    <w:p>
      <w:pPr>
        <w:spacing w:line="360" w:lineRule="auto"/>
        <w:ind w:firstLine="560" w:firstLineChars="200"/>
        <w:rPr>
          <w:rFonts w:ascii="宋体" w:hAnsi="宋体" w:cs="宋体"/>
          <w:sz w:val="28"/>
          <w:szCs w:val="28"/>
        </w:rPr>
      </w:pPr>
      <w:r>
        <w:rPr>
          <w:rFonts w:hint="eastAsia" w:ascii="宋体" w:hAnsi="宋体" w:cs="宋体"/>
          <w:sz w:val="28"/>
          <w:szCs w:val="28"/>
        </w:rPr>
        <w:t>（3）强化队伍建设。加强高标准农田建设管理和技术服务体系队伍建设，强化人员配备，重点配强县、乡两级工作力量，与当地高标准农田建设任务相适应。加快形成层次清晰、上下衔接的专业化人才队伍。加大技术培训力度，加强业务交流，提升高标准农田建设管理和技术人员的业务能力和综合素质。</w:t>
      </w:r>
    </w:p>
    <w:p>
      <w:pPr>
        <w:pStyle w:val="3"/>
        <w:spacing w:before="0" w:after="0" w:line="360" w:lineRule="auto"/>
        <w:rPr>
          <w:rFonts w:asciiTheme="minorEastAsia" w:hAnsiTheme="minorEastAsia" w:eastAsiaTheme="minorEastAsia"/>
        </w:rPr>
      </w:pPr>
      <w:bookmarkStart w:id="186" w:name="_Toc144903199"/>
      <w:r>
        <w:rPr>
          <w:rFonts w:hint="eastAsia" w:asciiTheme="minorEastAsia" w:hAnsiTheme="minorEastAsia" w:eastAsiaTheme="minorEastAsia"/>
        </w:rPr>
        <w:t>1</w:t>
      </w:r>
      <w:r>
        <w:rPr>
          <w:rFonts w:asciiTheme="minorEastAsia" w:hAnsiTheme="minorEastAsia" w:eastAsiaTheme="minorEastAsia"/>
        </w:rPr>
        <w:t>2.2</w:t>
      </w:r>
      <w:r>
        <w:rPr>
          <w:rFonts w:hint="eastAsia" w:asciiTheme="minorEastAsia" w:hAnsiTheme="minorEastAsia" w:eastAsiaTheme="minorEastAsia"/>
        </w:rPr>
        <w:t>强化规划引领</w:t>
      </w:r>
      <w:bookmarkEnd w:id="186"/>
    </w:p>
    <w:p>
      <w:pPr>
        <w:spacing w:line="360" w:lineRule="auto"/>
        <w:ind w:firstLine="560" w:firstLineChars="200"/>
        <w:rPr>
          <w:rFonts w:ascii="宋体" w:hAnsi="宋体" w:cs="宋体"/>
          <w:sz w:val="28"/>
          <w:szCs w:val="28"/>
        </w:rPr>
      </w:pPr>
      <w:r>
        <w:rPr>
          <w:rFonts w:hint="eastAsia" w:ascii="宋体" w:hAnsi="宋体" w:cs="宋体"/>
          <w:sz w:val="28"/>
          <w:szCs w:val="28"/>
        </w:rPr>
        <w:t>（1）构建规划体系。建立国家、省、市、县四级高标准农田建设规划体系，市、县级要按照“下级规划服从上级规划、等位规划相互协调”的原则，在全面摸清高标准农田数量、质量、分布和利用状况基础上，根据省级规划分配任务，编制本地高标准农田建设规划。市级规划经省农业农村厅审核、本级政府批准后发布实施，并报省农业农村厅备案；县级规划经省辖市农业农村部门审核、本级政府批准后发布实施，并报省、省辖市农业农村部门备案。</w:t>
      </w:r>
    </w:p>
    <w:p>
      <w:pPr>
        <w:spacing w:line="360" w:lineRule="auto"/>
        <w:ind w:firstLine="560" w:firstLineChars="200"/>
        <w:rPr>
          <w:rFonts w:ascii="宋体" w:hAnsi="宋体" w:cs="宋体"/>
          <w:sz w:val="28"/>
          <w:szCs w:val="28"/>
        </w:rPr>
      </w:pPr>
      <w:r>
        <w:rPr>
          <w:rFonts w:hint="eastAsia" w:ascii="宋体" w:hAnsi="宋体" w:cs="宋体"/>
          <w:sz w:val="28"/>
          <w:szCs w:val="28"/>
        </w:rPr>
        <w:t>（2）加强规划衔接。各地在编制高标准农田建设规划时，在建设目标、任务、布局以及重大项目安排上，要衔接国土空间规划、水资源综合利用规划等相关规划，综合考虑资源环境承载力、“三线一单”生态环境分区管控要求、粮食保障要求等因素，科学开展水资源论证，确定高标准农田建设区域，明确建设的重点区域、限制区域和禁止区域。</w:t>
      </w:r>
    </w:p>
    <w:p>
      <w:pPr>
        <w:spacing w:line="360" w:lineRule="auto"/>
        <w:ind w:firstLine="560" w:firstLineChars="200"/>
        <w:rPr>
          <w:rFonts w:ascii="宋体" w:hAnsi="宋体" w:cs="宋体"/>
          <w:sz w:val="28"/>
          <w:szCs w:val="28"/>
        </w:rPr>
      </w:pPr>
      <w:r>
        <w:rPr>
          <w:rFonts w:hint="eastAsia" w:ascii="宋体" w:hAnsi="宋体" w:cs="宋体"/>
          <w:sz w:val="28"/>
          <w:szCs w:val="28"/>
        </w:rPr>
        <w:t>（3）开展规划评估。严格落实规划，按照规划时序落实新建和提升任务。在规划实施中期，采用各地自评与第三方评估相结合的方式，对规划目标、建设任务、重点工程的完成情况进行评估分析，客观评价规划实施进展，总结提炼经验做法、剖析实施过程中存在的问题及原因，进一步发挥规划的引领作用。</w:t>
      </w:r>
    </w:p>
    <w:p>
      <w:pPr>
        <w:pStyle w:val="3"/>
        <w:spacing w:before="0" w:after="0" w:line="360" w:lineRule="auto"/>
        <w:rPr>
          <w:rFonts w:asciiTheme="minorEastAsia" w:hAnsiTheme="minorEastAsia" w:eastAsiaTheme="minorEastAsia"/>
        </w:rPr>
      </w:pPr>
      <w:bookmarkStart w:id="187" w:name="_Toc144903200"/>
      <w:r>
        <w:rPr>
          <w:rFonts w:hint="eastAsia" w:asciiTheme="minorEastAsia" w:hAnsiTheme="minorEastAsia" w:eastAsiaTheme="minorEastAsia"/>
        </w:rPr>
        <w:t>1</w:t>
      </w:r>
      <w:r>
        <w:rPr>
          <w:rFonts w:asciiTheme="minorEastAsia" w:hAnsiTheme="minorEastAsia" w:eastAsiaTheme="minorEastAsia"/>
        </w:rPr>
        <w:t>2.3</w:t>
      </w:r>
      <w:r>
        <w:rPr>
          <w:rFonts w:hint="eastAsia" w:asciiTheme="minorEastAsia" w:hAnsiTheme="minorEastAsia" w:eastAsiaTheme="minorEastAsia"/>
        </w:rPr>
        <w:t>加强资金保障</w:t>
      </w:r>
      <w:bookmarkEnd w:id="187"/>
    </w:p>
    <w:p>
      <w:pPr>
        <w:spacing w:line="360" w:lineRule="auto"/>
        <w:ind w:firstLine="560" w:firstLineChars="200"/>
        <w:rPr>
          <w:rFonts w:ascii="宋体" w:hAnsi="宋体" w:cs="宋体"/>
          <w:sz w:val="28"/>
          <w:szCs w:val="28"/>
        </w:rPr>
      </w:pPr>
      <w:r>
        <w:rPr>
          <w:rFonts w:hint="eastAsia" w:ascii="宋体" w:hAnsi="宋体" w:cs="宋体"/>
          <w:sz w:val="28"/>
          <w:szCs w:val="28"/>
        </w:rPr>
        <w:t>（1）加大财政投入。建立健全高标准农田建设投入保障增长机制。积极争取国家加大对我省高标准农田建设的政策和资金支持力度；优化省、市、县级财政支出结构，将高标准农田建设作为重点事项，根据高标准农田建设任务、标准和成本，保障财政资金投入；按照《省与市县共同财政事权支出责任省级分担办法》规定，及时落实支出责任，足额保障负担的建设资金。按照《财政部农业农村部关于印发〈农田建设补助资金管理办法〉的通知》（财农〔2022〕5号）规定，各地要通过一般公共预算、政府性基金预算中的土地出让收入等渠道，支持本地区高标准农田建设。鼓励有条件的地方加大投入力度，提高建设标准，打造示范项目。</w:t>
      </w:r>
    </w:p>
    <w:p>
      <w:pPr>
        <w:spacing w:line="360" w:lineRule="auto"/>
        <w:ind w:firstLine="560" w:firstLineChars="200"/>
        <w:rPr>
          <w:rFonts w:ascii="宋体" w:hAnsi="宋体" w:cs="宋体"/>
          <w:sz w:val="28"/>
          <w:szCs w:val="28"/>
        </w:rPr>
      </w:pPr>
      <w:r>
        <w:rPr>
          <w:rFonts w:hint="eastAsia" w:ascii="宋体" w:hAnsi="宋体" w:cs="宋体"/>
          <w:sz w:val="28"/>
          <w:szCs w:val="28"/>
        </w:rPr>
        <w:t>（2）完善多元化筹资机制。发挥政府投入引导和撬动作用，完善政银担合作机制，采取投资补助、以奖代补、财政贴息、政府与社会资本合作等方式支持高标准农田建设。积极引导金融和社会资本投入高标准农田建设。对有收益的市场化项目，在严格规范政府债务管理的同时，鼓励开发性、政策性金融机构结合职能定位和业务范围支持高标准农田建设，引导商业金融机构加大信贷投放力度，优化信贷资源配置，提升金融支持精准度。完善政银担合作机制，加强与信贷担保等政策衔接。支持符合条件的地方使用政府专项债券建设高标准农田。有条件的地方在债券发行完成前，对预算已安排债券资金的项目可先行调度库款开展建设，债券发行后及时归垫。鼓励保险机构开发针对高标准农田建设和管护的农业保险产品。加强新增耕地指标跨区域调剂统筹和收益调节分配，拓展高标准农田建设资金投入。在不加重农民负担的前提下，积极鼓励农民和农村集体经济组织自主筹资投劳，参与高标准农田建设和运营管理。加强国际合作与交流，探索利用国外贷款开展高标准农田建设。</w:t>
      </w:r>
    </w:p>
    <w:p>
      <w:pPr>
        <w:spacing w:line="360" w:lineRule="auto"/>
        <w:ind w:firstLine="560" w:firstLineChars="200"/>
        <w:rPr>
          <w:rFonts w:ascii="宋体" w:hAnsi="宋体" w:cs="宋体"/>
          <w:sz w:val="28"/>
          <w:szCs w:val="28"/>
        </w:rPr>
      </w:pPr>
      <w:r>
        <w:rPr>
          <w:rFonts w:hint="eastAsia" w:ascii="宋体" w:hAnsi="宋体" w:cs="宋体"/>
          <w:sz w:val="28"/>
          <w:szCs w:val="28"/>
        </w:rPr>
        <w:t>（3）统筹整合资金。建立高标准农田资金统筹使用机制，加大高标准农田建设投入，推进集中连片建设，确保完成目标任务。省级层面统筹资金用于高标准农田建设，按照任务和资金相匹配的原则，将资金分解落实到县。县级层面制定整合资金使用方案，统筹使用各类高标准农田建设资金，将任务和资金落实到地块。</w:t>
      </w:r>
    </w:p>
    <w:p>
      <w:pPr>
        <w:pStyle w:val="3"/>
        <w:spacing w:before="0" w:after="0" w:line="360" w:lineRule="auto"/>
        <w:rPr>
          <w:rFonts w:asciiTheme="minorEastAsia" w:hAnsiTheme="minorEastAsia" w:eastAsiaTheme="minorEastAsia"/>
        </w:rPr>
      </w:pPr>
      <w:bookmarkStart w:id="188" w:name="_Toc144903201"/>
      <w:r>
        <w:rPr>
          <w:rFonts w:hint="eastAsia" w:asciiTheme="minorEastAsia" w:hAnsiTheme="minorEastAsia" w:eastAsiaTheme="minorEastAsia"/>
        </w:rPr>
        <w:t>1</w:t>
      </w:r>
      <w:r>
        <w:rPr>
          <w:rFonts w:asciiTheme="minorEastAsia" w:hAnsiTheme="minorEastAsia" w:eastAsiaTheme="minorEastAsia"/>
        </w:rPr>
        <w:t>2.4</w:t>
      </w:r>
      <w:r>
        <w:rPr>
          <w:rFonts w:hint="eastAsia" w:asciiTheme="minorEastAsia" w:hAnsiTheme="minorEastAsia" w:eastAsiaTheme="minorEastAsia"/>
        </w:rPr>
        <w:t>加强科技支撑</w:t>
      </w:r>
      <w:bookmarkEnd w:id="188"/>
    </w:p>
    <w:p>
      <w:pPr>
        <w:spacing w:line="360" w:lineRule="auto"/>
        <w:ind w:firstLine="560" w:firstLineChars="200"/>
        <w:rPr>
          <w:rFonts w:ascii="宋体" w:hAnsi="宋体" w:cs="宋体"/>
          <w:sz w:val="28"/>
          <w:szCs w:val="28"/>
        </w:rPr>
      </w:pPr>
      <w:r>
        <w:rPr>
          <w:rFonts w:hint="eastAsia" w:ascii="宋体" w:hAnsi="宋体" w:cs="宋体"/>
          <w:sz w:val="28"/>
          <w:szCs w:val="28"/>
        </w:rPr>
        <w:t>（1）加强技术创新。围绕高标准农田建设关键技术问题，集聚跨学科、跨领域优势力量，开展科学研究和技术研发。加大对农田防灾抗灾减灾能力提升、农田信息化监管、生态治理等关键技术问题的攻关力度，重点突破。推进科技创新成果转化，为高标准农田建设提供技术支撑。</w:t>
      </w:r>
    </w:p>
    <w:p>
      <w:pPr>
        <w:spacing w:line="360" w:lineRule="auto"/>
        <w:ind w:firstLine="560" w:firstLineChars="200"/>
        <w:rPr>
          <w:rFonts w:ascii="宋体" w:hAnsi="宋体" w:cs="宋体"/>
          <w:sz w:val="28"/>
          <w:szCs w:val="28"/>
        </w:rPr>
      </w:pPr>
      <w:r>
        <w:rPr>
          <w:rFonts w:hint="eastAsia" w:ascii="宋体" w:hAnsi="宋体" w:cs="宋体"/>
          <w:sz w:val="28"/>
          <w:szCs w:val="28"/>
        </w:rPr>
        <w:t>（2）完善创新机制。建立产学研用深度融合的技术创新机制，鼓励农田建设领域各类创新主体建立创新联盟，建立关键核心技术攻关机制。建设一批长期定位监测点、技术创新中心等科研平台，加大资源开放和数据共享力度，优化科研平台管理机制。</w:t>
      </w:r>
    </w:p>
    <w:p>
      <w:pPr>
        <w:spacing w:line="360" w:lineRule="auto"/>
        <w:ind w:firstLine="560" w:firstLineChars="200"/>
        <w:rPr>
          <w:rFonts w:ascii="宋体" w:hAnsi="宋体" w:cs="宋体"/>
          <w:sz w:val="28"/>
          <w:szCs w:val="28"/>
        </w:rPr>
      </w:pPr>
      <w:r>
        <w:rPr>
          <w:rFonts w:hint="eastAsia" w:ascii="宋体" w:hAnsi="宋体" w:cs="宋体"/>
          <w:sz w:val="28"/>
          <w:szCs w:val="28"/>
        </w:rPr>
        <w:t>（3）开展科技示范。大力引进和推广先进实用装备和技术，加强农田建设与农机农艺技术的集成与应用。开展生态绿色农田、数字农田和土壤盐碱化、酸化、退化及工程性缺水等专项建设示范，引领相同类型区域高标准农田建设。实施区域化整体建设，在潜力大、基础条件好、积极性高的地方，推进高标准农田建设整区域示范。</w:t>
      </w:r>
    </w:p>
    <w:p>
      <w:pPr>
        <w:pStyle w:val="3"/>
        <w:spacing w:before="0" w:after="0" w:line="360" w:lineRule="auto"/>
        <w:rPr>
          <w:rFonts w:asciiTheme="minorEastAsia" w:hAnsiTheme="minorEastAsia" w:eastAsiaTheme="minorEastAsia"/>
        </w:rPr>
      </w:pPr>
      <w:bookmarkStart w:id="189" w:name="_Toc144903202"/>
      <w:r>
        <w:rPr>
          <w:rFonts w:hint="eastAsia" w:asciiTheme="minorEastAsia" w:hAnsiTheme="minorEastAsia" w:eastAsiaTheme="minorEastAsia"/>
        </w:rPr>
        <w:t>1</w:t>
      </w:r>
      <w:r>
        <w:rPr>
          <w:rFonts w:asciiTheme="minorEastAsia" w:hAnsiTheme="minorEastAsia" w:eastAsiaTheme="minorEastAsia"/>
        </w:rPr>
        <w:t>2.5</w:t>
      </w:r>
      <w:r>
        <w:rPr>
          <w:rFonts w:hint="eastAsia" w:asciiTheme="minorEastAsia" w:hAnsiTheme="minorEastAsia" w:eastAsiaTheme="minorEastAsia"/>
        </w:rPr>
        <w:t>严格监督考核</w:t>
      </w:r>
      <w:bookmarkEnd w:id="189"/>
    </w:p>
    <w:p>
      <w:pPr>
        <w:spacing w:line="360" w:lineRule="auto"/>
        <w:ind w:firstLine="560" w:firstLineChars="200"/>
        <w:rPr>
          <w:rFonts w:ascii="宋体" w:hAnsi="宋体" w:cs="宋体"/>
          <w:sz w:val="28"/>
          <w:szCs w:val="28"/>
        </w:rPr>
      </w:pPr>
      <w:r>
        <w:rPr>
          <w:rFonts w:hint="eastAsia" w:ascii="宋体" w:hAnsi="宋体" w:cs="宋体"/>
          <w:sz w:val="28"/>
          <w:szCs w:val="28"/>
        </w:rPr>
        <w:t>（1）强化激励考核。建立健全“定期调度、分析研判、通报约谈、奖优罚劣”的任务落实机制，加强项目日常监管和跟踪指导。按照粮食安全省长责任制考核要求，强化质量管理，提升建设成效。进一步完善高标准农田建设评价制度，强化评价结果运用，对完成任务好的予以支持，对未完成任务的进行约谈。</w:t>
      </w:r>
    </w:p>
    <w:p>
      <w:pPr>
        <w:spacing w:line="360" w:lineRule="auto"/>
        <w:ind w:firstLine="560" w:firstLineChars="200"/>
        <w:rPr>
          <w:rFonts w:ascii="宋体" w:hAnsi="宋体" w:cs="宋体"/>
          <w:sz w:val="28"/>
          <w:szCs w:val="28"/>
        </w:rPr>
      </w:pPr>
      <w:r>
        <w:rPr>
          <w:rFonts w:hint="eastAsia" w:ascii="宋体" w:hAnsi="宋体" w:cs="宋体"/>
          <w:sz w:val="28"/>
          <w:szCs w:val="28"/>
        </w:rPr>
        <w:t>（2）动员群众参与。构建群众监督参与机制，积极引导农村集体经济组织、农民、社会组织等广泛参与高标准农田建设工作，形成共同监督、共同参与的良好氛围。注重发挥农民的主体作用，激发耕地所有者、农民及新型农业经营主体等参与高标准农田项目规划、建设和管护的积极性、主动性和创造性。</w:t>
      </w:r>
    </w:p>
    <w:p>
      <w:pPr>
        <w:spacing w:line="360" w:lineRule="auto"/>
        <w:ind w:firstLine="560" w:firstLineChars="200"/>
        <w:rPr>
          <w:rFonts w:ascii="宋体" w:hAnsi="宋体" w:cs="宋体"/>
          <w:sz w:val="28"/>
          <w:szCs w:val="28"/>
        </w:rPr>
      </w:pPr>
      <w:r>
        <w:rPr>
          <w:rFonts w:hint="eastAsia" w:ascii="宋体" w:hAnsi="宋体" w:cs="宋体"/>
          <w:sz w:val="28"/>
          <w:szCs w:val="28"/>
        </w:rPr>
        <w:t>（3）加强风险防控。强化廉政建设，严肃工作纪律，推进项目建设公开透明、廉洁高效，切实防范农田建设项目管理风险。加强工作指导，针对发现的问题及时督促整改。严格跟踪问责，对履职不力、监管不严、失职渎职的，依法依规追究有关人员责任。</w:t>
      </w: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sectPr>
      <w:footerReference r:id="rId8" w:type="default"/>
      <w:pgSz w:w="11906" w:h="16838"/>
      <w:pgMar w:top="1474" w:right="1474" w:bottom="1474" w:left="1474" w:header="851" w:footer="851"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3976748"/>
      <w:docPartObj>
        <w:docPartGallery w:val="autotext"/>
      </w:docPartObj>
    </w:sdtPr>
    <w:sdtContent>
      <w:p>
        <w:pPr>
          <w:pStyle w:val="17"/>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882060"/>
      <w:docPartObj>
        <w:docPartGallery w:val="autotext"/>
      </w:docPartObj>
    </w:sdtPr>
    <w:sdtContent>
      <w:p>
        <w:pPr>
          <w:pStyle w:val="17"/>
          <w:jc w:val="center"/>
        </w:pPr>
        <w:r>
          <w:fldChar w:fldCharType="begin"/>
        </w:r>
        <w:r>
          <w:instrText xml:space="preserve">PAGE   \* MERGEFORMAT</w:instrText>
        </w:r>
        <w:r>
          <w:fldChar w:fldCharType="separate"/>
        </w:r>
        <w:r>
          <w:rPr>
            <w:lang w:val="zh-CN"/>
          </w:rPr>
          <w:t>55</w:t>
        </w:r>
        <w:r>
          <w:rPr>
            <w:lang w:val="zh-CN"/>
          </w:rPr>
          <w:fldChar w:fldCharType="end"/>
        </w:r>
      </w:p>
    </w:sdtContent>
  </w:sdt>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 w:val="clear" w:pos="8306"/>
      </w:tabs>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264795"/>
              <wp:effectExtent l="0" t="0" r="0" b="0"/>
              <wp:wrapNone/>
              <wp:docPr id="9" name="文本框 2097"/>
              <wp:cNvGraphicFramePr/>
              <a:graphic xmlns:a="http://schemas.openxmlformats.org/drawingml/2006/main">
                <a:graphicData uri="http://schemas.microsoft.com/office/word/2010/wordprocessingShape">
                  <wps:wsp>
                    <wps:cNvSpPr txBox="1"/>
                    <wps:spPr>
                      <a:xfrm>
                        <a:off x="0" y="0"/>
                        <a:ext cx="400685" cy="264795"/>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lIns="0" tIns="0" rIns="0" bIns="0" upright="1"/>
                  </wps:wsp>
                </a:graphicData>
              </a:graphic>
            </wp:anchor>
          </w:drawing>
        </mc:Choice>
        <mc:Fallback>
          <w:pict>
            <v:shape id="文本框 2097" o:spid="_x0000_s1026" o:spt="202" type="#_x0000_t202" style="position:absolute;left:0pt;margin-top:0pt;height:20.85pt;width:31.55pt;mso-position-horizontal:center;mso-position-horizontal-relative:margin;z-index:251659264;mso-width-relative:page;mso-height-relative:page;" filled="f" stroked="f" coordsize="21600,21600" o:gfxdata="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V4H21AAAAAMBAAAPAAAAAAAAAAEAIAAAACIAAABkcnMvZG93bnJldi54bWxQSwECFAAU&#10;AAAACACHTuJAnDrLdbwBAAB0AwAADgAAAAAAAAABACAAAAAjAQAAZHJzL2Uyb0RvYy54bWxQSwUG&#10;AAAAAAYABgBZAQAAUQUAAAAA&#10;">
              <v:fill on="f" focussize="0,0"/>
              <v:stroke on="f"/>
              <v:imagedata o:title=""/>
              <o:lock v:ext="edit" aspectratio="f"/>
              <v:textbox inset="0mm,0mm,0mm,0mm">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3B3B7D"/>
    <w:multiLevelType w:val="multilevel"/>
    <w:tmpl w:val="5B3B3B7D"/>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zMjdmN2NiMzIzMmI2NjU5NzgyMGUxZmMwYTJmOTcifQ=="/>
  </w:docVars>
  <w:rsids>
    <w:rsidRoot w:val="00172A27"/>
    <w:rsid w:val="00000243"/>
    <w:rsid w:val="00000A77"/>
    <w:rsid w:val="000011DC"/>
    <w:rsid w:val="00003B67"/>
    <w:rsid w:val="00004293"/>
    <w:rsid w:val="00004830"/>
    <w:rsid w:val="00005B34"/>
    <w:rsid w:val="000060DD"/>
    <w:rsid w:val="0000617F"/>
    <w:rsid w:val="0000775C"/>
    <w:rsid w:val="00007D96"/>
    <w:rsid w:val="000120A0"/>
    <w:rsid w:val="000122AF"/>
    <w:rsid w:val="000133FE"/>
    <w:rsid w:val="000145BB"/>
    <w:rsid w:val="00014D0F"/>
    <w:rsid w:val="00015D5B"/>
    <w:rsid w:val="000208FB"/>
    <w:rsid w:val="000250B2"/>
    <w:rsid w:val="00026AEC"/>
    <w:rsid w:val="00031A6A"/>
    <w:rsid w:val="00032AAB"/>
    <w:rsid w:val="00035D5C"/>
    <w:rsid w:val="0003678E"/>
    <w:rsid w:val="00040124"/>
    <w:rsid w:val="0004270B"/>
    <w:rsid w:val="00044DBF"/>
    <w:rsid w:val="0004539A"/>
    <w:rsid w:val="0004563C"/>
    <w:rsid w:val="000458A7"/>
    <w:rsid w:val="00056B8E"/>
    <w:rsid w:val="00057DD2"/>
    <w:rsid w:val="000613D6"/>
    <w:rsid w:val="00062A1F"/>
    <w:rsid w:val="00062D43"/>
    <w:rsid w:val="00071336"/>
    <w:rsid w:val="00071640"/>
    <w:rsid w:val="00071CCF"/>
    <w:rsid w:val="00072BD7"/>
    <w:rsid w:val="00076B4F"/>
    <w:rsid w:val="00076DEB"/>
    <w:rsid w:val="0007784E"/>
    <w:rsid w:val="00077965"/>
    <w:rsid w:val="00082693"/>
    <w:rsid w:val="00082D91"/>
    <w:rsid w:val="0009000E"/>
    <w:rsid w:val="00090415"/>
    <w:rsid w:val="00091DBD"/>
    <w:rsid w:val="00094E58"/>
    <w:rsid w:val="00096F67"/>
    <w:rsid w:val="0009792F"/>
    <w:rsid w:val="000A1FAD"/>
    <w:rsid w:val="000A3F25"/>
    <w:rsid w:val="000A43D4"/>
    <w:rsid w:val="000A5E36"/>
    <w:rsid w:val="000B1385"/>
    <w:rsid w:val="000B2838"/>
    <w:rsid w:val="000B3674"/>
    <w:rsid w:val="000B436B"/>
    <w:rsid w:val="000B517B"/>
    <w:rsid w:val="000B5C1B"/>
    <w:rsid w:val="000B5F8A"/>
    <w:rsid w:val="000C0B06"/>
    <w:rsid w:val="000C165C"/>
    <w:rsid w:val="000C34D4"/>
    <w:rsid w:val="000C63B4"/>
    <w:rsid w:val="000C6660"/>
    <w:rsid w:val="000C6BD1"/>
    <w:rsid w:val="000D0FBC"/>
    <w:rsid w:val="000D272E"/>
    <w:rsid w:val="000D2C61"/>
    <w:rsid w:val="000D3F65"/>
    <w:rsid w:val="000E1464"/>
    <w:rsid w:val="000E14EB"/>
    <w:rsid w:val="000E1EAF"/>
    <w:rsid w:val="000E3F27"/>
    <w:rsid w:val="000E4C2D"/>
    <w:rsid w:val="000E593C"/>
    <w:rsid w:val="000F03C7"/>
    <w:rsid w:val="000F1B25"/>
    <w:rsid w:val="000F212B"/>
    <w:rsid w:val="000F2F71"/>
    <w:rsid w:val="000F4412"/>
    <w:rsid w:val="000F4994"/>
    <w:rsid w:val="000F5CC2"/>
    <w:rsid w:val="001015C2"/>
    <w:rsid w:val="00101F21"/>
    <w:rsid w:val="00104417"/>
    <w:rsid w:val="00110C56"/>
    <w:rsid w:val="00112EE6"/>
    <w:rsid w:val="00113FD0"/>
    <w:rsid w:val="00114829"/>
    <w:rsid w:val="001172F0"/>
    <w:rsid w:val="0012661B"/>
    <w:rsid w:val="0012702C"/>
    <w:rsid w:val="00127412"/>
    <w:rsid w:val="00131D18"/>
    <w:rsid w:val="00132242"/>
    <w:rsid w:val="00134D79"/>
    <w:rsid w:val="00134DF2"/>
    <w:rsid w:val="001363F1"/>
    <w:rsid w:val="0013647F"/>
    <w:rsid w:val="0014159C"/>
    <w:rsid w:val="001455AF"/>
    <w:rsid w:val="00146796"/>
    <w:rsid w:val="00146B54"/>
    <w:rsid w:val="001473E3"/>
    <w:rsid w:val="00150CD9"/>
    <w:rsid w:val="00150E5B"/>
    <w:rsid w:val="00150F30"/>
    <w:rsid w:val="001528D7"/>
    <w:rsid w:val="00154B5B"/>
    <w:rsid w:val="00155696"/>
    <w:rsid w:val="00155D3A"/>
    <w:rsid w:val="001610C9"/>
    <w:rsid w:val="00166389"/>
    <w:rsid w:val="00166B2F"/>
    <w:rsid w:val="00170CC1"/>
    <w:rsid w:val="00172A27"/>
    <w:rsid w:val="00173869"/>
    <w:rsid w:val="00175C9E"/>
    <w:rsid w:val="00175FE1"/>
    <w:rsid w:val="00176D3F"/>
    <w:rsid w:val="00177F8D"/>
    <w:rsid w:val="00180DDD"/>
    <w:rsid w:val="00181983"/>
    <w:rsid w:val="00181BDB"/>
    <w:rsid w:val="00185566"/>
    <w:rsid w:val="001908AC"/>
    <w:rsid w:val="0019114C"/>
    <w:rsid w:val="00192C8D"/>
    <w:rsid w:val="00194134"/>
    <w:rsid w:val="00194F2F"/>
    <w:rsid w:val="00195315"/>
    <w:rsid w:val="001A1163"/>
    <w:rsid w:val="001A5D13"/>
    <w:rsid w:val="001A6638"/>
    <w:rsid w:val="001A7285"/>
    <w:rsid w:val="001A7295"/>
    <w:rsid w:val="001A76F7"/>
    <w:rsid w:val="001A79C2"/>
    <w:rsid w:val="001A7BC0"/>
    <w:rsid w:val="001B339C"/>
    <w:rsid w:val="001B3F64"/>
    <w:rsid w:val="001B48A2"/>
    <w:rsid w:val="001B5672"/>
    <w:rsid w:val="001B6F0A"/>
    <w:rsid w:val="001B72D8"/>
    <w:rsid w:val="001B77DF"/>
    <w:rsid w:val="001B7D55"/>
    <w:rsid w:val="001C30FC"/>
    <w:rsid w:val="001C3D70"/>
    <w:rsid w:val="001C5363"/>
    <w:rsid w:val="001C7BF6"/>
    <w:rsid w:val="001D067E"/>
    <w:rsid w:val="001D1362"/>
    <w:rsid w:val="001D1ACA"/>
    <w:rsid w:val="001D4B4A"/>
    <w:rsid w:val="001D5B86"/>
    <w:rsid w:val="001D6308"/>
    <w:rsid w:val="001D79B9"/>
    <w:rsid w:val="001E012C"/>
    <w:rsid w:val="001E14B5"/>
    <w:rsid w:val="001E2191"/>
    <w:rsid w:val="001E285B"/>
    <w:rsid w:val="001E57CC"/>
    <w:rsid w:val="001E6AE0"/>
    <w:rsid w:val="001F0550"/>
    <w:rsid w:val="00201622"/>
    <w:rsid w:val="002024A1"/>
    <w:rsid w:val="00203E90"/>
    <w:rsid w:val="00207DE1"/>
    <w:rsid w:val="002147D7"/>
    <w:rsid w:val="00214A91"/>
    <w:rsid w:val="002204D1"/>
    <w:rsid w:val="0022127C"/>
    <w:rsid w:val="0022338B"/>
    <w:rsid w:val="0022463B"/>
    <w:rsid w:val="00224680"/>
    <w:rsid w:val="00231ADF"/>
    <w:rsid w:val="00234AEA"/>
    <w:rsid w:val="00237EE4"/>
    <w:rsid w:val="002453A7"/>
    <w:rsid w:val="00245A84"/>
    <w:rsid w:val="00247CB9"/>
    <w:rsid w:val="00252B33"/>
    <w:rsid w:val="00254D80"/>
    <w:rsid w:val="00256A04"/>
    <w:rsid w:val="00257173"/>
    <w:rsid w:val="00257896"/>
    <w:rsid w:val="00257BE9"/>
    <w:rsid w:val="00263AA2"/>
    <w:rsid w:val="002666A6"/>
    <w:rsid w:val="00270357"/>
    <w:rsid w:val="00274749"/>
    <w:rsid w:val="002754A7"/>
    <w:rsid w:val="00280242"/>
    <w:rsid w:val="002846B7"/>
    <w:rsid w:val="00287A21"/>
    <w:rsid w:val="00287A8C"/>
    <w:rsid w:val="0029123C"/>
    <w:rsid w:val="002965D7"/>
    <w:rsid w:val="0029673B"/>
    <w:rsid w:val="002A6E06"/>
    <w:rsid w:val="002A7A71"/>
    <w:rsid w:val="002B10E2"/>
    <w:rsid w:val="002B19DA"/>
    <w:rsid w:val="002B6769"/>
    <w:rsid w:val="002B6907"/>
    <w:rsid w:val="002B7A3C"/>
    <w:rsid w:val="002C04A6"/>
    <w:rsid w:val="002C25F3"/>
    <w:rsid w:val="002C28B7"/>
    <w:rsid w:val="002C2B69"/>
    <w:rsid w:val="002C491E"/>
    <w:rsid w:val="002C5182"/>
    <w:rsid w:val="002C5A4F"/>
    <w:rsid w:val="002C5F73"/>
    <w:rsid w:val="002C6A3F"/>
    <w:rsid w:val="002D1CEA"/>
    <w:rsid w:val="002D282F"/>
    <w:rsid w:val="002E05F5"/>
    <w:rsid w:val="002E0E1B"/>
    <w:rsid w:val="002E1792"/>
    <w:rsid w:val="002E7D9C"/>
    <w:rsid w:val="002F1531"/>
    <w:rsid w:val="002F2340"/>
    <w:rsid w:val="002F2465"/>
    <w:rsid w:val="002F355C"/>
    <w:rsid w:val="002F4C90"/>
    <w:rsid w:val="002F6204"/>
    <w:rsid w:val="002F6E8A"/>
    <w:rsid w:val="002F72BA"/>
    <w:rsid w:val="00301A15"/>
    <w:rsid w:val="0030237C"/>
    <w:rsid w:val="003038BF"/>
    <w:rsid w:val="00306A7A"/>
    <w:rsid w:val="00307070"/>
    <w:rsid w:val="00307633"/>
    <w:rsid w:val="00307BB2"/>
    <w:rsid w:val="00314BF9"/>
    <w:rsid w:val="00314EE7"/>
    <w:rsid w:val="00320364"/>
    <w:rsid w:val="00320F5B"/>
    <w:rsid w:val="0032182B"/>
    <w:rsid w:val="00322832"/>
    <w:rsid w:val="0032399B"/>
    <w:rsid w:val="00326DEE"/>
    <w:rsid w:val="003271AA"/>
    <w:rsid w:val="0033004F"/>
    <w:rsid w:val="00333E3F"/>
    <w:rsid w:val="00334299"/>
    <w:rsid w:val="00334E7A"/>
    <w:rsid w:val="0034205D"/>
    <w:rsid w:val="003465D5"/>
    <w:rsid w:val="00350C1B"/>
    <w:rsid w:val="00351093"/>
    <w:rsid w:val="0035210D"/>
    <w:rsid w:val="00352D65"/>
    <w:rsid w:val="003536AF"/>
    <w:rsid w:val="00354B2A"/>
    <w:rsid w:val="00360904"/>
    <w:rsid w:val="00360F51"/>
    <w:rsid w:val="003619AC"/>
    <w:rsid w:val="003619B7"/>
    <w:rsid w:val="00361F64"/>
    <w:rsid w:val="00364644"/>
    <w:rsid w:val="0037076A"/>
    <w:rsid w:val="00377F57"/>
    <w:rsid w:val="00380011"/>
    <w:rsid w:val="003814ED"/>
    <w:rsid w:val="003910E7"/>
    <w:rsid w:val="00393D39"/>
    <w:rsid w:val="003960BC"/>
    <w:rsid w:val="003962CE"/>
    <w:rsid w:val="00396D4B"/>
    <w:rsid w:val="003A089D"/>
    <w:rsid w:val="003A7D15"/>
    <w:rsid w:val="003B0F07"/>
    <w:rsid w:val="003B1686"/>
    <w:rsid w:val="003B4700"/>
    <w:rsid w:val="003B5468"/>
    <w:rsid w:val="003C01AE"/>
    <w:rsid w:val="003C06F4"/>
    <w:rsid w:val="003C0DAE"/>
    <w:rsid w:val="003C4933"/>
    <w:rsid w:val="003C5D45"/>
    <w:rsid w:val="003C6FEE"/>
    <w:rsid w:val="003C7401"/>
    <w:rsid w:val="003C75E2"/>
    <w:rsid w:val="003D20E0"/>
    <w:rsid w:val="003D2DA9"/>
    <w:rsid w:val="003D2ED8"/>
    <w:rsid w:val="003D39C8"/>
    <w:rsid w:val="003E076A"/>
    <w:rsid w:val="003E1860"/>
    <w:rsid w:val="003E45BA"/>
    <w:rsid w:val="003E47D4"/>
    <w:rsid w:val="003E63D5"/>
    <w:rsid w:val="003F09FC"/>
    <w:rsid w:val="003F14EE"/>
    <w:rsid w:val="003F1A1D"/>
    <w:rsid w:val="003F2C48"/>
    <w:rsid w:val="003F4ED1"/>
    <w:rsid w:val="0040162B"/>
    <w:rsid w:val="00402B73"/>
    <w:rsid w:val="00403F46"/>
    <w:rsid w:val="00404302"/>
    <w:rsid w:val="00406720"/>
    <w:rsid w:val="004118C4"/>
    <w:rsid w:val="004125A3"/>
    <w:rsid w:val="004168DB"/>
    <w:rsid w:val="00421E1A"/>
    <w:rsid w:val="00425422"/>
    <w:rsid w:val="00425819"/>
    <w:rsid w:val="00426FD2"/>
    <w:rsid w:val="0043017C"/>
    <w:rsid w:val="004375CB"/>
    <w:rsid w:val="00442DC0"/>
    <w:rsid w:val="00442FD4"/>
    <w:rsid w:val="00443818"/>
    <w:rsid w:val="00443AA7"/>
    <w:rsid w:val="004442C8"/>
    <w:rsid w:val="00450A37"/>
    <w:rsid w:val="00451BFB"/>
    <w:rsid w:val="004536C2"/>
    <w:rsid w:val="00453DB2"/>
    <w:rsid w:val="00454ADA"/>
    <w:rsid w:val="004622F3"/>
    <w:rsid w:val="00463091"/>
    <w:rsid w:val="00464C75"/>
    <w:rsid w:val="004658BB"/>
    <w:rsid w:val="00467EE3"/>
    <w:rsid w:val="00471F1E"/>
    <w:rsid w:val="0047200C"/>
    <w:rsid w:val="0047224F"/>
    <w:rsid w:val="00473548"/>
    <w:rsid w:val="004778DA"/>
    <w:rsid w:val="0048057E"/>
    <w:rsid w:val="00480AD3"/>
    <w:rsid w:val="00484EF1"/>
    <w:rsid w:val="0048581C"/>
    <w:rsid w:val="0048612A"/>
    <w:rsid w:val="00490E4A"/>
    <w:rsid w:val="00491E6A"/>
    <w:rsid w:val="004942CD"/>
    <w:rsid w:val="00495FCB"/>
    <w:rsid w:val="004B00A5"/>
    <w:rsid w:val="004B1299"/>
    <w:rsid w:val="004B34EB"/>
    <w:rsid w:val="004B44BB"/>
    <w:rsid w:val="004B5C97"/>
    <w:rsid w:val="004B6939"/>
    <w:rsid w:val="004C0708"/>
    <w:rsid w:val="004C0EE1"/>
    <w:rsid w:val="004D0C1E"/>
    <w:rsid w:val="004D2830"/>
    <w:rsid w:val="004D30EB"/>
    <w:rsid w:val="004D49B7"/>
    <w:rsid w:val="004D4A1C"/>
    <w:rsid w:val="004D5335"/>
    <w:rsid w:val="004D63C7"/>
    <w:rsid w:val="004E21C1"/>
    <w:rsid w:val="004E4215"/>
    <w:rsid w:val="004E52CD"/>
    <w:rsid w:val="004E5568"/>
    <w:rsid w:val="004E5F4E"/>
    <w:rsid w:val="004F0AD0"/>
    <w:rsid w:val="004F1125"/>
    <w:rsid w:val="004F5F7F"/>
    <w:rsid w:val="004F69D8"/>
    <w:rsid w:val="00501EBF"/>
    <w:rsid w:val="005021D8"/>
    <w:rsid w:val="0050278E"/>
    <w:rsid w:val="0050300A"/>
    <w:rsid w:val="00504163"/>
    <w:rsid w:val="00504D47"/>
    <w:rsid w:val="0050509E"/>
    <w:rsid w:val="005058FD"/>
    <w:rsid w:val="005061FB"/>
    <w:rsid w:val="00506254"/>
    <w:rsid w:val="0050713F"/>
    <w:rsid w:val="0050762C"/>
    <w:rsid w:val="00512876"/>
    <w:rsid w:val="00514694"/>
    <w:rsid w:val="00514B5E"/>
    <w:rsid w:val="00515339"/>
    <w:rsid w:val="00517003"/>
    <w:rsid w:val="005215A5"/>
    <w:rsid w:val="00522911"/>
    <w:rsid w:val="0052517B"/>
    <w:rsid w:val="00527827"/>
    <w:rsid w:val="005313E9"/>
    <w:rsid w:val="005323F7"/>
    <w:rsid w:val="00532FC3"/>
    <w:rsid w:val="00534637"/>
    <w:rsid w:val="005347A9"/>
    <w:rsid w:val="005350FF"/>
    <w:rsid w:val="00535C5A"/>
    <w:rsid w:val="005367FA"/>
    <w:rsid w:val="005371AD"/>
    <w:rsid w:val="00537301"/>
    <w:rsid w:val="0054117B"/>
    <w:rsid w:val="00541E3A"/>
    <w:rsid w:val="005421DD"/>
    <w:rsid w:val="005423A3"/>
    <w:rsid w:val="005423CD"/>
    <w:rsid w:val="00542C3F"/>
    <w:rsid w:val="00543BCB"/>
    <w:rsid w:val="00544C53"/>
    <w:rsid w:val="005459C6"/>
    <w:rsid w:val="00546667"/>
    <w:rsid w:val="00546807"/>
    <w:rsid w:val="0054681F"/>
    <w:rsid w:val="00551E84"/>
    <w:rsid w:val="0055635E"/>
    <w:rsid w:val="00560B7A"/>
    <w:rsid w:val="00566599"/>
    <w:rsid w:val="00566AC0"/>
    <w:rsid w:val="005710E5"/>
    <w:rsid w:val="00574858"/>
    <w:rsid w:val="00575026"/>
    <w:rsid w:val="00575354"/>
    <w:rsid w:val="005815B8"/>
    <w:rsid w:val="005823B4"/>
    <w:rsid w:val="00583FF3"/>
    <w:rsid w:val="0058451C"/>
    <w:rsid w:val="0058464C"/>
    <w:rsid w:val="005850C2"/>
    <w:rsid w:val="00585C29"/>
    <w:rsid w:val="00586BA1"/>
    <w:rsid w:val="00586CD9"/>
    <w:rsid w:val="005873E4"/>
    <w:rsid w:val="005912D1"/>
    <w:rsid w:val="00592A71"/>
    <w:rsid w:val="00594BD7"/>
    <w:rsid w:val="005951D5"/>
    <w:rsid w:val="005A1324"/>
    <w:rsid w:val="005A4227"/>
    <w:rsid w:val="005A5080"/>
    <w:rsid w:val="005A6C87"/>
    <w:rsid w:val="005A7FA9"/>
    <w:rsid w:val="005B2CF8"/>
    <w:rsid w:val="005B39CB"/>
    <w:rsid w:val="005B3D7F"/>
    <w:rsid w:val="005B5511"/>
    <w:rsid w:val="005B5CA4"/>
    <w:rsid w:val="005B6065"/>
    <w:rsid w:val="005B6BA2"/>
    <w:rsid w:val="005B7472"/>
    <w:rsid w:val="005C1D69"/>
    <w:rsid w:val="005C43C4"/>
    <w:rsid w:val="005C6D86"/>
    <w:rsid w:val="005C6F36"/>
    <w:rsid w:val="005D30F4"/>
    <w:rsid w:val="005D5074"/>
    <w:rsid w:val="005D6620"/>
    <w:rsid w:val="005E3460"/>
    <w:rsid w:val="005E4C60"/>
    <w:rsid w:val="005E52CA"/>
    <w:rsid w:val="005E7000"/>
    <w:rsid w:val="005E7F68"/>
    <w:rsid w:val="005F0662"/>
    <w:rsid w:val="005F09F3"/>
    <w:rsid w:val="005F47D9"/>
    <w:rsid w:val="005F4A6A"/>
    <w:rsid w:val="005F6A04"/>
    <w:rsid w:val="005F6D05"/>
    <w:rsid w:val="006007DC"/>
    <w:rsid w:val="00601CE7"/>
    <w:rsid w:val="00602987"/>
    <w:rsid w:val="00603879"/>
    <w:rsid w:val="00604A86"/>
    <w:rsid w:val="0060524C"/>
    <w:rsid w:val="00605F63"/>
    <w:rsid w:val="00606BBC"/>
    <w:rsid w:val="00606E2E"/>
    <w:rsid w:val="00610E3B"/>
    <w:rsid w:val="00611E5B"/>
    <w:rsid w:val="0061316A"/>
    <w:rsid w:val="0061392F"/>
    <w:rsid w:val="0061537C"/>
    <w:rsid w:val="00615EAF"/>
    <w:rsid w:val="00616B46"/>
    <w:rsid w:val="00621072"/>
    <w:rsid w:val="00621BF0"/>
    <w:rsid w:val="00622008"/>
    <w:rsid w:val="00622516"/>
    <w:rsid w:val="00622B27"/>
    <w:rsid w:val="00626202"/>
    <w:rsid w:val="00630D80"/>
    <w:rsid w:val="00631B4B"/>
    <w:rsid w:val="006330A8"/>
    <w:rsid w:val="006338AB"/>
    <w:rsid w:val="006339D8"/>
    <w:rsid w:val="00633B22"/>
    <w:rsid w:val="00636CBB"/>
    <w:rsid w:val="00637B8A"/>
    <w:rsid w:val="006402C5"/>
    <w:rsid w:val="00640E40"/>
    <w:rsid w:val="00640F17"/>
    <w:rsid w:val="00641816"/>
    <w:rsid w:val="0064257B"/>
    <w:rsid w:val="006441AB"/>
    <w:rsid w:val="00645956"/>
    <w:rsid w:val="006462C2"/>
    <w:rsid w:val="00646E81"/>
    <w:rsid w:val="00647789"/>
    <w:rsid w:val="006502B5"/>
    <w:rsid w:val="00652FDF"/>
    <w:rsid w:val="00653030"/>
    <w:rsid w:val="00655BD1"/>
    <w:rsid w:val="00656588"/>
    <w:rsid w:val="00662470"/>
    <w:rsid w:val="006639F9"/>
    <w:rsid w:val="00671491"/>
    <w:rsid w:val="006721E0"/>
    <w:rsid w:val="00672531"/>
    <w:rsid w:val="00672FBC"/>
    <w:rsid w:val="00673BC9"/>
    <w:rsid w:val="00674215"/>
    <w:rsid w:val="006769FB"/>
    <w:rsid w:val="00677D96"/>
    <w:rsid w:val="00683184"/>
    <w:rsid w:val="0068448E"/>
    <w:rsid w:val="00684D2C"/>
    <w:rsid w:val="00687D7B"/>
    <w:rsid w:val="00691530"/>
    <w:rsid w:val="006915B1"/>
    <w:rsid w:val="006944EF"/>
    <w:rsid w:val="0069650E"/>
    <w:rsid w:val="006966A3"/>
    <w:rsid w:val="006A23FA"/>
    <w:rsid w:val="006A4FE3"/>
    <w:rsid w:val="006A5560"/>
    <w:rsid w:val="006A6891"/>
    <w:rsid w:val="006A748D"/>
    <w:rsid w:val="006B08F2"/>
    <w:rsid w:val="006B1260"/>
    <w:rsid w:val="006B1B9C"/>
    <w:rsid w:val="006B22B2"/>
    <w:rsid w:val="006B27FF"/>
    <w:rsid w:val="006B40E3"/>
    <w:rsid w:val="006B53C2"/>
    <w:rsid w:val="006B6012"/>
    <w:rsid w:val="006B62BD"/>
    <w:rsid w:val="006C0DE7"/>
    <w:rsid w:val="006C0F55"/>
    <w:rsid w:val="006C166B"/>
    <w:rsid w:val="006C2CA8"/>
    <w:rsid w:val="006C73FB"/>
    <w:rsid w:val="006C75DF"/>
    <w:rsid w:val="006D2A7E"/>
    <w:rsid w:val="006D2B66"/>
    <w:rsid w:val="006D32BD"/>
    <w:rsid w:val="006D51B4"/>
    <w:rsid w:val="006D735F"/>
    <w:rsid w:val="006E0A7A"/>
    <w:rsid w:val="006E1063"/>
    <w:rsid w:val="006E1AAC"/>
    <w:rsid w:val="006E5F1E"/>
    <w:rsid w:val="006E699D"/>
    <w:rsid w:val="006E749B"/>
    <w:rsid w:val="006F234E"/>
    <w:rsid w:val="006F43DD"/>
    <w:rsid w:val="00700D0F"/>
    <w:rsid w:val="007017AC"/>
    <w:rsid w:val="00701E60"/>
    <w:rsid w:val="00703954"/>
    <w:rsid w:val="00704F69"/>
    <w:rsid w:val="0071074E"/>
    <w:rsid w:val="00711E8A"/>
    <w:rsid w:val="00713E52"/>
    <w:rsid w:val="007147AB"/>
    <w:rsid w:val="00715AAF"/>
    <w:rsid w:val="00720CC1"/>
    <w:rsid w:val="00720F91"/>
    <w:rsid w:val="0072305A"/>
    <w:rsid w:val="0072425C"/>
    <w:rsid w:val="007248A8"/>
    <w:rsid w:val="00724EDA"/>
    <w:rsid w:val="00725791"/>
    <w:rsid w:val="00726BC4"/>
    <w:rsid w:val="00730417"/>
    <w:rsid w:val="007308AD"/>
    <w:rsid w:val="00730B06"/>
    <w:rsid w:val="00731A2D"/>
    <w:rsid w:val="00731B6A"/>
    <w:rsid w:val="00733E54"/>
    <w:rsid w:val="007342A4"/>
    <w:rsid w:val="0074087E"/>
    <w:rsid w:val="00742B36"/>
    <w:rsid w:val="00747DEC"/>
    <w:rsid w:val="0075029D"/>
    <w:rsid w:val="0075117B"/>
    <w:rsid w:val="00751656"/>
    <w:rsid w:val="00751B8E"/>
    <w:rsid w:val="0075447A"/>
    <w:rsid w:val="00754BCB"/>
    <w:rsid w:val="0076216A"/>
    <w:rsid w:val="00762785"/>
    <w:rsid w:val="007636AD"/>
    <w:rsid w:val="00763817"/>
    <w:rsid w:val="007642C7"/>
    <w:rsid w:val="007645E3"/>
    <w:rsid w:val="00764883"/>
    <w:rsid w:val="00765928"/>
    <w:rsid w:val="00765B76"/>
    <w:rsid w:val="007661AA"/>
    <w:rsid w:val="00766513"/>
    <w:rsid w:val="00767B39"/>
    <w:rsid w:val="007711A0"/>
    <w:rsid w:val="007718B3"/>
    <w:rsid w:val="00771942"/>
    <w:rsid w:val="007727AC"/>
    <w:rsid w:val="007730D1"/>
    <w:rsid w:val="007738DB"/>
    <w:rsid w:val="00775BB5"/>
    <w:rsid w:val="00776104"/>
    <w:rsid w:val="00782C77"/>
    <w:rsid w:val="007835D7"/>
    <w:rsid w:val="00784A8B"/>
    <w:rsid w:val="007863CB"/>
    <w:rsid w:val="00787300"/>
    <w:rsid w:val="00790A68"/>
    <w:rsid w:val="00794E57"/>
    <w:rsid w:val="00796DDD"/>
    <w:rsid w:val="007A5684"/>
    <w:rsid w:val="007A5910"/>
    <w:rsid w:val="007A6A42"/>
    <w:rsid w:val="007B114F"/>
    <w:rsid w:val="007B1306"/>
    <w:rsid w:val="007B2F22"/>
    <w:rsid w:val="007B3989"/>
    <w:rsid w:val="007B423B"/>
    <w:rsid w:val="007B4D3E"/>
    <w:rsid w:val="007B6B6D"/>
    <w:rsid w:val="007B7AE4"/>
    <w:rsid w:val="007C0479"/>
    <w:rsid w:val="007C40A4"/>
    <w:rsid w:val="007C53AA"/>
    <w:rsid w:val="007C6E03"/>
    <w:rsid w:val="007D04F9"/>
    <w:rsid w:val="007D052D"/>
    <w:rsid w:val="007D0C28"/>
    <w:rsid w:val="007D0C42"/>
    <w:rsid w:val="007D195B"/>
    <w:rsid w:val="007D26AC"/>
    <w:rsid w:val="007D59F2"/>
    <w:rsid w:val="007D7956"/>
    <w:rsid w:val="007E049B"/>
    <w:rsid w:val="007E0828"/>
    <w:rsid w:val="007E0DE7"/>
    <w:rsid w:val="007E0E2F"/>
    <w:rsid w:val="007E25FF"/>
    <w:rsid w:val="007E2E0B"/>
    <w:rsid w:val="007E3C5F"/>
    <w:rsid w:val="007E4B75"/>
    <w:rsid w:val="007F0655"/>
    <w:rsid w:val="007F449A"/>
    <w:rsid w:val="007F6B45"/>
    <w:rsid w:val="007F74A0"/>
    <w:rsid w:val="0080056D"/>
    <w:rsid w:val="00803239"/>
    <w:rsid w:val="0080458E"/>
    <w:rsid w:val="00804F73"/>
    <w:rsid w:val="0080691B"/>
    <w:rsid w:val="00807597"/>
    <w:rsid w:val="008077D8"/>
    <w:rsid w:val="0081305F"/>
    <w:rsid w:val="00814350"/>
    <w:rsid w:val="00814730"/>
    <w:rsid w:val="00815788"/>
    <w:rsid w:val="00816DC2"/>
    <w:rsid w:val="00825D33"/>
    <w:rsid w:val="008301F2"/>
    <w:rsid w:val="00830661"/>
    <w:rsid w:val="00832C5A"/>
    <w:rsid w:val="00832C5C"/>
    <w:rsid w:val="00832E2B"/>
    <w:rsid w:val="00833343"/>
    <w:rsid w:val="00835226"/>
    <w:rsid w:val="00835D01"/>
    <w:rsid w:val="008369C8"/>
    <w:rsid w:val="00840B0D"/>
    <w:rsid w:val="00841F43"/>
    <w:rsid w:val="008441D2"/>
    <w:rsid w:val="0084523E"/>
    <w:rsid w:val="00845FD4"/>
    <w:rsid w:val="00846C15"/>
    <w:rsid w:val="00850E18"/>
    <w:rsid w:val="00852289"/>
    <w:rsid w:val="0085370E"/>
    <w:rsid w:val="00855E26"/>
    <w:rsid w:val="00856D97"/>
    <w:rsid w:val="0086234F"/>
    <w:rsid w:val="00862539"/>
    <w:rsid w:val="00862BCA"/>
    <w:rsid w:val="008644BB"/>
    <w:rsid w:val="00864CCA"/>
    <w:rsid w:val="008702D1"/>
    <w:rsid w:val="00871814"/>
    <w:rsid w:val="008756F4"/>
    <w:rsid w:val="00876AEF"/>
    <w:rsid w:val="00882F27"/>
    <w:rsid w:val="00884E4F"/>
    <w:rsid w:val="0089051C"/>
    <w:rsid w:val="00890CA7"/>
    <w:rsid w:val="00891896"/>
    <w:rsid w:val="00892018"/>
    <w:rsid w:val="0089512C"/>
    <w:rsid w:val="00896712"/>
    <w:rsid w:val="008A076A"/>
    <w:rsid w:val="008A15D6"/>
    <w:rsid w:val="008A29CB"/>
    <w:rsid w:val="008A2A0D"/>
    <w:rsid w:val="008A2B36"/>
    <w:rsid w:val="008A34CF"/>
    <w:rsid w:val="008A3925"/>
    <w:rsid w:val="008A56F2"/>
    <w:rsid w:val="008B2DF6"/>
    <w:rsid w:val="008B5EEA"/>
    <w:rsid w:val="008C0075"/>
    <w:rsid w:val="008C282C"/>
    <w:rsid w:val="008C32C7"/>
    <w:rsid w:val="008C5421"/>
    <w:rsid w:val="008C7A78"/>
    <w:rsid w:val="008D15B8"/>
    <w:rsid w:val="008E244C"/>
    <w:rsid w:val="008E53D7"/>
    <w:rsid w:val="008E6556"/>
    <w:rsid w:val="008F065C"/>
    <w:rsid w:val="008F1651"/>
    <w:rsid w:val="008F1FD4"/>
    <w:rsid w:val="008F4AA8"/>
    <w:rsid w:val="008F5B79"/>
    <w:rsid w:val="008F703E"/>
    <w:rsid w:val="008F73EC"/>
    <w:rsid w:val="00901455"/>
    <w:rsid w:val="009062F6"/>
    <w:rsid w:val="009070E6"/>
    <w:rsid w:val="00907FFB"/>
    <w:rsid w:val="00910E5B"/>
    <w:rsid w:val="00911010"/>
    <w:rsid w:val="00911DB6"/>
    <w:rsid w:val="0091597D"/>
    <w:rsid w:val="00916CD9"/>
    <w:rsid w:val="00920444"/>
    <w:rsid w:val="00920D88"/>
    <w:rsid w:val="00921205"/>
    <w:rsid w:val="00926B95"/>
    <w:rsid w:val="00934B36"/>
    <w:rsid w:val="00935147"/>
    <w:rsid w:val="0093596C"/>
    <w:rsid w:val="00941B44"/>
    <w:rsid w:val="00944111"/>
    <w:rsid w:val="0094548F"/>
    <w:rsid w:val="0095158E"/>
    <w:rsid w:val="0095296A"/>
    <w:rsid w:val="0096075C"/>
    <w:rsid w:val="00965CAD"/>
    <w:rsid w:val="009673E9"/>
    <w:rsid w:val="00967C28"/>
    <w:rsid w:val="00970AC4"/>
    <w:rsid w:val="009711F6"/>
    <w:rsid w:val="00973091"/>
    <w:rsid w:val="00976B80"/>
    <w:rsid w:val="00977E5B"/>
    <w:rsid w:val="0098167E"/>
    <w:rsid w:val="00983690"/>
    <w:rsid w:val="00985403"/>
    <w:rsid w:val="009855AE"/>
    <w:rsid w:val="00985784"/>
    <w:rsid w:val="0098747C"/>
    <w:rsid w:val="009900C1"/>
    <w:rsid w:val="009930D8"/>
    <w:rsid w:val="00994825"/>
    <w:rsid w:val="009949F3"/>
    <w:rsid w:val="00996404"/>
    <w:rsid w:val="00996525"/>
    <w:rsid w:val="009976D6"/>
    <w:rsid w:val="00997FF8"/>
    <w:rsid w:val="009A0A94"/>
    <w:rsid w:val="009A20DE"/>
    <w:rsid w:val="009A6952"/>
    <w:rsid w:val="009A7246"/>
    <w:rsid w:val="009B1084"/>
    <w:rsid w:val="009B25F5"/>
    <w:rsid w:val="009B48C5"/>
    <w:rsid w:val="009B5BF0"/>
    <w:rsid w:val="009B6B83"/>
    <w:rsid w:val="009B7F55"/>
    <w:rsid w:val="009C04E8"/>
    <w:rsid w:val="009C057B"/>
    <w:rsid w:val="009C2B02"/>
    <w:rsid w:val="009C4146"/>
    <w:rsid w:val="009C61D3"/>
    <w:rsid w:val="009C69C0"/>
    <w:rsid w:val="009C7328"/>
    <w:rsid w:val="009D0E46"/>
    <w:rsid w:val="009D1AD3"/>
    <w:rsid w:val="009D21E4"/>
    <w:rsid w:val="009D2E58"/>
    <w:rsid w:val="009D3DD9"/>
    <w:rsid w:val="009D5B8E"/>
    <w:rsid w:val="009D6EBA"/>
    <w:rsid w:val="009D7164"/>
    <w:rsid w:val="009D7874"/>
    <w:rsid w:val="009E009F"/>
    <w:rsid w:val="009E0481"/>
    <w:rsid w:val="009E15D8"/>
    <w:rsid w:val="009E1A82"/>
    <w:rsid w:val="009E40E6"/>
    <w:rsid w:val="009E4A3F"/>
    <w:rsid w:val="009E64DA"/>
    <w:rsid w:val="009F1D13"/>
    <w:rsid w:val="009F3607"/>
    <w:rsid w:val="009F41CD"/>
    <w:rsid w:val="009F479A"/>
    <w:rsid w:val="009F66EF"/>
    <w:rsid w:val="00A00416"/>
    <w:rsid w:val="00A10466"/>
    <w:rsid w:val="00A123A1"/>
    <w:rsid w:val="00A1343C"/>
    <w:rsid w:val="00A138C4"/>
    <w:rsid w:val="00A25099"/>
    <w:rsid w:val="00A26184"/>
    <w:rsid w:val="00A268DD"/>
    <w:rsid w:val="00A26C37"/>
    <w:rsid w:val="00A27192"/>
    <w:rsid w:val="00A27535"/>
    <w:rsid w:val="00A31F9C"/>
    <w:rsid w:val="00A376EB"/>
    <w:rsid w:val="00A41EA4"/>
    <w:rsid w:val="00A425FB"/>
    <w:rsid w:val="00A43C7B"/>
    <w:rsid w:val="00A444FB"/>
    <w:rsid w:val="00A4494F"/>
    <w:rsid w:val="00A46C22"/>
    <w:rsid w:val="00A46EFB"/>
    <w:rsid w:val="00A472E4"/>
    <w:rsid w:val="00A54277"/>
    <w:rsid w:val="00A549D6"/>
    <w:rsid w:val="00A55811"/>
    <w:rsid w:val="00A576C8"/>
    <w:rsid w:val="00A60618"/>
    <w:rsid w:val="00A630D9"/>
    <w:rsid w:val="00A64AFB"/>
    <w:rsid w:val="00A660E8"/>
    <w:rsid w:val="00A676F9"/>
    <w:rsid w:val="00A7396D"/>
    <w:rsid w:val="00A74EBA"/>
    <w:rsid w:val="00A75630"/>
    <w:rsid w:val="00A769F7"/>
    <w:rsid w:val="00A8063E"/>
    <w:rsid w:val="00A812B9"/>
    <w:rsid w:val="00A84523"/>
    <w:rsid w:val="00A86E6B"/>
    <w:rsid w:val="00A86F20"/>
    <w:rsid w:val="00A930F7"/>
    <w:rsid w:val="00A93581"/>
    <w:rsid w:val="00A93A91"/>
    <w:rsid w:val="00A93B4D"/>
    <w:rsid w:val="00A9721C"/>
    <w:rsid w:val="00AA053F"/>
    <w:rsid w:val="00AA0ECF"/>
    <w:rsid w:val="00AA2592"/>
    <w:rsid w:val="00AB1F77"/>
    <w:rsid w:val="00AB377A"/>
    <w:rsid w:val="00AB418F"/>
    <w:rsid w:val="00AB44F8"/>
    <w:rsid w:val="00AB4656"/>
    <w:rsid w:val="00AB5BC0"/>
    <w:rsid w:val="00AB734D"/>
    <w:rsid w:val="00AC02DE"/>
    <w:rsid w:val="00AC07E4"/>
    <w:rsid w:val="00AC1084"/>
    <w:rsid w:val="00AC24F0"/>
    <w:rsid w:val="00AC52B4"/>
    <w:rsid w:val="00AD01F6"/>
    <w:rsid w:val="00AD036C"/>
    <w:rsid w:val="00AD25C5"/>
    <w:rsid w:val="00AD5F34"/>
    <w:rsid w:val="00AE1CAA"/>
    <w:rsid w:val="00AE275A"/>
    <w:rsid w:val="00AE350B"/>
    <w:rsid w:val="00AE3C8F"/>
    <w:rsid w:val="00AE6694"/>
    <w:rsid w:val="00AE76D4"/>
    <w:rsid w:val="00AE798B"/>
    <w:rsid w:val="00AF314D"/>
    <w:rsid w:val="00AF719B"/>
    <w:rsid w:val="00B015C6"/>
    <w:rsid w:val="00B02E83"/>
    <w:rsid w:val="00B0339A"/>
    <w:rsid w:val="00B0519C"/>
    <w:rsid w:val="00B06A7A"/>
    <w:rsid w:val="00B07C2E"/>
    <w:rsid w:val="00B118C8"/>
    <w:rsid w:val="00B141D3"/>
    <w:rsid w:val="00B210C7"/>
    <w:rsid w:val="00B22B74"/>
    <w:rsid w:val="00B2741B"/>
    <w:rsid w:val="00B3148F"/>
    <w:rsid w:val="00B3201E"/>
    <w:rsid w:val="00B34D40"/>
    <w:rsid w:val="00B3568A"/>
    <w:rsid w:val="00B35DB9"/>
    <w:rsid w:val="00B377AF"/>
    <w:rsid w:val="00B4111C"/>
    <w:rsid w:val="00B46CA5"/>
    <w:rsid w:val="00B47A40"/>
    <w:rsid w:val="00B514BC"/>
    <w:rsid w:val="00B522CC"/>
    <w:rsid w:val="00B531A3"/>
    <w:rsid w:val="00B54F08"/>
    <w:rsid w:val="00B55858"/>
    <w:rsid w:val="00B6349D"/>
    <w:rsid w:val="00B6503C"/>
    <w:rsid w:val="00B678E4"/>
    <w:rsid w:val="00B67D27"/>
    <w:rsid w:val="00B71D5F"/>
    <w:rsid w:val="00B73996"/>
    <w:rsid w:val="00B74F8F"/>
    <w:rsid w:val="00B76429"/>
    <w:rsid w:val="00B778C1"/>
    <w:rsid w:val="00B778C4"/>
    <w:rsid w:val="00B80AFF"/>
    <w:rsid w:val="00B825AA"/>
    <w:rsid w:val="00B853E8"/>
    <w:rsid w:val="00B8550A"/>
    <w:rsid w:val="00B90BB6"/>
    <w:rsid w:val="00B9267F"/>
    <w:rsid w:val="00B92F2C"/>
    <w:rsid w:val="00B94076"/>
    <w:rsid w:val="00B94495"/>
    <w:rsid w:val="00B97207"/>
    <w:rsid w:val="00B976DE"/>
    <w:rsid w:val="00BA276A"/>
    <w:rsid w:val="00BA3E41"/>
    <w:rsid w:val="00BA7287"/>
    <w:rsid w:val="00BA736D"/>
    <w:rsid w:val="00BA7432"/>
    <w:rsid w:val="00BA79F6"/>
    <w:rsid w:val="00BB14BA"/>
    <w:rsid w:val="00BB5A30"/>
    <w:rsid w:val="00BB5DB0"/>
    <w:rsid w:val="00BC19A2"/>
    <w:rsid w:val="00BC1D05"/>
    <w:rsid w:val="00BC360A"/>
    <w:rsid w:val="00BD44F1"/>
    <w:rsid w:val="00BD4B94"/>
    <w:rsid w:val="00BD4C32"/>
    <w:rsid w:val="00BE26E3"/>
    <w:rsid w:val="00BE2BCE"/>
    <w:rsid w:val="00BF0B9E"/>
    <w:rsid w:val="00BF3F67"/>
    <w:rsid w:val="00BF6226"/>
    <w:rsid w:val="00BF78D0"/>
    <w:rsid w:val="00C0155D"/>
    <w:rsid w:val="00C01C28"/>
    <w:rsid w:val="00C03462"/>
    <w:rsid w:val="00C04857"/>
    <w:rsid w:val="00C05110"/>
    <w:rsid w:val="00C123CF"/>
    <w:rsid w:val="00C12A6C"/>
    <w:rsid w:val="00C13BBE"/>
    <w:rsid w:val="00C13CB2"/>
    <w:rsid w:val="00C21715"/>
    <w:rsid w:val="00C24714"/>
    <w:rsid w:val="00C30145"/>
    <w:rsid w:val="00C30307"/>
    <w:rsid w:val="00C303C3"/>
    <w:rsid w:val="00C32F4C"/>
    <w:rsid w:val="00C3321A"/>
    <w:rsid w:val="00C36F12"/>
    <w:rsid w:val="00C40361"/>
    <w:rsid w:val="00C411ED"/>
    <w:rsid w:val="00C41231"/>
    <w:rsid w:val="00C4126C"/>
    <w:rsid w:val="00C41902"/>
    <w:rsid w:val="00C41AFC"/>
    <w:rsid w:val="00C41F0D"/>
    <w:rsid w:val="00C45A65"/>
    <w:rsid w:val="00C50A1D"/>
    <w:rsid w:val="00C50BFD"/>
    <w:rsid w:val="00C5562E"/>
    <w:rsid w:val="00C560FE"/>
    <w:rsid w:val="00C574D5"/>
    <w:rsid w:val="00C61444"/>
    <w:rsid w:val="00C622A6"/>
    <w:rsid w:val="00C6320A"/>
    <w:rsid w:val="00C638AF"/>
    <w:rsid w:val="00C649DB"/>
    <w:rsid w:val="00C66E5F"/>
    <w:rsid w:val="00C67123"/>
    <w:rsid w:val="00C73B6F"/>
    <w:rsid w:val="00C74A7E"/>
    <w:rsid w:val="00C75629"/>
    <w:rsid w:val="00C75C36"/>
    <w:rsid w:val="00C75E62"/>
    <w:rsid w:val="00C75EA3"/>
    <w:rsid w:val="00C76306"/>
    <w:rsid w:val="00C76390"/>
    <w:rsid w:val="00C77000"/>
    <w:rsid w:val="00C7704D"/>
    <w:rsid w:val="00C8103E"/>
    <w:rsid w:val="00C81B90"/>
    <w:rsid w:val="00C81E07"/>
    <w:rsid w:val="00C829D0"/>
    <w:rsid w:val="00C82AFD"/>
    <w:rsid w:val="00C83AC8"/>
    <w:rsid w:val="00C847DF"/>
    <w:rsid w:val="00C84C57"/>
    <w:rsid w:val="00C90048"/>
    <w:rsid w:val="00C91BD3"/>
    <w:rsid w:val="00C91DD8"/>
    <w:rsid w:val="00C92E32"/>
    <w:rsid w:val="00C94B54"/>
    <w:rsid w:val="00C97BAF"/>
    <w:rsid w:val="00CA0AAD"/>
    <w:rsid w:val="00CA1960"/>
    <w:rsid w:val="00CA22DA"/>
    <w:rsid w:val="00CA56BB"/>
    <w:rsid w:val="00CA6D49"/>
    <w:rsid w:val="00CA6DE7"/>
    <w:rsid w:val="00CB0C68"/>
    <w:rsid w:val="00CB12F9"/>
    <w:rsid w:val="00CB4912"/>
    <w:rsid w:val="00CB4FCC"/>
    <w:rsid w:val="00CB693A"/>
    <w:rsid w:val="00CC48BE"/>
    <w:rsid w:val="00CC677B"/>
    <w:rsid w:val="00CD3832"/>
    <w:rsid w:val="00CD3AD2"/>
    <w:rsid w:val="00CD688C"/>
    <w:rsid w:val="00CE0528"/>
    <w:rsid w:val="00CE0B37"/>
    <w:rsid w:val="00CE11CE"/>
    <w:rsid w:val="00CE20F7"/>
    <w:rsid w:val="00CE22F8"/>
    <w:rsid w:val="00CE3EB1"/>
    <w:rsid w:val="00CE4450"/>
    <w:rsid w:val="00CE539A"/>
    <w:rsid w:val="00CE72EC"/>
    <w:rsid w:val="00CE7317"/>
    <w:rsid w:val="00CE774D"/>
    <w:rsid w:val="00CE78DD"/>
    <w:rsid w:val="00CF1830"/>
    <w:rsid w:val="00CF3C4D"/>
    <w:rsid w:val="00CF5F08"/>
    <w:rsid w:val="00CF69F6"/>
    <w:rsid w:val="00CF79F5"/>
    <w:rsid w:val="00CF7B5B"/>
    <w:rsid w:val="00D00822"/>
    <w:rsid w:val="00D00CC1"/>
    <w:rsid w:val="00D031A9"/>
    <w:rsid w:val="00D0651C"/>
    <w:rsid w:val="00D1437D"/>
    <w:rsid w:val="00D144E2"/>
    <w:rsid w:val="00D158EB"/>
    <w:rsid w:val="00D16E2A"/>
    <w:rsid w:val="00D201C5"/>
    <w:rsid w:val="00D209C2"/>
    <w:rsid w:val="00D20E69"/>
    <w:rsid w:val="00D220DA"/>
    <w:rsid w:val="00D25A79"/>
    <w:rsid w:val="00D2712A"/>
    <w:rsid w:val="00D34AD8"/>
    <w:rsid w:val="00D361A7"/>
    <w:rsid w:val="00D36C9E"/>
    <w:rsid w:val="00D408A4"/>
    <w:rsid w:val="00D41500"/>
    <w:rsid w:val="00D41659"/>
    <w:rsid w:val="00D47408"/>
    <w:rsid w:val="00D537FF"/>
    <w:rsid w:val="00D554DD"/>
    <w:rsid w:val="00D55CAF"/>
    <w:rsid w:val="00D55EF1"/>
    <w:rsid w:val="00D56F6B"/>
    <w:rsid w:val="00D5729B"/>
    <w:rsid w:val="00D57FA6"/>
    <w:rsid w:val="00D661D3"/>
    <w:rsid w:val="00D66F9B"/>
    <w:rsid w:val="00D711C0"/>
    <w:rsid w:val="00D80DCE"/>
    <w:rsid w:val="00D81F5E"/>
    <w:rsid w:val="00D84607"/>
    <w:rsid w:val="00D85518"/>
    <w:rsid w:val="00D8660A"/>
    <w:rsid w:val="00D87CF2"/>
    <w:rsid w:val="00D91628"/>
    <w:rsid w:val="00D9441D"/>
    <w:rsid w:val="00D94F96"/>
    <w:rsid w:val="00D96D45"/>
    <w:rsid w:val="00D97A0E"/>
    <w:rsid w:val="00DA048E"/>
    <w:rsid w:val="00DA32AC"/>
    <w:rsid w:val="00DA4E0A"/>
    <w:rsid w:val="00DA50A4"/>
    <w:rsid w:val="00DA56EC"/>
    <w:rsid w:val="00DB00C3"/>
    <w:rsid w:val="00DB0444"/>
    <w:rsid w:val="00DB160E"/>
    <w:rsid w:val="00DB2D17"/>
    <w:rsid w:val="00DC77FF"/>
    <w:rsid w:val="00DC7B02"/>
    <w:rsid w:val="00DC7B64"/>
    <w:rsid w:val="00DD1C25"/>
    <w:rsid w:val="00DD21CD"/>
    <w:rsid w:val="00DD23DE"/>
    <w:rsid w:val="00DD24AD"/>
    <w:rsid w:val="00DD2867"/>
    <w:rsid w:val="00DD311F"/>
    <w:rsid w:val="00DD4670"/>
    <w:rsid w:val="00DD4B23"/>
    <w:rsid w:val="00DD5F27"/>
    <w:rsid w:val="00DE12FE"/>
    <w:rsid w:val="00DE3BD2"/>
    <w:rsid w:val="00DE505F"/>
    <w:rsid w:val="00DE55AB"/>
    <w:rsid w:val="00DE74E8"/>
    <w:rsid w:val="00DF0881"/>
    <w:rsid w:val="00DF5352"/>
    <w:rsid w:val="00DF5CE0"/>
    <w:rsid w:val="00DF652C"/>
    <w:rsid w:val="00DF6793"/>
    <w:rsid w:val="00E00213"/>
    <w:rsid w:val="00E013F3"/>
    <w:rsid w:val="00E01AD6"/>
    <w:rsid w:val="00E01E25"/>
    <w:rsid w:val="00E03D54"/>
    <w:rsid w:val="00E04336"/>
    <w:rsid w:val="00E06D97"/>
    <w:rsid w:val="00E07EF7"/>
    <w:rsid w:val="00E10402"/>
    <w:rsid w:val="00E10428"/>
    <w:rsid w:val="00E10948"/>
    <w:rsid w:val="00E109AF"/>
    <w:rsid w:val="00E21EDB"/>
    <w:rsid w:val="00E22B07"/>
    <w:rsid w:val="00E23AD4"/>
    <w:rsid w:val="00E252B7"/>
    <w:rsid w:val="00E30148"/>
    <w:rsid w:val="00E30453"/>
    <w:rsid w:val="00E3229D"/>
    <w:rsid w:val="00E32CDA"/>
    <w:rsid w:val="00E52502"/>
    <w:rsid w:val="00E54329"/>
    <w:rsid w:val="00E5549D"/>
    <w:rsid w:val="00E56115"/>
    <w:rsid w:val="00E570D4"/>
    <w:rsid w:val="00E57F8A"/>
    <w:rsid w:val="00E6056D"/>
    <w:rsid w:val="00E633E9"/>
    <w:rsid w:val="00E6484B"/>
    <w:rsid w:val="00E70863"/>
    <w:rsid w:val="00E7271E"/>
    <w:rsid w:val="00E75455"/>
    <w:rsid w:val="00E81B34"/>
    <w:rsid w:val="00E81F9A"/>
    <w:rsid w:val="00E82361"/>
    <w:rsid w:val="00E83324"/>
    <w:rsid w:val="00E8412B"/>
    <w:rsid w:val="00E86081"/>
    <w:rsid w:val="00E86CFC"/>
    <w:rsid w:val="00E8730E"/>
    <w:rsid w:val="00E9003A"/>
    <w:rsid w:val="00E90A51"/>
    <w:rsid w:val="00E9183C"/>
    <w:rsid w:val="00E92210"/>
    <w:rsid w:val="00E9498F"/>
    <w:rsid w:val="00EA05AF"/>
    <w:rsid w:val="00EA10CC"/>
    <w:rsid w:val="00EA4A9F"/>
    <w:rsid w:val="00EB0CC9"/>
    <w:rsid w:val="00EB2278"/>
    <w:rsid w:val="00EB2B0C"/>
    <w:rsid w:val="00EB375B"/>
    <w:rsid w:val="00EB6773"/>
    <w:rsid w:val="00EB7054"/>
    <w:rsid w:val="00EC1B21"/>
    <w:rsid w:val="00EC3B6A"/>
    <w:rsid w:val="00EC4F1E"/>
    <w:rsid w:val="00EC6D8A"/>
    <w:rsid w:val="00EC70C0"/>
    <w:rsid w:val="00ED0976"/>
    <w:rsid w:val="00ED3164"/>
    <w:rsid w:val="00ED6993"/>
    <w:rsid w:val="00ED7996"/>
    <w:rsid w:val="00EE4747"/>
    <w:rsid w:val="00EE513D"/>
    <w:rsid w:val="00EE66A5"/>
    <w:rsid w:val="00EE67FC"/>
    <w:rsid w:val="00F0011F"/>
    <w:rsid w:val="00F0347B"/>
    <w:rsid w:val="00F05149"/>
    <w:rsid w:val="00F064E6"/>
    <w:rsid w:val="00F1037A"/>
    <w:rsid w:val="00F128EC"/>
    <w:rsid w:val="00F1372C"/>
    <w:rsid w:val="00F137AB"/>
    <w:rsid w:val="00F16C29"/>
    <w:rsid w:val="00F22B0F"/>
    <w:rsid w:val="00F236E3"/>
    <w:rsid w:val="00F25681"/>
    <w:rsid w:val="00F27226"/>
    <w:rsid w:val="00F273CF"/>
    <w:rsid w:val="00F315CB"/>
    <w:rsid w:val="00F32BF2"/>
    <w:rsid w:val="00F32C45"/>
    <w:rsid w:val="00F33E8D"/>
    <w:rsid w:val="00F34A65"/>
    <w:rsid w:val="00F4029A"/>
    <w:rsid w:val="00F404E5"/>
    <w:rsid w:val="00F4088C"/>
    <w:rsid w:val="00F42618"/>
    <w:rsid w:val="00F4295F"/>
    <w:rsid w:val="00F43938"/>
    <w:rsid w:val="00F44092"/>
    <w:rsid w:val="00F4585E"/>
    <w:rsid w:val="00F4683B"/>
    <w:rsid w:val="00F554A0"/>
    <w:rsid w:val="00F57728"/>
    <w:rsid w:val="00F60191"/>
    <w:rsid w:val="00F6230B"/>
    <w:rsid w:val="00F62682"/>
    <w:rsid w:val="00F6362B"/>
    <w:rsid w:val="00F64D9C"/>
    <w:rsid w:val="00F7029A"/>
    <w:rsid w:val="00F722D5"/>
    <w:rsid w:val="00F73AE8"/>
    <w:rsid w:val="00F73EE9"/>
    <w:rsid w:val="00F74D79"/>
    <w:rsid w:val="00F76EC3"/>
    <w:rsid w:val="00F77441"/>
    <w:rsid w:val="00F77D7B"/>
    <w:rsid w:val="00F82B3C"/>
    <w:rsid w:val="00F85C9E"/>
    <w:rsid w:val="00F9198F"/>
    <w:rsid w:val="00F953C8"/>
    <w:rsid w:val="00FA0615"/>
    <w:rsid w:val="00FA1AD3"/>
    <w:rsid w:val="00FA263B"/>
    <w:rsid w:val="00FA3D57"/>
    <w:rsid w:val="00FA6BAE"/>
    <w:rsid w:val="00FB289E"/>
    <w:rsid w:val="00FB5896"/>
    <w:rsid w:val="00FC195D"/>
    <w:rsid w:val="00FC34C8"/>
    <w:rsid w:val="00FC443E"/>
    <w:rsid w:val="00FC6D3E"/>
    <w:rsid w:val="00FC7C0E"/>
    <w:rsid w:val="00FD0D34"/>
    <w:rsid w:val="00FD11B3"/>
    <w:rsid w:val="00FD2116"/>
    <w:rsid w:val="00FD42CC"/>
    <w:rsid w:val="00FE029F"/>
    <w:rsid w:val="00FE050F"/>
    <w:rsid w:val="00FE2568"/>
    <w:rsid w:val="00FE6130"/>
    <w:rsid w:val="00FE7197"/>
    <w:rsid w:val="00FF0A62"/>
    <w:rsid w:val="00FF2AB3"/>
    <w:rsid w:val="00FF48ED"/>
    <w:rsid w:val="010232D7"/>
    <w:rsid w:val="01040B4A"/>
    <w:rsid w:val="01054E15"/>
    <w:rsid w:val="011073DC"/>
    <w:rsid w:val="01143E4E"/>
    <w:rsid w:val="011E6302"/>
    <w:rsid w:val="01206AD7"/>
    <w:rsid w:val="01263BFE"/>
    <w:rsid w:val="01266780"/>
    <w:rsid w:val="0128076F"/>
    <w:rsid w:val="013E43F7"/>
    <w:rsid w:val="0144080B"/>
    <w:rsid w:val="015C741F"/>
    <w:rsid w:val="015D411F"/>
    <w:rsid w:val="01602395"/>
    <w:rsid w:val="01606A7D"/>
    <w:rsid w:val="016575C9"/>
    <w:rsid w:val="01732295"/>
    <w:rsid w:val="01801FD5"/>
    <w:rsid w:val="01870B5A"/>
    <w:rsid w:val="0188602D"/>
    <w:rsid w:val="01930539"/>
    <w:rsid w:val="019B7059"/>
    <w:rsid w:val="019D25FC"/>
    <w:rsid w:val="01A028AC"/>
    <w:rsid w:val="01A11397"/>
    <w:rsid w:val="01AD4ADC"/>
    <w:rsid w:val="01B76591"/>
    <w:rsid w:val="01BA6B1E"/>
    <w:rsid w:val="01C77936"/>
    <w:rsid w:val="01C96AE3"/>
    <w:rsid w:val="01CA15D2"/>
    <w:rsid w:val="01D05F68"/>
    <w:rsid w:val="01D50AB4"/>
    <w:rsid w:val="01DA2867"/>
    <w:rsid w:val="01DD3585"/>
    <w:rsid w:val="01E0188A"/>
    <w:rsid w:val="01E20DD5"/>
    <w:rsid w:val="01E63B1E"/>
    <w:rsid w:val="01E6615F"/>
    <w:rsid w:val="01EA236F"/>
    <w:rsid w:val="01F63C80"/>
    <w:rsid w:val="01FB4A0D"/>
    <w:rsid w:val="01FE2FD8"/>
    <w:rsid w:val="01FE75B6"/>
    <w:rsid w:val="02033144"/>
    <w:rsid w:val="02034351"/>
    <w:rsid w:val="020704D7"/>
    <w:rsid w:val="02100273"/>
    <w:rsid w:val="02125938"/>
    <w:rsid w:val="02126AA2"/>
    <w:rsid w:val="02234BAC"/>
    <w:rsid w:val="023245CD"/>
    <w:rsid w:val="02331BB7"/>
    <w:rsid w:val="02341DFE"/>
    <w:rsid w:val="02461CBB"/>
    <w:rsid w:val="024F192F"/>
    <w:rsid w:val="02660DBB"/>
    <w:rsid w:val="026C18BE"/>
    <w:rsid w:val="02701434"/>
    <w:rsid w:val="0294208A"/>
    <w:rsid w:val="02A24430"/>
    <w:rsid w:val="02A81B4D"/>
    <w:rsid w:val="02A96206"/>
    <w:rsid w:val="02B14A70"/>
    <w:rsid w:val="02B51C37"/>
    <w:rsid w:val="02B67A89"/>
    <w:rsid w:val="02BA51E3"/>
    <w:rsid w:val="02BE50C4"/>
    <w:rsid w:val="02C02151"/>
    <w:rsid w:val="02C80CE4"/>
    <w:rsid w:val="02CC1A68"/>
    <w:rsid w:val="02CD7AF4"/>
    <w:rsid w:val="02D84661"/>
    <w:rsid w:val="02F57CC2"/>
    <w:rsid w:val="02F8438E"/>
    <w:rsid w:val="03205AA5"/>
    <w:rsid w:val="03230D55"/>
    <w:rsid w:val="03261A51"/>
    <w:rsid w:val="032C07E0"/>
    <w:rsid w:val="0330424A"/>
    <w:rsid w:val="03334629"/>
    <w:rsid w:val="03372C8D"/>
    <w:rsid w:val="03395698"/>
    <w:rsid w:val="033C32B3"/>
    <w:rsid w:val="034037AB"/>
    <w:rsid w:val="0344381D"/>
    <w:rsid w:val="034606A1"/>
    <w:rsid w:val="034873A5"/>
    <w:rsid w:val="03523137"/>
    <w:rsid w:val="0353214A"/>
    <w:rsid w:val="035A6E54"/>
    <w:rsid w:val="035B2EF4"/>
    <w:rsid w:val="03637D04"/>
    <w:rsid w:val="036769B6"/>
    <w:rsid w:val="037873F4"/>
    <w:rsid w:val="03790FA8"/>
    <w:rsid w:val="03793D11"/>
    <w:rsid w:val="03793FFE"/>
    <w:rsid w:val="037C57FE"/>
    <w:rsid w:val="038E0002"/>
    <w:rsid w:val="038E3F68"/>
    <w:rsid w:val="039A1255"/>
    <w:rsid w:val="03AC1EDD"/>
    <w:rsid w:val="03AD00F4"/>
    <w:rsid w:val="03B57C3B"/>
    <w:rsid w:val="03BF4CD1"/>
    <w:rsid w:val="03C530CA"/>
    <w:rsid w:val="03E06864"/>
    <w:rsid w:val="03E31E00"/>
    <w:rsid w:val="03E61868"/>
    <w:rsid w:val="03EB4BFB"/>
    <w:rsid w:val="03F9685B"/>
    <w:rsid w:val="03FC31D7"/>
    <w:rsid w:val="040B03ED"/>
    <w:rsid w:val="041501A7"/>
    <w:rsid w:val="041509F0"/>
    <w:rsid w:val="0427566D"/>
    <w:rsid w:val="042B0647"/>
    <w:rsid w:val="043B1E19"/>
    <w:rsid w:val="04535018"/>
    <w:rsid w:val="04580A36"/>
    <w:rsid w:val="0458651A"/>
    <w:rsid w:val="045B5E77"/>
    <w:rsid w:val="046544F9"/>
    <w:rsid w:val="046F2510"/>
    <w:rsid w:val="0473633B"/>
    <w:rsid w:val="047850D6"/>
    <w:rsid w:val="047920A2"/>
    <w:rsid w:val="0487666C"/>
    <w:rsid w:val="048C2F16"/>
    <w:rsid w:val="0491523C"/>
    <w:rsid w:val="049D1DEE"/>
    <w:rsid w:val="049D66D7"/>
    <w:rsid w:val="04A30C92"/>
    <w:rsid w:val="04AF6F12"/>
    <w:rsid w:val="04B83E70"/>
    <w:rsid w:val="04CB417B"/>
    <w:rsid w:val="04D4627D"/>
    <w:rsid w:val="04E4027E"/>
    <w:rsid w:val="04E74246"/>
    <w:rsid w:val="04F32FAE"/>
    <w:rsid w:val="04FF4C8C"/>
    <w:rsid w:val="05093A7D"/>
    <w:rsid w:val="050C6CD1"/>
    <w:rsid w:val="051A44D0"/>
    <w:rsid w:val="053A7E1F"/>
    <w:rsid w:val="05476DE7"/>
    <w:rsid w:val="05523EF9"/>
    <w:rsid w:val="05525C2B"/>
    <w:rsid w:val="055766E3"/>
    <w:rsid w:val="05592A41"/>
    <w:rsid w:val="056D21CD"/>
    <w:rsid w:val="0571182D"/>
    <w:rsid w:val="05732747"/>
    <w:rsid w:val="05753B82"/>
    <w:rsid w:val="058553D2"/>
    <w:rsid w:val="058B1D33"/>
    <w:rsid w:val="058F7053"/>
    <w:rsid w:val="059D2664"/>
    <w:rsid w:val="05A467E8"/>
    <w:rsid w:val="05B8120A"/>
    <w:rsid w:val="05BB2D97"/>
    <w:rsid w:val="05BC37BD"/>
    <w:rsid w:val="05C3709D"/>
    <w:rsid w:val="05D01405"/>
    <w:rsid w:val="05DF3C95"/>
    <w:rsid w:val="05E956EA"/>
    <w:rsid w:val="05EA1C1F"/>
    <w:rsid w:val="05F51D38"/>
    <w:rsid w:val="06162261"/>
    <w:rsid w:val="0629549A"/>
    <w:rsid w:val="063074FB"/>
    <w:rsid w:val="063F0FE5"/>
    <w:rsid w:val="06440781"/>
    <w:rsid w:val="06474D00"/>
    <w:rsid w:val="064D035A"/>
    <w:rsid w:val="06514F8F"/>
    <w:rsid w:val="0652287F"/>
    <w:rsid w:val="0661387C"/>
    <w:rsid w:val="06630C56"/>
    <w:rsid w:val="066D74B8"/>
    <w:rsid w:val="06740354"/>
    <w:rsid w:val="06971292"/>
    <w:rsid w:val="069E38E0"/>
    <w:rsid w:val="06A734BF"/>
    <w:rsid w:val="06A91677"/>
    <w:rsid w:val="06AB6EAB"/>
    <w:rsid w:val="06AD3694"/>
    <w:rsid w:val="06BF741A"/>
    <w:rsid w:val="06C859E5"/>
    <w:rsid w:val="06CB5F67"/>
    <w:rsid w:val="06D0079D"/>
    <w:rsid w:val="06D06279"/>
    <w:rsid w:val="06DE2EF0"/>
    <w:rsid w:val="06EB1C93"/>
    <w:rsid w:val="070D06C9"/>
    <w:rsid w:val="071B15C7"/>
    <w:rsid w:val="071D398D"/>
    <w:rsid w:val="071E6709"/>
    <w:rsid w:val="072C030E"/>
    <w:rsid w:val="0733399B"/>
    <w:rsid w:val="07344D13"/>
    <w:rsid w:val="07442B09"/>
    <w:rsid w:val="074F082A"/>
    <w:rsid w:val="0756387D"/>
    <w:rsid w:val="075B218E"/>
    <w:rsid w:val="07610500"/>
    <w:rsid w:val="076B06EE"/>
    <w:rsid w:val="07764D7A"/>
    <w:rsid w:val="07783FA1"/>
    <w:rsid w:val="078C3A8E"/>
    <w:rsid w:val="078D3F80"/>
    <w:rsid w:val="07A263AB"/>
    <w:rsid w:val="07A71CF9"/>
    <w:rsid w:val="07AB512A"/>
    <w:rsid w:val="07B21A73"/>
    <w:rsid w:val="07BA0720"/>
    <w:rsid w:val="07C30D76"/>
    <w:rsid w:val="07C46385"/>
    <w:rsid w:val="07C86FCB"/>
    <w:rsid w:val="07CB3D3F"/>
    <w:rsid w:val="07CB5E21"/>
    <w:rsid w:val="07D16F2E"/>
    <w:rsid w:val="07D32754"/>
    <w:rsid w:val="07D7373F"/>
    <w:rsid w:val="07E02F0A"/>
    <w:rsid w:val="07E04ACF"/>
    <w:rsid w:val="07E275CB"/>
    <w:rsid w:val="07E97D9A"/>
    <w:rsid w:val="080502D4"/>
    <w:rsid w:val="08097C7F"/>
    <w:rsid w:val="080E478E"/>
    <w:rsid w:val="08136CE0"/>
    <w:rsid w:val="081D2C5D"/>
    <w:rsid w:val="08287E76"/>
    <w:rsid w:val="08303C5C"/>
    <w:rsid w:val="0833625D"/>
    <w:rsid w:val="083F2C7F"/>
    <w:rsid w:val="08432319"/>
    <w:rsid w:val="084E14F7"/>
    <w:rsid w:val="08522DEE"/>
    <w:rsid w:val="08524A85"/>
    <w:rsid w:val="0857606E"/>
    <w:rsid w:val="086028C0"/>
    <w:rsid w:val="08604E1C"/>
    <w:rsid w:val="086B0009"/>
    <w:rsid w:val="086B5D88"/>
    <w:rsid w:val="087027B1"/>
    <w:rsid w:val="0876231E"/>
    <w:rsid w:val="087B28A4"/>
    <w:rsid w:val="08861321"/>
    <w:rsid w:val="08A40947"/>
    <w:rsid w:val="08BC06F1"/>
    <w:rsid w:val="08C374D4"/>
    <w:rsid w:val="08D3208E"/>
    <w:rsid w:val="08D83D2B"/>
    <w:rsid w:val="08E649AB"/>
    <w:rsid w:val="08F072E5"/>
    <w:rsid w:val="09130A5C"/>
    <w:rsid w:val="092C0FE0"/>
    <w:rsid w:val="093307C0"/>
    <w:rsid w:val="0959267B"/>
    <w:rsid w:val="0961724E"/>
    <w:rsid w:val="0967491B"/>
    <w:rsid w:val="096F4F7A"/>
    <w:rsid w:val="09775AE2"/>
    <w:rsid w:val="098C6B6E"/>
    <w:rsid w:val="099159E7"/>
    <w:rsid w:val="09916206"/>
    <w:rsid w:val="09997DD9"/>
    <w:rsid w:val="09A04E43"/>
    <w:rsid w:val="09A72811"/>
    <w:rsid w:val="09A97754"/>
    <w:rsid w:val="09C34E56"/>
    <w:rsid w:val="09EA4ECF"/>
    <w:rsid w:val="09ED1E0E"/>
    <w:rsid w:val="09EF2E76"/>
    <w:rsid w:val="09F16724"/>
    <w:rsid w:val="09F74FDF"/>
    <w:rsid w:val="0A1569C3"/>
    <w:rsid w:val="0A157658"/>
    <w:rsid w:val="0A1D6959"/>
    <w:rsid w:val="0A1F58C3"/>
    <w:rsid w:val="0A200EFA"/>
    <w:rsid w:val="0A261F0E"/>
    <w:rsid w:val="0A2F068B"/>
    <w:rsid w:val="0A31019C"/>
    <w:rsid w:val="0A4E3CA5"/>
    <w:rsid w:val="0A58797E"/>
    <w:rsid w:val="0A5C6360"/>
    <w:rsid w:val="0A610064"/>
    <w:rsid w:val="0A621DF6"/>
    <w:rsid w:val="0A646787"/>
    <w:rsid w:val="0A715D96"/>
    <w:rsid w:val="0A7513F6"/>
    <w:rsid w:val="0A7C158B"/>
    <w:rsid w:val="0A877EBA"/>
    <w:rsid w:val="0A880CC8"/>
    <w:rsid w:val="0A892AD3"/>
    <w:rsid w:val="0A8C7658"/>
    <w:rsid w:val="0A8F5859"/>
    <w:rsid w:val="0A923C5A"/>
    <w:rsid w:val="0A9410D4"/>
    <w:rsid w:val="0A9450CE"/>
    <w:rsid w:val="0A9906AD"/>
    <w:rsid w:val="0AA17A1E"/>
    <w:rsid w:val="0AA62571"/>
    <w:rsid w:val="0AB07563"/>
    <w:rsid w:val="0ABD367F"/>
    <w:rsid w:val="0AD23582"/>
    <w:rsid w:val="0AD31149"/>
    <w:rsid w:val="0AD877A9"/>
    <w:rsid w:val="0AE03599"/>
    <w:rsid w:val="0AE61839"/>
    <w:rsid w:val="0AF33113"/>
    <w:rsid w:val="0AF4714D"/>
    <w:rsid w:val="0AF94040"/>
    <w:rsid w:val="0B012F95"/>
    <w:rsid w:val="0B036705"/>
    <w:rsid w:val="0B041EB6"/>
    <w:rsid w:val="0B0E17DB"/>
    <w:rsid w:val="0B106C81"/>
    <w:rsid w:val="0B327AB5"/>
    <w:rsid w:val="0B40276A"/>
    <w:rsid w:val="0B482D49"/>
    <w:rsid w:val="0B4C49C3"/>
    <w:rsid w:val="0B4D3B70"/>
    <w:rsid w:val="0B516272"/>
    <w:rsid w:val="0B530625"/>
    <w:rsid w:val="0B5A397C"/>
    <w:rsid w:val="0B6C28FC"/>
    <w:rsid w:val="0B7F4658"/>
    <w:rsid w:val="0B877278"/>
    <w:rsid w:val="0B8854D6"/>
    <w:rsid w:val="0B910B8F"/>
    <w:rsid w:val="0B930205"/>
    <w:rsid w:val="0B971EBB"/>
    <w:rsid w:val="0BA27ACE"/>
    <w:rsid w:val="0BA963A4"/>
    <w:rsid w:val="0BAE0EE6"/>
    <w:rsid w:val="0BCE7326"/>
    <w:rsid w:val="0BD35638"/>
    <w:rsid w:val="0BDE24D8"/>
    <w:rsid w:val="0BE801C8"/>
    <w:rsid w:val="0BF0511B"/>
    <w:rsid w:val="0C0107F8"/>
    <w:rsid w:val="0C076108"/>
    <w:rsid w:val="0C1544AC"/>
    <w:rsid w:val="0C252ACF"/>
    <w:rsid w:val="0C283958"/>
    <w:rsid w:val="0C351C7A"/>
    <w:rsid w:val="0C4D6E55"/>
    <w:rsid w:val="0C4D748A"/>
    <w:rsid w:val="0C505962"/>
    <w:rsid w:val="0C5B3BBE"/>
    <w:rsid w:val="0C621F78"/>
    <w:rsid w:val="0C627331"/>
    <w:rsid w:val="0C7214EA"/>
    <w:rsid w:val="0C7877C4"/>
    <w:rsid w:val="0C7E7468"/>
    <w:rsid w:val="0C852E8D"/>
    <w:rsid w:val="0C8978EF"/>
    <w:rsid w:val="0C8F43F0"/>
    <w:rsid w:val="0C935E24"/>
    <w:rsid w:val="0C97780D"/>
    <w:rsid w:val="0C98448D"/>
    <w:rsid w:val="0C992F24"/>
    <w:rsid w:val="0CA65C37"/>
    <w:rsid w:val="0CA96175"/>
    <w:rsid w:val="0CAF719B"/>
    <w:rsid w:val="0CC32890"/>
    <w:rsid w:val="0CCB7185"/>
    <w:rsid w:val="0CD25354"/>
    <w:rsid w:val="0CD940B8"/>
    <w:rsid w:val="0CDE0594"/>
    <w:rsid w:val="0CDF5C4D"/>
    <w:rsid w:val="0CE6108B"/>
    <w:rsid w:val="0CED4435"/>
    <w:rsid w:val="0CFA18B1"/>
    <w:rsid w:val="0D0E47E6"/>
    <w:rsid w:val="0D12454E"/>
    <w:rsid w:val="0D1B0533"/>
    <w:rsid w:val="0D255CA1"/>
    <w:rsid w:val="0D3403BE"/>
    <w:rsid w:val="0D3652F1"/>
    <w:rsid w:val="0D4344B3"/>
    <w:rsid w:val="0D4B4C4A"/>
    <w:rsid w:val="0D4D54DD"/>
    <w:rsid w:val="0D4E08A8"/>
    <w:rsid w:val="0D4E77CC"/>
    <w:rsid w:val="0D6017AD"/>
    <w:rsid w:val="0D7135B6"/>
    <w:rsid w:val="0D7459BE"/>
    <w:rsid w:val="0D792E01"/>
    <w:rsid w:val="0D8D0490"/>
    <w:rsid w:val="0D8E369A"/>
    <w:rsid w:val="0D9055E9"/>
    <w:rsid w:val="0D9F0387"/>
    <w:rsid w:val="0DA15D67"/>
    <w:rsid w:val="0DBE45FB"/>
    <w:rsid w:val="0DC0006D"/>
    <w:rsid w:val="0DC45387"/>
    <w:rsid w:val="0DC727D5"/>
    <w:rsid w:val="0DCC3A54"/>
    <w:rsid w:val="0DCF186B"/>
    <w:rsid w:val="0DE04878"/>
    <w:rsid w:val="0DE07614"/>
    <w:rsid w:val="0DE2551A"/>
    <w:rsid w:val="0DE40758"/>
    <w:rsid w:val="0DE84605"/>
    <w:rsid w:val="0DE91000"/>
    <w:rsid w:val="0DFC3761"/>
    <w:rsid w:val="0DFF349C"/>
    <w:rsid w:val="0E2B7849"/>
    <w:rsid w:val="0E320AF1"/>
    <w:rsid w:val="0E385167"/>
    <w:rsid w:val="0E425F5C"/>
    <w:rsid w:val="0E480BE3"/>
    <w:rsid w:val="0E4C4446"/>
    <w:rsid w:val="0E5C2914"/>
    <w:rsid w:val="0E5F6426"/>
    <w:rsid w:val="0E6A4B1F"/>
    <w:rsid w:val="0E760942"/>
    <w:rsid w:val="0E7C16F5"/>
    <w:rsid w:val="0E862114"/>
    <w:rsid w:val="0E8A09AB"/>
    <w:rsid w:val="0EA01152"/>
    <w:rsid w:val="0EA67FB2"/>
    <w:rsid w:val="0EAA72DB"/>
    <w:rsid w:val="0EAC5CD3"/>
    <w:rsid w:val="0EAD1658"/>
    <w:rsid w:val="0EAE690A"/>
    <w:rsid w:val="0EB8597A"/>
    <w:rsid w:val="0EC2773B"/>
    <w:rsid w:val="0EC30044"/>
    <w:rsid w:val="0EC54543"/>
    <w:rsid w:val="0ECD039A"/>
    <w:rsid w:val="0ECD0625"/>
    <w:rsid w:val="0ED54FEF"/>
    <w:rsid w:val="0EDA3838"/>
    <w:rsid w:val="0EDB72A5"/>
    <w:rsid w:val="0EE86031"/>
    <w:rsid w:val="0EEE0EAB"/>
    <w:rsid w:val="0EEF2986"/>
    <w:rsid w:val="0EF4397F"/>
    <w:rsid w:val="0EFA34AD"/>
    <w:rsid w:val="0EFD3A7B"/>
    <w:rsid w:val="0F157207"/>
    <w:rsid w:val="0F184E35"/>
    <w:rsid w:val="0F2346E9"/>
    <w:rsid w:val="0F252297"/>
    <w:rsid w:val="0F2B3995"/>
    <w:rsid w:val="0F3177FA"/>
    <w:rsid w:val="0F4645F0"/>
    <w:rsid w:val="0F464898"/>
    <w:rsid w:val="0F5B1776"/>
    <w:rsid w:val="0F6240AA"/>
    <w:rsid w:val="0F8D0327"/>
    <w:rsid w:val="0F8F0CAD"/>
    <w:rsid w:val="0F93190F"/>
    <w:rsid w:val="0F963C73"/>
    <w:rsid w:val="0F9C1D30"/>
    <w:rsid w:val="0F9E0DAF"/>
    <w:rsid w:val="0FBD09EA"/>
    <w:rsid w:val="0FC44B60"/>
    <w:rsid w:val="0FC46BC4"/>
    <w:rsid w:val="0FD35C26"/>
    <w:rsid w:val="0FD85F6D"/>
    <w:rsid w:val="0FE053CD"/>
    <w:rsid w:val="0FE14260"/>
    <w:rsid w:val="0FF856C7"/>
    <w:rsid w:val="0FFF6B78"/>
    <w:rsid w:val="10053CB4"/>
    <w:rsid w:val="1007097D"/>
    <w:rsid w:val="100A6A8B"/>
    <w:rsid w:val="100D2BE2"/>
    <w:rsid w:val="101232D3"/>
    <w:rsid w:val="101545DB"/>
    <w:rsid w:val="101F58AF"/>
    <w:rsid w:val="102578DD"/>
    <w:rsid w:val="10310B5D"/>
    <w:rsid w:val="10336721"/>
    <w:rsid w:val="103B00EE"/>
    <w:rsid w:val="1059575A"/>
    <w:rsid w:val="105F73E4"/>
    <w:rsid w:val="106B74FB"/>
    <w:rsid w:val="106D0C4D"/>
    <w:rsid w:val="10741E38"/>
    <w:rsid w:val="107E1DFC"/>
    <w:rsid w:val="108073A9"/>
    <w:rsid w:val="10824BB6"/>
    <w:rsid w:val="108365E5"/>
    <w:rsid w:val="10862115"/>
    <w:rsid w:val="10887AA6"/>
    <w:rsid w:val="108B1F0C"/>
    <w:rsid w:val="108C2114"/>
    <w:rsid w:val="10916856"/>
    <w:rsid w:val="109E4593"/>
    <w:rsid w:val="10A1598F"/>
    <w:rsid w:val="10A56102"/>
    <w:rsid w:val="10A750EB"/>
    <w:rsid w:val="10AD7C66"/>
    <w:rsid w:val="10AD7D61"/>
    <w:rsid w:val="10B43466"/>
    <w:rsid w:val="10C540C2"/>
    <w:rsid w:val="10C5506F"/>
    <w:rsid w:val="10D16681"/>
    <w:rsid w:val="10E839CF"/>
    <w:rsid w:val="10E8749C"/>
    <w:rsid w:val="10E95885"/>
    <w:rsid w:val="10FC544E"/>
    <w:rsid w:val="10FD31B6"/>
    <w:rsid w:val="11046389"/>
    <w:rsid w:val="110B71F2"/>
    <w:rsid w:val="110F049F"/>
    <w:rsid w:val="111219F9"/>
    <w:rsid w:val="1122297B"/>
    <w:rsid w:val="11226A51"/>
    <w:rsid w:val="1126489A"/>
    <w:rsid w:val="112918D3"/>
    <w:rsid w:val="112C4FEF"/>
    <w:rsid w:val="11370474"/>
    <w:rsid w:val="113758F4"/>
    <w:rsid w:val="113F7CC7"/>
    <w:rsid w:val="114002CE"/>
    <w:rsid w:val="11435338"/>
    <w:rsid w:val="1149069B"/>
    <w:rsid w:val="115D36E9"/>
    <w:rsid w:val="1168548D"/>
    <w:rsid w:val="116A1D1F"/>
    <w:rsid w:val="116D6143"/>
    <w:rsid w:val="11797271"/>
    <w:rsid w:val="117D60F4"/>
    <w:rsid w:val="11C136DD"/>
    <w:rsid w:val="11C157DA"/>
    <w:rsid w:val="11C2239F"/>
    <w:rsid w:val="11CD10B4"/>
    <w:rsid w:val="11D164B3"/>
    <w:rsid w:val="11D9328B"/>
    <w:rsid w:val="11DA6F75"/>
    <w:rsid w:val="11E11781"/>
    <w:rsid w:val="11E30C1C"/>
    <w:rsid w:val="11E62F13"/>
    <w:rsid w:val="11E74DAB"/>
    <w:rsid w:val="11EF374C"/>
    <w:rsid w:val="11F21A29"/>
    <w:rsid w:val="11F849CC"/>
    <w:rsid w:val="11FF1980"/>
    <w:rsid w:val="1204500F"/>
    <w:rsid w:val="121217DA"/>
    <w:rsid w:val="121B05F9"/>
    <w:rsid w:val="121F2FAC"/>
    <w:rsid w:val="12312ABA"/>
    <w:rsid w:val="123620F9"/>
    <w:rsid w:val="12395ADD"/>
    <w:rsid w:val="124D5732"/>
    <w:rsid w:val="125420D8"/>
    <w:rsid w:val="126C4ECD"/>
    <w:rsid w:val="126F2178"/>
    <w:rsid w:val="127E3366"/>
    <w:rsid w:val="12826B9C"/>
    <w:rsid w:val="12962BD1"/>
    <w:rsid w:val="12A72A6E"/>
    <w:rsid w:val="12A923BE"/>
    <w:rsid w:val="12AF2181"/>
    <w:rsid w:val="12BA7265"/>
    <w:rsid w:val="12BB2589"/>
    <w:rsid w:val="12D466F0"/>
    <w:rsid w:val="12D548EC"/>
    <w:rsid w:val="12D86331"/>
    <w:rsid w:val="12DE5E72"/>
    <w:rsid w:val="12E17EED"/>
    <w:rsid w:val="12E761B8"/>
    <w:rsid w:val="12EA1924"/>
    <w:rsid w:val="12F2690A"/>
    <w:rsid w:val="12FC5675"/>
    <w:rsid w:val="130656A4"/>
    <w:rsid w:val="130A594A"/>
    <w:rsid w:val="130A5D68"/>
    <w:rsid w:val="130E2F38"/>
    <w:rsid w:val="1321481C"/>
    <w:rsid w:val="13271C37"/>
    <w:rsid w:val="132A419A"/>
    <w:rsid w:val="132F4750"/>
    <w:rsid w:val="133B5794"/>
    <w:rsid w:val="13421876"/>
    <w:rsid w:val="1343072D"/>
    <w:rsid w:val="134356FC"/>
    <w:rsid w:val="134F3438"/>
    <w:rsid w:val="134F7471"/>
    <w:rsid w:val="135259BC"/>
    <w:rsid w:val="1357182E"/>
    <w:rsid w:val="135F38CB"/>
    <w:rsid w:val="13636260"/>
    <w:rsid w:val="13772C85"/>
    <w:rsid w:val="137B2A3C"/>
    <w:rsid w:val="137D1CE7"/>
    <w:rsid w:val="138A31C0"/>
    <w:rsid w:val="139122E5"/>
    <w:rsid w:val="1397344C"/>
    <w:rsid w:val="139749A1"/>
    <w:rsid w:val="13A937EE"/>
    <w:rsid w:val="13AC1C44"/>
    <w:rsid w:val="13AC4578"/>
    <w:rsid w:val="13AE1B70"/>
    <w:rsid w:val="13B8451C"/>
    <w:rsid w:val="13BB1BF9"/>
    <w:rsid w:val="13CC01FE"/>
    <w:rsid w:val="13D63D2E"/>
    <w:rsid w:val="13DE2BF1"/>
    <w:rsid w:val="13E360F6"/>
    <w:rsid w:val="13F2616F"/>
    <w:rsid w:val="13F86F17"/>
    <w:rsid w:val="14061D4E"/>
    <w:rsid w:val="140F2010"/>
    <w:rsid w:val="140F5DFB"/>
    <w:rsid w:val="14107804"/>
    <w:rsid w:val="141A5F03"/>
    <w:rsid w:val="141F6890"/>
    <w:rsid w:val="142057F2"/>
    <w:rsid w:val="142112A5"/>
    <w:rsid w:val="1425004D"/>
    <w:rsid w:val="142A530F"/>
    <w:rsid w:val="143C1FC7"/>
    <w:rsid w:val="143D581C"/>
    <w:rsid w:val="1443478D"/>
    <w:rsid w:val="144F3F85"/>
    <w:rsid w:val="144F6C74"/>
    <w:rsid w:val="1457478C"/>
    <w:rsid w:val="14611E27"/>
    <w:rsid w:val="14692A12"/>
    <w:rsid w:val="146C2F5E"/>
    <w:rsid w:val="14711FF3"/>
    <w:rsid w:val="14872F4F"/>
    <w:rsid w:val="14896B93"/>
    <w:rsid w:val="148C5F88"/>
    <w:rsid w:val="149A64AC"/>
    <w:rsid w:val="149B5DE2"/>
    <w:rsid w:val="149C46E1"/>
    <w:rsid w:val="149F0AE4"/>
    <w:rsid w:val="14A06774"/>
    <w:rsid w:val="14A435E6"/>
    <w:rsid w:val="14AD1A87"/>
    <w:rsid w:val="14AE328A"/>
    <w:rsid w:val="14B405C9"/>
    <w:rsid w:val="14B82364"/>
    <w:rsid w:val="14B874EC"/>
    <w:rsid w:val="14BA35B0"/>
    <w:rsid w:val="14BB04EB"/>
    <w:rsid w:val="14C85BF7"/>
    <w:rsid w:val="14CB7C3B"/>
    <w:rsid w:val="14D003FC"/>
    <w:rsid w:val="14D70CF9"/>
    <w:rsid w:val="14DC12E8"/>
    <w:rsid w:val="14DC7E8E"/>
    <w:rsid w:val="14EB485C"/>
    <w:rsid w:val="14EE5CF0"/>
    <w:rsid w:val="14F4222A"/>
    <w:rsid w:val="14F468EC"/>
    <w:rsid w:val="14FB0E8E"/>
    <w:rsid w:val="1507298F"/>
    <w:rsid w:val="15092D91"/>
    <w:rsid w:val="150B4023"/>
    <w:rsid w:val="15165E0B"/>
    <w:rsid w:val="151671AD"/>
    <w:rsid w:val="152A6CF6"/>
    <w:rsid w:val="15332B64"/>
    <w:rsid w:val="15423679"/>
    <w:rsid w:val="15436FB6"/>
    <w:rsid w:val="154B6435"/>
    <w:rsid w:val="154D74A1"/>
    <w:rsid w:val="15595E12"/>
    <w:rsid w:val="155A35A4"/>
    <w:rsid w:val="155D6482"/>
    <w:rsid w:val="15644D72"/>
    <w:rsid w:val="15666DAF"/>
    <w:rsid w:val="156F6818"/>
    <w:rsid w:val="157376F4"/>
    <w:rsid w:val="157B105D"/>
    <w:rsid w:val="15853E48"/>
    <w:rsid w:val="158E70EC"/>
    <w:rsid w:val="15917563"/>
    <w:rsid w:val="15921974"/>
    <w:rsid w:val="15983B85"/>
    <w:rsid w:val="15B35510"/>
    <w:rsid w:val="15B90D05"/>
    <w:rsid w:val="15BA23E3"/>
    <w:rsid w:val="15C3006F"/>
    <w:rsid w:val="15C77F92"/>
    <w:rsid w:val="15D93830"/>
    <w:rsid w:val="15E726D2"/>
    <w:rsid w:val="15EA5A69"/>
    <w:rsid w:val="15F81780"/>
    <w:rsid w:val="15FA0CAB"/>
    <w:rsid w:val="15FC17F3"/>
    <w:rsid w:val="160F2490"/>
    <w:rsid w:val="16195EE0"/>
    <w:rsid w:val="16232C8B"/>
    <w:rsid w:val="16253809"/>
    <w:rsid w:val="163B176A"/>
    <w:rsid w:val="163E3061"/>
    <w:rsid w:val="16420FE7"/>
    <w:rsid w:val="16446403"/>
    <w:rsid w:val="16483713"/>
    <w:rsid w:val="164C1A5B"/>
    <w:rsid w:val="165936F4"/>
    <w:rsid w:val="16641EE8"/>
    <w:rsid w:val="166511AD"/>
    <w:rsid w:val="16663271"/>
    <w:rsid w:val="16691EC7"/>
    <w:rsid w:val="16931344"/>
    <w:rsid w:val="16981FE1"/>
    <w:rsid w:val="169F6E2A"/>
    <w:rsid w:val="16AB65FC"/>
    <w:rsid w:val="16B56687"/>
    <w:rsid w:val="16B933AF"/>
    <w:rsid w:val="16CE0B52"/>
    <w:rsid w:val="16D0271C"/>
    <w:rsid w:val="16D2530D"/>
    <w:rsid w:val="16E17EDC"/>
    <w:rsid w:val="16EE6496"/>
    <w:rsid w:val="16F14762"/>
    <w:rsid w:val="16FD2090"/>
    <w:rsid w:val="17023E86"/>
    <w:rsid w:val="17041CAD"/>
    <w:rsid w:val="17051876"/>
    <w:rsid w:val="17122863"/>
    <w:rsid w:val="171E7665"/>
    <w:rsid w:val="172829C8"/>
    <w:rsid w:val="172C2BEC"/>
    <w:rsid w:val="172D47B2"/>
    <w:rsid w:val="173666E8"/>
    <w:rsid w:val="173859DE"/>
    <w:rsid w:val="173E3A49"/>
    <w:rsid w:val="17436446"/>
    <w:rsid w:val="174575F2"/>
    <w:rsid w:val="17460148"/>
    <w:rsid w:val="17492AA4"/>
    <w:rsid w:val="174A41A0"/>
    <w:rsid w:val="1756205F"/>
    <w:rsid w:val="17612386"/>
    <w:rsid w:val="17736ED9"/>
    <w:rsid w:val="178D1D8B"/>
    <w:rsid w:val="178E03A5"/>
    <w:rsid w:val="179960B0"/>
    <w:rsid w:val="179E762E"/>
    <w:rsid w:val="17A60D50"/>
    <w:rsid w:val="17A737F2"/>
    <w:rsid w:val="17AC6ED4"/>
    <w:rsid w:val="17BC2642"/>
    <w:rsid w:val="17C13424"/>
    <w:rsid w:val="17C25C50"/>
    <w:rsid w:val="17CB69C5"/>
    <w:rsid w:val="17CE1E1B"/>
    <w:rsid w:val="17E602FE"/>
    <w:rsid w:val="17F10C5B"/>
    <w:rsid w:val="17F433A2"/>
    <w:rsid w:val="17FB7713"/>
    <w:rsid w:val="18004575"/>
    <w:rsid w:val="18045F10"/>
    <w:rsid w:val="18065D6C"/>
    <w:rsid w:val="181501C1"/>
    <w:rsid w:val="18151111"/>
    <w:rsid w:val="1819081C"/>
    <w:rsid w:val="181A3A1F"/>
    <w:rsid w:val="181B7BD8"/>
    <w:rsid w:val="18255C92"/>
    <w:rsid w:val="1829190F"/>
    <w:rsid w:val="1829790E"/>
    <w:rsid w:val="182A7981"/>
    <w:rsid w:val="182B6981"/>
    <w:rsid w:val="183454F9"/>
    <w:rsid w:val="18432513"/>
    <w:rsid w:val="18604A70"/>
    <w:rsid w:val="18673B4A"/>
    <w:rsid w:val="18685208"/>
    <w:rsid w:val="186B033D"/>
    <w:rsid w:val="187B4090"/>
    <w:rsid w:val="18861FAE"/>
    <w:rsid w:val="188B70B4"/>
    <w:rsid w:val="188F4825"/>
    <w:rsid w:val="18931F77"/>
    <w:rsid w:val="189B551F"/>
    <w:rsid w:val="18A056A7"/>
    <w:rsid w:val="18A131BB"/>
    <w:rsid w:val="18AE2154"/>
    <w:rsid w:val="18B722E1"/>
    <w:rsid w:val="18BA48AD"/>
    <w:rsid w:val="18BD5FA7"/>
    <w:rsid w:val="18C635E2"/>
    <w:rsid w:val="18CB65CA"/>
    <w:rsid w:val="18D3636D"/>
    <w:rsid w:val="18D47B4C"/>
    <w:rsid w:val="18DC0C49"/>
    <w:rsid w:val="18DC43F1"/>
    <w:rsid w:val="18EC06BC"/>
    <w:rsid w:val="18F233AA"/>
    <w:rsid w:val="18F33634"/>
    <w:rsid w:val="19056201"/>
    <w:rsid w:val="190B5913"/>
    <w:rsid w:val="191A5D28"/>
    <w:rsid w:val="191F00ED"/>
    <w:rsid w:val="192036F5"/>
    <w:rsid w:val="19220868"/>
    <w:rsid w:val="19246200"/>
    <w:rsid w:val="1925059B"/>
    <w:rsid w:val="19293410"/>
    <w:rsid w:val="19362908"/>
    <w:rsid w:val="193C4A48"/>
    <w:rsid w:val="1944614B"/>
    <w:rsid w:val="19572F8E"/>
    <w:rsid w:val="19597EDD"/>
    <w:rsid w:val="195D0A3F"/>
    <w:rsid w:val="19612058"/>
    <w:rsid w:val="196448B4"/>
    <w:rsid w:val="19835120"/>
    <w:rsid w:val="199449BE"/>
    <w:rsid w:val="19982D78"/>
    <w:rsid w:val="199C13DE"/>
    <w:rsid w:val="19A23280"/>
    <w:rsid w:val="19A77FBD"/>
    <w:rsid w:val="19B21D8B"/>
    <w:rsid w:val="19B953B6"/>
    <w:rsid w:val="19BD25F8"/>
    <w:rsid w:val="19C16677"/>
    <w:rsid w:val="19C73551"/>
    <w:rsid w:val="19CA2959"/>
    <w:rsid w:val="19DA3072"/>
    <w:rsid w:val="19E25F25"/>
    <w:rsid w:val="19E52619"/>
    <w:rsid w:val="19EA3F02"/>
    <w:rsid w:val="19EC1BA2"/>
    <w:rsid w:val="19F46A62"/>
    <w:rsid w:val="19FE7EE3"/>
    <w:rsid w:val="1A133DFD"/>
    <w:rsid w:val="1A157B1F"/>
    <w:rsid w:val="1A1D0A16"/>
    <w:rsid w:val="1A1D299A"/>
    <w:rsid w:val="1A2665B8"/>
    <w:rsid w:val="1A3325D3"/>
    <w:rsid w:val="1A33462B"/>
    <w:rsid w:val="1A39369F"/>
    <w:rsid w:val="1A3A2276"/>
    <w:rsid w:val="1A4459CB"/>
    <w:rsid w:val="1A7126AB"/>
    <w:rsid w:val="1A744A5A"/>
    <w:rsid w:val="1A777D44"/>
    <w:rsid w:val="1A7A30A9"/>
    <w:rsid w:val="1A7E137F"/>
    <w:rsid w:val="1A8243A3"/>
    <w:rsid w:val="1A89231C"/>
    <w:rsid w:val="1A8A6CC8"/>
    <w:rsid w:val="1A8B1200"/>
    <w:rsid w:val="1A976B54"/>
    <w:rsid w:val="1A9D7C05"/>
    <w:rsid w:val="1AA53BBB"/>
    <w:rsid w:val="1AA71150"/>
    <w:rsid w:val="1AB87C17"/>
    <w:rsid w:val="1ABA08E8"/>
    <w:rsid w:val="1ABE67C3"/>
    <w:rsid w:val="1ABF6F23"/>
    <w:rsid w:val="1AC5219B"/>
    <w:rsid w:val="1AC95280"/>
    <w:rsid w:val="1ADE35D3"/>
    <w:rsid w:val="1ADE74C8"/>
    <w:rsid w:val="1AEE79C8"/>
    <w:rsid w:val="1AF15DC2"/>
    <w:rsid w:val="1AF52987"/>
    <w:rsid w:val="1B075F2A"/>
    <w:rsid w:val="1B216368"/>
    <w:rsid w:val="1B2375B2"/>
    <w:rsid w:val="1B265666"/>
    <w:rsid w:val="1B272D90"/>
    <w:rsid w:val="1B2E378C"/>
    <w:rsid w:val="1B2F32C9"/>
    <w:rsid w:val="1B383AD0"/>
    <w:rsid w:val="1B49790D"/>
    <w:rsid w:val="1B5C7240"/>
    <w:rsid w:val="1B627D88"/>
    <w:rsid w:val="1B8827ED"/>
    <w:rsid w:val="1B8C063C"/>
    <w:rsid w:val="1BA17C5D"/>
    <w:rsid w:val="1BA93143"/>
    <w:rsid w:val="1BAB0790"/>
    <w:rsid w:val="1BAC77E9"/>
    <w:rsid w:val="1BBD02FD"/>
    <w:rsid w:val="1BC26008"/>
    <w:rsid w:val="1BC313DF"/>
    <w:rsid w:val="1BC66391"/>
    <w:rsid w:val="1BD76992"/>
    <w:rsid w:val="1BDA6DA1"/>
    <w:rsid w:val="1BE4230B"/>
    <w:rsid w:val="1BE83258"/>
    <w:rsid w:val="1BEA6EEE"/>
    <w:rsid w:val="1BF14986"/>
    <w:rsid w:val="1BF80530"/>
    <w:rsid w:val="1BF85B88"/>
    <w:rsid w:val="1BFC3BD1"/>
    <w:rsid w:val="1C0109DA"/>
    <w:rsid w:val="1C027B11"/>
    <w:rsid w:val="1C06041A"/>
    <w:rsid w:val="1C0A716A"/>
    <w:rsid w:val="1C0C7E80"/>
    <w:rsid w:val="1C0E0584"/>
    <w:rsid w:val="1C0E0CF0"/>
    <w:rsid w:val="1C1036CD"/>
    <w:rsid w:val="1C116F91"/>
    <w:rsid w:val="1C1A0E62"/>
    <w:rsid w:val="1C27262B"/>
    <w:rsid w:val="1C286D69"/>
    <w:rsid w:val="1C287243"/>
    <w:rsid w:val="1C3919A7"/>
    <w:rsid w:val="1C3A526F"/>
    <w:rsid w:val="1C3B0258"/>
    <w:rsid w:val="1C3C6578"/>
    <w:rsid w:val="1C4069A3"/>
    <w:rsid w:val="1C4206A6"/>
    <w:rsid w:val="1C472F22"/>
    <w:rsid w:val="1C5B0E41"/>
    <w:rsid w:val="1C6872CD"/>
    <w:rsid w:val="1C7B238F"/>
    <w:rsid w:val="1C7E72A8"/>
    <w:rsid w:val="1C83545F"/>
    <w:rsid w:val="1C865EA7"/>
    <w:rsid w:val="1C871BD6"/>
    <w:rsid w:val="1C8904DA"/>
    <w:rsid w:val="1C893AF1"/>
    <w:rsid w:val="1C91683A"/>
    <w:rsid w:val="1C950355"/>
    <w:rsid w:val="1C977943"/>
    <w:rsid w:val="1C9836BC"/>
    <w:rsid w:val="1C986A90"/>
    <w:rsid w:val="1CA65ADB"/>
    <w:rsid w:val="1CA926E9"/>
    <w:rsid w:val="1CAA17D7"/>
    <w:rsid w:val="1CAC60EF"/>
    <w:rsid w:val="1CBE6565"/>
    <w:rsid w:val="1CC526C0"/>
    <w:rsid w:val="1CC53A1C"/>
    <w:rsid w:val="1CC7104D"/>
    <w:rsid w:val="1CCA7803"/>
    <w:rsid w:val="1CCB30C2"/>
    <w:rsid w:val="1CD52764"/>
    <w:rsid w:val="1CD76CA3"/>
    <w:rsid w:val="1CE60EB5"/>
    <w:rsid w:val="1CE84013"/>
    <w:rsid w:val="1CF441A5"/>
    <w:rsid w:val="1CF53660"/>
    <w:rsid w:val="1CF57D52"/>
    <w:rsid w:val="1CF8629A"/>
    <w:rsid w:val="1CFA5A9F"/>
    <w:rsid w:val="1CFD3BAA"/>
    <w:rsid w:val="1D01167F"/>
    <w:rsid w:val="1D0215CC"/>
    <w:rsid w:val="1D0237B5"/>
    <w:rsid w:val="1D047948"/>
    <w:rsid w:val="1D0E03B5"/>
    <w:rsid w:val="1D185486"/>
    <w:rsid w:val="1D2356E1"/>
    <w:rsid w:val="1D253A2B"/>
    <w:rsid w:val="1D284EFD"/>
    <w:rsid w:val="1D2A63FB"/>
    <w:rsid w:val="1D3128BD"/>
    <w:rsid w:val="1D3A08EF"/>
    <w:rsid w:val="1D3C14C1"/>
    <w:rsid w:val="1D443FB5"/>
    <w:rsid w:val="1D452658"/>
    <w:rsid w:val="1D50490D"/>
    <w:rsid w:val="1D5C6C88"/>
    <w:rsid w:val="1D6973E4"/>
    <w:rsid w:val="1D780694"/>
    <w:rsid w:val="1D784D99"/>
    <w:rsid w:val="1D927076"/>
    <w:rsid w:val="1DA50C76"/>
    <w:rsid w:val="1DB166F7"/>
    <w:rsid w:val="1DB20C5B"/>
    <w:rsid w:val="1DBA7487"/>
    <w:rsid w:val="1DBE7AEF"/>
    <w:rsid w:val="1DC56059"/>
    <w:rsid w:val="1DCB4C05"/>
    <w:rsid w:val="1DCC1181"/>
    <w:rsid w:val="1DDC5F8C"/>
    <w:rsid w:val="1DF87678"/>
    <w:rsid w:val="1DFE1125"/>
    <w:rsid w:val="1DFE4BC6"/>
    <w:rsid w:val="1E02392F"/>
    <w:rsid w:val="1E0A3EB7"/>
    <w:rsid w:val="1E15133B"/>
    <w:rsid w:val="1E266035"/>
    <w:rsid w:val="1E2A52DF"/>
    <w:rsid w:val="1E316102"/>
    <w:rsid w:val="1E3956AE"/>
    <w:rsid w:val="1E510E3E"/>
    <w:rsid w:val="1E540038"/>
    <w:rsid w:val="1E5519A0"/>
    <w:rsid w:val="1E64438F"/>
    <w:rsid w:val="1E6C7AD1"/>
    <w:rsid w:val="1E800CA3"/>
    <w:rsid w:val="1E8E0576"/>
    <w:rsid w:val="1E914FD9"/>
    <w:rsid w:val="1E934908"/>
    <w:rsid w:val="1E9502C5"/>
    <w:rsid w:val="1E9C0648"/>
    <w:rsid w:val="1E9E043D"/>
    <w:rsid w:val="1EA04C1E"/>
    <w:rsid w:val="1EB70888"/>
    <w:rsid w:val="1EBA4502"/>
    <w:rsid w:val="1EBA558F"/>
    <w:rsid w:val="1ED239DF"/>
    <w:rsid w:val="1ED9172B"/>
    <w:rsid w:val="1EDC2607"/>
    <w:rsid w:val="1EEB04A9"/>
    <w:rsid w:val="1F0E1280"/>
    <w:rsid w:val="1F0F1106"/>
    <w:rsid w:val="1F0F1571"/>
    <w:rsid w:val="1F102787"/>
    <w:rsid w:val="1F124076"/>
    <w:rsid w:val="1F132BD0"/>
    <w:rsid w:val="1F191E69"/>
    <w:rsid w:val="1F1B0E05"/>
    <w:rsid w:val="1F1C4975"/>
    <w:rsid w:val="1F234D71"/>
    <w:rsid w:val="1F287696"/>
    <w:rsid w:val="1F2C1978"/>
    <w:rsid w:val="1F317923"/>
    <w:rsid w:val="1F3C0AE3"/>
    <w:rsid w:val="1F3D4598"/>
    <w:rsid w:val="1F3F1CD6"/>
    <w:rsid w:val="1F4836BE"/>
    <w:rsid w:val="1F4E5625"/>
    <w:rsid w:val="1F4F33A1"/>
    <w:rsid w:val="1F5020F6"/>
    <w:rsid w:val="1F506BB4"/>
    <w:rsid w:val="1F5122E6"/>
    <w:rsid w:val="1F5217F6"/>
    <w:rsid w:val="1F5625D7"/>
    <w:rsid w:val="1F6C7C86"/>
    <w:rsid w:val="1F746A1B"/>
    <w:rsid w:val="1F7533DB"/>
    <w:rsid w:val="1F8D2622"/>
    <w:rsid w:val="1FB147D8"/>
    <w:rsid w:val="1FB215E3"/>
    <w:rsid w:val="1FBC03B0"/>
    <w:rsid w:val="1FC85DF6"/>
    <w:rsid w:val="1FCE0962"/>
    <w:rsid w:val="1FD0428E"/>
    <w:rsid w:val="1FD3619D"/>
    <w:rsid w:val="1FDF28E5"/>
    <w:rsid w:val="1FE46AC0"/>
    <w:rsid w:val="1FE5160A"/>
    <w:rsid w:val="2001741A"/>
    <w:rsid w:val="2002156C"/>
    <w:rsid w:val="20060329"/>
    <w:rsid w:val="200708E7"/>
    <w:rsid w:val="2015200C"/>
    <w:rsid w:val="201D23C8"/>
    <w:rsid w:val="20217412"/>
    <w:rsid w:val="20277B67"/>
    <w:rsid w:val="203A2755"/>
    <w:rsid w:val="203C4005"/>
    <w:rsid w:val="203F3820"/>
    <w:rsid w:val="205D7BC4"/>
    <w:rsid w:val="20612E26"/>
    <w:rsid w:val="20624165"/>
    <w:rsid w:val="206836C4"/>
    <w:rsid w:val="206B31F8"/>
    <w:rsid w:val="20777480"/>
    <w:rsid w:val="20782927"/>
    <w:rsid w:val="2084705D"/>
    <w:rsid w:val="208B5FB3"/>
    <w:rsid w:val="208F131D"/>
    <w:rsid w:val="20A91214"/>
    <w:rsid w:val="20AC434C"/>
    <w:rsid w:val="20B12C5F"/>
    <w:rsid w:val="20B603DA"/>
    <w:rsid w:val="20B75FC5"/>
    <w:rsid w:val="20BF5AEA"/>
    <w:rsid w:val="20C47706"/>
    <w:rsid w:val="20CA2ECE"/>
    <w:rsid w:val="20E46041"/>
    <w:rsid w:val="20E834ED"/>
    <w:rsid w:val="20F04B32"/>
    <w:rsid w:val="20F05DF0"/>
    <w:rsid w:val="20F31B33"/>
    <w:rsid w:val="20F82513"/>
    <w:rsid w:val="20FE41F9"/>
    <w:rsid w:val="211C5483"/>
    <w:rsid w:val="21252F2F"/>
    <w:rsid w:val="2131291B"/>
    <w:rsid w:val="21377BBD"/>
    <w:rsid w:val="213E7863"/>
    <w:rsid w:val="213F061C"/>
    <w:rsid w:val="21426442"/>
    <w:rsid w:val="21492971"/>
    <w:rsid w:val="21577B4E"/>
    <w:rsid w:val="21600F7F"/>
    <w:rsid w:val="21616742"/>
    <w:rsid w:val="2169187A"/>
    <w:rsid w:val="216E0A35"/>
    <w:rsid w:val="21701200"/>
    <w:rsid w:val="217270CB"/>
    <w:rsid w:val="2176544B"/>
    <w:rsid w:val="21781CE7"/>
    <w:rsid w:val="21797AE0"/>
    <w:rsid w:val="217C0F07"/>
    <w:rsid w:val="217F4FA4"/>
    <w:rsid w:val="218134E3"/>
    <w:rsid w:val="218166F0"/>
    <w:rsid w:val="21831B3F"/>
    <w:rsid w:val="218843B6"/>
    <w:rsid w:val="218A76C9"/>
    <w:rsid w:val="218B3B40"/>
    <w:rsid w:val="218E60FD"/>
    <w:rsid w:val="2192424D"/>
    <w:rsid w:val="21980FC7"/>
    <w:rsid w:val="21990E25"/>
    <w:rsid w:val="219C377C"/>
    <w:rsid w:val="21AE5F0D"/>
    <w:rsid w:val="21AE7175"/>
    <w:rsid w:val="21B11203"/>
    <w:rsid w:val="21BD4CC4"/>
    <w:rsid w:val="21D256E2"/>
    <w:rsid w:val="21D9705F"/>
    <w:rsid w:val="21DC6AD5"/>
    <w:rsid w:val="21DC77CE"/>
    <w:rsid w:val="21EC0C80"/>
    <w:rsid w:val="21F23D3B"/>
    <w:rsid w:val="21FA0768"/>
    <w:rsid w:val="21FF5648"/>
    <w:rsid w:val="220360ED"/>
    <w:rsid w:val="220D3A7E"/>
    <w:rsid w:val="220E798F"/>
    <w:rsid w:val="22191917"/>
    <w:rsid w:val="221C57CD"/>
    <w:rsid w:val="221C5E05"/>
    <w:rsid w:val="221D4328"/>
    <w:rsid w:val="22215B34"/>
    <w:rsid w:val="22283E94"/>
    <w:rsid w:val="222A186C"/>
    <w:rsid w:val="222B2880"/>
    <w:rsid w:val="222B5139"/>
    <w:rsid w:val="22302501"/>
    <w:rsid w:val="22305AE0"/>
    <w:rsid w:val="22313EFC"/>
    <w:rsid w:val="22377DB6"/>
    <w:rsid w:val="223B5A41"/>
    <w:rsid w:val="224A23E3"/>
    <w:rsid w:val="225A324B"/>
    <w:rsid w:val="2260301B"/>
    <w:rsid w:val="22674CC9"/>
    <w:rsid w:val="226969AE"/>
    <w:rsid w:val="226A4F21"/>
    <w:rsid w:val="226C208F"/>
    <w:rsid w:val="22717764"/>
    <w:rsid w:val="22753BD8"/>
    <w:rsid w:val="227D504A"/>
    <w:rsid w:val="228403A7"/>
    <w:rsid w:val="228A4F94"/>
    <w:rsid w:val="229C3AF8"/>
    <w:rsid w:val="229C3D3B"/>
    <w:rsid w:val="22A52859"/>
    <w:rsid w:val="22A57553"/>
    <w:rsid w:val="22A75AAF"/>
    <w:rsid w:val="22AC2EBF"/>
    <w:rsid w:val="22CC328D"/>
    <w:rsid w:val="22CF71C1"/>
    <w:rsid w:val="22D23BD7"/>
    <w:rsid w:val="22DF0BB3"/>
    <w:rsid w:val="22F236DC"/>
    <w:rsid w:val="22F52D5E"/>
    <w:rsid w:val="22FD5CBE"/>
    <w:rsid w:val="23006BC7"/>
    <w:rsid w:val="231D33FD"/>
    <w:rsid w:val="232043EF"/>
    <w:rsid w:val="23233E51"/>
    <w:rsid w:val="23285BAC"/>
    <w:rsid w:val="2328687E"/>
    <w:rsid w:val="232942F8"/>
    <w:rsid w:val="232A7294"/>
    <w:rsid w:val="23365E5A"/>
    <w:rsid w:val="233E1C20"/>
    <w:rsid w:val="234D6C78"/>
    <w:rsid w:val="23605A2F"/>
    <w:rsid w:val="23624118"/>
    <w:rsid w:val="23644007"/>
    <w:rsid w:val="237A66E1"/>
    <w:rsid w:val="2385211B"/>
    <w:rsid w:val="2387273B"/>
    <w:rsid w:val="238C5A61"/>
    <w:rsid w:val="2396076B"/>
    <w:rsid w:val="239D61A1"/>
    <w:rsid w:val="23AB0FAB"/>
    <w:rsid w:val="23AD117D"/>
    <w:rsid w:val="23AD5DD2"/>
    <w:rsid w:val="23B2349E"/>
    <w:rsid w:val="23B64A7F"/>
    <w:rsid w:val="23B73A20"/>
    <w:rsid w:val="23BB4CC1"/>
    <w:rsid w:val="23C50978"/>
    <w:rsid w:val="23C50A91"/>
    <w:rsid w:val="23C635FB"/>
    <w:rsid w:val="23D66F17"/>
    <w:rsid w:val="23EA5091"/>
    <w:rsid w:val="23EF7530"/>
    <w:rsid w:val="23F04E1C"/>
    <w:rsid w:val="23F66AA0"/>
    <w:rsid w:val="23F73527"/>
    <w:rsid w:val="23FD79B6"/>
    <w:rsid w:val="24033FA7"/>
    <w:rsid w:val="2406532E"/>
    <w:rsid w:val="24095BCD"/>
    <w:rsid w:val="240E4107"/>
    <w:rsid w:val="240F07B4"/>
    <w:rsid w:val="24124173"/>
    <w:rsid w:val="241F1EEA"/>
    <w:rsid w:val="24291513"/>
    <w:rsid w:val="243011D2"/>
    <w:rsid w:val="2431269D"/>
    <w:rsid w:val="24322E53"/>
    <w:rsid w:val="243C4173"/>
    <w:rsid w:val="244048C5"/>
    <w:rsid w:val="2444071B"/>
    <w:rsid w:val="24441346"/>
    <w:rsid w:val="24483EFF"/>
    <w:rsid w:val="24542200"/>
    <w:rsid w:val="245B41B6"/>
    <w:rsid w:val="245F4A70"/>
    <w:rsid w:val="246326D0"/>
    <w:rsid w:val="24673B74"/>
    <w:rsid w:val="24713A7E"/>
    <w:rsid w:val="24742625"/>
    <w:rsid w:val="24781C5F"/>
    <w:rsid w:val="247C1DB0"/>
    <w:rsid w:val="247E0DED"/>
    <w:rsid w:val="247E4842"/>
    <w:rsid w:val="248D4BF6"/>
    <w:rsid w:val="249077EC"/>
    <w:rsid w:val="2495363C"/>
    <w:rsid w:val="24956AF8"/>
    <w:rsid w:val="249B0702"/>
    <w:rsid w:val="249C1C02"/>
    <w:rsid w:val="249D2826"/>
    <w:rsid w:val="249E6C17"/>
    <w:rsid w:val="24B215E8"/>
    <w:rsid w:val="24B336C8"/>
    <w:rsid w:val="24B33987"/>
    <w:rsid w:val="24B64EDE"/>
    <w:rsid w:val="24B95B34"/>
    <w:rsid w:val="24BF6D7B"/>
    <w:rsid w:val="24C74D34"/>
    <w:rsid w:val="24D65AC3"/>
    <w:rsid w:val="24D713C8"/>
    <w:rsid w:val="24DC7A16"/>
    <w:rsid w:val="24DE0034"/>
    <w:rsid w:val="24E0101B"/>
    <w:rsid w:val="24E076AE"/>
    <w:rsid w:val="24E22516"/>
    <w:rsid w:val="24E3652E"/>
    <w:rsid w:val="24F167ED"/>
    <w:rsid w:val="24F80669"/>
    <w:rsid w:val="24FD3DDE"/>
    <w:rsid w:val="24FD55C6"/>
    <w:rsid w:val="24FE3053"/>
    <w:rsid w:val="2504451F"/>
    <w:rsid w:val="251E7E5E"/>
    <w:rsid w:val="25203212"/>
    <w:rsid w:val="25220C8F"/>
    <w:rsid w:val="25247A4A"/>
    <w:rsid w:val="25297B25"/>
    <w:rsid w:val="252E4902"/>
    <w:rsid w:val="25447BF3"/>
    <w:rsid w:val="25483573"/>
    <w:rsid w:val="255366A9"/>
    <w:rsid w:val="255C57AC"/>
    <w:rsid w:val="255D3CBB"/>
    <w:rsid w:val="2563641D"/>
    <w:rsid w:val="2566650A"/>
    <w:rsid w:val="25725B03"/>
    <w:rsid w:val="25854EBA"/>
    <w:rsid w:val="25893A8A"/>
    <w:rsid w:val="25951A96"/>
    <w:rsid w:val="25992188"/>
    <w:rsid w:val="25A45BED"/>
    <w:rsid w:val="25A93071"/>
    <w:rsid w:val="25B25F0E"/>
    <w:rsid w:val="25B40057"/>
    <w:rsid w:val="25B80D65"/>
    <w:rsid w:val="25BB3D4B"/>
    <w:rsid w:val="25C25E9B"/>
    <w:rsid w:val="25C274C0"/>
    <w:rsid w:val="25C43B9F"/>
    <w:rsid w:val="25D70DD0"/>
    <w:rsid w:val="25D7667C"/>
    <w:rsid w:val="25E81743"/>
    <w:rsid w:val="25FA438B"/>
    <w:rsid w:val="25FD184B"/>
    <w:rsid w:val="26055C42"/>
    <w:rsid w:val="2607291B"/>
    <w:rsid w:val="260B1E81"/>
    <w:rsid w:val="2614573B"/>
    <w:rsid w:val="26281A69"/>
    <w:rsid w:val="262963A5"/>
    <w:rsid w:val="262A3EF8"/>
    <w:rsid w:val="263236FB"/>
    <w:rsid w:val="2648396A"/>
    <w:rsid w:val="264F6377"/>
    <w:rsid w:val="26566D48"/>
    <w:rsid w:val="265B3B3E"/>
    <w:rsid w:val="266A7546"/>
    <w:rsid w:val="26746C3A"/>
    <w:rsid w:val="26763327"/>
    <w:rsid w:val="267640AC"/>
    <w:rsid w:val="26781A20"/>
    <w:rsid w:val="26897655"/>
    <w:rsid w:val="268B2BB8"/>
    <w:rsid w:val="268C3B81"/>
    <w:rsid w:val="269125F8"/>
    <w:rsid w:val="26914916"/>
    <w:rsid w:val="2696715D"/>
    <w:rsid w:val="26972A52"/>
    <w:rsid w:val="26A347DF"/>
    <w:rsid w:val="26AA4CDE"/>
    <w:rsid w:val="26B114E5"/>
    <w:rsid w:val="26B627EE"/>
    <w:rsid w:val="26B80CC9"/>
    <w:rsid w:val="26C21FE0"/>
    <w:rsid w:val="26C711E6"/>
    <w:rsid w:val="26CA579B"/>
    <w:rsid w:val="26D06477"/>
    <w:rsid w:val="26DC275A"/>
    <w:rsid w:val="26E77E59"/>
    <w:rsid w:val="26E9577D"/>
    <w:rsid w:val="26EC1F30"/>
    <w:rsid w:val="26F4324A"/>
    <w:rsid w:val="26FD4DA8"/>
    <w:rsid w:val="27037CA9"/>
    <w:rsid w:val="2711033D"/>
    <w:rsid w:val="27196AAC"/>
    <w:rsid w:val="271B3506"/>
    <w:rsid w:val="271E2E4E"/>
    <w:rsid w:val="271E466F"/>
    <w:rsid w:val="27200CE2"/>
    <w:rsid w:val="272214A5"/>
    <w:rsid w:val="27243079"/>
    <w:rsid w:val="27245708"/>
    <w:rsid w:val="2731324E"/>
    <w:rsid w:val="27337FF4"/>
    <w:rsid w:val="273777D8"/>
    <w:rsid w:val="274724D4"/>
    <w:rsid w:val="274F0068"/>
    <w:rsid w:val="274F474E"/>
    <w:rsid w:val="27550DD8"/>
    <w:rsid w:val="275E0AD6"/>
    <w:rsid w:val="275F5884"/>
    <w:rsid w:val="27610138"/>
    <w:rsid w:val="27862BF0"/>
    <w:rsid w:val="278D111B"/>
    <w:rsid w:val="27964F4D"/>
    <w:rsid w:val="27A4306D"/>
    <w:rsid w:val="27AF36FE"/>
    <w:rsid w:val="27B74651"/>
    <w:rsid w:val="27B974EE"/>
    <w:rsid w:val="27BA395C"/>
    <w:rsid w:val="27C24CF6"/>
    <w:rsid w:val="27DB449F"/>
    <w:rsid w:val="27DC2CC0"/>
    <w:rsid w:val="27DC5996"/>
    <w:rsid w:val="27DE5666"/>
    <w:rsid w:val="27E3699D"/>
    <w:rsid w:val="27E5680F"/>
    <w:rsid w:val="27E942F9"/>
    <w:rsid w:val="27EA6A5E"/>
    <w:rsid w:val="27EF5377"/>
    <w:rsid w:val="27F9100C"/>
    <w:rsid w:val="28087BDF"/>
    <w:rsid w:val="281715D2"/>
    <w:rsid w:val="281A5C21"/>
    <w:rsid w:val="281D3E62"/>
    <w:rsid w:val="282276AD"/>
    <w:rsid w:val="28263BB0"/>
    <w:rsid w:val="28334BC1"/>
    <w:rsid w:val="2847227E"/>
    <w:rsid w:val="28483905"/>
    <w:rsid w:val="285E0B75"/>
    <w:rsid w:val="286A74FA"/>
    <w:rsid w:val="2870436C"/>
    <w:rsid w:val="2871024D"/>
    <w:rsid w:val="287D0183"/>
    <w:rsid w:val="2897359D"/>
    <w:rsid w:val="289A126A"/>
    <w:rsid w:val="28A469C9"/>
    <w:rsid w:val="28AF06DC"/>
    <w:rsid w:val="28B21ADE"/>
    <w:rsid w:val="28B22AC6"/>
    <w:rsid w:val="28B3363B"/>
    <w:rsid w:val="28B41548"/>
    <w:rsid w:val="28B41A70"/>
    <w:rsid w:val="28B703E6"/>
    <w:rsid w:val="28BB4F88"/>
    <w:rsid w:val="28C0015A"/>
    <w:rsid w:val="28C26F34"/>
    <w:rsid w:val="28CD4680"/>
    <w:rsid w:val="28CE1042"/>
    <w:rsid w:val="28D1750B"/>
    <w:rsid w:val="28F21BC1"/>
    <w:rsid w:val="28F50F01"/>
    <w:rsid w:val="28F82C4B"/>
    <w:rsid w:val="290122DE"/>
    <w:rsid w:val="29052FB3"/>
    <w:rsid w:val="291D27F2"/>
    <w:rsid w:val="29237B38"/>
    <w:rsid w:val="292B73AA"/>
    <w:rsid w:val="29303158"/>
    <w:rsid w:val="293C2D3A"/>
    <w:rsid w:val="293D0669"/>
    <w:rsid w:val="2948141F"/>
    <w:rsid w:val="29493B13"/>
    <w:rsid w:val="294B0712"/>
    <w:rsid w:val="29542B82"/>
    <w:rsid w:val="296D7419"/>
    <w:rsid w:val="2973027E"/>
    <w:rsid w:val="297447FD"/>
    <w:rsid w:val="298B35E0"/>
    <w:rsid w:val="2993013B"/>
    <w:rsid w:val="2994790F"/>
    <w:rsid w:val="29975FD1"/>
    <w:rsid w:val="29997D8A"/>
    <w:rsid w:val="299B4821"/>
    <w:rsid w:val="299D3D99"/>
    <w:rsid w:val="29B6098D"/>
    <w:rsid w:val="29B61885"/>
    <w:rsid w:val="29BB41E3"/>
    <w:rsid w:val="29BD7383"/>
    <w:rsid w:val="29BE6650"/>
    <w:rsid w:val="29C26EF3"/>
    <w:rsid w:val="29D77A96"/>
    <w:rsid w:val="29DB5BB7"/>
    <w:rsid w:val="29DB7C1C"/>
    <w:rsid w:val="29E42D95"/>
    <w:rsid w:val="29EA5398"/>
    <w:rsid w:val="29EB5964"/>
    <w:rsid w:val="29F608B8"/>
    <w:rsid w:val="29FC6B38"/>
    <w:rsid w:val="2A027AF3"/>
    <w:rsid w:val="2A046E73"/>
    <w:rsid w:val="2A153EEF"/>
    <w:rsid w:val="2A236B6B"/>
    <w:rsid w:val="2A405DE1"/>
    <w:rsid w:val="2A480415"/>
    <w:rsid w:val="2A5755F0"/>
    <w:rsid w:val="2A593D67"/>
    <w:rsid w:val="2A6E7E7A"/>
    <w:rsid w:val="2A7B5242"/>
    <w:rsid w:val="2A8076FB"/>
    <w:rsid w:val="2A8A476C"/>
    <w:rsid w:val="2A932085"/>
    <w:rsid w:val="2A9673B0"/>
    <w:rsid w:val="2A976519"/>
    <w:rsid w:val="2A9F7FC9"/>
    <w:rsid w:val="2AA85E64"/>
    <w:rsid w:val="2AB62DF1"/>
    <w:rsid w:val="2AC37999"/>
    <w:rsid w:val="2AC82E39"/>
    <w:rsid w:val="2ADA3CBF"/>
    <w:rsid w:val="2ADA42EC"/>
    <w:rsid w:val="2AEF1CA9"/>
    <w:rsid w:val="2AF13F20"/>
    <w:rsid w:val="2AF2397E"/>
    <w:rsid w:val="2AF34D88"/>
    <w:rsid w:val="2AF63454"/>
    <w:rsid w:val="2AF64453"/>
    <w:rsid w:val="2AF85F2F"/>
    <w:rsid w:val="2AFA669C"/>
    <w:rsid w:val="2AFD53B8"/>
    <w:rsid w:val="2AFF5C2B"/>
    <w:rsid w:val="2B027EC6"/>
    <w:rsid w:val="2B084B02"/>
    <w:rsid w:val="2B0A6B4B"/>
    <w:rsid w:val="2B1474C8"/>
    <w:rsid w:val="2B151E0A"/>
    <w:rsid w:val="2B1B2EC1"/>
    <w:rsid w:val="2B2034C2"/>
    <w:rsid w:val="2B225808"/>
    <w:rsid w:val="2B3B71A9"/>
    <w:rsid w:val="2B4012E2"/>
    <w:rsid w:val="2B552C86"/>
    <w:rsid w:val="2B5C3EFB"/>
    <w:rsid w:val="2B5F27F6"/>
    <w:rsid w:val="2B652D9F"/>
    <w:rsid w:val="2B7345A1"/>
    <w:rsid w:val="2B8279D5"/>
    <w:rsid w:val="2B8B115D"/>
    <w:rsid w:val="2B942F12"/>
    <w:rsid w:val="2B9D19CE"/>
    <w:rsid w:val="2B9E6B02"/>
    <w:rsid w:val="2BA35C0F"/>
    <w:rsid w:val="2BAA445C"/>
    <w:rsid w:val="2BBD5311"/>
    <w:rsid w:val="2BC41D45"/>
    <w:rsid w:val="2BCA3CC7"/>
    <w:rsid w:val="2BCB043B"/>
    <w:rsid w:val="2BCE0678"/>
    <w:rsid w:val="2BCF4C9B"/>
    <w:rsid w:val="2BD00F2D"/>
    <w:rsid w:val="2BD03764"/>
    <w:rsid w:val="2BD91510"/>
    <w:rsid w:val="2BE30509"/>
    <w:rsid w:val="2BEF5AC5"/>
    <w:rsid w:val="2BF923AB"/>
    <w:rsid w:val="2C01348B"/>
    <w:rsid w:val="2C09361C"/>
    <w:rsid w:val="2C114B8E"/>
    <w:rsid w:val="2C17353C"/>
    <w:rsid w:val="2C2B192E"/>
    <w:rsid w:val="2C2E020C"/>
    <w:rsid w:val="2C313D22"/>
    <w:rsid w:val="2C393448"/>
    <w:rsid w:val="2C3E3B90"/>
    <w:rsid w:val="2C426501"/>
    <w:rsid w:val="2C43618A"/>
    <w:rsid w:val="2C4A0D64"/>
    <w:rsid w:val="2C5B1DD6"/>
    <w:rsid w:val="2C5C706C"/>
    <w:rsid w:val="2C610820"/>
    <w:rsid w:val="2C773E79"/>
    <w:rsid w:val="2C777815"/>
    <w:rsid w:val="2C794E98"/>
    <w:rsid w:val="2C7C724A"/>
    <w:rsid w:val="2C915681"/>
    <w:rsid w:val="2C947626"/>
    <w:rsid w:val="2C97168C"/>
    <w:rsid w:val="2C985BCD"/>
    <w:rsid w:val="2C9F4AAC"/>
    <w:rsid w:val="2CAD5FFF"/>
    <w:rsid w:val="2CB1433A"/>
    <w:rsid w:val="2CB44A70"/>
    <w:rsid w:val="2CBB4483"/>
    <w:rsid w:val="2CC35F58"/>
    <w:rsid w:val="2CD2416F"/>
    <w:rsid w:val="2CDD04FF"/>
    <w:rsid w:val="2CE61FCC"/>
    <w:rsid w:val="2CED23E1"/>
    <w:rsid w:val="2CEF6FAA"/>
    <w:rsid w:val="2CF33AEC"/>
    <w:rsid w:val="2D023264"/>
    <w:rsid w:val="2D0A43D6"/>
    <w:rsid w:val="2D1657D5"/>
    <w:rsid w:val="2D1A521C"/>
    <w:rsid w:val="2D1A7D37"/>
    <w:rsid w:val="2D396A09"/>
    <w:rsid w:val="2D571E1A"/>
    <w:rsid w:val="2D677CCF"/>
    <w:rsid w:val="2D715A9B"/>
    <w:rsid w:val="2D7814BF"/>
    <w:rsid w:val="2D796C36"/>
    <w:rsid w:val="2D886DEA"/>
    <w:rsid w:val="2D912276"/>
    <w:rsid w:val="2D98011A"/>
    <w:rsid w:val="2D9838CC"/>
    <w:rsid w:val="2DAB78D4"/>
    <w:rsid w:val="2DAD3789"/>
    <w:rsid w:val="2DB4310F"/>
    <w:rsid w:val="2DB677F1"/>
    <w:rsid w:val="2DC01403"/>
    <w:rsid w:val="2DC06130"/>
    <w:rsid w:val="2DCB15F2"/>
    <w:rsid w:val="2DD726F2"/>
    <w:rsid w:val="2DE2449F"/>
    <w:rsid w:val="2DED591C"/>
    <w:rsid w:val="2DF50F0F"/>
    <w:rsid w:val="2DF56BF6"/>
    <w:rsid w:val="2DFC0296"/>
    <w:rsid w:val="2DFE78D6"/>
    <w:rsid w:val="2E03595D"/>
    <w:rsid w:val="2E074F13"/>
    <w:rsid w:val="2E0F3FE1"/>
    <w:rsid w:val="2E163881"/>
    <w:rsid w:val="2E1C5AD7"/>
    <w:rsid w:val="2E234861"/>
    <w:rsid w:val="2E2E0B55"/>
    <w:rsid w:val="2E3327E9"/>
    <w:rsid w:val="2E3613A5"/>
    <w:rsid w:val="2E423185"/>
    <w:rsid w:val="2E5A59E2"/>
    <w:rsid w:val="2E67098B"/>
    <w:rsid w:val="2E6C1893"/>
    <w:rsid w:val="2E6C265B"/>
    <w:rsid w:val="2E730543"/>
    <w:rsid w:val="2E7B46DC"/>
    <w:rsid w:val="2E7F6628"/>
    <w:rsid w:val="2E866725"/>
    <w:rsid w:val="2E8A321E"/>
    <w:rsid w:val="2E8C1F02"/>
    <w:rsid w:val="2E8D0456"/>
    <w:rsid w:val="2E992BD5"/>
    <w:rsid w:val="2EA82D9D"/>
    <w:rsid w:val="2EAE1FF0"/>
    <w:rsid w:val="2EAE5EEE"/>
    <w:rsid w:val="2EB60AC3"/>
    <w:rsid w:val="2ED76146"/>
    <w:rsid w:val="2ED80800"/>
    <w:rsid w:val="2EE63B1B"/>
    <w:rsid w:val="2EF54977"/>
    <w:rsid w:val="2EFA0A45"/>
    <w:rsid w:val="2EFF0179"/>
    <w:rsid w:val="2F0351B6"/>
    <w:rsid w:val="2F1E1A52"/>
    <w:rsid w:val="2F202F71"/>
    <w:rsid w:val="2F2B5F30"/>
    <w:rsid w:val="2F5407AB"/>
    <w:rsid w:val="2F54403B"/>
    <w:rsid w:val="2F5F27E7"/>
    <w:rsid w:val="2F6215E7"/>
    <w:rsid w:val="2F643109"/>
    <w:rsid w:val="2F71738E"/>
    <w:rsid w:val="2F725640"/>
    <w:rsid w:val="2F747D56"/>
    <w:rsid w:val="2F792AB1"/>
    <w:rsid w:val="2F7C0121"/>
    <w:rsid w:val="2F8110B2"/>
    <w:rsid w:val="2F8B3F67"/>
    <w:rsid w:val="2F92597C"/>
    <w:rsid w:val="2F9830F5"/>
    <w:rsid w:val="2F9A4685"/>
    <w:rsid w:val="2F9B44EB"/>
    <w:rsid w:val="2FA310B4"/>
    <w:rsid w:val="2FB106E1"/>
    <w:rsid w:val="2FB811AA"/>
    <w:rsid w:val="2FBB1388"/>
    <w:rsid w:val="2FC71033"/>
    <w:rsid w:val="2FCA49B1"/>
    <w:rsid w:val="2FCA7650"/>
    <w:rsid w:val="2FCB703B"/>
    <w:rsid w:val="2FDA259B"/>
    <w:rsid w:val="2FE44DA5"/>
    <w:rsid w:val="2FEA4663"/>
    <w:rsid w:val="2FF41D35"/>
    <w:rsid w:val="2FFD5F5E"/>
    <w:rsid w:val="30002D52"/>
    <w:rsid w:val="300C01C5"/>
    <w:rsid w:val="30164F3E"/>
    <w:rsid w:val="30176620"/>
    <w:rsid w:val="302C4A76"/>
    <w:rsid w:val="302D32B6"/>
    <w:rsid w:val="302E75E8"/>
    <w:rsid w:val="303240BF"/>
    <w:rsid w:val="303D0A4A"/>
    <w:rsid w:val="304A5437"/>
    <w:rsid w:val="304F540A"/>
    <w:rsid w:val="30520295"/>
    <w:rsid w:val="305A4029"/>
    <w:rsid w:val="30715A05"/>
    <w:rsid w:val="3077379E"/>
    <w:rsid w:val="307C0952"/>
    <w:rsid w:val="307F4B43"/>
    <w:rsid w:val="30827966"/>
    <w:rsid w:val="308403AA"/>
    <w:rsid w:val="308B5744"/>
    <w:rsid w:val="30964908"/>
    <w:rsid w:val="309775E2"/>
    <w:rsid w:val="30A756FB"/>
    <w:rsid w:val="30AB7757"/>
    <w:rsid w:val="30B42AB9"/>
    <w:rsid w:val="30B86925"/>
    <w:rsid w:val="30C30D4B"/>
    <w:rsid w:val="30ED31E9"/>
    <w:rsid w:val="30EE4C01"/>
    <w:rsid w:val="30F0549A"/>
    <w:rsid w:val="30F748E3"/>
    <w:rsid w:val="30FB396E"/>
    <w:rsid w:val="31102C16"/>
    <w:rsid w:val="311169A2"/>
    <w:rsid w:val="311323DD"/>
    <w:rsid w:val="31145B4A"/>
    <w:rsid w:val="311A2DDF"/>
    <w:rsid w:val="312A1CD9"/>
    <w:rsid w:val="31301187"/>
    <w:rsid w:val="31341BA8"/>
    <w:rsid w:val="313F5D5A"/>
    <w:rsid w:val="31427A15"/>
    <w:rsid w:val="314C14AA"/>
    <w:rsid w:val="31555005"/>
    <w:rsid w:val="315974BA"/>
    <w:rsid w:val="31615C00"/>
    <w:rsid w:val="31615E2E"/>
    <w:rsid w:val="31647136"/>
    <w:rsid w:val="316F0C1B"/>
    <w:rsid w:val="31723982"/>
    <w:rsid w:val="31762908"/>
    <w:rsid w:val="31847C6A"/>
    <w:rsid w:val="31866FDC"/>
    <w:rsid w:val="31885E66"/>
    <w:rsid w:val="318F362A"/>
    <w:rsid w:val="3198560C"/>
    <w:rsid w:val="319B135A"/>
    <w:rsid w:val="31BD68A5"/>
    <w:rsid w:val="31CE04BB"/>
    <w:rsid w:val="31D106C4"/>
    <w:rsid w:val="31D23EC3"/>
    <w:rsid w:val="31DC50FD"/>
    <w:rsid w:val="31DF3036"/>
    <w:rsid w:val="31E100F6"/>
    <w:rsid w:val="31F43660"/>
    <w:rsid w:val="31F87F63"/>
    <w:rsid w:val="31FC25BE"/>
    <w:rsid w:val="31FC3EAF"/>
    <w:rsid w:val="32016E97"/>
    <w:rsid w:val="320A256C"/>
    <w:rsid w:val="320B4B89"/>
    <w:rsid w:val="320B6DD9"/>
    <w:rsid w:val="321112E5"/>
    <w:rsid w:val="32121655"/>
    <w:rsid w:val="322B5002"/>
    <w:rsid w:val="323C7C13"/>
    <w:rsid w:val="324259EF"/>
    <w:rsid w:val="32521982"/>
    <w:rsid w:val="325517A1"/>
    <w:rsid w:val="325E4ADC"/>
    <w:rsid w:val="326B3113"/>
    <w:rsid w:val="326C63E1"/>
    <w:rsid w:val="326F1082"/>
    <w:rsid w:val="32702306"/>
    <w:rsid w:val="32716E9C"/>
    <w:rsid w:val="327658BA"/>
    <w:rsid w:val="327D0398"/>
    <w:rsid w:val="32834D54"/>
    <w:rsid w:val="32871492"/>
    <w:rsid w:val="328C0B03"/>
    <w:rsid w:val="329E63BD"/>
    <w:rsid w:val="32A40630"/>
    <w:rsid w:val="32AB1B65"/>
    <w:rsid w:val="32B617E7"/>
    <w:rsid w:val="32C26B37"/>
    <w:rsid w:val="32CB2287"/>
    <w:rsid w:val="32D775C9"/>
    <w:rsid w:val="32DB259F"/>
    <w:rsid w:val="32E01591"/>
    <w:rsid w:val="32E30BF6"/>
    <w:rsid w:val="32E37C1C"/>
    <w:rsid w:val="32F87627"/>
    <w:rsid w:val="33047CE3"/>
    <w:rsid w:val="33062CB4"/>
    <w:rsid w:val="330C387C"/>
    <w:rsid w:val="3318036D"/>
    <w:rsid w:val="331E6BB9"/>
    <w:rsid w:val="33273DCD"/>
    <w:rsid w:val="332A36F9"/>
    <w:rsid w:val="332C34B7"/>
    <w:rsid w:val="3332487D"/>
    <w:rsid w:val="333C7522"/>
    <w:rsid w:val="334068D7"/>
    <w:rsid w:val="334268BB"/>
    <w:rsid w:val="334D0554"/>
    <w:rsid w:val="334D31BD"/>
    <w:rsid w:val="33542C70"/>
    <w:rsid w:val="335B189A"/>
    <w:rsid w:val="33615237"/>
    <w:rsid w:val="33692F12"/>
    <w:rsid w:val="337A39FC"/>
    <w:rsid w:val="337A5ACB"/>
    <w:rsid w:val="337E1C6D"/>
    <w:rsid w:val="339A57DB"/>
    <w:rsid w:val="339D250A"/>
    <w:rsid w:val="33B158B3"/>
    <w:rsid w:val="33B171E8"/>
    <w:rsid w:val="33C13C2B"/>
    <w:rsid w:val="33CF1C5C"/>
    <w:rsid w:val="33E611D3"/>
    <w:rsid w:val="33EF5BD4"/>
    <w:rsid w:val="33F12FFB"/>
    <w:rsid w:val="33F856D9"/>
    <w:rsid w:val="33FC66A0"/>
    <w:rsid w:val="33FE3149"/>
    <w:rsid w:val="34001E55"/>
    <w:rsid w:val="34012B63"/>
    <w:rsid w:val="340137D8"/>
    <w:rsid w:val="3403082B"/>
    <w:rsid w:val="34062385"/>
    <w:rsid w:val="34076222"/>
    <w:rsid w:val="3420466A"/>
    <w:rsid w:val="34212AFE"/>
    <w:rsid w:val="34241332"/>
    <w:rsid w:val="342536E6"/>
    <w:rsid w:val="34285418"/>
    <w:rsid w:val="34286ACC"/>
    <w:rsid w:val="3429078B"/>
    <w:rsid w:val="342D36B8"/>
    <w:rsid w:val="342F590C"/>
    <w:rsid w:val="343109F2"/>
    <w:rsid w:val="34316A6D"/>
    <w:rsid w:val="34322728"/>
    <w:rsid w:val="343556EF"/>
    <w:rsid w:val="3435649C"/>
    <w:rsid w:val="343E76F2"/>
    <w:rsid w:val="34437847"/>
    <w:rsid w:val="345143D0"/>
    <w:rsid w:val="34744A12"/>
    <w:rsid w:val="3480661A"/>
    <w:rsid w:val="34852772"/>
    <w:rsid w:val="34924515"/>
    <w:rsid w:val="34962B1D"/>
    <w:rsid w:val="34A3212E"/>
    <w:rsid w:val="34A63A62"/>
    <w:rsid w:val="34AA6438"/>
    <w:rsid w:val="34B0361C"/>
    <w:rsid w:val="34B42346"/>
    <w:rsid w:val="34BC5AF2"/>
    <w:rsid w:val="34BF5637"/>
    <w:rsid w:val="34C32D3F"/>
    <w:rsid w:val="34C62D5D"/>
    <w:rsid w:val="34C84820"/>
    <w:rsid w:val="34C85BDE"/>
    <w:rsid w:val="34D07E2A"/>
    <w:rsid w:val="34D30ACA"/>
    <w:rsid w:val="34D33ED2"/>
    <w:rsid w:val="34D45D20"/>
    <w:rsid w:val="34D80547"/>
    <w:rsid w:val="34DD5BC4"/>
    <w:rsid w:val="34E2794F"/>
    <w:rsid w:val="34FD7046"/>
    <w:rsid w:val="35026B8B"/>
    <w:rsid w:val="35063C23"/>
    <w:rsid w:val="35064EF0"/>
    <w:rsid w:val="35082C25"/>
    <w:rsid w:val="351358F5"/>
    <w:rsid w:val="35162B0D"/>
    <w:rsid w:val="3517585C"/>
    <w:rsid w:val="351E25C9"/>
    <w:rsid w:val="35254F7E"/>
    <w:rsid w:val="35284645"/>
    <w:rsid w:val="353F47DB"/>
    <w:rsid w:val="354656D7"/>
    <w:rsid w:val="35504B16"/>
    <w:rsid w:val="356A2426"/>
    <w:rsid w:val="356D6BC2"/>
    <w:rsid w:val="357254DF"/>
    <w:rsid w:val="35892EF0"/>
    <w:rsid w:val="358B344B"/>
    <w:rsid w:val="358B6E9A"/>
    <w:rsid w:val="358C4B38"/>
    <w:rsid w:val="359473D9"/>
    <w:rsid w:val="35A95A5F"/>
    <w:rsid w:val="35AE01AF"/>
    <w:rsid w:val="35B95689"/>
    <w:rsid w:val="35C21981"/>
    <w:rsid w:val="35CA1221"/>
    <w:rsid w:val="35CA371F"/>
    <w:rsid w:val="35CF66D7"/>
    <w:rsid w:val="35D84CD4"/>
    <w:rsid w:val="35E94FA1"/>
    <w:rsid w:val="35EB47C5"/>
    <w:rsid w:val="35ED4159"/>
    <w:rsid w:val="36000512"/>
    <w:rsid w:val="360007B1"/>
    <w:rsid w:val="36057804"/>
    <w:rsid w:val="36124FC3"/>
    <w:rsid w:val="36307F8C"/>
    <w:rsid w:val="36393FFE"/>
    <w:rsid w:val="364431F1"/>
    <w:rsid w:val="36483010"/>
    <w:rsid w:val="364C78A4"/>
    <w:rsid w:val="36633C4E"/>
    <w:rsid w:val="36653E73"/>
    <w:rsid w:val="36792B7F"/>
    <w:rsid w:val="367D3DB9"/>
    <w:rsid w:val="367D5C4C"/>
    <w:rsid w:val="367E6217"/>
    <w:rsid w:val="368E4560"/>
    <w:rsid w:val="369061AD"/>
    <w:rsid w:val="36920CCF"/>
    <w:rsid w:val="369F32E5"/>
    <w:rsid w:val="36AB57A4"/>
    <w:rsid w:val="36C608DC"/>
    <w:rsid w:val="36CC48C8"/>
    <w:rsid w:val="36CD47E2"/>
    <w:rsid w:val="36CF14B5"/>
    <w:rsid w:val="36D0272C"/>
    <w:rsid w:val="36D83D54"/>
    <w:rsid w:val="36E31F0A"/>
    <w:rsid w:val="36EC2ED9"/>
    <w:rsid w:val="36ED11D8"/>
    <w:rsid w:val="36F1005F"/>
    <w:rsid w:val="36FC7E83"/>
    <w:rsid w:val="37064E36"/>
    <w:rsid w:val="371502A6"/>
    <w:rsid w:val="37283D22"/>
    <w:rsid w:val="372E67D9"/>
    <w:rsid w:val="373C0B43"/>
    <w:rsid w:val="373D0F80"/>
    <w:rsid w:val="373D5854"/>
    <w:rsid w:val="37403247"/>
    <w:rsid w:val="374F7064"/>
    <w:rsid w:val="375B358D"/>
    <w:rsid w:val="376230D4"/>
    <w:rsid w:val="376913BE"/>
    <w:rsid w:val="37721C48"/>
    <w:rsid w:val="377276E9"/>
    <w:rsid w:val="37767ABC"/>
    <w:rsid w:val="37851BED"/>
    <w:rsid w:val="37870CF3"/>
    <w:rsid w:val="378B2A16"/>
    <w:rsid w:val="379B383D"/>
    <w:rsid w:val="379E173C"/>
    <w:rsid w:val="37A06D52"/>
    <w:rsid w:val="37A6003E"/>
    <w:rsid w:val="37A670D1"/>
    <w:rsid w:val="37B67F0F"/>
    <w:rsid w:val="37BC2BE3"/>
    <w:rsid w:val="37BC747E"/>
    <w:rsid w:val="37C133F2"/>
    <w:rsid w:val="37C548E0"/>
    <w:rsid w:val="37C63BC1"/>
    <w:rsid w:val="37E578B1"/>
    <w:rsid w:val="37EF79B8"/>
    <w:rsid w:val="38036091"/>
    <w:rsid w:val="3805359D"/>
    <w:rsid w:val="38102422"/>
    <w:rsid w:val="381024CE"/>
    <w:rsid w:val="38274F14"/>
    <w:rsid w:val="38284F20"/>
    <w:rsid w:val="382957FF"/>
    <w:rsid w:val="382C0E2D"/>
    <w:rsid w:val="38307E66"/>
    <w:rsid w:val="3840776D"/>
    <w:rsid w:val="384649EE"/>
    <w:rsid w:val="38484EFA"/>
    <w:rsid w:val="384D65F8"/>
    <w:rsid w:val="38501BF5"/>
    <w:rsid w:val="38550464"/>
    <w:rsid w:val="38550F03"/>
    <w:rsid w:val="385D7259"/>
    <w:rsid w:val="38696F8B"/>
    <w:rsid w:val="386D1F84"/>
    <w:rsid w:val="38722AB5"/>
    <w:rsid w:val="38742973"/>
    <w:rsid w:val="387C419F"/>
    <w:rsid w:val="387C45C7"/>
    <w:rsid w:val="388864D7"/>
    <w:rsid w:val="389D00A3"/>
    <w:rsid w:val="38AA3752"/>
    <w:rsid w:val="38B1475D"/>
    <w:rsid w:val="38B50AEC"/>
    <w:rsid w:val="38BB26A6"/>
    <w:rsid w:val="38C36DEC"/>
    <w:rsid w:val="38C83611"/>
    <w:rsid w:val="38C96366"/>
    <w:rsid w:val="38CE34C8"/>
    <w:rsid w:val="38D317A9"/>
    <w:rsid w:val="38D545A5"/>
    <w:rsid w:val="38E42F17"/>
    <w:rsid w:val="38F130B2"/>
    <w:rsid w:val="3901484F"/>
    <w:rsid w:val="39060F3A"/>
    <w:rsid w:val="390C0128"/>
    <w:rsid w:val="39136D35"/>
    <w:rsid w:val="3918733E"/>
    <w:rsid w:val="391C3AA1"/>
    <w:rsid w:val="392058D6"/>
    <w:rsid w:val="39206205"/>
    <w:rsid w:val="392E1510"/>
    <w:rsid w:val="39350973"/>
    <w:rsid w:val="393C67FB"/>
    <w:rsid w:val="393E21C4"/>
    <w:rsid w:val="39420F2B"/>
    <w:rsid w:val="3953710A"/>
    <w:rsid w:val="395414FC"/>
    <w:rsid w:val="395608F5"/>
    <w:rsid w:val="395D03CF"/>
    <w:rsid w:val="39646E9C"/>
    <w:rsid w:val="396A7549"/>
    <w:rsid w:val="396E3912"/>
    <w:rsid w:val="39745239"/>
    <w:rsid w:val="39836746"/>
    <w:rsid w:val="398632FD"/>
    <w:rsid w:val="398F572D"/>
    <w:rsid w:val="3997162C"/>
    <w:rsid w:val="39A36618"/>
    <w:rsid w:val="39A36C63"/>
    <w:rsid w:val="39A869CB"/>
    <w:rsid w:val="39B25CAC"/>
    <w:rsid w:val="39B4653A"/>
    <w:rsid w:val="39C85F43"/>
    <w:rsid w:val="39E128DE"/>
    <w:rsid w:val="39E1676F"/>
    <w:rsid w:val="39E603AF"/>
    <w:rsid w:val="39EF2F71"/>
    <w:rsid w:val="39F24EAD"/>
    <w:rsid w:val="39F26AC3"/>
    <w:rsid w:val="39F75D33"/>
    <w:rsid w:val="39F8288B"/>
    <w:rsid w:val="39FA49AC"/>
    <w:rsid w:val="3A066261"/>
    <w:rsid w:val="3A087B99"/>
    <w:rsid w:val="3A1166D4"/>
    <w:rsid w:val="3A1274A9"/>
    <w:rsid w:val="3A19280E"/>
    <w:rsid w:val="3A276B8B"/>
    <w:rsid w:val="3A281236"/>
    <w:rsid w:val="3A2D7600"/>
    <w:rsid w:val="3A3418A0"/>
    <w:rsid w:val="3A3E5D5D"/>
    <w:rsid w:val="3A455F7D"/>
    <w:rsid w:val="3A49230C"/>
    <w:rsid w:val="3A503CA7"/>
    <w:rsid w:val="3A504C34"/>
    <w:rsid w:val="3A6167CC"/>
    <w:rsid w:val="3A65321D"/>
    <w:rsid w:val="3A68506B"/>
    <w:rsid w:val="3A6A7ABC"/>
    <w:rsid w:val="3A700A69"/>
    <w:rsid w:val="3A79086A"/>
    <w:rsid w:val="3A861C50"/>
    <w:rsid w:val="3A96533F"/>
    <w:rsid w:val="3AB1099D"/>
    <w:rsid w:val="3AB803AE"/>
    <w:rsid w:val="3ABA3C94"/>
    <w:rsid w:val="3AC0760D"/>
    <w:rsid w:val="3AD62608"/>
    <w:rsid w:val="3ADE74CB"/>
    <w:rsid w:val="3AE53C50"/>
    <w:rsid w:val="3AE65013"/>
    <w:rsid w:val="3AE705D1"/>
    <w:rsid w:val="3AE90531"/>
    <w:rsid w:val="3AFF6D70"/>
    <w:rsid w:val="3B052D95"/>
    <w:rsid w:val="3B092C98"/>
    <w:rsid w:val="3B1E631D"/>
    <w:rsid w:val="3B254ECE"/>
    <w:rsid w:val="3B2C0D90"/>
    <w:rsid w:val="3B4F520C"/>
    <w:rsid w:val="3B5479EB"/>
    <w:rsid w:val="3B65377E"/>
    <w:rsid w:val="3B697B12"/>
    <w:rsid w:val="3B6E3868"/>
    <w:rsid w:val="3B6F21D3"/>
    <w:rsid w:val="3B7959CB"/>
    <w:rsid w:val="3B7D576E"/>
    <w:rsid w:val="3B8D226B"/>
    <w:rsid w:val="3BA84931"/>
    <w:rsid w:val="3BB00A50"/>
    <w:rsid w:val="3BB11249"/>
    <w:rsid w:val="3BBA5A20"/>
    <w:rsid w:val="3BC10252"/>
    <w:rsid w:val="3BC64855"/>
    <w:rsid w:val="3BC94680"/>
    <w:rsid w:val="3BD279AB"/>
    <w:rsid w:val="3BD322C5"/>
    <w:rsid w:val="3BE449EE"/>
    <w:rsid w:val="3BE64BA5"/>
    <w:rsid w:val="3BEA213B"/>
    <w:rsid w:val="3C0537A4"/>
    <w:rsid w:val="3C0B5A60"/>
    <w:rsid w:val="3C124247"/>
    <w:rsid w:val="3C124BDF"/>
    <w:rsid w:val="3C187C4A"/>
    <w:rsid w:val="3C197AEA"/>
    <w:rsid w:val="3C223FB9"/>
    <w:rsid w:val="3C2F6476"/>
    <w:rsid w:val="3C331044"/>
    <w:rsid w:val="3C3D3F3C"/>
    <w:rsid w:val="3C3E6D8D"/>
    <w:rsid w:val="3C3F0207"/>
    <w:rsid w:val="3C42119A"/>
    <w:rsid w:val="3C433F05"/>
    <w:rsid w:val="3C452480"/>
    <w:rsid w:val="3C4A24D6"/>
    <w:rsid w:val="3C4C5D84"/>
    <w:rsid w:val="3C5314BD"/>
    <w:rsid w:val="3C541218"/>
    <w:rsid w:val="3C7358BA"/>
    <w:rsid w:val="3C7361C5"/>
    <w:rsid w:val="3C8369EB"/>
    <w:rsid w:val="3C8B616E"/>
    <w:rsid w:val="3C924115"/>
    <w:rsid w:val="3C9F45D4"/>
    <w:rsid w:val="3CA105D0"/>
    <w:rsid w:val="3CA36736"/>
    <w:rsid w:val="3CA957CB"/>
    <w:rsid w:val="3CAE4328"/>
    <w:rsid w:val="3CAF42D4"/>
    <w:rsid w:val="3CBF7B05"/>
    <w:rsid w:val="3CC53B57"/>
    <w:rsid w:val="3CC823CA"/>
    <w:rsid w:val="3CCD4F74"/>
    <w:rsid w:val="3CCD6BCD"/>
    <w:rsid w:val="3CD146B2"/>
    <w:rsid w:val="3CDD6C69"/>
    <w:rsid w:val="3CF73944"/>
    <w:rsid w:val="3CFF66F6"/>
    <w:rsid w:val="3D0931BC"/>
    <w:rsid w:val="3D1700D4"/>
    <w:rsid w:val="3D1A1D37"/>
    <w:rsid w:val="3D1F2E96"/>
    <w:rsid w:val="3D1F36B1"/>
    <w:rsid w:val="3D23191D"/>
    <w:rsid w:val="3D280EED"/>
    <w:rsid w:val="3D2B4127"/>
    <w:rsid w:val="3D3A6192"/>
    <w:rsid w:val="3D4E4A2A"/>
    <w:rsid w:val="3D504C00"/>
    <w:rsid w:val="3D57169C"/>
    <w:rsid w:val="3D5B27E9"/>
    <w:rsid w:val="3D5C091F"/>
    <w:rsid w:val="3D61675A"/>
    <w:rsid w:val="3D6F769D"/>
    <w:rsid w:val="3D791117"/>
    <w:rsid w:val="3D796975"/>
    <w:rsid w:val="3D7A7445"/>
    <w:rsid w:val="3D7F743D"/>
    <w:rsid w:val="3D887F92"/>
    <w:rsid w:val="3D8C0C6D"/>
    <w:rsid w:val="3D9C5237"/>
    <w:rsid w:val="3DA16E62"/>
    <w:rsid w:val="3DA34D4C"/>
    <w:rsid w:val="3DB045C3"/>
    <w:rsid w:val="3DC11F69"/>
    <w:rsid w:val="3DC711E2"/>
    <w:rsid w:val="3DCA76F1"/>
    <w:rsid w:val="3DCD12B0"/>
    <w:rsid w:val="3DD01086"/>
    <w:rsid w:val="3DD711AD"/>
    <w:rsid w:val="3DE249F0"/>
    <w:rsid w:val="3DF00A17"/>
    <w:rsid w:val="3DF57FE8"/>
    <w:rsid w:val="3DF81BDD"/>
    <w:rsid w:val="3E1B6176"/>
    <w:rsid w:val="3E236622"/>
    <w:rsid w:val="3E24507B"/>
    <w:rsid w:val="3E31141D"/>
    <w:rsid w:val="3E352A0F"/>
    <w:rsid w:val="3E360F80"/>
    <w:rsid w:val="3E460245"/>
    <w:rsid w:val="3E490D46"/>
    <w:rsid w:val="3E4D39A3"/>
    <w:rsid w:val="3E511ECE"/>
    <w:rsid w:val="3E54418D"/>
    <w:rsid w:val="3E593530"/>
    <w:rsid w:val="3E5E5E8C"/>
    <w:rsid w:val="3E656506"/>
    <w:rsid w:val="3E6D79A8"/>
    <w:rsid w:val="3E783327"/>
    <w:rsid w:val="3E7D061B"/>
    <w:rsid w:val="3E8C1828"/>
    <w:rsid w:val="3E90475A"/>
    <w:rsid w:val="3E917914"/>
    <w:rsid w:val="3E937613"/>
    <w:rsid w:val="3EA10F15"/>
    <w:rsid w:val="3EA2207F"/>
    <w:rsid w:val="3EA548A7"/>
    <w:rsid w:val="3EA87761"/>
    <w:rsid w:val="3EAB1FFF"/>
    <w:rsid w:val="3EB20F14"/>
    <w:rsid w:val="3EB72AED"/>
    <w:rsid w:val="3EB753D5"/>
    <w:rsid w:val="3EC43B81"/>
    <w:rsid w:val="3ED318A4"/>
    <w:rsid w:val="3EDE275F"/>
    <w:rsid w:val="3EED3FBA"/>
    <w:rsid w:val="3EF21D19"/>
    <w:rsid w:val="3F090EEB"/>
    <w:rsid w:val="3F0B398D"/>
    <w:rsid w:val="3F11375D"/>
    <w:rsid w:val="3F1851BA"/>
    <w:rsid w:val="3F317AE7"/>
    <w:rsid w:val="3F3520A8"/>
    <w:rsid w:val="3F363EAC"/>
    <w:rsid w:val="3F38510D"/>
    <w:rsid w:val="3F4034A4"/>
    <w:rsid w:val="3F452D3F"/>
    <w:rsid w:val="3F4D561B"/>
    <w:rsid w:val="3F5043A8"/>
    <w:rsid w:val="3F5676A7"/>
    <w:rsid w:val="3F6B7B25"/>
    <w:rsid w:val="3F6F77CD"/>
    <w:rsid w:val="3F7202D5"/>
    <w:rsid w:val="3F7A5C75"/>
    <w:rsid w:val="3F7B579F"/>
    <w:rsid w:val="3F7B7D5E"/>
    <w:rsid w:val="3F7C7A22"/>
    <w:rsid w:val="3F834479"/>
    <w:rsid w:val="3F8502B3"/>
    <w:rsid w:val="3F865FA5"/>
    <w:rsid w:val="3F8E57D2"/>
    <w:rsid w:val="3F9768D5"/>
    <w:rsid w:val="3FA23CD2"/>
    <w:rsid w:val="3FA825AD"/>
    <w:rsid w:val="3FA87A05"/>
    <w:rsid w:val="3FAC7FBE"/>
    <w:rsid w:val="3FAE5377"/>
    <w:rsid w:val="3FB26786"/>
    <w:rsid w:val="3FB75DFA"/>
    <w:rsid w:val="3FC75225"/>
    <w:rsid w:val="3FC959FF"/>
    <w:rsid w:val="3FC97262"/>
    <w:rsid w:val="3FCD35F8"/>
    <w:rsid w:val="3FD43899"/>
    <w:rsid w:val="3FD74CBE"/>
    <w:rsid w:val="3FE25C42"/>
    <w:rsid w:val="3FED471C"/>
    <w:rsid w:val="3FEF5105"/>
    <w:rsid w:val="3FF03362"/>
    <w:rsid w:val="3FF12582"/>
    <w:rsid w:val="3FF813FF"/>
    <w:rsid w:val="3FF932F9"/>
    <w:rsid w:val="40027CDD"/>
    <w:rsid w:val="4005582A"/>
    <w:rsid w:val="400A2583"/>
    <w:rsid w:val="400A6C9F"/>
    <w:rsid w:val="400A7019"/>
    <w:rsid w:val="40143E60"/>
    <w:rsid w:val="40173A96"/>
    <w:rsid w:val="40294C5D"/>
    <w:rsid w:val="402F213E"/>
    <w:rsid w:val="403F6A69"/>
    <w:rsid w:val="40432079"/>
    <w:rsid w:val="40432B8B"/>
    <w:rsid w:val="40443C09"/>
    <w:rsid w:val="406E1048"/>
    <w:rsid w:val="407539CC"/>
    <w:rsid w:val="40773D5D"/>
    <w:rsid w:val="407D6B75"/>
    <w:rsid w:val="40867884"/>
    <w:rsid w:val="40921810"/>
    <w:rsid w:val="40945D2C"/>
    <w:rsid w:val="409C1EED"/>
    <w:rsid w:val="40A87ADA"/>
    <w:rsid w:val="40B02C53"/>
    <w:rsid w:val="40B030D1"/>
    <w:rsid w:val="40B419D9"/>
    <w:rsid w:val="40C40DCE"/>
    <w:rsid w:val="40C53D3D"/>
    <w:rsid w:val="40C92DD6"/>
    <w:rsid w:val="40CA6957"/>
    <w:rsid w:val="40DF5541"/>
    <w:rsid w:val="40FB6C6A"/>
    <w:rsid w:val="410C07B7"/>
    <w:rsid w:val="4110220C"/>
    <w:rsid w:val="41132A42"/>
    <w:rsid w:val="41155ECE"/>
    <w:rsid w:val="4117736A"/>
    <w:rsid w:val="41184CE9"/>
    <w:rsid w:val="41261B48"/>
    <w:rsid w:val="412E7D80"/>
    <w:rsid w:val="412F3354"/>
    <w:rsid w:val="41391F47"/>
    <w:rsid w:val="413D0D33"/>
    <w:rsid w:val="41472A49"/>
    <w:rsid w:val="41556FE3"/>
    <w:rsid w:val="415C4FA7"/>
    <w:rsid w:val="415F6841"/>
    <w:rsid w:val="41600284"/>
    <w:rsid w:val="41652908"/>
    <w:rsid w:val="4169376A"/>
    <w:rsid w:val="416F3A98"/>
    <w:rsid w:val="41763EAC"/>
    <w:rsid w:val="4188668C"/>
    <w:rsid w:val="418C6744"/>
    <w:rsid w:val="418C6DA1"/>
    <w:rsid w:val="41A90951"/>
    <w:rsid w:val="41AC23B5"/>
    <w:rsid w:val="41BD5F5F"/>
    <w:rsid w:val="41C54B98"/>
    <w:rsid w:val="41C76077"/>
    <w:rsid w:val="41CF3B10"/>
    <w:rsid w:val="41D5557F"/>
    <w:rsid w:val="41D84555"/>
    <w:rsid w:val="41E63F7E"/>
    <w:rsid w:val="42053A20"/>
    <w:rsid w:val="4213336D"/>
    <w:rsid w:val="421C05EC"/>
    <w:rsid w:val="42291486"/>
    <w:rsid w:val="422A34D3"/>
    <w:rsid w:val="422D167F"/>
    <w:rsid w:val="42386334"/>
    <w:rsid w:val="423A4521"/>
    <w:rsid w:val="424C4564"/>
    <w:rsid w:val="424F417C"/>
    <w:rsid w:val="4252624E"/>
    <w:rsid w:val="426034AA"/>
    <w:rsid w:val="42676551"/>
    <w:rsid w:val="4278647F"/>
    <w:rsid w:val="42867140"/>
    <w:rsid w:val="42960C3B"/>
    <w:rsid w:val="42A47A7D"/>
    <w:rsid w:val="42A714D3"/>
    <w:rsid w:val="42AB6A56"/>
    <w:rsid w:val="42D03E74"/>
    <w:rsid w:val="42DB2F47"/>
    <w:rsid w:val="42DF4570"/>
    <w:rsid w:val="42E6454E"/>
    <w:rsid w:val="42FD6930"/>
    <w:rsid w:val="42FF62D6"/>
    <w:rsid w:val="43042305"/>
    <w:rsid w:val="43061D39"/>
    <w:rsid w:val="43126ECF"/>
    <w:rsid w:val="43197BA6"/>
    <w:rsid w:val="431E214D"/>
    <w:rsid w:val="431E7FF7"/>
    <w:rsid w:val="43321D20"/>
    <w:rsid w:val="4332776C"/>
    <w:rsid w:val="43381B31"/>
    <w:rsid w:val="43423443"/>
    <w:rsid w:val="43483797"/>
    <w:rsid w:val="434F589B"/>
    <w:rsid w:val="43561C1E"/>
    <w:rsid w:val="436B55CC"/>
    <w:rsid w:val="436E4824"/>
    <w:rsid w:val="43741967"/>
    <w:rsid w:val="437420B1"/>
    <w:rsid w:val="437426F5"/>
    <w:rsid w:val="437D159C"/>
    <w:rsid w:val="437D5DD5"/>
    <w:rsid w:val="43853EF7"/>
    <w:rsid w:val="438B411B"/>
    <w:rsid w:val="438F3BB2"/>
    <w:rsid w:val="43A725DD"/>
    <w:rsid w:val="43B47F52"/>
    <w:rsid w:val="43BA53B0"/>
    <w:rsid w:val="43BC5637"/>
    <w:rsid w:val="43BC70E3"/>
    <w:rsid w:val="43D118FE"/>
    <w:rsid w:val="43DC2E18"/>
    <w:rsid w:val="43DD31E9"/>
    <w:rsid w:val="43E14469"/>
    <w:rsid w:val="43E47813"/>
    <w:rsid w:val="43E95EB8"/>
    <w:rsid w:val="43EB16C3"/>
    <w:rsid w:val="43F01631"/>
    <w:rsid w:val="43F661A3"/>
    <w:rsid w:val="43F72B57"/>
    <w:rsid w:val="43FD1408"/>
    <w:rsid w:val="4400639A"/>
    <w:rsid w:val="44045855"/>
    <w:rsid w:val="44082867"/>
    <w:rsid w:val="440F4942"/>
    <w:rsid w:val="44115662"/>
    <w:rsid w:val="441E79B9"/>
    <w:rsid w:val="442712C2"/>
    <w:rsid w:val="44312318"/>
    <w:rsid w:val="44322A75"/>
    <w:rsid w:val="443927BB"/>
    <w:rsid w:val="44533851"/>
    <w:rsid w:val="4459360F"/>
    <w:rsid w:val="445C0F66"/>
    <w:rsid w:val="445C4C3A"/>
    <w:rsid w:val="445C6740"/>
    <w:rsid w:val="44633EF7"/>
    <w:rsid w:val="44661CD8"/>
    <w:rsid w:val="446719BB"/>
    <w:rsid w:val="447211E8"/>
    <w:rsid w:val="4472478D"/>
    <w:rsid w:val="44741AF6"/>
    <w:rsid w:val="447E586B"/>
    <w:rsid w:val="448B6346"/>
    <w:rsid w:val="449F03BD"/>
    <w:rsid w:val="449F4F8A"/>
    <w:rsid w:val="44A57894"/>
    <w:rsid w:val="44AA365B"/>
    <w:rsid w:val="44AA6ADA"/>
    <w:rsid w:val="44B65EF8"/>
    <w:rsid w:val="44B91E72"/>
    <w:rsid w:val="44C13F29"/>
    <w:rsid w:val="44C34F4C"/>
    <w:rsid w:val="44C65D0B"/>
    <w:rsid w:val="44CA2FBC"/>
    <w:rsid w:val="44CE7ADD"/>
    <w:rsid w:val="44CF0A1E"/>
    <w:rsid w:val="44E47EC0"/>
    <w:rsid w:val="44F66D3C"/>
    <w:rsid w:val="44F75756"/>
    <w:rsid w:val="44F9346B"/>
    <w:rsid w:val="450469B8"/>
    <w:rsid w:val="45052D02"/>
    <w:rsid w:val="450A00C3"/>
    <w:rsid w:val="451C3B34"/>
    <w:rsid w:val="45285716"/>
    <w:rsid w:val="452B248F"/>
    <w:rsid w:val="4535390B"/>
    <w:rsid w:val="45374743"/>
    <w:rsid w:val="45441492"/>
    <w:rsid w:val="454929D3"/>
    <w:rsid w:val="454D334A"/>
    <w:rsid w:val="45584DCE"/>
    <w:rsid w:val="456032FF"/>
    <w:rsid w:val="45644248"/>
    <w:rsid w:val="4575798A"/>
    <w:rsid w:val="457E3EB5"/>
    <w:rsid w:val="4583528D"/>
    <w:rsid w:val="458B3888"/>
    <w:rsid w:val="459168C4"/>
    <w:rsid w:val="459566C8"/>
    <w:rsid w:val="459E3996"/>
    <w:rsid w:val="45A35F51"/>
    <w:rsid w:val="45A922B1"/>
    <w:rsid w:val="45AC6619"/>
    <w:rsid w:val="45AF1F07"/>
    <w:rsid w:val="45C87C63"/>
    <w:rsid w:val="45CC2E5A"/>
    <w:rsid w:val="45DC717F"/>
    <w:rsid w:val="45E0773E"/>
    <w:rsid w:val="45E629F4"/>
    <w:rsid w:val="45E70DF8"/>
    <w:rsid w:val="45EE1D0E"/>
    <w:rsid w:val="45FF5BB7"/>
    <w:rsid w:val="46046D31"/>
    <w:rsid w:val="460737BA"/>
    <w:rsid w:val="461B04E9"/>
    <w:rsid w:val="461B1C33"/>
    <w:rsid w:val="463E1616"/>
    <w:rsid w:val="46477894"/>
    <w:rsid w:val="464A1794"/>
    <w:rsid w:val="464F6ABB"/>
    <w:rsid w:val="466325C4"/>
    <w:rsid w:val="466E1215"/>
    <w:rsid w:val="467469EB"/>
    <w:rsid w:val="467901FC"/>
    <w:rsid w:val="467E1A9F"/>
    <w:rsid w:val="468526B7"/>
    <w:rsid w:val="468A2784"/>
    <w:rsid w:val="468F7DBF"/>
    <w:rsid w:val="46940C85"/>
    <w:rsid w:val="469B56F4"/>
    <w:rsid w:val="469D74D4"/>
    <w:rsid w:val="46A92A73"/>
    <w:rsid w:val="46B27963"/>
    <w:rsid w:val="46BB31F2"/>
    <w:rsid w:val="46C14BE0"/>
    <w:rsid w:val="46C81312"/>
    <w:rsid w:val="46CE098F"/>
    <w:rsid w:val="46D12580"/>
    <w:rsid w:val="46D53936"/>
    <w:rsid w:val="46D67A0F"/>
    <w:rsid w:val="46D96A43"/>
    <w:rsid w:val="46E41EDB"/>
    <w:rsid w:val="46E94BD6"/>
    <w:rsid w:val="46EA47CC"/>
    <w:rsid w:val="46F212BC"/>
    <w:rsid w:val="4706764B"/>
    <w:rsid w:val="47071469"/>
    <w:rsid w:val="47103D36"/>
    <w:rsid w:val="471119D0"/>
    <w:rsid w:val="471C3BF8"/>
    <w:rsid w:val="472A03A8"/>
    <w:rsid w:val="473A6B2F"/>
    <w:rsid w:val="473B72E5"/>
    <w:rsid w:val="47437CEB"/>
    <w:rsid w:val="475032DD"/>
    <w:rsid w:val="475A70CB"/>
    <w:rsid w:val="476542FD"/>
    <w:rsid w:val="47661D96"/>
    <w:rsid w:val="476C3915"/>
    <w:rsid w:val="47744738"/>
    <w:rsid w:val="477D4397"/>
    <w:rsid w:val="478466BC"/>
    <w:rsid w:val="47862117"/>
    <w:rsid w:val="47872FA0"/>
    <w:rsid w:val="478B2BCF"/>
    <w:rsid w:val="478D7FE4"/>
    <w:rsid w:val="479B1FC7"/>
    <w:rsid w:val="479E56AF"/>
    <w:rsid w:val="479E7B1D"/>
    <w:rsid w:val="47A036FE"/>
    <w:rsid w:val="47A50571"/>
    <w:rsid w:val="47B14E3E"/>
    <w:rsid w:val="47BF2EC8"/>
    <w:rsid w:val="47BF406C"/>
    <w:rsid w:val="47C15DD9"/>
    <w:rsid w:val="47C96583"/>
    <w:rsid w:val="47D827A5"/>
    <w:rsid w:val="47EC65BA"/>
    <w:rsid w:val="47F55B34"/>
    <w:rsid w:val="47FB1603"/>
    <w:rsid w:val="481A105A"/>
    <w:rsid w:val="48325441"/>
    <w:rsid w:val="48395821"/>
    <w:rsid w:val="483C555E"/>
    <w:rsid w:val="484433FB"/>
    <w:rsid w:val="485A48CF"/>
    <w:rsid w:val="48676215"/>
    <w:rsid w:val="486C0C3B"/>
    <w:rsid w:val="487746DB"/>
    <w:rsid w:val="48786BEC"/>
    <w:rsid w:val="48840EF7"/>
    <w:rsid w:val="48904048"/>
    <w:rsid w:val="48955662"/>
    <w:rsid w:val="48A009C4"/>
    <w:rsid w:val="48A960B2"/>
    <w:rsid w:val="48AF2667"/>
    <w:rsid w:val="48B16E01"/>
    <w:rsid w:val="48B33311"/>
    <w:rsid w:val="48C32FAB"/>
    <w:rsid w:val="48C812E3"/>
    <w:rsid w:val="48C84B6B"/>
    <w:rsid w:val="48CA23B5"/>
    <w:rsid w:val="48D6293E"/>
    <w:rsid w:val="48DD453B"/>
    <w:rsid w:val="48DE17FD"/>
    <w:rsid w:val="48F50FC4"/>
    <w:rsid w:val="48F8497A"/>
    <w:rsid w:val="48F97B17"/>
    <w:rsid w:val="48FA640D"/>
    <w:rsid w:val="49232025"/>
    <w:rsid w:val="49387BD6"/>
    <w:rsid w:val="493B6CCE"/>
    <w:rsid w:val="493D207A"/>
    <w:rsid w:val="494A2178"/>
    <w:rsid w:val="49640AF0"/>
    <w:rsid w:val="496D47C4"/>
    <w:rsid w:val="49777C19"/>
    <w:rsid w:val="497D426F"/>
    <w:rsid w:val="498A6AAB"/>
    <w:rsid w:val="498D6FA0"/>
    <w:rsid w:val="498E54D1"/>
    <w:rsid w:val="49920FFE"/>
    <w:rsid w:val="49930259"/>
    <w:rsid w:val="49985B95"/>
    <w:rsid w:val="4999666B"/>
    <w:rsid w:val="499A78FA"/>
    <w:rsid w:val="49A110E1"/>
    <w:rsid w:val="49A63A75"/>
    <w:rsid w:val="49AB7799"/>
    <w:rsid w:val="49B2012F"/>
    <w:rsid w:val="49B35B12"/>
    <w:rsid w:val="49DE400F"/>
    <w:rsid w:val="49E76FEC"/>
    <w:rsid w:val="49FA25E9"/>
    <w:rsid w:val="4A08490F"/>
    <w:rsid w:val="4A087812"/>
    <w:rsid w:val="4A0F1E87"/>
    <w:rsid w:val="4A1E041E"/>
    <w:rsid w:val="4A332D0B"/>
    <w:rsid w:val="4A3E2DFD"/>
    <w:rsid w:val="4A464BB6"/>
    <w:rsid w:val="4A4C741F"/>
    <w:rsid w:val="4A5A231E"/>
    <w:rsid w:val="4A5A2DC7"/>
    <w:rsid w:val="4A5B3FC0"/>
    <w:rsid w:val="4A5B4B7E"/>
    <w:rsid w:val="4A5C6460"/>
    <w:rsid w:val="4A64461A"/>
    <w:rsid w:val="4A670360"/>
    <w:rsid w:val="4A6D628E"/>
    <w:rsid w:val="4A841606"/>
    <w:rsid w:val="4A84773C"/>
    <w:rsid w:val="4A851B73"/>
    <w:rsid w:val="4A895162"/>
    <w:rsid w:val="4A9117D1"/>
    <w:rsid w:val="4A98345A"/>
    <w:rsid w:val="4A9F4152"/>
    <w:rsid w:val="4AAC738E"/>
    <w:rsid w:val="4AAE2EFC"/>
    <w:rsid w:val="4ACD38A7"/>
    <w:rsid w:val="4AD239EF"/>
    <w:rsid w:val="4AED5507"/>
    <w:rsid w:val="4AFC675E"/>
    <w:rsid w:val="4B00763C"/>
    <w:rsid w:val="4B1D464D"/>
    <w:rsid w:val="4B220304"/>
    <w:rsid w:val="4B295BDE"/>
    <w:rsid w:val="4B2D6774"/>
    <w:rsid w:val="4B3A3D5A"/>
    <w:rsid w:val="4B480C31"/>
    <w:rsid w:val="4B4D0914"/>
    <w:rsid w:val="4B560C9A"/>
    <w:rsid w:val="4B6D7926"/>
    <w:rsid w:val="4B6E2600"/>
    <w:rsid w:val="4B8A7A57"/>
    <w:rsid w:val="4BB76002"/>
    <w:rsid w:val="4BB834F2"/>
    <w:rsid w:val="4BCA450F"/>
    <w:rsid w:val="4BE17399"/>
    <w:rsid w:val="4BE63F52"/>
    <w:rsid w:val="4BFA7766"/>
    <w:rsid w:val="4BFD3984"/>
    <w:rsid w:val="4BFF70AA"/>
    <w:rsid w:val="4C147FB5"/>
    <w:rsid w:val="4C166376"/>
    <w:rsid w:val="4C186A23"/>
    <w:rsid w:val="4C187F1A"/>
    <w:rsid w:val="4C1B7C7D"/>
    <w:rsid w:val="4C416D2A"/>
    <w:rsid w:val="4C460DE5"/>
    <w:rsid w:val="4C531FD6"/>
    <w:rsid w:val="4C571DF6"/>
    <w:rsid w:val="4C666E65"/>
    <w:rsid w:val="4C6A0CFB"/>
    <w:rsid w:val="4C6E2C08"/>
    <w:rsid w:val="4C6F1CFD"/>
    <w:rsid w:val="4C740483"/>
    <w:rsid w:val="4C767E7B"/>
    <w:rsid w:val="4C7C11D6"/>
    <w:rsid w:val="4C89672F"/>
    <w:rsid w:val="4C8C0C88"/>
    <w:rsid w:val="4C936229"/>
    <w:rsid w:val="4CA11B4C"/>
    <w:rsid w:val="4CA2150F"/>
    <w:rsid w:val="4CA266F6"/>
    <w:rsid w:val="4CBB5A64"/>
    <w:rsid w:val="4CBF42C2"/>
    <w:rsid w:val="4CC0421D"/>
    <w:rsid w:val="4CC77A64"/>
    <w:rsid w:val="4CCE65B4"/>
    <w:rsid w:val="4CDB6A44"/>
    <w:rsid w:val="4CE26F4D"/>
    <w:rsid w:val="4CE74AC3"/>
    <w:rsid w:val="4CEC2DAA"/>
    <w:rsid w:val="4CFD4DD3"/>
    <w:rsid w:val="4D017051"/>
    <w:rsid w:val="4D044FB2"/>
    <w:rsid w:val="4D063E1E"/>
    <w:rsid w:val="4D075CE7"/>
    <w:rsid w:val="4D0943A9"/>
    <w:rsid w:val="4D0C7F85"/>
    <w:rsid w:val="4D106202"/>
    <w:rsid w:val="4D1622AE"/>
    <w:rsid w:val="4D1A7236"/>
    <w:rsid w:val="4D2B0117"/>
    <w:rsid w:val="4D4031D4"/>
    <w:rsid w:val="4D450D47"/>
    <w:rsid w:val="4D497814"/>
    <w:rsid w:val="4D4B4E3D"/>
    <w:rsid w:val="4D520C85"/>
    <w:rsid w:val="4D523F2F"/>
    <w:rsid w:val="4D527E86"/>
    <w:rsid w:val="4D543C25"/>
    <w:rsid w:val="4D6142EF"/>
    <w:rsid w:val="4D6C1126"/>
    <w:rsid w:val="4D6D1E58"/>
    <w:rsid w:val="4D70616F"/>
    <w:rsid w:val="4D7B67D0"/>
    <w:rsid w:val="4D80300D"/>
    <w:rsid w:val="4D8172E2"/>
    <w:rsid w:val="4D843E4A"/>
    <w:rsid w:val="4D88517F"/>
    <w:rsid w:val="4D9B4B1A"/>
    <w:rsid w:val="4DA01745"/>
    <w:rsid w:val="4DA825E8"/>
    <w:rsid w:val="4DA91A68"/>
    <w:rsid w:val="4DAA01EA"/>
    <w:rsid w:val="4DAD2B60"/>
    <w:rsid w:val="4DB16B8B"/>
    <w:rsid w:val="4DB74677"/>
    <w:rsid w:val="4DB74C09"/>
    <w:rsid w:val="4DBF4939"/>
    <w:rsid w:val="4DC769E9"/>
    <w:rsid w:val="4DD03B60"/>
    <w:rsid w:val="4DD24A26"/>
    <w:rsid w:val="4DD7683B"/>
    <w:rsid w:val="4DE917A8"/>
    <w:rsid w:val="4DE91CD2"/>
    <w:rsid w:val="4DEA0546"/>
    <w:rsid w:val="4DEA1A3D"/>
    <w:rsid w:val="4DED2717"/>
    <w:rsid w:val="4DEE63E9"/>
    <w:rsid w:val="4DF978FE"/>
    <w:rsid w:val="4DFC09DC"/>
    <w:rsid w:val="4E050F76"/>
    <w:rsid w:val="4E052696"/>
    <w:rsid w:val="4E06307E"/>
    <w:rsid w:val="4E077FED"/>
    <w:rsid w:val="4E0D0834"/>
    <w:rsid w:val="4E104FF8"/>
    <w:rsid w:val="4E3C6B52"/>
    <w:rsid w:val="4E3E61A6"/>
    <w:rsid w:val="4E4144E0"/>
    <w:rsid w:val="4E44716E"/>
    <w:rsid w:val="4E494F72"/>
    <w:rsid w:val="4E4C783E"/>
    <w:rsid w:val="4E4F0013"/>
    <w:rsid w:val="4E522BA8"/>
    <w:rsid w:val="4E5602AF"/>
    <w:rsid w:val="4E566E06"/>
    <w:rsid w:val="4E577D05"/>
    <w:rsid w:val="4E5821C8"/>
    <w:rsid w:val="4E5B6A79"/>
    <w:rsid w:val="4E6A2082"/>
    <w:rsid w:val="4E752F5D"/>
    <w:rsid w:val="4E7C3F3D"/>
    <w:rsid w:val="4E7C6949"/>
    <w:rsid w:val="4E7D417B"/>
    <w:rsid w:val="4E8C4B4D"/>
    <w:rsid w:val="4E92528A"/>
    <w:rsid w:val="4E9E3ED7"/>
    <w:rsid w:val="4EA230CE"/>
    <w:rsid w:val="4EBD0DC8"/>
    <w:rsid w:val="4EBD6615"/>
    <w:rsid w:val="4ECA7B8C"/>
    <w:rsid w:val="4ECD6BDA"/>
    <w:rsid w:val="4ED33F8B"/>
    <w:rsid w:val="4EEC21E5"/>
    <w:rsid w:val="4EF06B92"/>
    <w:rsid w:val="4EF21C9B"/>
    <w:rsid w:val="4EF91520"/>
    <w:rsid w:val="4EFA079D"/>
    <w:rsid w:val="4EFB2896"/>
    <w:rsid w:val="4F027A44"/>
    <w:rsid w:val="4F0B54F2"/>
    <w:rsid w:val="4F164C9D"/>
    <w:rsid w:val="4F1D2AFC"/>
    <w:rsid w:val="4F3C5724"/>
    <w:rsid w:val="4F3E6401"/>
    <w:rsid w:val="4F4026A5"/>
    <w:rsid w:val="4F566DAB"/>
    <w:rsid w:val="4F577E9F"/>
    <w:rsid w:val="4F5F5D94"/>
    <w:rsid w:val="4F8F18AB"/>
    <w:rsid w:val="4F90390E"/>
    <w:rsid w:val="4FA53E4A"/>
    <w:rsid w:val="4FA54DC8"/>
    <w:rsid w:val="4FA66070"/>
    <w:rsid w:val="4FAC7D54"/>
    <w:rsid w:val="4FAF7248"/>
    <w:rsid w:val="4FB34D41"/>
    <w:rsid w:val="4FB5719D"/>
    <w:rsid w:val="4FB62765"/>
    <w:rsid w:val="4FBE12D5"/>
    <w:rsid w:val="4FC017D7"/>
    <w:rsid w:val="4FCD20F8"/>
    <w:rsid w:val="4FD12A5E"/>
    <w:rsid w:val="4FD255B3"/>
    <w:rsid w:val="4FE051D1"/>
    <w:rsid w:val="4FFE067D"/>
    <w:rsid w:val="50010849"/>
    <w:rsid w:val="50017EA4"/>
    <w:rsid w:val="50061570"/>
    <w:rsid w:val="500F309C"/>
    <w:rsid w:val="50164401"/>
    <w:rsid w:val="501D0CE3"/>
    <w:rsid w:val="502922C3"/>
    <w:rsid w:val="5036168F"/>
    <w:rsid w:val="5036278E"/>
    <w:rsid w:val="50392383"/>
    <w:rsid w:val="503D08A8"/>
    <w:rsid w:val="504312B6"/>
    <w:rsid w:val="504D0F7A"/>
    <w:rsid w:val="5050002A"/>
    <w:rsid w:val="505A0193"/>
    <w:rsid w:val="505E7F92"/>
    <w:rsid w:val="505F4FDE"/>
    <w:rsid w:val="507025EE"/>
    <w:rsid w:val="50720C43"/>
    <w:rsid w:val="50722D7F"/>
    <w:rsid w:val="508415D6"/>
    <w:rsid w:val="508D2BFE"/>
    <w:rsid w:val="509310FF"/>
    <w:rsid w:val="50941ED7"/>
    <w:rsid w:val="509E69BD"/>
    <w:rsid w:val="50A062CE"/>
    <w:rsid w:val="50B56303"/>
    <w:rsid w:val="50B90C72"/>
    <w:rsid w:val="50BE1D5F"/>
    <w:rsid w:val="50CC0E23"/>
    <w:rsid w:val="50CF2CF8"/>
    <w:rsid w:val="50D63A64"/>
    <w:rsid w:val="50D722FF"/>
    <w:rsid w:val="50D74FA3"/>
    <w:rsid w:val="50D8090D"/>
    <w:rsid w:val="50DB0D88"/>
    <w:rsid w:val="50DE4020"/>
    <w:rsid w:val="50E958B7"/>
    <w:rsid w:val="50EE63A9"/>
    <w:rsid w:val="50F0556C"/>
    <w:rsid w:val="510F242B"/>
    <w:rsid w:val="51155975"/>
    <w:rsid w:val="51283321"/>
    <w:rsid w:val="512E7234"/>
    <w:rsid w:val="513B0115"/>
    <w:rsid w:val="514001C1"/>
    <w:rsid w:val="51463870"/>
    <w:rsid w:val="514838F2"/>
    <w:rsid w:val="51500AB0"/>
    <w:rsid w:val="515171AF"/>
    <w:rsid w:val="515F2047"/>
    <w:rsid w:val="51642E28"/>
    <w:rsid w:val="51763434"/>
    <w:rsid w:val="5179215D"/>
    <w:rsid w:val="517A666E"/>
    <w:rsid w:val="51852DEB"/>
    <w:rsid w:val="51891C66"/>
    <w:rsid w:val="51930996"/>
    <w:rsid w:val="5195675F"/>
    <w:rsid w:val="519B249B"/>
    <w:rsid w:val="519D6EBB"/>
    <w:rsid w:val="519E1572"/>
    <w:rsid w:val="51A30ACB"/>
    <w:rsid w:val="51A3547A"/>
    <w:rsid w:val="51A36F90"/>
    <w:rsid w:val="51B00491"/>
    <w:rsid w:val="51B23E7F"/>
    <w:rsid w:val="51B53F50"/>
    <w:rsid w:val="51C87F83"/>
    <w:rsid w:val="51CD3E6D"/>
    <w:rsid w:val="51D15184"/>
    <w:rsid w:val="51D4263B"/>
    <w:rsid w:val="51EB6039"/>
    <w:rsid w:val="52051428"/>
    <w:rsid w:val="521033E9"/>
    <w:rsid w:val="521D4B2C"/>
    <w:rsid w:val="5223004B"/>
    <w:rsid w:val="52231705"/>
    <w:rsid w:val="52276D62"/>
    <w:rsid w:val="522D485B"/>
    <w:rsid w:val="522F3FE7"/>
    <w:rsid w:val="52375C72"/>
    <w:rsid w:val="52380FF6"/>
    <w:rsid w:val="52383B11"/>
    <w:rsid w:val="523A5B75"/>
    <w:rsid w:val="523E3992"/>
    <w:rsid w:val="52430E67"/>
    <w:rsid w:val="524545D1"/>
    <w:rsid w:val="524C7125"/>
    <w:rsid w:val="524D5C21"/>
    <w:rsid w:val="526C3171"/>
    <w:rsid w:val="526F53A6"/>
    <w:rsid w:val="52791BEB"/>
    <w:rsid w:val="527C6CD4"/>
    <w:rsid w:val="52947290"/>
    <w:rsid w:val="529852D6"/>
    <w:rsid w:val="52AA2544"/>
    <w:rsid w:val="52C81AF6"/>
    <w:rsid w:val="52C8375A"/>
    <w:rsid w:val="52C83861"/>
    <w:rsid w:val="52CA58F9"/>
    <w:rsid w:val="52D70D69"/>
    <w:rsid w:val="52DF56F1"/>
    <w:rsid w:val="52E078C3"/>
    <w:rsid w:val="52E2772B"/>
    <w:rsid w:val="52EC58A3"/>
    <w:rsid w:val="52ED00D6"/>
    <w:rsid w:val="52EE6F5B"/>
    <w:rsid w:val="52F55548"/>
    <w:rsid w:val="530C0E7B"/>
    <w:rsid w:val="53186A43"/>
    <w:rsid w:val="531B6FCE"/>
    <w:rsid w:val="53240D86"/>
    <w:rsid w:val="53244344"/>
    <w:rsid w:val="532D3A07"/>
    <w:rsid w:val="532D3AA3"/>
    <w:rsid w:val="533072C5"/>
    <w:rsid w:val="533A275B"/>
    <w:rsid w:val="533E29D0"/>
    <w:rsid w:val="534A2926"/>
    <w:rsid w:val="534D7D26"/>
    <w:rsid w:val="5350016C"/>
    <w:rsid w:val="53576842"/>
    <w:rsid w:val="53794FB9"/>
    <w:rsid w:val="537C3B50"/>
    <w:rsid w:val="538D0886"/>
    <w:rsid w:val="538D3061"/>
    <w:rsid w:val="53927631"/>
    <w:rsid w:val="53971FC0"/>
    <w:rsid w:val="539D7DD7"/>
    <w:rsid w:val="53A56149"/>
    <w:rsid w:val="53B40AAF"/>
    <w:rsid w:val="53BB42B3"/>
    <w:rsid w:val="53C24A53"/>
    <w:rsid w:val="53CA7548"/>
    <w:rsid w:val="53CF5DD8"/>
    <w:rsid w:val="53D375EF"/>
    <w:rsid w:val="53D37DF9"/>
    <w:rsid w:val="53DA5C5C"/>
    <w:rsid w:val="53E2012B"/>
    <w:rsid w:val="53E56DFE"/>
    <w:rsid w:val="53E61135"/>
    <w:rsid w:val="53E80CE3"/>
    <w:rsid w:val="53F42571"/>
    <w:rsid w:val="53F80638"/>
    <w:rsid w:val="53F91067"/>
    <w:rsid w:val="54005AAF"/>
    <w:rsid w:val="54011CEF"/>
    <w:rsid w:val="54017416"/>
    <w:rsid w:val="54057692"/>
    <w:rsid w:val="54117E9A"/>
    <w:rsid w:val="541B3D25"/>
    <w:rsid w:val="541F1F3F"/>
    <w:rsid w:val="54232D83"/>
    <w:rsid w:val="54274F24"/>
    <w:rsid w:val="542B359A"/>
    <w:rsid w:val="542B44FF"/>
    <w:rsid w:val="544339E3"/>
    <w:rsid w:val="544717FC"/>
    <w:rsid w:val="544D3005"/>
    <w:rsid w:val="54536A44"/>
    <w:rsid w:val="545D3C5B"/>
    <w:rsid w:val="546A7AE1"/>
    <w:rsid w:val="546D1ABC"/>
    <w:rsid w:val="547F6F88"/>
    <w:rsid w:val="5483715B"/>
    <w:rsid w:val="548D74F3"/>
    <w:rsid w:val="54946C4B"/>
    <w:rsid w:val="54947074"/>
    <w:rsid w:val="5497728D"/>
    <w:rsid w:val="54993BD1"/>
    <w:rsid w:val="549F20D5"/>
    <w:rsid w:val="54A3346C"/>
    <w:rsid w:val="54AD49DB"/>
    <w:rsid w:val="54BD2318"/>
    <w:rsid w:val="54C24595"/>
    <w:rsid w:val="54CE76AC"/>
    <w:rsid w:val="54D723C3"/>
    <w:rsid w:val="54E163BA"/>
    <w:rsid w:val="54EA0F42"/>
    <w:rsid w:val="54EE3132"/>
    <w:rsid w:val="54F6018A"/>
    <w:rsid w:val="54FB6AEB"/>
    <w:rsid w:val="54FD7928"/>
    <w:rsid w:val="55003D0D"/>
    <w:rsid w:val="550F2EC2"/>
    <w:rsid w:val="550F39C1"/>
    <w:rsid w:val="55162F4C"/>
    <w:rsid w:val="551F1640"/>
    <w:rsid w:val="55274FBC"/>
    <w:rsid w:val="552A23EA"/>
    <w:rsid w:val="552D107B"/>
    <w:rsid w:val="5533116A"/>
    <w:rsid w:val="55375DD9"/>
    <w:rsid w:val="55410D5A"/>
    <w:rsid w:val="55440F25"/>
    <w:rsid w:val="554A34E6"/>
    <w:rsid w:val="554D7D7F"/>
    <w:rsid w:val="555229DA"/>
    <w:rsid w:val="55630536"/>
    <w:rsid w:val="55707912"/>
    <w:rsid w:val="55770CFE"/>
    <w:rsid w:val="55793ADF"/>
    <w:rsid w:val="55852FB6"/>
    <w:rsid w:val="55872EBE"/>
    <w:rsid w:val="558B07D8"/>
    <w:rsid w:val="5590008C"/>
    <w:rsid w:val="559B7744"/>
    <w:rsid w:val="55A5300A"/>
    <w:rsid w:val="55AD602C"/>
    <w:rsid w:val="55B16587"/>
    <w:rsid w:val="55C20CB0"/>
    <w:rsid w:val="55D13C39"/>
    <w:rsid w:val="55E1225A"/>
    <w:rsid w:val="55ED72BB"/>
    <w:rsid w:val="55F227ED"/>
    <w:rsid w:val="55FF686E"/>
    <w:rsid w:val="56054D71"/>
    <w:rsid w:val="560A5C45"/>
    <w:rsid w:val="560E6E63"/>
    <w:rsid w:val="56151994"/>
    <w:rsid w:val="561B4349"/>
    <w:rsid w:val="562B0A78"/>
    <w:rsid w:val="564158CE"/>
    <w:rsid w:val="56434E16"/>
    <w:rsid w:val="56480C29"/>
    <w:rsid w:val="564D7066"/>
    <w:rsid w:val="565829A5"/>
    <w:rsid w:val="565F58F9"/>
    <w:rsid w:val="56616816"/>
    <w:rsid w:val="56626F98"/>
    <w:rsid w:val="56655E0A"/>
    <w:rsid w:val="566E159A"/>
    <w:rsid w:val="569A0A51"/>
    <w:rsid w:val="56A46C0F"/>
    <w:rsid w:val="56A478A9"/>
    <w:rsid w:val="56B7226D"/>
    <w:rsid w:val="56C43FD8"/>
    <w:rsid w:val="56D303A8"/>
    <w:rsid w:val="56DA3537"/>
    <w:rsid w:val="56E12CC1"/>
    <w:rsid w:val="56E82484"/>
    <w:rsid w:val="56F976A1"/>
    <w:rsid w:val="57041FAE"/>
    <w:rsid w:val="57045501"/>
    <w:rsid w:val="57117AB7"/>
    <w:rsid w:val="571C428B"/>
    <w:rsid w:val="57324A06"/>
    <w:rsid w:val="573343FD"/>
    <w:rsid w:val="573519E7"/>
    <w:rsid w:val="57376FF9"/>
    <w:rsid w:val="57426EA2"/>
    <w:rsid w:val="57481359"/>
    <w:rsid w:val="57490B1E"/>
    <w:rsid w:val="5751761E"/>
    <w:rsid w:val="575B4DFE"/>
    <w:rsid w:val="575C5AE8"/>
    <w:rsid w:val="576A6D3E"/>
    <w:rsid w:val="57706FC6"/>
    <w:rsid w:val="57761BAD"/>
    <w:rsid w:val="577D04CC"/>
    <w:rsid w:val="577E4777"/>
    <w:rsid w:val="5784016B"/>
    <w:rsid w:val="57855AF3"/>
    <w:rsid w:val="578F714A"/>
    <w:rsid w:val="579C123E"/>
    <w:rsid w:val="57C06249"/>
    <w:rsid w:val="57C83DDD"/>
    <w:rsid w:val="57D03CB6"/>
    <w:rsid w:val="57DA548E"/>
    <w:rsid w:val="57DF71AB"/>
    <w:rsid w:val="57F37369"/>
    <w:rsid w:val="58007410"/>
    <w:rsid w:val="58072C29"/>
    <w:rsid w:val="580D535C"/>
    <w:rsid w:val="580E5B52"/>
    <w:rsid w:val="580E5C3E"/>
    <w:rsid w:val="58123EF8"/>
    <w:rsid w:val="581B1C4F"/>
    <w:rsid w:val="581C0011"/>
    <w:rsid w:val="581D0A9F"/>
    <w:rsid w:val="58221356"/>
    <w:rsid w:val="582F1FCF"/>
    <w:rsid w:val="583B180D"/>
    <w:rsid w:val="583E6FA3"/>
    <w:rsid w:val="583F2C25"/>
    <w:rsid w:val="583F3DC0"/>
    <w:rsid w:val="58407D7C"/>
    <w:rsid w:val="58474A74"/>
    <w:rsid w:val="585022C6"/>
    <w:rsid w:val="58512A1C"/>
    <w:rsid w:val="58516ABD"/>
    <w:rsid w:val="5859459D"/>
    <w:rsid w:val="585A5AC8"/>
    <w:rsid w:val="585B3DDB"/>
    <w:rsid w:val="585E27D9"/>
    <w:rsid w:val="58630F5F"/>
    <w:rsid w:val="58636FAD"/>
    <w:rsid w:val="58661D25"/>
    <w:rsid w:val="586B71DB"/>
    <w:rsid w:val="586C07D2"/>
    <w:rsid w:val="58755863"/>
    <w:rsid w:val="58796C5E"/>
    <w:rsid w:val="58855D3C"/>
    <w:rsid w:val="58895CCC"/>
    <w:rsid w:val="58A87D1E"/>
    <w:rsid w:val="58B14A2B"/>
    <w:rsid w:val="58BC5AC1"/>
    <w:rsid w:val="58CF2543"/>
    <w:rsid w:val="58D5266F"/>
    <w:rsid w:val="58DA1AE2"/>
    <w:rsid w:val="58E0303B"/>
    <w:rsid w:val="58E127DA"/>
    <w:rsid w:val="58FB5F87"/>
    <w:rsid w:val="59061AA4"/>
    <w:rsid w:val="590F373C"/>
    <w:rsid w:val="591156FE"/>
    <w:rsid w:val="592F5AEC"/>
    <w:rsid w:val="59365A8D"/>
    <w:rsid w:val="59455583"/>
    <w:rsid w:val="59483C92"/>
    <w:rsid w:val="594A5C25"/>
    <w:rsid w:val="59512D7B"/>
    <w:rsid w:val="59515481"/>
    <w:rsid w:val="59563023"/>
    <w:rsid w:val="595742A8"/>
    <w:rsid w:val="59672C7F"/>
    <w:rsid w:val="59796218"/>
    <w:rsid w:val="597A1DB9"/>
    <w:rsid w:val="59862261"/>
    <w:rsid w:val="598B1DAE"/>
    <w:rsid w:val="59934106"/>
    <w:rsid w:val="59946BB9"/>
    <w:rsid w:val="5998050D"/>
    <w:rsid w:val="59A048E9"/>
    <w:rsid w:val="59B21085"/>
    <w:rsid w:val="59B80741"/>
    <w:rsid w:val="59C84499"/>
    <w:rsid w:val="59CD7FB2"/>
    <w:rsid w:val="59D40D19"/>
    <w:rsid w:val="59D731F5"/>
    <w:rsid w:val="59F4340A"/>
    <w:rsid w:val="59F52951"/>
    <w:rsid w:val="5A0C27CC"/>
    <w:rsid w:val="5A1849CB"/>
    <w:rsid w:val="5A1B4D55"/>
    <w:rsid w:val="5A2A0100"/>
    <w:rsid w:val="5A2A1646"/>
    <w:rsid w:val="5A31027D"/>
    <w:rsid w:val="5A3410EA"/>
    <w:rsid w:val="5A3C5B04"/>
    <w:rsid w:val="5A446E57"/>
    <w:rsid w:val="5A466505"/>
    <w:rsid w:val="5A592128"/>
    <w:rsid w:val="5A5A15DC"/>
    <w:rsid w:val="5A5B64B3"/>
    <w:rsid w:val="5A5D549E"/>
    <w:rsid w:val="5A5F2B4E"/>
    <w:rsid w:val="5A80355A"/>
    <w:rsid w:val="5A8606F3"/>
    <w:rsid w:val="5A8E698A"/>
    <w:rsid w:val="5A997338"/>
    <w:rsid w:val="5A9C2AF3"/>
    <w:rsid w:val="5AA020BD"/>
    <w:rsid w:val="5AA260ED"/>
    <w:rsid w:val="5AAA5AA1"/>
    <w:rsid w:val="5AB5114B"/>
    <w:rsid w:val="5AD42AEB"/>
    <w:rsid w:val="5AD9285E"/>
    <w:rsid w:val="5AE803E1"/>
    <w:rsid w:val="5AEE633B"/>
    <w:rsid w:val="5AF44BCB"/>
    <w:rsid w:val="5AFC7102"/>
    <w:rsid w:val="5AFE7375"/>
    <w:rsid w:val="5B036DD9"/>
    <w:rsid w:val="5B1030C0"/>
    <w:rsid w:val="5B156ACB"/>
    <w:rsid w:val="5B207923"/>
    <w:rsid w:val="5B270556"/>
    <w:rsid w:val="5B292F37"/>
    <w:rsid w:val="5B2C5212"/>
    <w:rsid w:val="5B485551"/>
    <w:rsid w:val="5B4D158C"/>
    <w:rsid w:val="5B4D340F"/>
    <w:rsid w:val="5B530DC4"/>
    <w:rsid w:val="5B5A748E"/>
    <w:rsid w:val="5B5E46C1"/>
    <w:rsid w:val="5B6672F2"/>
    <w:rsid w:val="5B776272"/>
    <w:rsid w:val="5B93738C"/>
    <w:rsid w:val="5BA9157D"/>
    <w:rsid w:val="5BB8798C"/>
    <w:rsid w:val="5BBE54FD"/>
    <w:rsid w:val="5BC0189C"/>
    <w:rsid w:val="5BCC33A4"/>
    <w:rsid w:val="5BCE3B18"/>
    <w:rsid w:val="5BD168DF"/>
    <w:rsid w:val="5BDA245B"/>
    <w:rsid w:val="5BDB5B30"/>
    <w:rsid w:val="5BDC6D91"/>
    <w:rsid w:val="5BE56298"/>
    <w:rsid w:val="5BE73BEB"/>
    <w:rsid w:val="5BEA7D22"/>
    <w:rsid w:val="5BEE3470"/>
    <w:rsid w:val="5BF00396"/>
    <w:rsid w:val="5BF2194B"/>
    <w:rsid w:val="5BFB42E0"/>
    <w:rsid w:val="5C064AA5"/>
    <w:rsid w:val="5C0A5C22"/>
    <w:rsid w:val="5C0B3A52"/>
    <w:rsid w:val="5C1577A9"/>
    <w:rsid w:val="5C173F1E"/>
    <w:rsid w:val="5C1A56B3"/>
    <w:rsid w:val="5C2D6DFF"/>
    <w:rsid w:val="5C326116"/>
    <w:rsid w:val="5C333A3E"/>
    <w:rsid w:val="5C360670"/>
    <w:rsid w:val="5C385995"/>
    <w:rsid w:val="5C391518"/>
    <w:rsid w:val="5C3D3F79"/>
    <w:rsid w:val="5C453BD4"/>
    <w:rsid w:val="5C512BAC"/>
    <w:rsid w:val="5C544B01"/>
    <w:rsid w:val="5C5D2D1A"/>
    <w:rsid w:val="5C672E09"/>
    <w:rsid w:val="5C6812B8"/>
    <w:rsid w:val="5C6F15CE"/>
    <w:rsid w:val="5C786DD3"/>
    <w:rsid w:val="5C79410B"/>
    <w:rsid w:val="5C7C30D5"/>
    <w:rsid w:val="5C8B64E8"/>
    <w:rsid w:val="5C931441"/>
    <w:rsid w:val="5C975786"/>
    <w:rsid w:val="5C9C0153"/>
    <w:rsid w:val="5C9E0163"/>
    <w:rsid w:val="5C9F6197"/>
    <w:rsid w:val="5CA30925"/>
    <w:rsid w:val="5CA822E1"/>
    <w:rsid w:val="5CAE0A5E"/>
    <w:rsid w:val="5CAF55BE"/>
    <w:rsid w:val="5CAF7FA2"/>
    <w:rsid w:val="5CC752DA"/>
    <w:rsid w:val="5CD10F38"/>
    <w:rsid w:val="5CD3390B"/>
    <w:rsid w:val="5D1C463B"/>
    <w:rsid w:val="5D1F18D4"/>
    <w:rsid w:val="5D24289B"/>
    <w:rsid w:val="5D26528A"/>
    <w:rsid w:val="5D271A62"/>
    <w:rsid w:val="5D2B550C"/>
    <w:rsid w:val="5D3E491F"/>
    <w:rsid w:val="5D4D57CF"/>
    <w:rsid w:val="5D5022C3"/>
    <w:rsid w:val="5D586A30"/>
    <w:rsid w:val="5D7263DA"/>
    <w:rsid w:val="5D776B4B"/>
    <w:rsid w:val="5D7C64ED"/>
    <w:rsid w:val="5D8A34C2"/>
    <w:rsid w:val="5D9277F8"/>
    <w:rsid w:val="5D943D6C"/>
    <w:rsid w:val="5D962317"/>
    <w:rsid w:val="5D964D5E"/>
    <w:rsid w:val="5DA327A6"/>
    <w:rsid w:val="5DA35D00"/>
    <w:rsid w:val="5DA74C46"/>
    <w:rsid w:val="5DA908F0"/>
    <w:rsid w:val="5DB65D92"/>
    <w:rsid w:val="5DC33E8A"/>
    <w:rsid w:val="5DCB2848"/>
    <w:rsid w:val="5DDB5BB4"/>
    <w:rsid w:val="5DDD135D"/>
    <w:rsid w:val="5DF67DBE"/>
    <w:rsid w:val="5DF974CE"/>
    <w:rsid w:val="5E005A35"/>
    <w:rsid w:val="5E081345"/>
    <w:rsid w:val="5E0F42CE"/>
    <w:rsid w:val="5E150723"/>
    <w:rsid w:val="5E1B68AE"/>
    <w:rsid w:val="5E1C494D"/>
    <w:rsid w:val="5E325654"/>
    <w:rsid w:val="5E3502D5"/>
    <w:rsid w:val="5E35749F"/>
    <w:rsid w:val="5E3C46B7"/>
    <w:rsid w:val="5E414566"/>
    <w:rsid w:val="5E4B5B5F"/>
    <w:rsid w:val="5E4E1E39"/>
    <w:rsid w:val="5E6A1B4F"/>
    <w:rsid w:val="5E6D5FA3"/>
    <w:rsid w:val="5E737512"/>
    <w:rsid w:val="5E7D1EBC"/>
    <w:rsid w:val="5E7D32E1"/>
    <w:rsid w:val="5E800BEA"/>
    <w:rsid w:val="5E8E4437"/>
    <w:rsid w:val="5E9C61BC"/>
    <w:rsid w:val="5E9F66D8"/>
    <w:rsid w:val="5EA1448C"/>
    <w:rsid w:val="5EA878F9"/>
    <w:rsid w:val="5EAE22D2"/>
    <w:rsid w:val="5EB52122"/>
    <w:rsid w:val="5EB85375"/>
    <w:rsid w:val="5EBD05C7"/>
    <w:rsid w:val="5EC052B6"/>
    <w:rsid w:val="5EC148BF"/>
    <w:rsid w:val="5EC44F36"/>
    <w:rsid w:val="5EDB07AB"/>
    <w:rsid w:val="5EE04F8A"/>
    <w:rsid w:val="5EE54A3B"/>
    <w:rsid w:val="5EEC3C38"/>
    <w:rsid w:val="5EFB473D"/>
    <w:rsid w:val="5F011B76"/>
    <w:rsid w:val="5F174F84"/>
    <w:rsid w:val="5F224CC1"/>
    <w:rsid w:val="5F2B1255"/>
    <w:rsid w:val="5F322E25"/>
    <w:rsid w:val="5F33058A"/>
    <w:rsid w:val="5F4876A9"/>
    <w:rsid w:val="5F4B638F"/>
    <w:rsid w:val="5F541977"/>
    <w:rsid w:val="5F5806A4"/>
    <w:rsid w:val="5F58392E"/>
    <w:rsid w:val="5F5D58DA"/>
    <w:rsid w:val="5F68084D"/>
    <w:rsid w:val="5F6C3D04"/>
    <w:rsid w:val="5F731A58"/>
    <w:rsid w:val="5F74757F"/>
    <w:rsid w:val="5F7A0822"/>
    <w:rsid w:val="5F815D57"/>
    <w:rsid w:val="5F8E75CB"/>
    <w:rsid w:val="5F947013"/>
    <w:rsid w:val="5F981BDB"/>
    <w:rsid w:val="5F9D2217"/>
    <w:rsid w:val="5FAC2B68"/>
    <w:rsid w:val="5FAE047A"/>
    <w:rsid w:val="5FB04928"/>
    <w:rsid w:val="5FC5448A"/>
    <w:rsid w:val="5FCE7B3B"/>
    <w:rsid w:val="5FD221D0"/>
    <w:rsid w:val="5FD40C77"/>
    <w:rsid w:val="5FDA2D15"/>
    <w:rsid w:val="5FE6267E"/>
    <w:rsid w:val="5FF3334A"/>
    <w:rsid w:val="5FFC4935"/>
    <w:rsid w:val="60026A9A"/>
    <w:rsid w:val="6005017F"/>
    <w:rsid w:val="60116FEF"/>
    <w:rsid w:val="60167C6A"/>
    <w:rsid w:val="601C6FA0"/>
    <w:rsid w:val="602E5757"/>
    <w:rsid w:val="60414EE4"/>
    <w:rsid w:val="604700B1"/>
    <w:rsid w:val="604C056A"/>
    <w:rsid w:val="60510BA0"/>
    <w:rsid w:val="6055133D"/>
    <w:rsid w:val="60617D27"/>
    <w:rsid w:val="6063416F"/>
    <w:rsid w:val="60696E28"/>
    <w:rsid w:val="607C758F"/>
    <w:rsid w:val="60856577"/>
    <w:rsid w:val="60960A3A"/>
    <w:rsid w:val="60965451"/>
    <w:rsid w:val="6097624C"/>
    <w:rsid w:val="609C65DF"/>
    <w:rsid w:val="60A4458B"/>
    <w:rsid w:val="60A72F82"/>
    <w:rsid w:val="60AF31AE"/>
    <w:rsid w:val="60B604AA"/>
    <w:rsid w:val="60B66577"/>
    <w:rsid w:val="60BD5470"/>
    <w:rsid w:val="60CE406E"/>
    <w:rsid w:val="60DA4A5E"/>
    <w:rsid w:val="60E34B75"/>
    <w:rsid w:val="60EA2686"/>
    <w:rsid w:val="60F017DA"/>
    <w:rsid w:val="60FE21C9"/>
    <w:rsid w:val="61195C8F"/>
    <w:rsid w:val="61267371"/>
    <w:rsid w:val="61276761"/>
    <w:rsid w:val="612A7037"/>
    <w:rsid w:val="612B02A5"/>
    <w:rsid w:val="61375EFE"/>
    <w:rsid w:val="613F5122"/>
    <w:rsid w:val="6148095E"/>
    <w:rsid w:val="61586DF1"/>
    <w:rsid w:val="6180066D"/>
    <w:rsid w:val="618202A3"/>
    <w:rsid w:val="61842491"/>
    <w:rsid w:val="618E3A14"/>
    <w:rsid w:val="619567F5"/>
    <w:rsid w:val="61AF2405"/>
    <w:rsid w:val="61B53C48"/>
    <w:rsid w:val="61BD4370"/>
    <w:rsid w:val="61CB3DA4"/>
    <w:rsid w:val="61CF73DC"/>
    <w:rsid w:val="61DC0473"/>
    <w:rsid w:val="61DE0345"/>
    <w:rsid w:val="61EF1DC8"/>
    <w:rsid w:val="61FA4675"/>
    <w:rsid w:val="62003778"/>
    <w:rsid w:val="620C51C6"/>
    <w:rsid w:val="6211057B"/>
    <w:rsid w:val="62143721"/>
    <w:rsid w:val="62144EE5"/>
    <w:rsid w:val="62145FD4"/>
    <w:rsid w:val="62163934"/>
    <w:rsid w:val="62261604"/>
    <w:rsid w:val="622B4FE2"/>
    <w:rsid w:val="62414439"/>
    <w:rsid w:val="6249107D"/>
    <w:rsid w:val="624B0B5E"/>
    <w:rsid w:val="624F03EF"/>
    <w:rsid w:val="624F615B"/>
    <w:rsid w:val="62677319"/>
    <w:rsid w:val="62754999"/>
    <w:rsid w:val="6278420E"/>
    <w:rsid w:val="62834BE0"/>
    <w:rsid w:val="628824D4"/>
    <w:rsid w:val="628E3D3B"/>
    <w:rsid w:val="6291793E"/>
    <w:rsid w:val="629803F5"/>
    <w:rsid w:val="62A97F64"/>
    <w:rsid w:val="62AD2B98"/>
    <w:rsid w:val="62B34E49"/>
    <w:rsid w:val="62B4157D"/>
    <w:rsid w:val="62B90BFD"/>
    <w:rsid w:val="62CA569C"/>
    <w:rsid w:val="62E42E0F"/>
    <w:rsid w:val="62E81E55"/>
    <w:rsid w:val="62EA235B"/>
    <w:rsid w:val="62F55D9F"/>
    <w:rsid w:val="62F9324D"/>
    <w:rsid w:val="62FB2A7C"/>
    <w:rsid w:val="62FD2DF9"/>
    <w:rsid w:val="630330C0"/>
    <w:rsid w:val="631B334B"/>
    <w:rsid w:val="631D5E3A"/>
    <w:rsid w:val="63242B97"/>
    <w:rsid w:val="63272513"/>
    <w:rsid w:val="632855E0"/>
    <w:rsid w:val="632E0041"/>
    <w:rsid w:val="6330255D"/>
    <w:rsid w:val="6331026A"/>
    <w:rsid w:val="63330C1B"/>
    <w:rsid w:val="63353F8C"/>
    <w:rsid w:val="633C05F4"/>
    <w:rsid w:val="634E2147"/>
    <w:rsid w:val="635C1422"/>
    <w:rsid w:val="635C7D23"/>
    <w:rsid w:val="6362178A"/>
    <w:rsid w:val="63654A21"/>
    <w:rsid w:val="636954FD"/>
    <w:rsid w:val="63745FA5"/>
    <w:rsid w:val="638B719A"/>
    <w:rsid w:val="63920219"/>
    <w:rsid w:val="63986572"/>
    <w:rsid w:val="63A54A6B"/>
    <w:rsid w:val="63A87AD7"/>
    <w:rsid w:val="63A97BDD"/>
    <w:rsid w:val="63B864A7"/>
    <w:rsid w:val="63B946D9"/>
    <w:rsid w:val="63C15B40"/>
    <w:rsid w:val="63CC4E6D"/>
    <w:rsid w:val="63D672DF"/>
    <w:rsid w:val="63ED4B7F"/>
    <w:rsid w:val="63F11C00"/>
    <w:rsid w:val="63F2409F"/>
    <w:rsid w:val="63F37B88"/>
    <w:rsid w:val="63F536A7"/>
    <w:rsid w:val="63F96781"/>
    <w:rsid w:val="63FA2E01"/>
    <w:rsid w:val="6400296F"/>
    <w:rsid w:val="640A5685"/>
    <w:rsid w:val="641C49A9"/>
    <w:rsid w:val="641C7E6F"/>
    <w:rsid w:val="64205031"/>
    <w:rsid w:val="642A2532"/>
    <w:rsid w:val="642A2FF1"/>
    <w:rsid w:val="642A5261"/>
    <w:rsid w:val="643325AF"/>
    <w:rsid w:val="64362A9A"/>
    <w:rsid w:val="64376EC9"/>
    <w:rsid w:val="644720D0"/>
    <w:rsid w:val="64490518"/>
    <w:rsid w:val="644D5616"/>
    <w:rsid w:val="64501569"/>
    <w:rsid w:val="645036FC"/>
    <w:rsid w:val="6457079E"/>
    <w:rsid w:val="64582B51"/>
    <w:rsid w:val="646527C3"/>
    <w:rsid w:val="646C3163"/>
    <w:rsid w:val="6479216A"/>
    <w:rsid w:val="64807E47"/>
    <w:rsid w:val="648B12B9"/>
    <w:rsid w:val="64915DDC"/>
    <w:rsid w:val="649D327E"/>
    <w:rsid w:val="649E201D"/>
    <w:rsid w:val="649F0EE3"/>
    <w:rsid w:val="64AC4416"/>
    <w:rsid w:val="64AD1A9C"/>
    <w:rsid w:val="64B23E5B"/>
    <w:rsid w:val="64B31AEF"/>
    <w:rsid w:val="64B55BC1"/>
    <w:rsid w:val="64C7491F"/>
    <w:rsid w:val="64D643CF"/>
    <w:rsid w:val="64D9455E"/>
    <w:rsid w:val="64E16605"/>
    <w:rsid w:val="64E77D2D"/>
    <w:rsid w:val="64EA0657"/>
    <w:rsid w:val="64F413C6"/>
    <w:rsid w:val="64FF0896"/>
    <w:rsid w:val="65074533"/>
    <w:rsid w:val="651E0977"/>
    <w:rsid w:val="65220F17"/>
    <w:rsid w:val="65291DC6"/>
    <w:rsid w:val="652A1275"/>
    <w:rsid w:val="653657F4"/>
    <w:rsid w:val="65640511"/>
    <w:rsid w:val="65680F02"/>
    <w:rsid w:val="657216DF"/>
    <w:rsid w:val="65766BB0"/>
    <w:rsid w:val="65786667"/>
    <w:rsid w:val="65880C67"/>
    <w:rsid w:val="658869D5"/>
    <w:rsid w:val="65924BE3"/>
    <w:rsid w:val="659455BD"/>
    <w:rsid w:val="659621E5"/>
    <w:rsid w:val="65970A3E"/>
    <w:rsid w:val="6598122A"/>
    <w:rsid w:val="659A7548"/>
    <w:rsid w:val="65A16328"/>
    <w:rsid w:val="65A3667D"/>
    <w:rsid w:val="65BD3CEE"/>
    <w:rsid w:val="65D1264D"/>
    <w:rsid w:val="65D13849"/>
    <w:rsid w:val="65DC0FDB"/>
    <w:rsid w:val="65DE6C0B"/>
    <w:rsid w:val="65E8599F"/>
    <w:rsid w:val="65EA4871"/>
    <w:rsid w:val="65EC6F0D"/>
    <w:rsid w:val="65EF689F"/>
    <w:rsid w:val="65F81819"/>
    <w:rsid w:val="65FB6A04"/>
    <w:rsid w:val="65FD1971"/>
    <w:rsid w:val="65FF3C8A"/>
    <w:rsid w:val="66080706"/>
    <w:rsid w:val="661A533C"/>
    <w:rsid w:val="661C1686"/>
    <w:rsid w:val="66214837"/>
    <w:rsid w:val="662307F4"/>
    <w:rsid w:val="6634696B"/>
    <w:rsid w:val="664A1C44"/>
    <w:rsid w:val="664D6C54"/>
    <w:rsid w:val="664F0201"/>
    <w:rsid w:val="665A4FBD"/>
    <w:rsid w:val="665E2AE1"/>
    <w:rsid w:val="665E59A3"/>
    <w:rsid w:val="66603BDD"/>
    <w:rsid w:val="667937A8"/>
    <w:rsid w:val="6688666D"/>
    <w:rsid w:val="668C3703"/>
    <w:rsid w:val="669653A7"/>
    <w:rsid w:val="669C73C6"/>
    <w:rsid w:val="66A82CD2"/>
    <w:rsid w:val="66B111C9"/>
    <w:rsid w:val="66C12A04"/>
    <w:rsid w:val="66C303D5"/>
    <w:rsid w:val="66CB3272"/>
    <w:rsid w:val="66CE719C"/>
    <w:rsid w:val="66D11630"/>
    <w:rsid w:val="66D61B53"/>
    <w:rsid w:val="66DD1D39"/>
    <w:rsid w:val="66E459E8"/>
    <w:rsid w:val="66EA251D"/>
    <w:rsid w:val="66EB3998"/>
    <w:rsid w:val="66EE2413"/>
    <w:rsid w:val="66F07891"/>
    <w:rsid w:val="66F25276"/>
    <w:rsid w:val="66F526C5"/>
    <w:rsid w:val="66FA5FAF"/>
    <w:rsid w:val="67133355"/>
    <w:rsid w:val="6717450B"/>
    <w:rsid w:val="671D175F"/>
    <w:rsid w:val="67256C64"/>
    <w:rsid w:val="673D3B9B"/>
    <w:rsid w:val="673F2040"/>
    <w:rsid w:val="674C6496"/>
    <w:rsid w:val="67565A92"/>
    <w:rsid w:val="67573F5E"/>
    <w:rsid w:val="67812B9C"/>
    <w:rsid w:val="678F50E8"/>
    <w:rsid w:val="67944784"/>
    <w:rsid w:val="679551E6"/>
    <w:rsid w:val="679973B0"/>
    <w:rsid w:val="67A6130A"/>
    <w:rsid w:val="67A7382E"/>
    <w:rsid w:val="67AA18D5"/>
    <w:rsid w:val="67BB66AF"/>
    <w:rsid w:val="67D65D59"/>
    <w:rsid w:val="67EA4FD0"/>
    <w:rsid w:val="67F206F5"/>
    <w:rsid w:val="67F212BA"/>
    <w:rsid w:val="67F34403"/>
    <w:rsid w:val="67FC0352"/>
    <w:rsid w:val="680021E0"/>
    <w:rsid w:val="68034910"/>
    <w:rsid w:val="68231716"/>
    <w:rsid w:val="682801AC"/>
    <w:rsid w:val="683549D2"/>
    <w:rsid w:val="6843074B"/>
    <w:rsid w:val="684F58D0"/>
    <w:rsid w:val="684F5D6B"/>
    <w:rsid w:val="68615CA3"/>
    <w:rsid w:val="68622AD2"/>
    <w:rsid w:val="686303FF"/>
    <w:rsid w:val="686C7C60"/>
    <w:rsid w:val="687F459B"/>
    <w:rsid w:val="688365D3"/>
    <w:rsid w:val="68945FB7"/>
    <w:rsid w:val="689634C2"/>
    <w:rsid w:val="68BD155C"/>
    <w:rsid w:val="68C324A0"/>
    <w:rsid w:val="68C95F33"/>
    <w:rsid w:val="68CF29AD"/>
    <w:rsid w:val="68D04402"/>
    <w:rsid w:val="68DB4CBB"/>
    <w:rsid w:val="68F86C02"/>
    <w:rsid w:val="68FB680B"/>
    <w:rsid w:val="68FF4A71"/>
    <w:rsid w:val="69010D77"/>
    <w:rsid w:val="690720B0"/>
    <w:rsid w:val="69185626"/>
    <w:rsid w:val="691C2E5F"/>
    <w:rsid w:val="6930417F"/>
    <w:rsid w:val="69313B95"/>
    <w:rsid w:val="6933286B"/>
    <w:rsid w:val="693721E0"/>
    <w:rsid w:val="693F1801"/>
    <w:rsid w:val="6950670A"/>
    <w:rsid w:val="695C1EB2"/>
    <w:rsid w:val="695F252D"/>
    <w:rsid w:val="69607B92"/>
    <w:rsid w:val="696B07DF"/>
    <w:rsid w:val="6970659A"/>
    <w:rsid w:val="69790C3E"/>
    <w:rsid w:val="697A4B70"/>
    <w:rsid w:val="697B7705"/>
    <w:rsid w:val="69861B1E"/>
    <w:rsid w:val="69946742"/>
    <w:rsid w:val="699D3824"/>
    <w:rsid w:val="69A167E4"/>
    <w:rsid w:val="69A941D4"/>
    <w:rsid w:val="69A9672D"/>
    <w:rsid w:val="69AA17F1"/>
    <w:rsid w:val="69AE7E0B"/>
    <w:rsid w:val="69B64100"/>
    <w:rsid w:val="69C630A7"/>
    <w:rsid w:val="69C67DCE"/>
    <w:rsid w:val="69C87871"/>
    <w:rsid w:val="69CE0A75"/>
    <w:rsid w:val="69D06597"/>
    <w:rsid w:val="69D06DA9"/>
    <w:rsid w:val="69D92B20"/>
    <w:rsid w:val="69DC6E78"/>
    <w:rsid w:val="69E24590"/>
    <w:rsid w:val="69F55D03"/>
    <w:rsid w:val="6A0730CE"/>
    <w:rsid w:val="6A094962"/>
    <w:rsid w:val="6A0A4D43"/>
    <w:rsid w:val="6A0A4F9C"/>
    <w:rsid w:val="6A112E0B"/>
    <w:rsid w:val="6A165C0D"/>
    <w:rsid w:val="6A1C68E4"/>
    <w:rsid w:val="6A275E94"/>
    <w:rsid w:val="6A2D459F"/>
    <w:rsid w:val="6A392AE1"/>
    <w:rsid w:val="6A3E5E02"/>
    <w:rsid w:val="6A3E6577"/>
    <w:rsid w:val="6A3F624A"/>
    <w:rsid w:val="6A540D7E"/>
    <w:rsid w:val="6A59184B"/>
    <w:rsid w:val="6A6E0D52"/>
    <w:rsid w:val="6A754C28"/>
    <w:rsid w:val="6A790657"/>
    <w:rsid w:val="6A7F361E"/>
    <w:rsid w:val="6A8C19AA"/>
    <w:rsid w:val="6A925F0B"/>
    <w:rsid w:val="6A926411"/>
    <w:rsid w:val="6A9A6AE7"/>
    <w:rsid w:val="6AA1671E"/>
    <w:rsid w:val="6AA46E88"/>
    <w:rsid w:val="6AA671A6"/>
    <w:rsid w:val="6AB50FFC"/>
    <w:rsid w:val="6AC009D3"/>
    <w:rsid w:val="6AC57E1A"/>
    <w:rsid w:val="6AC72ECB"/>
    <w:rsid w:val="6ACB1F74"/>
    <w:rsid w:val="6ACF0AA0"/>
    <w:rsid w:val="6AD10C29"/>
    <w:rsid w:val="6AD91F87"/>
    <w:rsid w:val="6ADB1E95"/>
    <w:rsid w:val="6AFA2210"/>
    <w:rsid w:val="6B0743CD"/>
    <w:rsid w:val="6B1E5FEB"/>
    <w:rsid w:val="6B1F42CB"/>
    <w:rsid w:val="6B301BD6"/>
    <w:rsid w:val="6B32077C"/>
    <w:rsid w:val="6B491530"/>
    <w:rsid w:val="6B495497"/>
    <w:rsid w:val="6B512EEB"/>
    <w:rsid w:val="6B58476F"/>
    <w:rsid w:val="6B5B1414"/>
    <w:rsid w:val="6B5C5C42"/>
    <w:rsid w:val="6B6726C8"/>
    <w:rsid w:val="6B6916D1"/>
    <w:rsid w:val="6B6B1792"/>
    <w:rsid w:val="6B7063DF"/>
    <w:rsid w:val="6B76761D"/>
    <w:rsid w:val="6B86390E"/>
    <w:rsid w:val="6B89437C"/>
    <w:rsid w:val="6B8A3867"/>
    <w:rsid w:val="6B9632C8"/>
    <w:rsid w:val="6B99182C"/>
    <w:rsid w:val="6BA04097"/>
    <w:rsid w:val="6BA05C06"/>
    <w:rsid w:val="6BB36309"/>
    <w:rsid w:val="6BBC7EFF"/>
    <w:rsid w:val="6BCA3DCE"/>
    <w:rsid w:val="6BCD016A"/>
    <w:rsid w:val="6BD104D9"/>
    <w:rsid w:val="6BD87389"/>
    <w:rsid w:val="6BDC2250"/>
    <w:rsid w:val="6BF64DD9"/>
    <w:rsid w:val="6BF72721"/>
    <w:rsid w:val="6C0523DB"/>
    <w:rsid w:val="6C143320"/>
    <w:rsid w:val="6C165767"/>
    <w:rsid w:val="6C285D4B"/>
    <w:rsid w:val="6C2E0907"/>
    <w:rsid w:val="6C400421"/>
    <w:rsid w:val="6C4B2E78"/>
    <w:rsid w:val="6C4C565A"/>
    <w:rsid w:val="6C4F33A3"/>
    <w:rsid w:val="6C577C1A"/>
    <w:rsid w:val="6C6148E5"/>
    <w:rsid w:val="6C7E2837"/>
    <w:rsid w:val="6C7F64B4"/>
    <w:rsid w:val="6C804DE8"/>
    <w:rsid w:val="6C836970"/>
    <w:rsid w:val="6C8664EE"/>
    <w:rsid w:val="6C881E60"/>
    <w:rsid w:val="6C8F13BA"/>
    <w:rsid w:val="6C9B7C63"/>
    <w:rsid w:val="6CA01EC2"/>
    <w:rsid w:val="6CA6280D"/>
    <w:rsid w:val="6CAA1276"/>
    <w:rsid w:val="6CAA6B1D"/>
    <w:rsid w:val="6CB43F79"/>
    <w:rsid w:val="6CB5333D"/>
    <w:rsid w:val="6CBD4313"/>
    <w:rsid w:val="6CC401B4"/>
    <w:rsid w:val="6CCA5DDB"/>
    <w:rsid w:val="6CCC2884"/>
    <w:rsid w:val="6CD0200E"/>
    <w:rsid w:val="6CDA3F36"/>
    <w:rsid w:val="6CE234F4"/>
    <w:rsid w:val="6CE54EA8"/>
    <w:rsid w:val="6CEE6A54"/>
    <w:rsid w:val="6CF53EBD"/>
    <w:rsid w:val="6D0434C9"/>
    <w:rsid w:val="6D114B37"/>
    <w:rsid w:val="6D180879"/>
    <w:rsid w:val="6D334269"/>
    <w:rsid w:val="6D36744E"/>
    <w:rsid w:val="6D440A01"/>
    <w:rsid w:val="6D451B9D"/>
    <w:rsid w:val="6D4520CE"/>
    <w:rsid w:val="6D4771E0"/>
    <w:rsid w:val="6D4C3552"/>
    <w:rsid w:val="6D6419B0"/>
    <w:rsid w:val="6D667DA8"/>
    <w:rsid w:val="6D782D40"/>
    <w:rsid w:val="6D7A42ED"/>
    <w:rsid w:val="6D86686C"/>
    <w:rsid w:val="6D9716D5"/>
    <w:rsid w:val="6D9D61D1"/>
    <w:rsid w:val="6DA05C5E"/>
    <w:rsid w:val="6DB9605A"/>
    <w:rsid w:val="6DC64808"/>
    <w:rsid w:val="6DC66BE3"/>
    <w:rsid w:val="6DD42B7A"/>
    <w:rsid w:val="6DE840EC"/>
    <w:rsid w:val="6DEF4A51"/>
    <w:rsid w:val="6DF37660"/>
    <w:rsid w:val="6DF82E43"/>
    <w:rsid w:val="6DFD0851"/>
    <w:rsid w:val="6E0914F6"/>
    <w:rsid w:val="6E145DD6"/>
    <w:rsid w:val="6E15048F"/>
    <w:rsid w:val="6E2972A6"/>
    <w:rsid w:val="6E394A3A"/>
    <w:rsid w:val="6E3E428D"/>
    <w:rsid w:val="6E4E1853"/>
    <w:rsid w:val="6E521068"/>
    <w:rsid w:val="6E5C6FC1"/>
    <w:rsid w:val="6E634631"/>
    <w:rsid w:val="6E635B04"/>
    <w:rsid w:val="6E70365D"/>
    <w:rsid w:val="6E71060A"/>
    <w:rsid w:val="6E7E30C9"/>
    <w:rsid w:val="6E8516E7"/>
    <w:rsid w:val="6E853E8D"/>
    <w:rsid w:val="6E8E4A1D"/>
    <w:rsid w:val="6E8F43F2"/>
    <w:rsid w:val="6E9B794E"/>
    <w:rsid w:val="6EA00182"/>
    <w:rsid w:val="6EA770BF"/>
    <w:rsid w:val="6EAD561F"/>
    <w:rsid w:val="6EAE4774"/>
    <w:rsid w:val="6EB25D54"/>
    <w:rsid w:val="6EC33891"/>
    <w:rsid w:val="6EE143E9"/>
    <w:rsid w:val="6EE25BA6"/>
    <w:rsid w:val="6EEA2DE5"/>
    <w:rsid w:val="6EF01F05"/>
    <w:rsid w:val="6EF76146"/>
    <w:rsid w:val="6EFD162D"/>
    <w:rsid w:val="6EFD6C96"/>
    <w:rsid w:val="6F053026"/>
    <w:rsid w:val="6F142242"/>
    <w:rsid w:val="6F1A25C8"/>
    <w:rsid w:val="6F200CF6"/>
    <w:rsid w:val="6F277D9D"/>
    <w:rsid w:val="6F29123E"/>
    <w:rsid w:val="6F2D2E4A"/>
    <w:rsid w:val="6F2E5BCF"/>
    <w:rsid w:val="6F314F56"/>
    <w:rsid w:val="6F3326CC"/>
    <w:rsid w:val="6F3858D2"/>
    <w:rsid w:val="6F4F6AA1"/>
    <w:rsid w:val="6F5017E0"/>
    <w:rsid w:val="6F525309"/>
    <w:rsid w:val="6F532998"/>
    <w:rsid w:val="6F5618AC"/>
    <w:rsid w:val="6F601FBE"/>
    <w:rsid w:val="6F635CE6"/>
    <w:rsid w:val="6F65509A"/>
    <w:rsid w:val="6F682B8A"/>
    <w:rsid w:val="6F697918"/>
    <w:rsid w:val="6F6C07BD"/>
    <w:rsid w:val="6F6C7092"/>
    <w:rsid w:val="6F74177E"/>
    <w:rsid w:val="6F752144"/>
    <w:rsid w:val="6F857F61"/>
    <w:rsid w:val="6F8B482F"/>
    <w:rsid w:val="6F8D0B2D"/>
    <w:rsid w:val="6F9026A0"/>
    <w:rsid w:val="6F910ABC"/>
    <w:rsid w:val="6F943C7F"/>
    <w:rsid w:val="6F9E26AB"/>
    <w:rsid w:val="6F9F071F"/>
    <w:rsid w:val="6FA31EC5"/>
    <w:rsid w:val="6FB46CC2"/>
    <w:rsid w:val="6FBF716C"/>
    <w:rsid w:val="6FD10E9E"/>
    <w:rsid w:val="6FD67D6F"/>
    <w:rsid w:val="6FDD7B25"/>
    <w:rsid w:val="6FE66047"/>
    <w:rsid w:val="6FF01262"/>
    <w:rsid w:val="70023CE9"/>
    <w:rsid w:val="70034C65"/>
    <w:rsid w:val="70052537"/>
    <w:rsid w:val="70141DA9"/>
    <w:rsid w:val="701479E1"/>
    <w:rsid w:val="701B7CDF"/>
    <w:rsid w:val="70201583"/>
    <w:rsid w:val="703060DF"/>
    <w:rsid w:val="70311E23"/>
    <w:rsid w:val="70364840"/>
    <w:rsid w:val="704176DF"/>
    <w:rsid w:val="70602CE1"/>
    <w:rsid w:val="70656155"/>
    <w:rsid w:val="707A3C5E"/>
    <w:rsid w:val="70894852"/>
    <w:rsid w:val="7089799F"/>
    <w:rsid w:val="708A4FD0"/>
    <w:rsid w:val="70957FB2"/>
    <w:rsid w:val="709A5099"/>
    <w:rsid w:val="709B2C67"/>
    <w:rsid w:val="709E2C34"/>
    <w:rsid w:val="709F0ECF"/>
    <w:rsid w:val="70AB565F"/>
    <w:rsid w:val="70C921CC"/>
    <w:rsid w:val="70CF552F"/>
    <w:rsid w:val="70D029AB"/>
    <w:rsid w:val="70D7631A"/>
    <w:rsid w:val="70D9144E"/>
    <w:rsid w:val="70E86B21"/>
    <w:rsid w:val="70FB2B88"/>
    <w:rsid w:val="70FF51D9"/>
    <w:rsid w:val="71032F86"/>
    <w:rsid w:val="71073213"/>
    <w:rsid w:val="710B645A"/>
    <w:rsid w:val="710F1C75"/>
    <w:rsid w:val="71174DF5"/>
    <w:rsid w:val="711866A7"/>
    <w:rsid w:val="7121067A"/>
    <w:rsid w:val="712D5475"/>
    <w:rsid w:val="7131268E"/>
    <w:rsid w:val="714B5D9F"/>
    <w:rsid w:val="71536C2B"/>
    <w:rsid w:val="71540C48"/>
    <w:rsid w:val="71544911"/>
    <w:rsid w:val="715814DF"/>
    <w:rsid w:val="71587F5D"/>
    <w:rsid w:val="71597BEC"/>
    <w:rsid w:val="715B76B2"/>
    <w:rsid w:val="716A54EC"/>
    <w:rsid w:val="716F0D69"/>
    <w:rsid w:val="716F7E37"/>
    <w:rsid w:val="71751745"/>
    <w:rsid w:val="717C1628"/>
    <w:rsid w:val="71883023"/>
    <w:rsid w:val="718B3ACC"/>
    <w:rsid w:val="718F4668"/>
    <w:rsid w:val="719230EB"/>
    <w:rsid w:val="719742ED"/>
    <w:rsid w:val="71A02108"/>
    <w:rsid w:val="71AC11A3"/>
    <w:rsid w:val="71B030D1"/>
    <w:rsid w:val="71B043FA"/>
    <w:rsid w:val="71BE7E7D"/>
    <w:rsid w:val="71D15F51"/>
    <w:rsid w:val="71D416D9"/>
    <w:rsid w:val="71DC6CD8"/>
    <w:rsid w:val="71E5326C"/>
    <w:rsid w:val="71E64487"/>
    <w:rsid w:val="71E65BC9"/>
    <w:rsid w:val="71E87003"/>
    <w:rsid w:val="71ED366C"/>
    <w:rsid w:val="71F6642D"/>
    <w:rsid w:val="71F82120"/>
    <w:rsid w:val="71FE3DFD"/>
    <w:rsid w:val="721759FC"/>
    <w:rsid w:val="72193778"/>
    <w:rsid w:val="721A2CFD"/>
    <w:rsid w:val="72383B74"/>
    <w:rsid w:val="723E054E"/>
    <w:rsid w:val="72431E91"/>
    <w:rsid w:val="724C63FF"/>
    <w:rsid w:val="724D7ED0"/>
    <w:rsid w:val="72542181"/>
    <w:rsid w:val="72644037"/>
    <w:rsid w:val="72644528"/>
    <w:rsid w:val="72672735"/>
    <w:rsid w:val="726C6C53"/>
    <w:rsid w:val="726D4B94"/>
    <w:rsid w:val="7284450F"/>
    <w:rsid w:val="72880008"/>
    <w:rsid w:val="7288408D"/>
    <w:rsid w:val="729240B0"/>
    <w:rsid w:val="72A30021"/>
    <w:rsid w:val="72A826C8"/>
    <w:rsid w:val="72AF7598"/>
    <w:rsid w:val="72BD6861"/>
    <w:rsid w:val="72C300DE"/>
    <w:rsid w:val="72C34EEF"/>
    <w:rsid w:val="72C42B00"/>
    <w:rsid w:val="72CA368F"/>
    <w:rsid w:val="72D24D6C"/>
    <w:rsid w:val="72D97DBD"/>
    <w:rsid w:val="72DF7C2A"/>
    <w:rsid w:val="72EA155C"/>
    <w:rsid w:val="72F56C80"/>
    <w:rsid w:val="72FA50A5"/>
    <w:rsid w:val="72FD0C75"/>
    <w:rsid w:val="73023ED4"/>
    <w:rsid w:val="73044276"/>
    <w:rsid w:val="730551C8"/>
    <w:rsid w:val="7309132F"/>
    <w:rsid w:val="731061FC"/>
    <w:rsid w:val="73266946"/>
    <w:rsid w:val="73324238"/>
    <w:rsid w:val="73346C43"/>
    <w:rsid w:val="734D6EA0"/>
    <w:rsid w:val="735451BA"/>
    <w:rsid w:val="735D3CB6"/>
    <w:rsid w:val="738A4EDD"/>
    <w:rsid w:val="739D4FC1"/>
    <w:rsid w:val="73A05310"/>
    <w:rsid w:val="73A6159C"/>
    <w:rsid w:val="73B3550F"/>
    <w:rsid w:val="73B76EE8"/>
    <w:rsid w:val="73B930A4"/>
    <w:rsid w:val="73BA42F9"/>
    <w:rsid w:val="73C0409A"/>
    <w:rsid w:val="73C10C74"/>
    <w:rsid w:val="73DA21DD"/>
    <w:rsid w:val="73E02E77"/>
    <w:rsid w:val="73E83ECB"/>
    <w:rsid w:val="73ED296C"/>
    <w:rsid w:val="73F073E8"/>
    <w:rsid w:val="73FD2D27"/>
    <w:rsid w:val="740C317D"/>
    <w:rsid w:val="740C5118"/>
    <w:rsid w:val="74246A88"/>
    <w:rsid w:val="74456F27"/>
    <w:rsid w:val="74646274"/>
    <w:rsid w:val="74684524"/>
    <w:rsid w:val="74817B6A"/>
    <w:rsid w:val="7489513A"/>
    <w:rsid w:val="748E2359"/>
    <w:rsid w:val="7495688A"/>
    <w:rsid w:val="74B057CF"/>
    <w:rsid w:val="74B3099C"/>
    <w:rsid w:val="74C421DD"/>
    <w:rsid w:val="74C6724C"/>
    <w:rsid w:val="74CC03EB"/>
    <w:rsid w:val="74DA218C"/>
    <w:rsid w:val="74DC4F03"/>
    <w:rsid w:val="74DE470B"/>
    <w:rsid w:val="74E70AF0"/>
    <w:rsid w:val="74E80B0B"/>
    <w:rsid w:val="74EC798C"/>
    <w:rsid w:val="74F70174"/>
    <w:rsid w:val="74FF1BB3"/>
    <w:rsid w:val="750935B6"/>
    <w:rsid w:val="75151392"/>
    <w:rsid w:val="752472E4"/>
    <w:rsid w:val="75346D8F"/>
    <w:rsid w:val="7544395F"/>
    <w:rsid w:val="754D6A8C"/>
    <w:rsid w:val="755A266C"/>
    <w:rsid w:val="756373A2"/>
    <w:rsid w:val="75683149"/>
    <w:rsid w:val="756A2951"/>
    <w:rsid w:val="75725EAD"/>
    <w:rsid w:val="75744FA1"/>
    <w:rsid w:val="75785F34"/>
    <w:rsid w:val="758B2308"/>
    <w:rsid w:val="75A553B6"/>
    <w:rsid w:val="75B47C2D"/>
    <w:rsid w:val="75C13218"/>
    <w:rsid w:val="75C363E1"/>
    <w:rsid w:val="75CF5F38"/>
    <w:rsid w:val="75D10D2F"/>
    <w:rsid w:val="75D8254A"/>
    <w:rsid w:val="75EF3BBB"/>
    <w:rsid w:val="75F42DD4"/>
    <w:rsid w:val="75F56E5B"/>
    <w:rsid w:val="76003E3B"/>
    <w:rsid w:val="760933A5"/>
    <w:rsid w:val="761546B2"/>
    <w:rsid w:val="761669B6"/>
    <w:rsid w:val="761963CE"/>
    <w:rsid w:val="76221D8D"/>
    <w:rsid w:val="76271E6D"/>
    <w:rsid w:val="76441B37"/>
    <w:rsid w:val="764508C6"/>
    <w:rsid w:val="76470AF6"/>
    <w:rsid w:val="764A59C4"/>
    <w:rsid w:val="765265BD"/>
    <w:rsid w:val="76592420"/>
    <w:rsid w:val="765B44AF"/>
    <w:rsid w:val="76641BEB"/>
    <w:rsid w:val="766C6309"/>
    <w:rsid w:val="766F47B7"/>
    <w:rsid w:val="76742B45"/>
    <w:rsid w:val="767D031A"/>
    <w:rsid w:val="767F4939"/>
    <w:rsid w:val="7681039B"/>
    <w:rsid w:val="76856ABB"/>
    <w:rsid w:val="76877E6D"/>
    <w:rsid w:val="768902F2"/>
    <w:rsid w:val="768A7C2C"/>
    <w:rsid w:val="769F45C0"/>
    <w:rsid w:val="76A9265C"/>
    <w:rsid w:val="76AC5039"/>
    <w:rsid w:val="76B46AC5"/>
    <w:rsid w:val="76B65675"/>
    <w:rsid w:val="76BA7F60"/>
    <w:rsid w:val="76BD3487"/>
    <w:rsid w:val="76C81D30"/>
    <w:rsid w:val="76CC3CA1"/>
    <w:rsid w:val="76D31BB1"/>
    <w:rsid w:val="76D817CE"/>
    <w:rsid w:val="76DB7E11"/>
    <w:rsid w:val="76DC6435"/>
    <w:rsid w:val="76EB594A"/>
    <w:rsid w:val="76F63C93"/>
    <w:rsid w:val="76FA5C90"/>
    <w:rsid w:val="76FB01BD"/>
    <w:rsid w:val="77047B0A"/>
    <w:rsid w:val="77165D82"/>
    <w:rsid w:val="771742D7"/>
    <w:rsid w:val="772056EB"/>
    <w:rsid w:val="77216639"/>
    <w:rsid w:val="7728460B"/>
    <w:rsid w:val="772E304F"/>
    <w:rsid w:val="773007CC"/>
    <w:rsid w:val="77334F36"/>
    <w:rsid w:val="77347B8C"/>
    <w:rsid w:val="773E2AC5"/>
    <w:rsid w:val="774601BE"/>
    <w:rsid w:val="774E7458"/>
    <w:rsid w:val="77511EE6"/>
    <w:rsid w:val="776F37F7"/>
    <w:rsid w:val="778155CA"/>
    <w:rsid w:val="77842D0F"/>
    <w:rsid w:val="77861359"/>
    <w:rsid w:val="77867968"/>
    <w:rsid w:val="77994544"/>
    <w:rsid w:val="77A313C6"/>
    <w:rsid w:val="77B2621C"/>
    <w:rsid w:val="77B735B3"/>
    <w:rsid w:val="77C71A24"/>
    <w:rsid w:val="77D57253"/>
    <w:rsid w:val="77D94AEE"/>
    <w:rsid w:val="77DD60C5"/>
    <w:rsid w:val="77E14D92"/>
    <w:rsid w:val="77E86FA3"/>
    <w:rsid w:val="77F25D54"/>
    <w:rsid w:val="77F433B2"/>
    <w:rsid w:val="77FD2E55"/>
    <w:rsid w:val="780005DF"/>
    <w:rsid w:val="78025A26"/>
    <w:rsid w:val="78082D03"/>
    <w:rsid w:val="7809711F"/>
    <w:rsid w:val="780A56F9"/>
    <w:rsid w:val="781270CA"/>
    <w:rsid w:val="781A4B04"/>
    <w:rsid w:val="781C6878"/>
    <w:rsid w:val="783135B0"/>
    <w:rsid w:val="7836349B"/>
    <w:rsid w:val="783F6AF9"/>
    <w:rsid w:val="78545627"/>
    <w:rsid w:val="78605706"/>
    <w:rsid w:val="78611F77"/>
    <w:rsid w:val="78667DCD"/>
    <w:rsid w:val="7867515C"/>
    <w:rsid w:val="786832BC"/>
    <w:rsid w:val="787C5ACD"/>
    <w:rsid w:val="788416BB"/>
    <w:rsid w:val="788C08D6"/>
    <w:rsid w:val="7894443E"/>
    <w:rsid w:val="789A48CF"/>
    <w:rsid w:val="789B11FB"/>
    <w:rsid w:val="789B7EE5"/>
    <w:rsid w:val="789D6E5D"/>
    <w:rsid w:val="78A26C93"/>
    <w:rsid w:val="78A5320C"/>
    <w:rsid w:val="78AF0355"/>
    <w:rsid w:val="78BC378A"/>
    <w:rsid w:val="78D34F42"/>
    <w:rsid w:val="78D76C93"/>
    <w:rsid w:val="79167C3F"/>
    <w:rsid w:val="791A2AC7"/>
    <w:rsid w:val="792412B3"/>
    <w:rsid w:val="79273476"/>
    <w:rsid w:val="792D1CBB"/>
    <w:rsid w:val="793515BB"/>
    <w:rsid w:val="79365CE0"/>
    <w:rsid w:val="793B55C0"/>
    <w:rsid w:val="793C3320"/>
    <w:rsid w:val="79407C12"/>
    <w:rsid w:val="7944489E"/>
    <w:rsid w:val="794E1F52"/>
    <w:rsid w:val="79524F94"/>
    <w:rsid w:val="79555D02"/>
    <w:rsid w:val="796B2030"/>
    <w:rsid w:val="79716F37"/>
    <w:rsid w:val="79970214"/>
    <w:rsid w:val="79997084"/>
    <w:rsid w:val="799A4DD4"/>
    <w:rsid w:val="79A63080"/>
    <w:rsid w:val="79A83603"/>
    <w:rsid w:val="79AC30B2"/>
    <w:rsid w:val="79C0255C"/>
    <w:rsid w:val="79C620DB"/>
    <w:rsid w:val="79C958EC"/>
    <w:rsid w:val="79CB3D87"/>
    <w:rsid w:val="79D07BDD"/>
    <w:rsid w:val="79DC076A"/>
    <w:rsid w:val="79DD4F40"/>
    <w:rsid w:val="79E0663C"/>
    <w:rsid w:val="79E66ACE"/>
    <w:rsid w:val="79E81AFD"/>
    <w:rsid w:val="79EC5E2A"/>
    <w:rsid w:val="79F2745C"/>
    <w:rsid w:val="79F65E41"/>
    <w:rsid w:val="7A031454"/>
    <w:rsid w:val="7A0B023B"/>
    <w:rsid w:val="7A180B97"/>
    <w:rsid w:val="7A18224C"/>
    <w:rsid w:val="7A1C0A7C"/>
    <w:rsid w:val="7A20683A"/>
    <w:rsid w:val="7A2A1B37"/>
    <w:rsid w:val="7A3E5496"/>
    <w:rsid w:val="7A414028"/>
    <w:rsid w:val="7A4E60D7"/>
    <w:rsid w:val="7A634984"/>
    <w:rsid w:val="7A7D409F"/>
    <w:rsid w:val="7A8210FE"/>
    <w:rsid w:val="7A8F4117"/>
    <w:rsid w:val="7A905632"/>
    <w:rsid w:val="7AA4514E"/>
    <w:rsid w:val="7AA744C9"/>
    <w:rsid w:val="7AB07887"/>
    <w:rsid w:val="7ABA2F05"/>
    <w:rsid w:val="7AC109CE"/>
    <w:rsid w:val="7AC33961"/>
    <w:rsid w:val="7AC4790C"/>
    <w:rsid w:val="7ACB7641"/>
    <w:rsid w:val="7AD44547"/>
    <w:rsid w:val="7AD456B8"/>
    <w:rsid w:val="7AD67CB0"/>
    <w:rsid w:val="7ADF2D2E"/>
    <w:rsid w:val="7AE3234F"/>
    <w:rsid w:val="7AE674BA"/>
    <w:rsid w:val="7AEB3580"/>
    <w:rsid w:val="7AEE3F4C"/>
    <w:rsid w:val="7AFE391F"/>
    <w:rsid w:val="7AFF706E"/>
    <w:rsid w:val="7B037C62"/>
    <w:rsid w:val="7B046506"/>
    <w:rsid w:val="7B0576F0"/>
    <w:rsid w:val="7B104847"/>
    <w:rsid w:val="7B13323E"/>
    <w:rsid w:val="7B1376AE"/>
    <w:rsid w:val="7B1540D8"/>
    <w:rsid w:val="7B284886"/>
    <w:rsid w:val="7B2963BE"/>
    <w:rsid w:val="7B362525"/>
    <w:rsid w:val="7B3A2190"/>
    <w:rsid w:val="7B3A24D0"/>
    <w:rsid w:val="7B3A7A46"/>
    <w:rsid w:val="7B4C0DDF"/>
    <w:rsid w:val="7B513524"/>
    <w:rsid w:val="7B537309"/>
    <w:rsid w:val="7B621753"/>
    <w:rsid w:val="7B6E06B5"/>
    <w:rsid w:val="7B8009D8"/>
    <w:rsid w:val="7B801255"/>
    <w:rsid w:val="7B821290"/>
    <w:rsid w:val="7B85122E"/>
    <w:rsid w:val="7B87430F"/>
    <w:rsid w:val="7B901214"/>
    <w:rsid w:val="7B927293"/>
    <w:rsid w:val="7B936FC3"/>
    <w:rsid w:val="7B9D73E2"/>
    <w:rsid w:val="7BA0350E"/>
    <w:rsid w:val="7BA2438F"/>
    <w:rsid w:val="7BB3215D"/>
    <w:rsid w:val="7BB5026E"/>
    <w:rsid w:val="7BC523B4"/>
    <w:rsid w:val="7BD123E0"/>
    <w:rsid w:val="7BD5240F"/>
    <w:rsid w:val="7BE9391E"/>
    <w:rsid w:val="7BF22FFA"/>
    <w:rsid w:val="7C1B3E88"/>
    <w:rsid w:val="7C2950A9"/>
    <w:rsid w:val="7C2E53B1"/>
    <w:rsid w:val="7C326565"/>
    <w:rsid w:val="7C347877"/>
    <w:rsid w:val="7C411B9F"/>
    <w:rsid w:val="7C472E22"/>
    <w:rsid w:val="7C484F09"/>
    <w:rsid w:val="7C4C689B"/>
    <w:rsid w:val="7C584AF2"/>
    <w:rsid w:val="7C5C40DC"/>
    <w:rsid w:val="7C5D270E"/>
    <w:rsid w:val="7C6105A6"/>
    <w:rsid w:val="7C64171D"/>
    <w:rsid w:val="7C675B3E"/>
    <w:rsid w:val="7C694ABE"/>
    <w:rsid w:val="7C6A6BE7"/>
    <w:rsid w:val="7C717FD3"/>
    <w:rsid w:val="7C735B9A"/>
    <w:rsid w:val="7C8308B4"/>
    <w:rsid w:val="7C85739F"/>
    <w:rsid w:val="7C983ED1"/>
    <w:rsid w:val="7CBD0384"/>
    <w:rsid w:val="7CDE62BD"/>
    <w:rsid w:val="7CE17284"/>
    <w:rsid w:val="7CE65DCB"/>
    <w:rsid w:val="7CEB1320"/>
    <w:rsid w:val="7CEF59D3"/>
    <w:rsid w:val="7CFE5A73"/>
    <w:rsid w:val="7D0928C0"/>
    <w:rsid w:val="7D0A0850"/>
    <w:rsid w:val="7D0B2DDA"/>
    <w:rsid w:val="7D277D86"/>
    <w:rsid w:val="7D3B40EB"/>
    <w:rsid w:val="7D4B0CCA"/>
    <w:rsid w:val="7D4C5F4F"/>
    <w:rsid w:val="7D4E7C8E"/>
    <w:rsid w:val="7D524CA0"/>
    <w:rsid w:val="7D537FD8"/>
    <w:rsid w:val="7D572AE9"/>
    <w:rsid w:val="7D587E84"/>
    <w:rsid w:val="7D5A2C0D"/>
    <w:rsid w:val="7D7012B4"/>
    <w:rsid w:val="7D707452"/>
    <w:rsid w:val="7D74681E"/>
    <w:rsid w:val="7D7F77CF"/>
    <w:rsid w:val="7D842FFB"/>
    <w:rsid w:val="7D8467DA"/>
    <w:rsid w:val="7D9038A9"/>
    <w:rsid w:val="7D9040F9"/>
    <w:rsid w:val="7DAA027A"/>
    <w:rsid w:val="7DAA227E"/>
    <w:rsid w:val="7DB85B2E"/>
    <w:rsid w:val="7DB87C6A"/>
    <w:rsid w:val="7DCC3657"/>
    <w:rsid w:val="7DCF6F80"/>
    <w:rsid w:val="7DD34774"/>
    <w:rsid w:val="7DD54962"/>
    <w:rsid w:val="7DD94F70"/>
    <w:rsid w:val="7DE022C4"/>
    <w:rsid w:val="7DE641B8"/>
    <w:rsid w:val="7DEB3426"/>
    <w:rsid w:val="7DF10092"/>
    <w:rsid w:val="7E025FF6"/>
    <w:rsid w:val="7E086D97"/>
    <w:rsid w:val="7E0C7F15"/>
    <w:rsid w:val="7E0E1928"/>
    <w:rsid w:val="7E145037"/>
    <w:rsid w:val="7E180108"/>
    <w:rsid w:val="7E1E0391"/>
    <w:rsid w:val="7E1F2853"/>
    <w:rsid w:val="7E207844"/>
    <w:rsid w:val="7E2241C4"/>
    <w:rsid w:val="7E3213DA"/>
    <w:rsid w:val="7E3B5B36"/>
    <w:rsid w:val="7E3F44A9"/>
    <w:rsid w:val="7E402EC3"/>
    <w:rsid w:val="7E4A59F2"/>
    <w:rsid w:val="7E4B3176"/>
    <w:rsid w:val="7E5640D5"/>
    <w:rsid w:val="7E5B6BA8"/>
    <w:rsid w:val="7E5B7B23"/>
    <w:rsid w:val="7E685761"/>
    <w:rsid w:val="7E6B1DDB"/>
    <w:rsid w:val="7E780E1F"/>
    <w:rsid w:val="7E9B2A79"/>
    <w:rsid w:val="7EA779D1"/>
    <w:rsid w:val="7EAF4BFC"/>
    <w:rsid w:val="7EB847FB"/>
    <w:rsid w:val="7EBA0B86"/>
    <w:rsid w:val="7EBD6B4C"/>
    <w:rsid w:val="7ED80242"/>
    <w:rsid w:val="7EE44E58"/>
    <w:rsid w:val="7EEF46E9"/>
    <w:rsid w:val="7EF56949"/>
    <w:rsid w:val="7EFF6C0C"/>
    <w:rsid w:val="7F065363"/>
    <w:rsid w:val="7F094D7B"/>
    <w:rsid w:val="7F0F4A76"/>
    <w:rsid w:val="7F1208A0"/>
    <w:rsid w:val="7F1A7D9F"/>
    <w:rsid w:val="7F1B6098"/>
    <w:rsid w:val="7F286305"/>
    <w:rsid w:val="7F361A13"/>
    <w:rsid w:val="7F4C573A"/>
    <w:rsid w:val="7F52116B"/>
    <w:rsid w:val="7F53769E"/>
    <w:rsid w:val="7F540F28"/>
    <w:rsid w:val="7F655133"/>
    <w:rsid w:val="7F6C0904"/>
    <w:rsid w:val="7F8727A9"/>
    <w:rsid w:val="7F8973FD"/>
    <w:rsid w:val="7F9F29D5"/>
    <w:rsid w:val="7FAB6E3A"/>
    <w:rsid w:val="7FAE675A"/>
    <w:rsid w:val="7FB076B0"/>
    <w:rsid w:val="7FB71996"/>
    <w:rsid w:val="7FC80DC8"/>
    <w:rsid w:val="7FCE1E53"/>
    <w:rsid w:val="7FD226E3"/>
    <w:rsid w:val="7FD50581"/>
    <w:rsid w:val="7FE54E0D"/>
    <w:rsid w:val="7FE81F72"/>
    <w:rsid w:val="7FE8205D"/>
    <w:rsid w:val="7FEB116D"/>
    <w:rsid w:val="7FF31F93"/>
    <w:rsid w:val="7FF505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djustRightInd w:val="0"/>
      <w:spacing w:before="240" w:after="240" w:line="520" w:lineRule="exact"/>
      <w:jc w:val="left"/>
      <w:outlineLvl w:val="0"/>
    </w:pPr>
    <w:rPr>
      <w:rFonts w:eastAsia="黑体"/>
      <w:bCs/>
      <w:kern w:val="44"/>
      <w:sz w:val="36"/>
      <w:szCs w:val="44"/>
    </w:rPr>
  </w:style>
  <w:style w:type="paragraph" w:styleId="3">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4"/>
    <w:qFormat/>
    <w:uiPriority w:val="0"/>
    <w:pPr>
      <w:keepNext/>
      <w:keepLines/>
      <w:spacing w:before="260" w:after="260" w:line="416"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6">
    <w:name w:val="Normal Indent"/>
    <w:basedOn w:val="1"/>
    <w:link w:val="76"/>
    <w:qFormat/>
    <w:uiPriority w:val="99"/>
    <w:pPr>
      <w:spacing w:line="360" w:lineRule="auto"/>
      <w:ind w:firstLine="480" w:firstLineChars="200"/>
    </w:pPr>
    <w:rPr>
      <w:sz w:val="24"/>
      <w:szCs w:val="24"/>
    </w:rPr>
  </w:style>
  <w:style w:type="paragraph" w:styleId="7">
    <w:name w:val="Document Map"/>
    <w:basedOn w:val="1"/>
    <w:link w:val="46"/>
    <w:qFormat/>
    <w:uiPriority w:val="0"/>
    <w:rPr>
      <w:rFonts w:ascii="宋体"/>
      <w:sz w:val="18"/>
      <w:szCs w:val="18"/>
    </w:rPr>
  </w:style>
  <w:style w:type="paragraph" w:styleId="8">
    <w:name w:val="Body Text"/>
    <w:basedOn w:val="1"/>
    <w:qFormat/>
    <w:uiPriority w:val="0"/>
    <w:pPr>
      <w:spacing w:after="120"/>
    </w:pPr>
  </w:style>
  <w:style w:type="paragraph" w:styleId="9">
    <w:name w:val="Body Text Indent"/>
    <w:basedOn w:val="1"/>
    <w:qFormat/>
    <w:uiPriority w:val="0"/>
    <w:pPr>
      <w:ind w:firstLine="640" w:firstLineChars="200"/>
    </w:pPr>
    <w:rPr>
      <w:sz w:val="32"/>
    </w:rPr>
  </w:style>
  <w:style w:type="paragraph" w:styleId="10">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1">
    <w:name w:val="toc 3"/>
    <w:basedOn w:val="1"/>
    <w:next w:val="1"/>
    <w:qFormat/>
    <w:uiPriority w:val="39"/>
    <w:pPr>
      <w:ind w:left="840" w:leftChars="400"/>
    </w:pPr>
  </w:style>
  <w:style w:type="paragraph" w:styleId="12">
    <w:name w:val="Plain Text"/>
    <w:basedOn w:val="1"/>
    <w:link w:val="43"/>
    <w:qFormat/>
    <w:uiPriority w:val="0"/>
    <w:rPr>
      <w:rFonts w:ascii="宋体" w:hAnsi="Courier New"/>
      <w:szCs w:val="24"/>
    </w:rPr>
  </w:style>
  <w:style w:type="paragraph" w:styleId="1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4">
    <w:name w:val="Date"/>
    <w:basedOn w:val="1"/>
    <w:next w:val="1"/>
    <w:qFormat/>
    <w:uiPriority w:val="0"/>
    <w:rPr>
      <w:sz w:val="28"/>
    </w:rPr>
  </w:style>
  <w:style w:type="paragraph" w:styleId="15">
    <w:name w:val="Body Text Indent 2"/>
    <w:basedOn w:val="1"/>
    <w:link w:val="70"/>
    <w:qFormat/>
    <w:uiPriority w:val="0"/>
    <w:pPr>
      <w:spacing w:after="120" w:line="480" w:lineRule="auto"/>
      <w:ind w:left="420" w:leftChars="200"/>
    </w:pPr>
  </w:style>
  <w:style w:type="paragraph" w:styleId="16">
    <w:name w:val="Balloon Text"/>
    <w:basedOn w:val="1"/>
    <w:link w:val="41"/>
    <w:qFormat/>
    <w:uiPriority w:val="0"/>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5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Subtitle"/>
    <w:basedOn w:val="1"/>
    <w:next w:val="1"/>
    <w:link w:val="89"/>
    <w:qFormat/>
    <w:uiPriority w:val="0"/>
    <w:pPr>
      <w:widowControl/>
      <w:suppressLineNumbers/>
      <w:tabs>
        <w:tab w:val="center" w:pos="4440"/>
        <w:tab w:val="right" w:pos="9000"/>
      </w:tabs>
      <w:wordWrap w:val="0"/>
      <w:spacing w:line="360" w:lineRule="auto"/>
      <w:contextualSpacing/>
      <w:jc w:val="left"/>
    </w:pPr>
    <w:rPr>
      <w:rFonts w:eastAsia="仿宋_GB2312"/>
      <w:bCs/>
      <w:kern w:val="28"/>
      <w:sz w:val="24"/>
      <w:szCs w:val="3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FollowedHyperlink"/>
    <w:basedOn w:val="28"/>
    <w:semiHidden/>
    <w:unhideWhenUsed/>
    <w:qFormat/>
    <w:uiPriority w:val="99"/>
    <w:rPr>
      <w:color w:val="954F72"/>
      <w:u w:val="single"/>
    </w:rPr>
  </w:style>
  <w:style w:type="character" w:styleId="32">
    <w:name w:val="Hyperlink"/>
    <w:unhideWhenUsed/>
    <w:qFormat/>
    <w:uiPriority w:val="99"/>
    <w:rPr>
      <w:color w:val="0563C1"/>
      <w:u w:val="single"/>
    </w:rPr>
  </w:style>
  <w:style w:type="character" w:customStyle="1" w:styleId="33">
    <w:name w:val="标题 2 字符"/>
    <w:link w:val="3"/>
    <w:qFormat/>
    <w:uiPriority w:val="0"/>
    <w:rPr>
      <w:rFonts w:ascii="Arial" w:hAnsi="Arial" w:eastAsia="黑体"/>
      <w:b/>
      <w:bCs/>
      <w:kern w:val="2"/>
      <w:sz w:val="32"/>
      <w:szCs w:val="32"/>
    </w:rPr>
  </w:style>
  <w:style w:type="character" w:customStyle="1" w:styleId="34">
    <w:name w:val="标题 3 字符"/>
    <w:link w:val="4"/>
    <w:qFormat/>
    <w:uiPriority w:val="0"/>
    <w:rPr>
      <w:b/>
      <w:bCs/>
      <w:kern w:val="2"/>
      <w:sz w:val="32"/>
      <w:szCs w:val="32"/>
    </w:rPr>
  </w:style>
  <w:style w:type="character" w:customStyle="1" w:styleId="35">
    <w:name w:val="font21"/>
    <w:qFormat/>
    <w:uiPriority w:val="0"/>
    <w:rPr>
      <w:rFonts w:hint="default" w:ascii="Times New Roman" w:hAnsi="Times New Roman" w:cs="Times New Roman"/>
      <w:color w:val="000000"/>
      <w:sz w:val="21"/>
      <w:szCs w:val="21"/>
      <w:u w:val="none"/>
    </w:rPr>
  </w:style>
  <w:style w:type="character" w:customStyle="1" w:styleId="36">
    <w:name w:val="表格标题 Char Char"/>
    <w:link w:val="37"/>
    <w:qFormat/>
    <w:uiPriority w:val="0"/>
    <w:rPr>
      <w:b/>
      <w:spacing w:val="20"/>
      <w:kern w:val="0"/>
    </w:rPr>
  </w:style>
  <w:style w:type="paragraph" w:customStyle="1" w:styleId="37">
    <w:name w:val="表格标题"/>
    <w:basedOn w:val="1"/>
    <w:link w:val="36"/>
    <w:qFormat/>
    <w:uiPriority w:val="0"/>
    <w:pPr>
      <w:tabs>
        <w:tab w:val="left" w:pos="3420"/>
      </w:tabs>
      <w:adjustRightInd w:val="0"/>
      <w:snapToGrid w:val="0"/>
      <w:spacing w:beforeLines="50" w:afterLines="50"/>
      <w:jc w:val="center"/>
    </w:pPr>
    <w:rPr>
      <w:b/>
      <w:spacing w:val="20"/>
      <w:kern w:val="0"/>
      <w:sz w:val="20"/>
    </w:rPr>
  </w:style>
  <w:style w:type="character" w:customStyle="1" w:styleId="38">
    <w:name w:val="页脚 字符"/>
    <w:link w:val="17"/>
    <w:qFormat/>
    <w:uiPriority w:val="99"/>
    <w:rPr>
      <w:kern w:val="2"/>
      <w:sz w:val="18"/>
      <w:szCs w:val="18"/>
    </w:rPr>
  </w:style>
  <w:style w:type="character" w:customStyle="1" w:styleId="39">
    <w:name w:val="font31"/>
    <w:qFormat/>
    <w:uiPriority w:val="0"/>
    <w:rPr>
      <w:rFonts w:hint="eastAsia" w:ascii="宋体" w:hAnsi="宋体" w:eastAsia="宋体" w:cs="宋体"/>
      <w:color w:val="000000"/>
      <w:sz w:val="21"/>
      <w:szCs w:val="21"/>
      <w:u w:val="none"/>
    </w:rPr>
  </w:style>
  <w:style w:type="character" w:customStyle="1" w:styleId="40">
    <w:name w:val="批注框文本 Char"/>
    <w:qFormat/>
    <w:uiPriority w:val="0"/>
    <w:rPr>
      <w:kern w:val="2"/>
      <w:sz w:val="18"/>
      <w:szCs w:val="18"/>
    </w:rPr>
  </w:style>
  <w:style w:type="character" w:customStyle="1" w:styleId="41">
    <w:name w:val="批注框文本 字符"/>
    <w:link w:val="16"/>
    <w:qFormat/>
    <w:uiPriority w:val="0"/>
    <w:rPr>
      <w:kern w:val="2"/>
      <w:sz w:val="18"/>
      <w:szCs w:val="18"/>
    </w:rPr>
  </w:style>
  <w:style w:type="character" w:customStyle="1" w:styleId="42">
    <w:name w:val="font41"/>
    <w:qFormat/>
    <w:uiPriority w:val="0"/>
    <w:rPr>
      <w:rFonts w:hint="default" w:ascii="Times New Roman" w:hAnsi="Times New Roman" w:cs="Times New Roman"/>
      <w:color w:val="000000"/>
      <w:sz w:val="21"/>
      <w:szCs w:val="21"/>
      <w:u w:val="none"/>
      <w:vertAlign w:val="superscript"/>
    </w:rPr>
  </w:style>
  <w:style w:type="character" w:customStyle="1" w:styleId="43">
    <w:name w:val="纯文本 字符"/>
    <w:link w:val="12"/>
    <w:qFormat/>
    <w:uiPriority w:val="0"/>
    <w:rPr>
      <w:rFonts w:ascii="宋体" w:hAnsi="Courier New"/>
      <w:kern w:val="2"/>
      <w:sz w:val="21"/>
      <w:szCs w:val="24"/>
    </w:rPr>
  </w:style>
  <w:style w:type="character" w:customStyle="1" w:styleId="44">
    <w:name w:val="纯文本 Char"/>
    <w:qFormat/>
    <w:uiPriority w:val="0"/>
    <w:rPr>
      <w:rFonts w:ascii="宋体" w:hAnsi="Courier New" w:cs="Courier New"/>
      <w:kern w:val="2"/>
      <w:sz w:val="21"/>
      <w:szCs w:val="21"/>
    </w:rPr>
  </w:style>
  <w:style w:type="character" w:customStyle="1" w:styleId="45">
    <w:name w:val="font11"/>
    <w:qFormat/>
    <w:uiPriority w:val="0"/>
    <w:rPr>
      <w:rFonts w:ascii="仿宋_GB2312" w:eastAsia="仿宋_GB2312" w:cs="仿宋_GB2312"/>
      <w:color w:val="000000"/>
      <w:sz w:val="21"/>
      <w:szCs w:val="21"/>
      <w:u w:val="none"/>
    </w:rPr>
  </w:style>
  <w:style w:type="character" w:customStyle="1" w:styleId="46">
    <w:name w:val="文档结构图 字符"/>
    <w:link w:val="7"/>
    <w:qFormat/>
    <w:uiPriority w:val="0"/>
    <w:rPr>
      <w:rFonts w:ascii="宋体"/>
      <w:kern w:val="2"/>
      <w:sz w:val="18"/>
      <w:szCs w:val="18"/>
    </w:rPr>
  </w:style>
  <w:style w:type="paragraph" w:customStyle="1" w:styleId="47">
    <w:name w:val="表头"/>
    <w:basedOn w:val="1"/>
    <w:qFormat/>
    <w:uiPriority w:val="0"/>
    <w:pPr>
      <w:spacing w:line="360" w:lineRule="auto"/>
      <w:ind w:firstLine="200" w:firstLineChars="200"/>
      <w:jc w:val="center"/>
    </w:pPr>
    <w:rPr>
      <w:b/>
      <w:kern w:val="0"/>
      <w:sz w:val="24"/>
    </w:rPr>
  </w:style>
  <w:style w:type="paragraph" w:customStyle="1" w:styleId="48">
    <w:name w:val="公式1"/>
    <w:basedOn w:val="49"/>
    <w:qFormat/>
    <w:uiPriority w:val="0"/>
    <w:pPr>
      <w:ind w:firstLine="700" w:firstLineChars="700"/>
    </w:pPr>
    <w:rPr>
      <w:spacing w:val="-6"/>
    </w:rPr>
  </w:style>
  <w:style w:type="paragraph" w:customStyle="1" w:styleId="49">
    <w:name w:val="文本样式"/>
    <w:basedOn w:val="50"/>
    <w:qFormat/>
    <w:uiPriority w:val="0"/>
    <w:pPr>
      <w:ind w:firstLine="536"/>
    </w:pPr>
    <w:rPr>
      <w:spacing w:val="0"/>
      <w:sz w:val="28"/>
    </w:rPr>
  </w:style>
  <w:style w:type="paragraph" w:customStyle="1" w:styleId="50">
    <w:name w:val="全文文本4号"/>
    <w:basedOn w:val="1"/>
    <w:qFormat/>
    <w:uiPriority w:val="99"/>
    <w:pPr>
      <w:spacing w:line="360" w:lineRule="auto"/>
      <w:ind w:firstLine="200" w:firstLineChars="200"/>
    </w:pPr>
    <w:rPr>
      <w:spacing w:val="-6"/>
      <w:kern w:val="0"/>
      <w:sz w:val="24"/>
    </w:rPr>
  </w:style>
  <w:style w:type="paragraph" w:customStyle="1" w:styleId="51">
    <w:name w:val="排版好烦啊 标题2"/>
    <w:basedOn w:val="1"/>
    <w:qFormat/>
    <w:uiPriority w:val="0"/>
    <w:pPr>
      <w:keepNext/>
      <w:keepLines/>
      <w:spacing w:before="120" w:after="120" w:line="520" w:lineRule="exact"/>
      <w:outlineLvl w:val="1"/>
    </w:pPr>
    <w:rPr>
      <w:rFonts w:eastAsia="仿宋_GB2312"/>
      <w:b/>
      <w:bCs/>
      <w:sz w:val="32"/>
    </w:rPr>
  </w:style>
  <w:style w:type="paragraph" w:customStyle="1" w:styleId="52">
    <w:name w:val="样式 样式 仿宋_GB2312 六号 首行缩进:  2 字符 行距: 固定值 28 磅 + 首行缩进:  2 字符"/>
    <w:basedOn w:val="1"/>
    <w:qFormat/>
    <w:uiPriority w:val="0"/>
    <w:pPr>
      <w:ind w:firstLine="300" w:firstLineChars="200"/>
      <w:jc w:val="left"/>
    </w:pPr>
    <w:rPr>
      <w:rFonts w:ascii="仿宋_GB2312" w:eastAsia="仿宋_GB2312" w:cs="宋体"/>
      <w:sz w:val="15"/>
    </w:rPr>
  </w:style>
  <w:style w:type="paragraph" w:customStyle="1" w:styleId="53">
    <w:name w:val="表格文字1"/>
    <w:basedOn w:val="1"/>
    <w:qFormat/>
    <w:uiPriority w:val="0"/>
    <w:pPr>
      <w:spacing w:line="240" w:lineRule="atLeast"/>
      <w:jc w:val="center"/>
    </w:pPr>
    <w:rPr>
      <w:kern w:val="0"/>
      <w:sz w:val="24"/>
    </w:rPr>
  </w:style>
  <w:style w:type="character" w:customStyle="1" w:styleId="54">
    <w:name w:val="页眉 字符"/>
    <w:link w:val="18"/>
    <w:qFormat/>
    <w:uiPriority w:val="0"/>
    <w:rPr>
      <w:kern w:val="2"/>
      <w:sz w:val="18"/>
    </w:rPr>
  </w:style>
  <w:style w:type="paragraph" w:customStyle="1" w:styleId="55">
    <w:name w:val="正文啊"/>
    <w:basedOn w:val="1"/>
    <w:link w:val="56"/>
    <w:qFormat/>
    <w:uiPriority w:val="0"/>
    <w:pPr>
      <w:ind w:firstLine="560" w:firstLineChars="200"/>
    </w:pPr>
    <w:rPr>
      <w:sz w:val="28"/>
      <w:szCs w:val="28"/>
    </w:rPr>
  </w:style>
  <w:style w:type="character" w:customStyle="1" w:styleId="56">
    <w:name w:val="正文啊 Char"/>
    <w:link w:val="55"/>
    <w:qFormat/>
    <w:uiPriority w:val="0"/>
    <w:rPr>
      <w:kern w:val="2"/>
      <w:sz w:val="28"/>
      <w:szCs w:val="28"/>
    </w:rPr>
  </w:style>
  <w:style w:type="paragraph" w:customStyle="1" w:styleId="57">
    <w:name w:val="TOC 标题1"/>
    <w:basedOn w:val="2"/>
    <w:next w:val="1"/>
    <w:qFormat/>
    <w:uiPriority w:val="39"/>
    <w:pPr>
      <w:widowControl/>
      <w:adjustRightInd/>
      <w:spacing w:after="0" w:line="259" w:lineRule="auto"/>
      <w:outlineLvl w:val="9"/>
    </w:pPr>
    <w:rPr>
      <w:rFonts w:ascii="等线 Light" w:hAnsi="等线 Light" w:eastAsia="等线 Light"/>
      <w:bCs w:val="0"/>
      <w:color w:val="2F5496"/>
      <w:kern w:val="0"/>
      <w:sz w:val="32"/>
      <w:szCs w:val="32"/>
    </w:rPr>
  </w:style>
  <w:style w:type="paragraph" w:customStyle="1" w:styleId="58">
    <w:name w:val="表内文字"/>
    <w:basedOn w:val="1"/>
    <w:qFormat/>
    <w:uiPriority w:val="0"/>
    <w:pPr>
      <w:jc w:val="center"/>
    </w:pPr>
    <w:rPr>
      <w:snapToGrid w:val="0"/>
      <w:kern w:val="0"/>
    </w:rPr>
  </w:style>
  <w:style w:type="paragraph" w:customStyle="1" w:styleId="59">
    <w:name w:val="样式 行距: 最小值 25 磅"/>
    <w:basedOn w:val="1"/>
    <w:qFormat/>
    <w:uiPriority w:val="0"/>
    <w:pPr>
      <w:overflowPunct w:val="0"/>
      <w:adjustRightInd w:val="0"/>
      <w:spacing w:line="560" w:lineRule="exact"/>
      <w:jc w:val="center"/>
      <w:textAlignment w:val="baseline"/>
    </w:pPr>
    <w:rPr>
      <w:rFonts w:ascii="黑体" w:eastAsia="黑体"/>
      <w:snapToGrid w:val="0"/>
      <w:kern w:val="28"/>
      <w:sz w:val="24"/>
      <w:szCs w:val="24"/>
    </w:rPr>
  </w:style>
  <w:style w:type="paragraph" w:customStyle="1" w:styleId="60">
    <w:name w:val="排版真烦之正文"/>
    <w:basedOn w:val="1"/>
    <w:qFormat/>
    <w:uiPriority w:val="0"/>
    <w:pPr>
      <w:autoSpaceDE w:val="0"/>
      <w:autoSpaceDN w:val="0"/>
      <w:spacing w:line="520" w:lineRule="exact"/>
      <w:ind w:firstLine="200" w:firstLineChars="200"/>
    </w:pPr>
    <w:rPr>
      <w:rFonts w:eastAsia="仿宋_GB2312"/>
      <w:color w:val="000000"/>
      <w:sz w:val="28"/>
      <w:szCs w:val="28"/>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排版好烦啊  标题1"/>
    <w:basedOn w:val="2"/>
    <w:qFormat/>
    <w:uiPriority w:val="0"/>
    <w:pPr>
      <w:adjustRightInd/>
      <w:spacing w:before="120" w:after="120"/>
      <w:jc w:val="both"/>
    </w:pPr>
    <w:rPr>
      <w:szCs w:val="36"/>
    </w:rPr>
  </w:style>
  <w:style w:type="paragraph" w:customStyle="1" w:styleId="63">
    <w:name w:val="正文正文 9999999999"/>
    <w:basedOn w:val="1"/>
    <w:qFormat/>
    <w:uiPriority w:val="0"/>
    <w:pPr>
      <w:spacing w:line="360" w:lineRule="auto"/>
      <w:ind w:firstLine="200" w:firstLineChars="200"/>
    </w:pPr>
    <w:rPr>
      <w:rFonts w:eastAsia="Times New Roman" w:cs="宋体"/>
      <w:sz w:val="28"/>
    </w:rPr>
  </w:style>
  <w:style w:type="paragraph" w:customStyle="1" w:styleId="64">
    <w:name w:val="表格后空间"/>
    <w:basedOn w:val="1"/>
    <w:qFormat/>
    <w:uiPriority w:val="0"/>
    <w:pPr>
      <w:spacing w:line="200" w:lineRule="exact"/>
      <w:ind w:firstLine="200" w:firstLineChars="200"/>
    </w:pPr>
    <w:rPr>
      <w:kern w:val="28"/>
      <w:sz w:val="28"/>
      <w:lang w:val="zh-CN"/>
    </w:rPr>
  </w:style>
  <w:style w:type="paragraph" w:customStyle="1" w:styleId="65">
    <w:name w:val="公式解释"/>
    <w:basedOn w:val="1"/>
    <w:qFormat/>
    <w:uiPriority w:val="0"/>
    <w:pPr>
      <w:spacing w:line="360" w:lineRule="auto"/>
      <w:ind w:firstLine="1340" w:firstLineChars="500"/>
    </w:pPr>
    <w:rPr>
      <w:spacing w:val="-6"/>
      <w:kern w:val="0"/>
      <w:sz w:val="28"/>
    </w:rPr>
  </w:style>
  <w:style w:type="paragraph" w:customStyle="1" w:styleId="66">
    <w:name w:val="xl27"/>
    <w:basedOn w:val="1"/>
    <w:qFormat/>
    <w:uiPriority w:val="0"/>
    <w:pPr>
      <w:widowControl/>
      <w:pBdr>
        <w:bottom w:val="single" w:color="auto" w:sz="8" w:space="0"/>
        <w:right w:val="single" w:color="auto" w:sz="4" w:space="0"/>
      </w:pBdr>
      <w:spacing w:before="100" w:after="100"/>
      <w:jc w:val="center"/>
    </w:pPr>
    <w:rPr>
      <w:rFonts w:ascii="宋体" w:hAnsi="宋体"/>
      <w:kern w:val="0"/>
    </w:rPr>
  </w:style>
  <w:style w:type="paragraph" w:customStyle="1" w:styleId="67">
    <w:name w:val="_Style 32"/>
    <w:basedOn w:val="1"/>
    <w:next w:val="1"/>
    <w:qFormat/>
    <w:uiPriority w:val="39"/>
    <w:pPr>
      <w:ind w:left="840" w:leftChars="400"/>
    </w:pPr>
  </w:style>
  <w:style w:type="paragraph" w:customStyle="1" w:styleId="6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9">
    <w:name w:val="排版好烦啊  标题3"/>
    <w:basedOn w:val="1"/>
    <w:qFormat/>
    <w:uiPriority w:val="0"/>
    <w:pPr>
      <w:keepNext/>
      <w:keepLines/>
      <w:spacing w:before="120" w:after="120" w:line="520" w:lineRule="exact"/>
      <w:outlineLvl w:val="2"/>
    </w:pPr>
    <w:rPr>
      <w:rFonts w:eastAsia="仿宋_GB2312"/>
      <w:b/>
      <w:bCs/>
      <w:sz w:val="30"/>
      <w:szCs w:val="30"/>
    </w:rPr>
  </w:style>
  <w:style w:type="character" w:customStyle="1" w:styleId="70">
    <w:name w:val="正文文本缩进 2 字符"/>
    <w:basedOn w:val="28"/>
    <w:link w:val="15"/>
    <w:qFormat/>
    <w:uiPriority w:val="0"/>
    <w:rPr>
      <w:kern w:val="2"/>
      <w:sz w:val="21"/>
    </w:rPr>
  </w:style>
  <w:style w:type="paragraph" w:customStyle="1" w:styleId="71">
    <w:name w:val="默认段落字体 Para Char Char Char Char Char Char Char Char Char Char"/>
    <w:basedOn w:val="1"/>
    <w:qFormat/>
    <w:uiPriority w:val="0"/>
    <w:pPr>
      <w:adjustRightInd w:val="0"/>
      <w:snapToGrid w:val="0"/>
      <w:spacing w:line="500" w:lineRule="exact"/>
      <w:ind w:firstLine="200" w:firstLineChars="200"/>
    </w:pPr>
    <w:rPr>
      <w:rFonts w:eastAsia="仿宋_GB2312"/>
      <w:sz w:val="28"/>
      <w:szCs w:val="28"/>
    </w:rPr>
  </w:style>
  <w:style w:type="paragraph" w:customStyle="1" w:styleId="72">
    <w:name w:val="样式 仿宋_GB2312 三号 行距: 1.5 倍行距"/>
    <w:basedOn w:val="1"/>
    <w:qFormat/>
    <w:uiPriority w:val="0"/>
    <w:pPr>
      <w:spacing w:line="360" w:lineRule="auto"/>
      <w:ind w:firstLine="640" w:firstLineChars="200"/>
    </w:pPr>
    <w:rPr>
      <w:rFonts w:ascii="仿宋_GB2312" w:hAnsi="宋体" w:eastAsia="仿宋_GB2312" w:cs="宋体"/>
      <w:sz w:val="28"/>
    </w:rPr>
  </w:style>
  <w:style w:type="paragraph" w:customStyle="1" w:styleId="73">
    <w:name w:val="样式 四号 首行缩进:  2 字符"/>
    <w:basedOn w:val="1"/>
    <w:link w:val="74"/>
    <w:qFormat/>
    <w:uiPriority w:val="0"/>
    <w:pPr>
      <w:overflowPunct w:val="0"/>
      <w:spacing w:line="360" w:lineRule="auto"/>
      <w:ind w:firstLine="200" w:firstLineChars="200"/>
    </w:pPr>
    <w:rPr>
      <w:rFonts w:eastAsia="仿宋_GB2312" w:cs="宋体"/>
      <w:kern w:val="0"/>
      <w:sz w:val="24"/>
    </w:rPr>
  </w:style>
  <w:style w:type="character" w:customStyle="1" w:styleId="74">
    <w:name w:val="样式 四号 首行缩进:  2 字符 Char Char"/>
    <w:link w:val="73"/>
    <w:qFormat/>
    <w:uiPriority w:val="0"/>
    <w:rPr>
      <w:rFonts w:eastAsia="仿宋_GB2312" w:cs="宋体"/>
      <w:sz w:val="24"/>
    </w:rPr>
  </w:style>
  <w:style w:type="paragraph" w:customStyle="1" w:styleId="75">
    <w:name w:val="济渡池桥正文"/>
    <w:qFormat/>
    <w:uiPriority w:val="0"/>
    <w:pPr>
      <w:ind w:firstLine="616" w:firstLineChars="200"/>
      <w:jc w:val="both"/>
    </w:pPr>
    <w:rPr>
      <w:rFonts w:ascii="仿宋_GB2312" w:hAnsi="宋体" w:eastAsia="仿宋_GB2312" w:cs="Times New Roman"/>
      <w:spacing w:val="-6"/>
      <w:kern w:val="2"/>
      <w:sz w:val="32"/>
      <w:szCs w:val="32"/>
      <w:lang w:val="en-US" w:eastAsia="zh-CN" w:bidi="ar-SA"/>
    </w:rPr>
  </w:style>
  <w:style w:type="character" w:customStyle="1" w:styleId="76">
    <w:name w:val="正文缩进 字符"/>
    <w:basedOn w:val="28"/>
    <w:link w:val="6"/>
    <w:qFormat/>
    <w:uiPriority w:val="99"/>
    <w:rPr>
      <w:kern w:val="2"/>
      <w:sz w:val="24"/>
      <w:szCs w:val="24"/>
    </w:rPr>
  </w:style>
  <w:style w:type="paragraph" w:customStyle="1" w:styleId="77">
    <w:name w:val="_1 Cover"/>
    <w:basedOn w:val="1"/>
    <w:qFormat/>
    <w:uiPriority w:val="0"/>
    <w:pPr>
      <w:spacing w:line="312" w:lineRule="auto"/>
    </w:pPr>
    <w:rPr>
      <w:sz w:val="24"/>
      <w:szCs w:val="21"/>
    </w:rPr>
  </w:style>
  <w:style w:type="paragraph" w:customStyle="1" w:styleId="7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79">
    <w:name w:val="List Paragraph"/>
    <w:basedOn w:val="1"/>
    <w:unhideWhenUsed/>
    <w:qFormat/>
    <w:uiPriority w:val="1"/>
    <w:pPr>
      <w:suppressLineNumbers/>
      <w:suppressAutoHyphens/>
      <w:spacing w:line="360" w:lineRule="auto"/>
      <w:ind w:firstLine="200" w:firstLineChars="200"/>
      <w:contextualSpacing/>
      <w:jc w:val="left"/>
    </w:pPr>
    <w:rPr>
      <w:rFonts w:cstheme="minorBidi"/>
      <w:sz w:val="28"/>
      <w:szCs w:val="22"/>
    </w:rPr>
  </w:style>
  <w:style w:type="paragraph" w:customStyle="1" w:styleId="80">
    <w:name w:val="列出段落1"/>
    <w:basedOn w:val="1"/>
    <w:qFormat/>
    <w:uiPriority w:val="34"/>
    <w:pPr>
      <w:suppressLineNumbers/>
      <w:suppressAutoHyphens/>
      <w:spacing w:line="360" w:lineRule="auto"/>
      <w:ind w:firstLine="420"/>
      <w:contextualSpacing/>
      <w:jc w:val="left"/>
    </w:pPr>
    <w:rPr>
      <w:rFonts w:cstheme="minorBidi"/>
      <w:sz w:val="28"/>
      <w:szCs w:val="22"/>
    </w:rPr>
  </w:style>
  <w:style w:type="character" w:customStyle="1" w:styleId="81">
    <w:name w:val="未处理的提及1"/>
    <w:basedOn w:val="28"/>
    <w:semiHidden/>
    <w:unhideWhenUsed/>
    <w:qFormat/>
    <w:uiPriority w:val="99"/>
    <w:rPr>
      <w:color w:val="605E5C"/>
      <w:shd w:val="clear" w:color="auto" w:fill="E1DFDD"/>
    </w:rPr>
  </w:style>
  <w:style w:type="character" w:customStyle="1" w:styleId="82">
    <w:name w:val="样式表 Char"/>
    <w:link w:val="83"/>
    <w:qFormat/>
    <w:uiPriority w:val="0"/>
    <w:rPr>
      <w:rFonts w:eastAsia="仿宋_GB2312"/>
      <w:color w:val="000000"/>
      <w:sz w:val="21"/>
      <w:szCs w:val="24"/>
    </w:rPr>
  </w:style>
  <w:style w:type="paragraph" w:customStyle="1" w:styleId="83">
    <w:name w:val="样式表"/>
    <w:basedOn w:val="1"/>
    <w:link w:val="82"/>
    <w:qFormat/>
    <w:uiPriority w:val="0"/>
    <w:pPr>
      <w:overflowPunct w:val="0"/>
      <w:jc w:val="center"/>
    </w:pPr>
    <w:rPr>
      <w:rFonts w:eastAsia="仿宋_GB2312"/>
      <w:color w:val="000000"/>
      <w:kern w:val="0"/>
      <w:szCs w:val="24"/>
    </w:rPr>
  </w:style>
  <w:style w:type="paragraph" w:customStyle="1" w:styleId="84">
    <w:name w:val="正文文本缩进1"/>
    <w:basedOn w:val="1"/>
    <w:qFormat/>
    <w:uiPriority w:val="99"/>
    <w:pPr>
      <w:spacing w:after="120"/>
      <w:ind w:left="420" w:leftChars="200" w:firstLine="200" w:firstLineChars="200"/>
    </w:pPr>
    <w:rPr>
      <w:rFonts w:eastAsia="仿宋_GB2312"/>
      <w:sz w:val="24"/>
      <w:szCs w:val="24"/>
    </w:rPr>
  </w:style>
  <w:style w:type="paragraph" w:customStyle="1" w:styleId="85">
    <w:name w:val="公式"/>
    <w:basedOn w:val="1"/>
    <w:qFormat/>
    <w:uiPriority w:val="0"/>
    <w:pPr>
      <w:jc w:val="center"/>
    </w:pPr>
  </w:style>
  <w:style w:type="paragraph" w:customStyle="1" w:styleId="86">
    <w:name w:val="公式2"/>
    <w:basedOn w:val="1"/>
    <w:qFormat/>
    <w:uiPriority w:val="0"/>
    <w:pPr>
      <w:ind w:firstLine="300" w:firstLineChars="300"/>
    </w:pPr>
    <w:rPr>
      <w:kern w:val="44"/>
    </w:rPr>
  </w:style>
  <w:style w:type="paragraph" w:customStyle="1" w:styleId="87">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4"/>
      <w:szCs w:val="24"/>
    </w:rPr>
  </w:style>
  <w:style w:type="character" w:customStyle="1" w:styleId="88">
    <w:name w:val="正文缩进 字符2"/>
    <w:basedOn w:val="28"/>
    <w:qFormat/>
    <w:locked/>
    <w:uiPriority w:val="99"/>
    <w:rPr>
      <w:rFonts w:ascii="Times New Roman" w:hAnsi="Times New Roman"/>
      <w:sz w:val="24"/>
      <w:szCs w:val="24"/>
    </w:rPr>
  </w:style>
  <w:style w:type="character" w:customStyle="1" w:styleId="89">
    <w:name w:val="副标题 字符"/>
    <w:basedOn w:val="28"/>
    <w:link w:val="21"/>
    <w:qFormat/>
    <w:uiPriority w:val="0"/>
    <w:rPr>
      <w:rFonts w:eastAsia="仿宋_GB2312"/>
      <w:bCs/>
      <w:kern w:val="28"/>
      <w:sz w:val="24"/>
      <w:szCs w:val="32"/>
    </w:rPr>
  </w:style>
  <w:style w:type="paragraph" w:customStyle="1" w:styleId="90">
    <w:name w:val="xl150"/>
    <w:basedOn w:val="1"/>
    <w:qFormat/>
    <w:uiPriority w:val="0"/>
    <w:pPr>
      <w:widowControl/>
      <w:spacing w:before="100" w:beforeAutospacing="1" w:after="100" w:afterAutospacing="1" w:line="360" w:lineRule="auto"/>
      <w:jc w:val="center"/>
    </w:pPr>
    <w:rPr>
      <w:rFonts w:ascii="宋体" w:hAnsi="宋体" w:cs="宋体"/>
      <w:kern w:val="0"/>
      <w:sz w:val="24"/>
      <w:szCs w:val="24"/>
    </w:rPr>
  </w:style>
  <w:style w:type="character" w:customStyle="1" w:styleId="91">
    <w:name w:val="description"/>
    <w:basedOn w:val="28"/>
    <w:qFormat/>
    <w:uiPriority w:val="0"/>
  </w:style>
  <w:style w:type="character" w:customStyle="1" w:styleId="92">
    <w:name w:val="bjh-p"/>
    <w:basedOn w:val="28"/>
    <w:qFormat/>
    <w:uiPriority w:val="0"/>
  </w:style>
  <w:style w:type="paragraph" w:customStyle="1" w:styleId="93">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95">
    <w:name w:val="xl66"/>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9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9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01">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2">
    <w:name w:val="xl7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3">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4">
    <w:name w:val="xl75"/>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5">
    <w:name w:val="xl76"/>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0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0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09">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0">
    <w:name w:val="xl8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1">
    <w:name w:val="xl82"/>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2">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3">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14">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D28DD-D15F-4F18-96EA-D5A2AB252A2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121</Pages>
  <Words>53799</Words>
  <Characters>63413</Characters>
  <Lines>532</Lines>
  <Paragraphs>149</Paragraphs>
  <TotalTime>16625</TotalTime>
  <ScaleCrop>false</ScaleCrop>
  <LinksUpToDate>false</LinksUpToDate>
  <CharactersWithSpaces>64721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2020-04-11T09:03:00Z</dcterms:created>
  <dc:creator>leovo</dc:creator>
  <cp:lastModifiedBy>Administrator</cp:lastModifiedBy>
  <cp:lastPrinted>2023-09-06T06:43:00Z</cp:lastPrinted>
  <dcterms:modified xsi:type="dcterms:W3CDTF">2023-12-22T07:39:50Z</dcterms:modified>
  <dc:title>农业综合开发土地治理项目</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58217EC1EA884FEFBB798D5589027948_13</vt:lpwstr>
  </property>
</Properties>
</file>