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汤阴县人社局2023年政府信息公开工作年度报告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2023年度，汤阴县人社局围绕全县政务公开工作要求，继续创新公开机制，不断强化公开意识，持续突出公开重点，着力推进决策、执行、管理、服务、结果公开，进一步转变政府职能，深化简政放权，助力建设人民满意的服务型政府。</w:t>
      </w:r>
    </w:p>
    <w:p>
      <w:pPr>
        <w:pStyle w:val="Normal"/>
        <w:widowControl/>
        <w:shd w:color="auto" w:fill="FFFFFF" w:val="clear"/>
        <w:ind w:firstLine="480"/>
        <w:rPr>
          <w:rFonts w:ascii="宋体" w:cs="宋体" w:eastAsia="宋体" w:hAnsi="宋体"/>
          <w:color w:val="333333"/>
          <w:kern w:val="0"/>
          <w:sz w:val="24"/>
          <w:szCs w:val="24"/>
        </w:rPr>
      </w:pPr>
      <w:r>
        <w:t>（一）主动公开：</w:t>
      </w:r>
    </w:p>
    <w:p>
      <w:pPr>
        <w:pStyle w:val="Normal"/>
        <w:widowControl/>
        <w:shd w:color="auto" w:fill="FFFFFF" w:val="clear"/>
        <w:ind w:firstLine="480"/>
        <w:rPr>
          <w:rFonts w:ascii="宋体" w:cs="宋体" w:eastAsia="宋体" w:hAnsi="宋体"/>
          <w:color w:val="333333"/>
          <w:kern w:val="0"/>
          <w:sz w:val="24"/>
          <w:szCs w:val="24"/>
        </w:rPr>
      </w:pPr>
      <w:r>
        <w:t>我局高度重视政务信息公开的落实情况，组织专人负责，主动做好信息公开工作。发挥“汤阴县人社局”政务微信平台功能，及时推送人社政策、实时发布工作动态，依托“汤阴人力资源”小程序，搭建群众在线求职就业的平台，凭借“网络问政”专栏，倾听群众意见和建议，提高群众的政治参与，同时方便群众对我局工作的监督。</w:t>
      </w:r>
    </w:p>
    <w:p>
      <w:pPr>
        <w:pStyle w:val="Normal"/>
        <w:widowControl/>
        <w:shd w:color="auto" w:fill="FFFFFF" w:val="clear"/>
        <w:ind w:firstLine="480"/>
        <w:rPr>
          <w:rFonts w:ascii="宋体" w:cs="宋体" w:eastAsia="宋体" w:hAnsi="宋体"/>
          <w:color w:val="333333"/>
          <w:kern w:val="0"/>
          <w:sz w:val="24"/>
          <w:szCs w:val="24"/>
        </w:rPr>
      </w:pPr>
      <w:r>
        <w:t>（二）依申请公开：</w:t>
      </w:r>
    </w:p>
    <w:p>
      <w:pPr>
        <w:pStyle w:val="Normal"/>
        <w:widowControl/>
        <w:shd w:color="auto" w:fill="FFFFFF" w:val="clear"/>
        <w:ind w:firstLine="480"/>
        <w:rPr>
          <w:rFonts w:ascii="宋体" w:cs="宋体" w:eastAsia="宋体" w:hAnsi="宋体"/>
          <w:color w:val="333333"/>
          <w:kern w:val="0"/>
          <w:sz w:val="24"/>
          <w:szCs w:val="24"/>
        </w:rPr>
      </w:pPr>
      <w:r>
        <w:t>2023年度汤阴县人社局接到群众的政府信息公开申请0件。</w:t>
      </w:r>
    </w:p>
    <w:p>
      <w:pPr>
        <w:pStyle w:val="Normal"/>
        <w:widowControl/>
        <w:shd w:color="auto" w:fill="FFFFFF" w:val="clear"/>
        <w:ind w:firstLine="480"/>
        <w:rPr>
          <w:rFonts w:ascii="宋体" w:cs="宋体" w:eastAsia="宋体" w:hAnsi="宋体"/>
          <w:color w:val="333333"/>
          <w:kern w:val="0"/>
          <w:sz w:val="24"/>
          <w:szCs w:val="24"/>
        </w:rPr>
      </w:pPr>
      <w:r>
        <w:t>（三）政府信息管理：</w:t>
      </w:r>
    </w:p>
    <w:p>
      <w:pPr>
        <w:pStyle w:val="Normal"/>
        <w:widowControl/>
        <w:shd w:color="auto" w:fill="FFFFFF" w:val="clear"/>
        <w:ind w:firstLine="480"/>
        <w:rPr>
          <w:rFonts w:ascii="宋体" w:cs="宋体" w:eastAsia="宋体" w:hAnsi="宋体"/>
          <w:color w:val="333333"/>
          <w:kern w:val="0"/>
          <w:sz w:val="24"/>
          <w:szCs w:val="24"/>
        </w:rPr>
      </w:pPr>
      <w:r>
        <w:t>推动重点领域信息公开，加大政府信息公开和数据开放力度。重点关注就业和社会保险领域，多渠道公开各项就业创业政策、促进就业创业工作措施，相关就业创业补贴申领条件、社保领域办事指南、办理程序以及各项补贴发放结果公示；事业单位招聘公示等信息。在汤阴县人民政府网上回复群众咨询件，切实提高群众满意度。</w:t>
      </w:r>
    </w:p>
    <w:p>
      <w:pPr>
        <w:pStyle w:val="Normal"/>
        <w:widowControl/>
        <w:shd w:color="auto" w:fill="FFFFFF" w:val="clear"/>
        <w:ind w:firstLine="480"/>
        <w:rPr>
          <w:rFonts w:ascii="宋体" w:cs="宋体" w:eastAsia="宋体" w:hAnsi="宋体"/>
          <w:color w:val="333333"/>
          <w:kern w:val="0"/>
          <w:sz w:val="24"/>
          <w:szCs w:val="24"/>
        </w:rPr>
      </w:pPr>
      <w:r>
        <w:t>（四）政府信息公开平台建设：</w:t>
      </w:r>
    </w:p>
    <w:p>
      <w:pPr>
        <w:pStyle w:val="Normal"/>
        <w:widowControl/>
        <w:shd w:color="auto" w:fill="FFFFFF" w:val="clear"/>
        <w:ind w:firstLine="480"/>
        <w:rPr>
          <w:rFonts w:ascii="宋体" w:cs="宋体" w:eastAsia="宋体" w:hAnsi="宋体"/>
          <w:color w:val="333333"/>
          <w:kern w:val="0"/>
          <w:sz w:val="24"/>
          <w:szCs w:val="24"/>
        </w:rPr>
      </w:pPr>
      <w:r>
        <w:t>丰富平台建设，加强政务公开平台管理，补齐政务公开各项工作配套制度或操作办法，多平台多方式公开政务信息。设置了政务公开专栏、政务公开流程制度上墙、就业一卡通等宣传册、制作便民服务卡、公开单位办事内容和服务电话，依托汤阴县人民政府网和社保大厅两个重点公开渠道，及时集中主动面向社会公开。</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7</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59.8746</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本年度我局政务公开工作的主要问题体现在信息公开的及时性有待提高。</w:t>
      </w:r>
    </w:p>
    <w:p>
      <w:pPr>
        <w:pStyle w:val="Normal"/>
        <w:widowControl/>
        <w:shd w:color="auto" w:fill="FFFFFF" w:val="clear"/>
        <w:ind w:firstLine="480"/>
        <w:rPr>
          <w:rFonts w:ascii="宋体" w:cs="宋体" w:eastAsia="宋体" w:hAnsi="宋体"/>
          <w:color w:val="333333"/>
          <w:kern w:val="0"/>
          <w:sz w:val="24"/>
          <w:szCs w:val="24"/>
        </w:rPr>
      </w:pPr>
      <w:r>
        <w:t>接下来，我局将继续围绕县委、县政府提出的工作要求，结合我局实际情况，加强信息公开工作人员的学习和培训，进一步提高工作人员的政务信息公开的能力和自觉性；二是进一步创新政务公开的方式方法，丰富主动公开的内容和形式，及时回应社会关切，使政务公开工作更加规范、高效，三是强化依法公开意识，进一步增强工作人员对政务公开工作的重要性、必要性、及时性的准确认识。积极推进一般事项公开向重点事项公开，结果公开向全过程公开，进一步明确政务公开的范围、内容、形式、制度，主动公开机关职能、机构设置、办公地址、办公时间、联系方式、负责人姓名等基本信息，及时制定并更新主动公开基本目录，进一步提高政务公开的质量。</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本年度，本机关未收取信息公开处理费。</w:t>
      </w:r>
    </w:p>
    <w:p>
      <w:pPr>
        <w:pStyle w:val="Normal"/>
        <w:widowControl/>
        <w:shd w:color="auto" w:fill="FFFFFF" w:val="clear"/>
        <w:ind w:firstLine="480"/>
        <w:jc w:val="left"/>
        <w:rPr>
          <w:rFonts w:ascii="宋体" w:cs="宋体" w:eastAsia="宋体" w:hAnsi="宋体"/>
          <w:color w:val="333333"/>
          <w:kern w:val="0"/>
          <w:sz w:val="24"/>
          <w:szCs w:val="24"/>
        </w:rPr>
      </w:pPr>
      <w:r>
        <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