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15">
  <w:body>
    <w:p>
      <w:pPr>
        <w:pStyle w:val="Normal"/>
        <w:widowControl/>
        <w:shd w:color="auto" w:fill="FFFFFF" w:val="clear"/>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p>
      <w:pPr>
        <w:pStyle w:val="Normal"/>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汤阴县水利局2023年政府信息公开工作年度报告</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pStyle w:val="Normal"/>
        <w:widowControl/>
        <w:shd w:color="auto" w:fill="FFFFFF" w:val="clear"/>
        <w:ind w:firstLine="480"/>
        <w:rPr>
          <w:rFonts w:ascii="宋体" w:cs="宋体" w:eastAsia="宋体" w:hAnsi="宋体"/>
          <w:color w:val="333333"/>
          <w:kern w:val="0"/>
          <w:sz w:val="24"/>
          <w:szCs w:val="24"/>
        </w:rPr>
      </w:pPr>
      <w:r>
        <w:t>（一）主动公开：在县委、县政府的领导、政务公开领导小组办公室指导下，推进重点领域水利专栏信息公开，完善制度、健全机制，坚持把政务信息公开工作作为提升政府机关形象和工作作风的重要载体，推进政务公开工作深入开展。</w:t>
      </w:r>
    </w:p>
    <w:p>
      <w:pPr>
        <w:pStyle w:val="Normal"/>
        <w:widowControl/>
        <w:shd w:color="auto" w:fill="FFFFFF" w:val="clear"/>
        <w:ind w:firstLine="480"/>
        <w:rPr>
          <w:rFonts w:ascii="宋体" w:cs="宋体" w:eastAsia="宋体" w:hAnsi="宋体"/>
          <w:color w:val="333333"/>
          <w:kern w:val="0"/>
          <w:sz w:val="24"/>
          <w:szCs w:val="24"/>
        </w:rPr>
      </w:pPr>
      <w:r>
        <w:t>（二）依申请公开: 公开内容由局办公室协调，局属各股室、二级机构按照各自职能和工作职责提供，按照“谁提供、谁负责，逐级审核”的原则，由局主要领导审核后进行公开。</w:t>
      </w:r>
    </w:p>
    <w:p>
      <w:pPr>
        <w:pStyle w:val="Normal"/>
        <w:widowControl/>
        <w:shd w:color="auto" w:fill="FFFFFF" w:val="clear"/>
        <w:ind w:firstLine="480"/>
        <w:rPr>
          <w:rFonts w:ascii="宋体" w:cs="宋体" w:eastAsia="宋体" w:hAnsi="宋体"/>
          <w:color w:val="333333"/>
          <w:kern w:val="0"/>
          <w:sz w:val="24"/>
          <w:szCs w:val="24"/>
        </w:rPr>
      </w:pPr>
      <w:r>
        <w:t>（三）政府信息管理: 对水利领域相关规章、行政规范性文件及其他政策文件出台和更新情况按规定时限公开。</w:t>
      </w:r>
    </w:p>
    <w:p>
      <w:pPr>
        <w:pStyle w:val="Normal"/>
        <w:widowControl/>
        <w:shd w:color="auto" w:fill="FFFFFF" w:val="clear"/>
        <w:ind w:firstLine="480"/>
        <w:rPr>
          <w:rFonts w:ascii="宋体" w:cs="宋体" w:eastAsia="宋体" w:hAnsi="宋体"/>
          <w:color w:val="333333"/>
          <w:kern w:val="0"/>
          <w:sz w:val="24"/>
          <w:szCs w:val="24"/>
        </w:rPr>
      </w:pPr>
      <w:r>
        <w:t>（四）政府信息公开平台建设: 严格贯彻落实《中华人民共和国政府信息公开条例》，依法律、法规和国家有关规定对拟公开的政务信息进行严格审查。</w:t>
      </w:r>
    </w:p>
    <w:p>
      <w:pPr>
        <w:pStyle w:val="Normal"/>
        <w:widowControl/>
        <w:shd w:color="auto" w:fill="FFFFFF" w:val="clear"/>
        <w:ind w:firstLine="480"/>
        <w:rPr>
          <w:rFonts w:ascii="宋体" w:cs="宋体" w:eastAsia="宋体" w:hAnsi="宋体"/>
          <w:color w:val="333333"/>
          <w:kern w:val="0"/>
          <w:sz w:val="24"/>
          <w:szCs w:val="24"/>
        </w:rPr>
      </w:pPr>
      <w:r>
        <w:t>（五）监督保障: 由局主要负责同志任组长的领导小组，设办公室统一组织推进全局政务信息公开工作，确定专人负责信息发布，建立健全机制，明确职责。</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0"/>
        <w:jc w:val="center"/>
        <w:tblInd w:type="dxa" w:w="0"/>
        <w:tblLayout w:type="fixed"/>
        <w:tblCellMar>
          <w:top w:type="dxa" w:w="0"/>
          <w:left w:type="dxa" w:w="57"/>
          <w:bottom w:type="dxa" w:w="0"/>
          <w:right w:type="dxa" w:w="57"/>
        </w:tblCellMar>
        <w:tblLook w:firstColumn="1" w:firstRow="1" w:lastColumn="0" w:lastRow="0" w:noHBand="0" w:noVBand="1" w:val="04a0"/>
      </w:tblPr>
      <w:tblGrid>
        <w:gridCol w:w="2435"/>
        <w:gridCol w:w="2435"/>
        <w:gridCol w:w="2435"/>
        <w:gridCol w:w="2434"/>
      </w:tblGrid>
      <w:tr>
        <w:trPr>
          <w:trHeight w:hRule="atLeast" w:val="340"/>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28</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2</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trPr>
          <w:trHeight w:hRule="atLeast" w:val="340"/>
        </w:trPr>
        <w:tc>
          <w:tcPr>
            <w:tcW w:type="dxa" w:w="9739"/>
            <w:gridSpan w:val="4"/>
            <w:tcBorders>
              <w:left w:color="000000" w:space="0" w:sz="8" w:val="single"/>
              <w:bottom w:color="000000" w:space="0" w:sz="8" w:val="single"/>
              <w:right w:color="000000" w:space="0" w:sz="8" w:val="single"/>
            </w:tcBorders>
            <w:shd w:color="auto" w:fill="C6D9F1" w:val="clear"/>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trPr>
          <w:trHeight w:hRule="atLeast" w:val="340"/>
        </w:trPr>
        <w:tc>
          <w:tcPr>
            <w:tcW w:type="dxa" w:w="2435"/>
            <w:tcBorders>
              <w:left w:color="000000" w:space="0" w:sz="8" w:val="single"/>
              <w:bottom w:color="000000" w:space="0" w:sz="8" w:val="single"/>
              <w:right w:color="000000" w:space="0" w:sz="8" w:val="single"/>
            </w:tcBorders>
            <w:vAlign w:val="center"/>
          </w:tcPr>
          <w:p>
            <w:pPr>
              <w:pStyle w:val="Normal"/>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275.2283</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三、收到和处理政府信息公开申请情况</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769"/>
        <w:gridCol w:w="942"/>
        <w:gridCol w:w="3220"/>
        <w:gridCol w:w="688"/>
        <w:gridCol w:w="688"/>
        <w:gridCol w:w="689"/>
        <w:gridCol w:w="688"/>
        <w:gridCol w:w="687"/>
        <w:gridCol w:w="688"/>
        <w:gridCol w:w="688"/>
      </w:tblGrid>
      <w:tr>
        <w:trPr/>
        <w:tc>
          <w:tcPr>
            <w:tcW w:type="dxa" w:w="4931"/>
            <w:gridSpan w:val="3"/>
            <w:vMerge w:val="restart"/>
            <w:tcBorders>
              <w:top w:color="000000" w:space="0" w:sz="8" w:val="single"/>
              <w:left w:color="000000" w:space="0" w:sz="8" w:val="single"/>
              <w:bottom w:color="000000" w:space="0" w:sz="8" w:val="inset"/>
              <w:right w:color="000000" w:space="0" w:sz="8" w:val="single"/>
            </w:tcBorders>
            <w:vAlign w:val="center"/>
          </w:tcPr>
          <w:p>
            <w:pPr>
              <w:pStyle w:val="Normal"/>
              <w:widowControl/>
              <w:jc w:val="left"/>
              <w:rPr>
                <w:rFonts w:ascii="宋体" w:cs="宋体" w:eastAsia="宋体" w:hAnsi="宋体"/>
                <w:kern w:val="0"/>
                <w:sz w:val="24"/>
                <w:szCs w:val="24"/>
              </w:rPr>
            </w:pPr>
            <w:r>
              <w:rPr>
                <w:rFonts w:ascii="楷体" w:cs="宋体" w:eastAsia="楷体" w:hAnsi="楷体"/>
                <w:kern w:val="0"/>
                <w:sz w:val="20"/>
                <w:szCs w:val="20"/>
              </w:rPr>
              <w:t>（本列数据的勾稽关系为：第一项加第二项之和，等于第三项加第四项之和）</w:t>
            </w:r>
          </w:p>
        </w:tc>
        <w:tc>
          <w:tcPr>
            <w:tcW w:type="dxa" w:w="4816"/>
            <w:gridSpan w:val="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申请人情况</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restart"/>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bottom w:color="000000" w:space="0" w:sz="8" w:val="inset"/>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r>
      <w:tr>
        <w:trPr/>
        <w:tc>
          <w:tcPr>
            <w:tcW w:type="dxa" w:w="4931"/>
            <w:gridSpan w:val="3"/>
            <w:vMerge w:val="continue"/>
            <w:tcBorders>
              <w:top w:color="000000" w:space="0" w:sz="8" w:val="single"/>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vMerge w:val="continue"/>
            <w:tcBorders>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88"/>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商业</w:t>
            </w:r>
          </w:p>
          <w:p>
            <w:pPr>
              <w:pStyle w:val="Normal"/>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科研</w:t>
            </w:r>
          </w:p>
          <w:p>
            <w:pPr>
              <w:pStyle w:val="Normal"/>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bottom w:color="000000" w:space="0" w:sz="8" w:val="single"/>
              <w:right w:color="000000" w:space="0" w:sz="8" w:val="single"/>
            </w:tcBorders>
            <w:tcMar>
              <w:left w:type="dxa" w:w="57"/>
              <w:right w:type="dxa" w:w="57"/>
            </w:tcMar>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val="continue"/>
            <w:tcBorders>
              <w:top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restart"/>
            <w:tcBorders>
              <w:left w:color="000000" w:space="0" w:sz="8" w:val="single"/>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top w:color="000000" w:space="0" w:sz="8" w:val="single"/>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危及“三安全一稳定”</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（五）不予处理</w:t>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9"/>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7"/>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c>
          <w:tcPr>
            <w:tcW w:type="dxa" w:w="688"/>
            <w:tcBorders>
              <w:bottom w:color="000000" w:space="0" w:sz="8" w:val="single"/>
              <w:right w:color="000000" w:space="0" w:sz="8" w:val="single"/>
            </w:tcBorders>
            <w:tcMar>
              <w:left w:type="dxa" w:w="57"/>
              <w:right w:type="dxa" w:w="57"/>
            </w:tcMar>
          </w:tcPr>
          <w:p>
            <w:r>
              <w:t>0</w:t>
            </w:r>
          </w:p>
        </w:tc>
      </w:tr>
      <w:tr>
        <w:trPr>
          <w:trHeight w:hRule="atLeast" w:val="779"/>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inset"/>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9"/>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7"/>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c>
          <w:tcPr>
            <w:tcW w:type="dxa" w:w="688"/>
            <w:tcBorders>
              <w:bottom w:color="000000" w:space="0" w:sz="8" w:val="inset"/>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restart"/>
            <w:tcBorders>
              <w:top w:color="000000" w:space="0" w:sz="8" w:val="inset"/>
              <w:bottom w:color="000000" w:space="0" w:sz="8" w:val="inset"/>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申请人无正当理由逾期不补正、行政机关不再处理其政府信息公开申请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申请人逾期未按收费通知要求缴纳费用、行政机关不再处理其政府信息公开申请</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942"/>
            <w:vMerge w:val="continue"/>
            <w:tcBorders>
              <w:top w:color="000000" w:space="0" w:sz="8" w:val="inset"/>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3220"/>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769"/>
            <w:vMerge w:val="continue"/>
            <w:tcBorders>
              <w:left w:color="000000" w:space="0" w:sz="8" w:val="single"/>
              <w:bottom w:color="000000" w:space="0" w:sz="8" w:val="inset"/>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4162"/>
            <w:gridSpan w:val="2"/>
            <w:tcBorders>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r>
        <w:trPr/>
        <w:tc>
          <w:tcPr>
            <w:tcW w:type="dxa" w:w="4931"/>
            <w:gridSpan w:val="3"/>
            <w:tcBorders>
              <w:left w:color="000000" w:space="0" w:sz="8" w:val="single"/>
              <w:bottom w:color="000000" w:space="0" w:sz="8" w:val="single"/>
              <w:right w:color="000000" w:space="0" w:sz="8" w:val="single"/>
            </w:tcBorders>
            <w:tcMar>
              <w:left w:type="dxa" w:w="57"/>
              <w:right w:type="dxa" w:w="57"/>
            </w:tcMar>
            <w:vAlign w:val="center"/>
          </w:tcPr>
          <w:p>
            <w:pPr>
              <w:pStyle w:val="Normal"/>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9"/>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7"/>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vAlign w:val="center"/>
          </w:tcPr>
          <w:p>
            <w:r>
              <w:t>0</w:t>
            </w:r>
          </w:p>
        </w:tc>
        <w:tc>
          <w:tcPr>
            <w:tcW w:type="dxa" w:w="688"/>
            <w:tcBorders>
              <w:bottom w:color="000000" w:space="0" w:sz="8" w:val="single"/>
              <w:right w:color="000000" w:space="0" w:sz="8" w:val="single"/>
            </w:tcBorders>
            <w:tcMar>
              <w:left w:type="dxa" w:w="57"/>
              <w:right w:type="dxa" w:w="57"/>
            </w:tcMar>
          </w:tcPr>
          <w:p>
            <w:r>
              <w:t>0</w:t>
            </w:r>
          </w:p>
        </w:tc>
      </w:tr>
    </w:tbl>
    <w:p>
      <w:pPr>
        <w:pStyle w:val="Normal"/>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t>四、政府信息公开行政复议、行政诉讼情况</w:t>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eastAsia="宋体" w:hAnsi="宋体"/>
          <w:b/>
          <w:bCs/>
          <w:color w:val="333333"/>
          <w:kern w:val="0"/>
          <w:sz w:val="24"/>
          <w:szCs w:val="24"/>
        </w:rPr>
      </w:r>
    </w:p>
    <w:tbl>
      <w:tblPr>
        <w:tblW w:type="dxa" w:w="9748"/>
        <w:jc w:val="center"/>
        <w:tblInd w:type="dxa" w:w="0"/>
        <w:tblLayout w:type="fixed"/>
        <w:tblCellMar>
          <w:top w:type="dxa" w:w="0"/>
          <w:left w:type="dxa" w:w="108"/>
          <w:bottom w:type="dxa" w:w="0"/>
          <w:right w:type="dxa" w:w="108"/>
        </w:tblCellMar>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行政诉讼</w:t>
            </w:r>
          </w:p>
        </w:tc>
      </w:tr>
      <w:tr>
        <w:trPr/>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复议后起诉</w:t>
            </w:r>
          </w:p>
        </w:tc>
      </w:tr>
      <w:tr>
        <w:trPr/>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49"/>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vMerge w:val="continu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pPr>
              <w:pStyle w:val="Normal"/>
              <w:widowControl/>
              <w:jc w:val="left"/>
              <w:rPr>
                <w:rFonts w:ascii="宋体" w:cs="宋体" w:eastAsia="宋体" w:hAnsi="宋体"/>
                <w:kern w:val="0"/>
                <w:sz w:val="24"/>
                <w:szCs w:val="24"/>
              </w:rPr>
            </w:pPr>
            <w:r>
              <w:rPr>
                <w:rFonts w:ascii="宋体" w:cs="宋体" w:eastAsia="宋体" w:hAnsi="宋体"/>
                <w:kern w:val="0"/>
                <w:sz w:val="24"/>
                <w:szCs w:val="24"/>
              </w:rPr>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pPr>
              <w:pStyle w:val="Normal"/>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trPr>
          <w:trHeight w:hRule="atLeast" w:val="672"/>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pPr>
        <w:pStyle w:val="Normal"/>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pStyle w:val="Normal"/>
        <w:widowControl/>
        <w:shd w:color="auto" w:fill="FFFFFF" w:val="clear"/>
        <w:ind w:firstLine="480"/>
        <w:rPr>
          <w:rFonts w:ascii="宋体" w:cs="宋体" w:eastAsia="宋体" w:hAnsi="宋体"/>
          <w:color w:val="333333"/>
          <w:kern w:val="0"/>
          <w:sz w:val="24"/>
          <w:szCs w:val="24"/>
        </w:rPr>
      </w:pPr>
      <w:r>
        <w:t>（一）、存在主要问题；重点领域水利专栏需要公开的信息涉及种类多，目前发布的信息能针对体现出水利特色和成效的高质量信息少。</w:t>
      </w:r>
    </w:p>
    <w:p>
      <w:pPr>
        <w:pStyle w:val="Normal"/>
        <w:widowControl/>
        <w:shd w:color="auto" w:fill="FFFFFF" w:val="clear"/>
        <w:ind w:firstLine="480"/>
        <w:rPr>
          <w:rFonts w:ascii="宋体" w:cs="宋体" w:eastAsia="宋体" w:hAnsi="宋体"/>
          <w:color w:val="333333"/>
          <w:kern w:val="0"/>
          <w:sz w:val="24"/>
          <w:szCs w:val="24"/>
        </w:rPr>
      </w:pPr>
      <w:r>
        <w:t>（二）、改进情况；一是加强组织领导，安排专人负责信息公开、保障政务公开工作的规范性和专业性。二是深入信息公开，加强工作人员业务培训、提升信息公开的透明性和时效性，工作中各部门充分挖掘水利系统的特色、亮点工作，加大水利系统政策宣讲力度。</w:t>
      </w:r>
    </w:p>
    <w:p>
      <w:pPr>
        <w:pStyle w:val="Normal"/>
        <w:widowControl/>
        <w:shd w:color="auto" w:fill="FFFFFF" w:val="clear"/>
        <w:ind w:firstLine="480"/>
        <w:rPr>
          <w:rFonts w:ascii="宋体" w:cs="宋体" w:eastAsia="宋体" w:hAnsi="宋体"/>
          <w:color w:val="333333"/>
          <w:kern w:val="0"/>
          <w:sz w:val="24"/>
          <w:szCs w:val="24"/>
        </w:rPr>
      </w:pPr>
      <w:r>
        <w:rPr>
          <w:rFonts w:ascii="宋体" w:cs="宋体" w:eastAsia="宋体" w:hAnsi="宋体"/>
          <w:color w:val="333333"/>
          <w:kern w:val="0"/>
          <w:sz w:val="24"/>
          <w:szCs w:val="24"/>
        </w:rPr>
      </w:r>
    </w:p>
    <w:p>
      <w:pPr>
        <w:pStyle w:val="Normal"/>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pStyle w:val="Normal"/>
        <w:widowControl/>
        <w:shd w:color="auto" w:fill="FFFFFF" w:val="clear"/>
        <w:ind w:firstLine="480"/>
        <w:jc w:val="left"/>
        <w:rPr>
          <w:rFonts w:ascii="宋体" w:cs="宋体" w:eastAsia="宋体" w:hAnsi="宋体"/>
          <w:color w:val="333333"/>
          <w:kern w:val="0"/>
          <w:sz w:val="24"/>
          <w:szCs w:val="24"/>
        </w:rPr>
      </w:pPr>
      <w:r>
        <w:t>本年度，本机关未收取信息公开处理费。</w:t>
      </w:r>
    </w:p>
    <w:sectPr>
      <w:type w:val="nextPage"/>
      <w:pgSz w:h="16838" w:w="11906"/>
      <w:pgMar w:bottom="1440" w:footer="0" w:gutter="0" w:header="0" w:left="1800" w:right="1800" w:top="1440"/>
      <w:pgNumType w:fmt="decimal"/>
      <w:formProt w:val="false"/>
      <w:textDirection w:val="lrTb"/>
      <w:docGrid w:charSpace="6143" w:linePitch="312" w:type="lines"/>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Calibri">
    <w:charset w:val="86"/>
    <w:family w:val="roman"/>
    <w:pitch w:val="variable"/>
  </w:font>
  <w:font w:name="Liberation Sans">
    <w:altName w:val="Arial"/>
    <w:charset w:val="86"/>
    <w:family w:val="swiss"/>
    <w:pitch w:val="variable"/>
  </w:font>
  <w:font w:name="宋体">
    <w:charset w:val="86"/>
    <w:family w:val="roman"/>
    <w:pitch w:val="variable"/>
  </w:font>
  <w:font w:name="楷体">
    <w:charset w:val="86"/>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bidi="" w:eastAsia="zh-CN"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asciiTheme="minorHAnsi" w:cs="" w:cstheme="minorBidi" w:eastAsia="宋体" w:eastAsiaTheme="minorEastAsia" w:hAnsi="Calibri" w:hAnsiTheme="minorHAnsi"/>
        <w:kern w:val="2"/>
        <w:sz w:val="21"/>
        <w:szCs w:val="22"/>
        <w:lang w:bidi="ar-SA" w:eastAsia="zh-CN" w:val="en-US"/>
      </w:rPr>
    </w:rPrDefault>
    <w:pPrDefault>
      <w:pPr>
        <w:suppressAutoHyphens w:val="true"/>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widowControl w:val="false"/>
      <w:bidi w:val="0"/>
      <w:spacing w:after="0" w:before="0"/>
      <w:jc w:val="both"/>
    </w:pPr>
    <w:rPr>
      <w:rFonts w:ascii="Calibri" w:asciiTheme="minorHAnsi" w:cs="" w:cstheme="minorBidi" w:eastAsia="宋体" w:eastAsiaTheme="minorEastAsia" w:hAnsi="Calibri" w:hAnsiTheme="minorHAnsi"/>
      <w:color w:val="auto"/>
      <w:kern w:val="2"/>
      <w:sz w:val="21"/>
      <w:szCs w:val="22"/>
      <w:lang w:bidi="ar-SA" w:eastAsia="zh-CN" w:val="en-US"/>
    </w:rPr>
  </w:style>
  <w:style w:default="1" w:styleId="DefaultParagraphFont" w:type="character">
    <w:name w:val="Default Paragraph Font"/>
    <w:uiPriority w:val="1"/>
    <w:semiHidden/>
    <w:unhideWhenUsed/>
    <w:qFormat/>
    <w:rPr/>
  </w:style>
  <w:style w:styleId="Style14" w:type="paragraph">
    <w:name w:val="标题样式"/>
    <w:basedOn w:val="Normal"/>
    <w:next w:val="BodyText"/>
    <w:qFormat/>
    <w:pPr>
      <w:keepNext w:val="true"/>
      <w:spacing w:after="120" w:before="240"/>
    </w:pPr>
    <w:rPr>
      <w:rFonts w:ascii="Liberation Sans" w:cs="Arial" w:eastAsia="微软雅黑" w:hAnsi="Liberation Sans"/>
      <w:sz w:val="28"/>
      <w:szCs w:val="28"/>
    </w:rPr>
  </w:style>
  <w:style w:styleId="BodyText" w:type="paragraph">
    <w:name w:val="Body Text"/>
    <w:basedOn w:val="Normal"/>
    <w:pPr>
      <w:spacing w:after="140" w:before="0" w:line="276" w:lineRule="auto"/>
    </w:pPr>
    <w:rPr/>
  </w:style>
  <w:style w:styleId="List" w:type="paragraph">
    <w:name w:val="List"/>
    <w:basedOn w:val="BodyText"/>
    <w:pPr/>
    <w:rPr>
      <w:rFonts w:cs="Arial"/>
    </w:rPr>
  </w:style>
  <w:style w:styleId="Caption" w:type="paragraph">
    <w:name w:val="Caption"/>
    <w:basedOn w:val="Normal"/>
    <w:qFormat/>
    <w:pPr>
      <w:suppressLineNumbers/>
      <w:spacing w:after="120" w:before="120"/>
    </w:pPr>
    <w:rPr>
      <w:rFonts w:cs="Arial"/>
      <w:i/>
      <w:iCs/>
      <w:sz w:val="24"/>
      <w:szCs w:val="24"/>
    </w:rPr>
  </w:style>
  <w:style w:styleId="Style15" w:type="paragraph">
    <w:name w:val="索引"/>
    <w:basedOn w:val="Normal"/>
    <w:qFormat/>
    <w:pPr>
      <w:suppressLineNumbers/>
    </w:pPr>
    <w:rPr>
      <w:rFonts w:cs="Arial"/>
    </w:rPr>
  </w:style>
  <w:style w:styleId="NormalWeb" w:type="paragraph">
    <w:name w:val="Normal (Web)"/>
    <w:basedOn w:val="Normal"/>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 w:default="1" w:styleId="NoList" w:type="numbering">
    <w:name w:val="No List"/>
    <w:uiPriority w:val="99"/>
    <w:semiHidden/>
    <w:unhideWhenUsed/>
    <w:qFormat/>
  </w:style>
  <w:style w:default="1" w:styleId="a1" w:type="table">
    <w:name w:val="Normal Table"/>
    <w:uiPriority w:val="99"/>
    <w:semiHidden/>
    <w:unhideWhenUsed/>
    <w:tblPr>
      <w:tblCellMar>
        <w:top w:type="dxa" w:w="0"/>
        <w:left w:type="dxa" w:w="108"/>
        <w:bottom w:type="dxa" w:w="0"/>
        <w:right w:type="dxa" w:w="108"/>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theme/theme1.xml" Type="http://schemas.openxmlformats.org/officeDocument/2006/relationships/theme"/>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3</Pages>
  <Words>923</Words>
  <Characters>998</Characters>
  <CharactersWithSpaces>1010</CharactersWithSpaces>
  <Paragraphs>292</Paragraph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dcterms:modified xsi:type="dcterms:W3CDTF">2024-01-13T19:48:24Z</dcterms:modified>
  <cp:revision>26</cp:revision>
</cp:coreProperties>
</file>

<file path=docProps/custom.xml><?xml version="1.0" encoding="utf-8"?>
<Properties xmlns="http://schemas.openxmlformats.org/officeDocument/2006/custom-properties" xmlns:vt="http://schemas.openxmlformats.org/officeDocument/2006/docPropsVTypes"/>
</file>