
<file path=[Content_Types].xml><?xml version="1.0" encoding="utf-8"?>
<Types xmlns="http://schemas.openxmlformats.org/package/2006/content-types">
  <Default ContentType="image/jpeg" Extension="jpeg"/>
  <Default ContentType="image/png" Extension="png"/>
  <Default ContentType="application/vnd.openxmlformats-package.relationships+xml" Extension="rels"/>
  <Default ContentType="application/xml" Extension="xml"/>
  <Override ContentType="application/vnd.openxmlformats-package.relationships+xml" PartName="/_rels/.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package.relationships+xml" PartName="/word/_rels/document.xml.rels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</Types>
</file>

<file path=_rels/.rels><?xml version="1.0" encoding="UTF-8" standalone="yes"?>
<Relationships xmlns="http://schemas.openxmlformats.org/package/2006/relationships">
<Relationship Id="rId1" Target="docProps/core.xml" Type="http://schemas.openxmlformats.org/package/2006/relationships/metadata/core-properties"/>
<Relationship Id="rId2" Target="docProps/app.xml" Type="http://schemas.openxmlformats.org/officeDocument/2006/relationships/extended-properties"/>
<Relationship Id="rId3" Target="docProps/custom.xml" Type="http://schemas.openxmlformats.org/officeDocument/2006/relationships/custom-properties"/>
<Relationship Id="rId4" Target="word/document.xml" Type="http://schemas.openxmlformats.org/officeDocument/2006/relationships/officeDocument"/>
</Relationships>
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14="http://schemas.microsoft.com/office/word/2010/wordprocessingDrawing" xmlns:wpg="http://schemas.microsoft.com/office/word/2010/wordprocessingGroup" xmlns:wps="http://schemas.microsoft.com/office/word/2010/wordprocessingShape" mc:Ignorable="w14 wp14 w15">
  <w:body>
    <w:p>
      <w:pPr>
        <w:pStyle w:val="Normal"/>
        <w:widowControl/>
        <w:shd w:color="auto" w:fill="FFFFFF" w:val="clear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jc w:val="center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36"/>
          <w:szCs w:val="36"/>
        </w:rPr>
        <w:t>汤阴县退役军人事务局2023年政府信息公开工作年度报告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一、总体情况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在县委、县政府的正确领导下，我局高度重视并积极推进政府信息公开工作，坚持“以公开为常态、不公开为例外”原则，加强和规范信息公开，确保政府信息全面、及时、准确公开，提高工作的透明度和公信力，不断提升工作质量水平，现将有关情况报告如下：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一、公开总体情况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2023年，认真贯彻落实上级部门有关政务公开工作部署，将政府信息公开工作与重点工作紧密结合，精心周密部署，积极组织实施，圆满完成政府信息公开各项工作任务。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二、主动公开政府信息工作情况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2023年，我局交办“市12345服务热线”16件，6件云上汤阴问政。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三、依申请公开政府信息工作情况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2023年，我局严格按照政府信息公开有关要求，认真做好依申请公开政府信息工作，全年没有接到有关申请，未发生因信息公开引发的行政复议和行政诉讼事件。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四、政府信息管理情况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2023年度，我局利用汤阴县人民政府网、云上汤阴等相关媒体及时将工作动态公开，宣传相关政策、法规、文件，累计刊播各类稿件98篇。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五、主要做法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 提高认识，加强领导。我局高度重视政府信息公开工作，成立了汤阴县退役军人事务局信息公开工作领导小组，组长由党组书记、局长亲自担任，班子成员任副组长，领导小组由各股室以及二级机构负责人组成，明确落实工作人员，负责组织、协调和推动局机关政府信息公开工作，确保了政府信息公开各项工作顺利推进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 加强培训，加大投入。为更好地开展政府信息公开工作，我局积极动员和安排负责政府信息公开工作的人员参加业务培训，明确了职责、程序、公开方式和时限要求等，要求严格执行保密制度及责任追究制度，不断提高相关人员的工作能力和业务水平，确保政府信息公开工作稳步推进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3. 健全监督保障机制。严格落实“三审三校”信息发布审核制度，做好政府信息公开合法化。贯彻落实《中华人民共和国政府信息公开条例》，不断健全政府信息公开制度，稳步推进政务公开工作。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pageBreakBefore w:val="on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二、主动公开政府信息情况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0"/>
        <w:jc w:val="center"/>
        <w:tblInd w:type="dxa" w:w="0"/>
        <w:tblLayout w:type="fixed"/>
        <w:tblCellMar>
          <w:top w:type="dxa" w:w="0"/>
          <w:left w:type="dxa" w:w="57"/>
          <w:bottom w:type="dxa" w:w="0"/>
          <w:right w:type="dxa" w:w="57"/>
        </w:tblCellMar>
        <w:tblLook w:firstColumn="1" w:firstRow="1" w:lastColumn="0" w:lastRow="0" w:noHBand="0" w:noVBand="1" w:val="04a0"/>
      </w:tblPr>
      <w:tblGrid>
        <w:gridCol w:w="2435"/>
        <w:gridCol w:w="2435"/>
        <w:gridCol w:w="2435"/>
        <w:gridCol w:w="2434"/>
      </w:tblGrid>
      <w:tr>
        <w:trPr>
          <w:trHeight w:hRule="atLeast" w:val="340"/>
        </w:trPr>
        <w:tc>
          <w:tcPr>
            <w:tcW w:type="dxa" w:w="9739"/>
            <w:gridSpan w:val="4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第二十条第（一）项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制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发件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  <w:tc>
          <w:tcPr>
            <w:tcW w:type="dxa" w:w="243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本年废止件数</w:t>
            </w:r>
          </w:p>
        </w:tc>
        <w:tc>
          <w:tcPr>
            <w:tcW w:type="dxa" w:w="2434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现行有效件</w:t>
            </w:r>
            <w:r>
              <w:rPr>
                <w:rFonts w:ascii="宋体" w:cs="Calibri" w:hAnsi="宋体"/>
                <w:kern w:val="0"/>
                <w:sz w:val="20"/>
                <w:szCs w:val="20"/>
              </w:rPr>
              <w:t>数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规章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行政规范性文件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5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2434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第二十条第（五）项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行政许可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第二十条第（六）项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本年处理决定数量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行政处罚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行政强制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  <w:tr>
        <w:trPr>
          <w:trHeight w:hRule="atLeast" w:val="340"/>
        </w:trPr>
        <w:tc>
          <w:tcPr>
            <w:tcW w:type="dxa" w:w="9739"/>
            <w:gridSpan w:val="4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color="auto" w:fill="C6D9F1" w:val="clear"/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第二十条第（八）项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信息内容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本年收费金额（单位：万元）</w:t>
            </w:r>
          </w:p>
        </w:tc>
      </w:tr>
      <w:tr>
        <w:trPr>
          <w:trHeight w:hRule="atLeast" w:val="340"/>
        </w:trPr>
        <w:tc>
          <w:tcPr>
            <w:tcW w:type="dxa" w:w="2435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行政事业性收费</w:t>
            </w:r>
          </w:p>
        </w:tc>
        <w:tc>
          <w:tcPr>
            <w:tcW w:type="dxa" w:w="7304"/>
            <w:gridSpan w:val="3"/>
            <w:tcBorders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三、收到和处理政府信息公开申请情况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769"/>
        <w:gridCol w:w="942"/>
        <w:gridCol w:w="3220"/>
        <w:gridCol w:w="688"/>
        <w:gridCol w:w="688"/>
        <w:gridCol w:w="689"/>
        <w:gridCol w:w="688"/>
        <w:gridCol w:w="687"/>
        <w:gridCol w:w="688"/>
        <w:gridCol w:w="688"/>
      </w:tblGrid>
      <w:tr>
        <w:trPr/>
        <w:tc>
          <w:tcPr>
            <w:tcW w:type="dxa" w:w="4931"/>
            <w:gridSpan w:val="3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（本列数据的勾稽关系为：第一项加第二项之和，等于第三项加第四项之和）</w:t>
            </w:r>
          </w:p>
        </w:tc>
        <w:tc>
          <w:tcPr>
            <w:tcW w:type="dxa" w:w="4816"/>
            <w:gridSpan w:val="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申请人情况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restart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自然人</w:t>
            </w:r>
          </w:p>
        </w:tc>
        <w:tc>
          <w:tcPr>
            <w:tcW w:type="dxa" w:w="3440"/>
            <w:gridSpan w:val="5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法人或其他组织</w:t>
            </w:r>
          </w:p>
        </w:tc>
        <w:tc>
          <w:tcPr>
            <w:tcW w:type="dxa" w:w="688"/>
            <w:vMerge w:val="restart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</w:tr>
      <w:tr>
        <w:trPr/>
        <w:tc>
          <w:tcPr>
            <w:tcW w:type="dxa" w:w="4931"/>
            <w:gridSpan w:val="3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vMerge w:val="continue"/>
            <w:tcBorders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商业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企业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科研</w:t>
            </w:r>
          </w:p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社会公益组织</w:t>
            </w:r>
          </w:p>
        </w:tc>
        <w:tc>
          <w:tcPr>
            <w:tcW w:type="dxa" w:w="687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法律服务机构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vMerge w:val="continue"/>
            <w:tcBorders>
              <w:top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一、本年新收政府信息公开申请数量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二、上年结转政府信息公开申请数量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restart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三、本年度办理结果</w:t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（一）予以公开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（二）部分公开</w:t>
            </w:r>
            <w:r>
              <w:rPr>
                <w:rFonts w:ascii="楷体" w:cs="宋体" w:eastAsia="楷体" w:hAnsi="楷体"/>
                <w:kern w:val="0"/>
                <w:sz w:val="20"/>
                <w:szCs w:val="20"/>
              </w:rPr>
              <w:t>（区分处理的，只计这一情形，不计其他情形）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（三）不予公开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属于国家秘密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top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其他法律行政法规禁止公开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危及“三安全一稳定”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保护第三方合法权益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属于三类内部事务信息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6.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属于四类过程性信息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7.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属于行政执法案卷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8.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属于行政查询事项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（四）无法提供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本机关不掌握相关政府信息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没有现成信息需要另行制作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补正后申请内容仍不明确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（五）不予处理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信访举报投诉类申请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要求提供公开出版物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4.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无正当理由大量反复申请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>
          <w:trHeight w:hRule="atLeast" w:val="779"/>
        </w:trPr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5.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要求行政机关确认或重新出具已获取信息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restart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（六）其他处理</w:t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1.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申请人无正当理由逾期不补正、行政机关不再处理其政府信息公开申请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2.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申请人逾期未按收费通知要求缴纳费用、行政机关不再处理其政府信息公开申请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942"/>
            <w:vMerge w:val="continue"/>
            <w:tcBorders>
              <w:top w:color="000000" w:space="0" w:sz="8" w:val="inset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3220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t>3.</w:t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769"/>
            <w:vMerge w:val="continue"/>
            <w:tcBorders>
              <w:left w:color="000000" w:space="0" w:sz="8" w:val="single"/>
              <w:bottom w:color="000000" w:space="0" w:sz="8" w:val="inset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4162"/>
            <w:gridSpan w:val="2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（七）总计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  <w:tr>
        <w:trPr/>
        <w:tc>
          <w:tcPr>
            <w:tcW w:type="dxa" w:w="4931"/>
            <w:gridSpan w:val="3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四、结转下年度继续办理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9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7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  <w:vAlign w:val="center"/>
          </w:tcPr>
          <w:p>
            <w:r>
              <w:t>0</w:t>
            </w:r>
          </w:p>
        </w:tc>
        <w:tc>
          <w:tcPr>
            <w:tcW w:type="dxa" w:w="688"/>
            <w:tcBorders>
              <w:bottom w:color="000000" w:space="0" w:sz="8" w:val="single"/>
              <w:right w:color="000000" w:space="0" w:sz="8" w:val="single"/>
            </w:tcBorders>
            <w:tcMar>
              <w:left w:type="dxa" w:w="57"/>
              <w:right w:type="dxa" w:w="57"/>
            </w:tcMar>
          </w:tcPr>
          <w:p>
            <w:r>
              <w:t>0</w:t>
            </w:r>
          </w:p>
        </w:tc>
      </w:tr>
    </w:tbl>
    <w:p>
      <w:pPr>
        <w:pStyle w:val="Normal"/>
        <w:widowControl/>
        <w:ind w:firstLine="482"/>
        <w:jc w:val="left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br w:type="page"/>
      </w: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四、政府信息公开行政复议、行政诉讼情况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r>
    </w:p>
    <w:tbl>
      <w:tblPr>
        <w:tblW w:type="dxa" w:w="9748"/>
        <w:jc w:val="center"/>
        <w:tblInd w:type="dxa" w:w="0"/>
        <w:tblLayout w:type="fixed"/>
        <w:tblCellMar>
          <w:top w:type="dxa" w:w="0"/>
          <w:left w:type="dxa" w:w="108"/>
          <w:bottom w:type="dxa" w:w="0"/>
          <w:right w:type="dxa" w:w="108"/>
        </w:tblCellMar>
        <w:tblLook w:firstColumn="1" w:firstRow="1" w:lastColumn="0" w:lastRow="0" w:noHBand="0" w:noVBand="1" w:val="04a0"/>
      </w:tblPr>
      <w:tblGrid>
        <w:gridCol w:w="650"/>
        <w:gridCol w:w="650"/>
        <w:gridCol w:w="649"/>
        <w:gridCol w:w="650"/>
        <w:gridCol w:w="650"/>
        <w:gridCol w:w="650"/>
        <w:gridCol w:w="650"/>
        <w:gridCol w:w="649"/>
        <w:gridCol w:w="650"/>
        <w:gridCol w:w="650"/>
        <w:gridCol w:w="650"/>
        <w:gridCol w:w="650"/>
        <w:gridCol w:w="650"/>
        <w:gridCol w:w="650"/>
        <w:gridCol w:w="650"/>
      </w:tblGrid>
      <w:tr>
        <w:trPr/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行政复议</w:t>
            </w:r>
          </w:p>
        </w:tc>
        <w:tc>
          <w:tcPr>
            <w:tcW w:type="dxa" w:w="6499"/>
            <w:gridSpan w:val="1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行政诉讼</w:t>
            </w:r>
          </w:p>
        </w:tc>
      </w:tr>
      <w:tr>
        <w:trPr/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结果维持</w:t>
            </w:r>
          </w:p>
        </w:tc>
        <w:tc>
          <w:tcPr>
            <w:tcW w:type="dxa" w:w="650"/>
            <w:vMerge w:val="restart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vMerge w:val="restart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3249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未经复议直接起诉</w:t>
            </w:r>
          </w:p>
        </w:tc>
        <w:tc>
          <w:tcPr>
            <w:tcW w:type="dxa" w:w="3250"/>
            <w:gridSpan w:val="5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复议后起诉</w:t>
            </w:r>
          </w:p>
        </w:tc>
      </w:tr>
      <w:tr>
        <w:trPr/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49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vMerge w:val="continue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left w:type="dxa" w:w="10"/>
              <w:right w:type="dxa" w:w="10"/>
            </w:tcMar>
            <w:vAlign w:val="center"/>
          </w:tcPr>
          <w:p>
            <w:pPr>
              <w:pStyle w:val="Normal"/>
              <w:widowControl/>
              <w:jc w:val="left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eastAsia="宋体" w:hAnsi="宋体"/>
                <w:kern w:val="0"/>
                <w:sz w:val="24"/>
                <w:szCs w:val="24"/>
              </w:rPr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49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维持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结果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纠正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其他</w:t>
            </w:r>
            <w:r>
              <w:rPr>
                <w:rFonts w:ascii="宋体" w:cs="宋体" w:eastAsia="宋体" w:hAnsi="宋体"/>
                <w:color w:val="000000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结果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kern w:val="0"/>
                <w:sz w:val="20"/>
                <w:szCs w:val="20"/>
              </w:rPr>
              <w:t>尚未</w:t>
            </w:r>
            <w:r>
              <w:rPr>
                <w:rFonts w:ascii="宋体" w:cs="宋体" w:eastAsia="宋体" w:hAnsi="宋体"/>
                <w:kern w:val="0"/>
                <w:sz w:val="20"/>
                <w:szCs w:val="20"/>
              </w:rPr>
              <w:br/>
            </w:r>
            <w:r>
              <w:rPr>
                <w:rFonts w:ascii="宋体" w:cs="宋体" w:hAnsi="宋体"/>
                <w:kern w:val="0"/>
                <w:sz w:val="20"/>
                <w:szCs w:val="20"/>
              </w:rPr>
              <w:t>审结</w:t>
            </w:r>
          </w:p>
        </w:tc>
        <w:tc>
          <w:tcPr>
            <w:tcW w:type="dxa" w:w="650"/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pPr>
              <w:pStyle w:val="Normal"/>
              <w:widowControl/>
              <w:jc w:val="center"/>
              <w:rPr>
                <w:rFonts w:ascii="宋体" w:cs="宋体" w:eastAsia="宋体" w:hAnsi="宋体"/>
                <w:kern w:val="0"/>
                <w:sz w:val="24"/>
                <w:szCs w:val="24"/>
              </w:rPr>
            </w:pPr>
            <w:r>
              <w:rPr>
                <w:rFonts w:ascii="宋体" w:cs="宋体" w:hAnsi="宋体"/>
                <w:color w:val="000000"/>
                <w:kern w:val="0"/>
                <w:sz w:val="20"/>
                <w:szCs w:val="20"/>
              </w:rPr>
              <w:t>总计</w:t>
            </w:r>
          </w:p>
        </w:tc>
      </w:tr>
      <w:tr>
        <w:trPr>
          <w:trHeight w:hRule="atLeast" w:val="672"/>
        </w:trPr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49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  <w:tc>
          <w:tcPr>
            <w:tcW w:type="dxa" w:w="650"/>
            <w:tcBorders>
              <w:left w:color="000000" w:space="0" w:sz="8" w:val="single"/>
              <w:bottom w:color="000000" w:space="0" w:sz="8" w:val="single"/>
              <w:right w:color="000000" w:space="0" w:sz="8" w:val="single"/>
            </w:tcBorders>
            <w:vAlign w:val="center"/>
          </w:tcPr>
          <w:p>
            <w:r>
              <w:t>0</w:t>
            </w:r>
          </w:p>
        </w:tc>
      </w:tr>
    </w:tbl>
    <w:p>
      <w:pPr>
        <w:pStyle w:val="Normal"/>
        <w:widowControl/>
        <w:jc w:val="left"/>
        <w:rPr>
          <w:rFonts w:ascii="宋体" w:cs="宋体" w:eastAsia="宋体" w:hAnsi="宋体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  <w:br/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五、存在的主要问题及改进情况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1.工作机制还不够完善，有待进一步加强主动公开意识，进一步加强学习培训。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2.公开信息的内容还不够丰富，在严格信息审核制度基础上，加强规范信息公开的格式、内容。</w:t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rPr>
          <w:rFonts w:ascii="宋体" w:cs="宋体" w:eastAsia="宋体" w:hAnsi="宋体"/>
          <w:color w:val="333333"/>
          <w:kern w:val="0"/>
          <w:sz w:val="24"/>
          <w:szCs w:val="24"/>
        </w:rPr>
      </w:r>
    </w:p>
    <w:p>
      <w:pPr>
        <w:pStyle w:val="Normal"/>
        <w:widowControl/>
        <w:shd w:color="auto" w:fill="FFFFFF" w:val="clear"/>
        <w:ind w:firstLine="480"/>
        <w:rPr>
          <w:rFonts w:ascii="宋体" w:cs="宋体" w:eastAsia="宋体" w:hAnsi="宋体"/>
          <w:b/>
          <w:bCs/>
          <w:color w:val="333333"/>
          <w:kern w:val="0"/>
          <w:sz w:val="24"/>
          <w:szCs w:val="24"/>
        </w:rPr>
      </w:pPr>
      <w:r>
        <w:rPr>
          <w:rFonts w:ascii="宋体" w:cs="宋体" w:hAnsi="宋体"/>
          <w:b/>
          <w:bCs/>
          <w:color w:val="333333"/>
          <w:kern w:val="0"/>
          <w:sz w:val="24"/>
          <w:szCs w:val="24"/>
        </w:rPr>
        <w:t>六、其他需要报告的事项</w:t>
      </w:r>
    </w:p>
    <w:p>
      <w:pPr>
        <w:pStyle w:val="Normal"/>
        <w:widowControl/>
        <w:shd w:color="auto" w:fill="FFFFFF" w:val="clear"/>
        <w:ind w:firstLine="480"/>
        <w:jc w:val="left"/>
        <w:rPr>
          <w:rFonts w:ascii="宋体" w:cs="宋体" w:eastAsia="宋体" w:hAnsi="宋体"/>
          <w:color w:val="333333"/>
          <w:kern w:val="0"/>
          <w:sz w:val="24"/>
          <w:szCs w:val="24"/>
        </w:rPr>
      </w:pPr>
      <w:r>
        <w:t>本年度，本机关未收取信息公开处理费。</w:t>
      </w:r>
    </w:p>
    <w:sectPr>
      <w:type w:val="nextPage"/>
      <w:pgSz w:h="16838" w:w="11906"/>
      <w:pgMar w:bottom="1440" w:footer="0" w:gutter="0" w:header="0" w:left="1800" w:right="1800" w:top="1440"/>
      <w:pgNumType w:fmt="decimal"/>
      <w:formProt w:val="false"/>
      <w:textDirection w:val="lrTb"/>
      <w:docGrid w:charSpace="6143" w:linePitch="312" w:type="lines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6"/>
    <w:family w:val="roman"/>
    <w:pitch w:val="variable"/>
  </w:font>
  <w:font w:name="Calibri">
    <w:charset w:val="86"/>
    <w:family w:val="roman"/>
    <w:pitch w:val="variable"/>
  </w:font>
  <w:font w:name="Liberation Sans">
    <w:altName w:val="Arial"/>
    <w:charset w:val="86"/>
    <w:family w:val="swiss"/>
    <w:pitch w:val="variable"/>
  </w:font>
  <w:font w:name="宋体">
    <w:charset w:val="86"/>
    <w:family w:val="roman"/>
    <w:pitch w:val="variable"/>
  </w:font>
  <w:font w:name="楷体">
    <w:charset w:val="86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bidi="" w:eastAsia="zh-CN" w:val="en-US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asciiTheme="minorHAnsi" w:cs="" w:cstheme="minorBidi" w:eastAsia="宋体" w:eastAsiaTheme="minorEastAsia" w:hAnsi="Calibri" w:hAnsiTheme="minorHAnsi"/>
        <w:kern w:val="2"/>
        <w:sz w:val="21"/>
        <w:szCs w:val="22"/>
        <w:lang w:bidi="ar-SA" w:eastAsia="zh-CN" w:val="en-US"/>
      </w:rPr>
    </w:rPrDefault>
    <w:pPrDefault>
      <w:pPr>
        <w:suppressAutoHyphens w:val="true"/>
      </w:pPr>
    </w:pPrDefault>
  </w:docDefaults>
  <w:latentStyles w:count="376" w:defLockedState="0" w:defQFormat="0" w:defSemiHidden="0" w:defUIPriority="99" w:defUnhideWhenUsed="0">
    <w:lsdException w:name="Normal" w:qFormat="1" w:uiPriority="0"/>
    <w:lsdException w:name="heading 1" w:qFormat="1" w:uiPriority="9"/>
    <w:lsdException w:name="heading 2" w:qFormat="1" w:semiHidden="1" w:uiPriority="9" w:unhideWhenUsed="1"/>
    <w:lsdException w:name="heading 3" w:qFormat="1" w:semiHidden="1" w:uiPriority="9" w:unhideWhenUsed="1"/>
    <w:lsdException w:name="heading 4" w:qFormat="1" w:semiHidden="1" w:uiPriority="9" w:unhideWhenUsed="1"/>
    <w:lsdException w:name="heading 5" w:qFormat="1" w:semiHidden="1" w:uiPriority="9" w:unhideWhenUsed="1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qFormat="1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 w:uiPriority="22"/>
    <w:lsdException w:name="Emphasis" w:qFormat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 w:uiPriority="34"/>
    <w:lsdException w:name="Quote" w:qFormat="1" w:uiPriority="29"/>
    <w:lsdException w:name="Intense Quote" w:qFormat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 w:uiPriority="19"/>
    <w:lsdException w:name="Intense Emphasis" w:qFormat="1" w:uiPriority="21"/>
    <w:lsdException w:name="Subtle Reference" w:qFormat="1" w:uiPriority="31"/>
    <w:lsdException w:name="Intense Reference" w:qFormat="1" w:uiPriority="32"/>
    <w:lsdException w:name="Book Title" w:qFormat="1" w:uiPriority="33"/>
    <w:lsdException w:name="Bibliography" w:semiHidden="1" w:uiPriority="37" w:unhideWhenUsed="1"/>
    <w:lsdException w:name="TOC Heading" w:qFormat="1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default="1" w:styleId="Normal" w:type="paragraph">
    <w:name w:val="Normal"/>
    <w:qFormat/>
    <w:pPr>
      <w:widowControl w:val="false"/>
      <w:bidi w:val="0"/>
      <w:spacing w:after="0" w:before="0"/>
      <w:jc w:val="both"/>
    </w:pPr>
    <w:rPr>
      <w:rFonts w:ascii="Calibri" w:asciiTheme="minorHAnsi" w:cs="" w:cstheme="minorBidi" w:eastAsia="宋体" w:eastAsiaTheme="minorEastAsia" w:hAnsi="Calibri" w:hAnsiTheme="minorHAnsi"/>
      <w:color w:val="auto"/>
      <w:kern w:val="2"/>
      <w:sz w:val="21"/>
      <w:szCs w:val="22"/>
      <w:lang w:bidi="ar-SA" w:eastAsia="zh-CN" w:val="en-US"/>
    </w:rPr>
  </w:style>
  <w:style w:default="1" w:styleId="DefaultParagraphFont" w:type="character">
    <w:name w:val="Default Paragraph Font"/>
    <w:uiPriority w:val="1"/>
    <w:semiHidden/>
    <w:unhideWhenUsed/>
    <w:qFormat/>
    <w:rPr/>
  </w:style>
  <w:style w:styleId="Style14" w:type="paragraph">
    <w:name w:val="标题样式"/>
    <w:basedOn w:val="Normal"/>
    <w:next w:val="BodyText"/>
    <w:qFormat/>
    <w:pPr>
      <w:keepNext w:val="true"/>
      <w:spacing w:after="120" w:before="240"/>
    </w:pPr>
    <w:rPr>
      <w:rFonts w:ascii="Liberation Sans" w:cs="Arial" w:eastAsia="微软雅黑" w:hAnsi="Liberation Sans"/>
      <w:sz w:val="28"/>
      <w:szCs w:val="28"/>
    </w:rPr>
  </w:style>
  <w:style w:styleId="BodyText" w:type="paragraph">
    <w:name w:val="Body Text"/>
    <w:basedOn w:val="Normal"/>
    <w:pPr>
      <w:spacing w:after="140" w:before="0" w:line="276" w:lineRule="auto"/>
    </w:pPr>
    <w:rPr/>
  </w:style>
  <w:style w:styleId="List" w:type="paragraph">
    <w:name w:val="List"/>
    <w:basedOn w:val="BodyText"/>
    <w:pPr/>
    <w:rPr>
      <w:rFonts w:cs="Arial"/>
    </w:rPr>
  </w:style>
  <w:style w:styleId="Caption" w:type="paragraph">
    <w:name w:val="Caption"/>
    <w:basedOn w:val="Normal"/>
    <w:qFormat/>
    <w:pPr>
      <w:suppressLineNumbers/>
      <w:spacing w:after="120" w:before="120"/>
    </w:pPr>
    <w:rPr>
      <w:rFonts w:cs="Arial"/>
      <w:i/>
      <w:iCs/>
      <w:sz w:val="24"/>
      <w:szCs w:val="24"/>
    </w:rPr>
  </w:style>
  <w:style w:styleId="Style15" w:type="paragraph">
    <w:name w:val="索引"/>
    <w:basedOn w:val="Normal"/>
    <w:qFormat/>
    <w:pPr>
      <w:suppressLineNumbers/>
    </w:pPr>
    <w:rPr>
      <w:rFonts w:cs="Arial"/>
    </w:rPr>
  </w:style>
  <w:style w:styleId="NormalWeb" w:type="paragraph">
    <w:name w:val="Normal (Web)"/>
    <w:basedOn w:val="Normal"/>
    <w:uiPriority w:val="99"/>
    <w:semiHidden/>
    <w:unhideWhenUsed/>
    <w:qFormat/>
    <w:rsid w:val="008e1cad"/>
    <w:pPr>
      <w:widowControl/>
      <w:spacing w:afterAutospacing="1" w:beforeAutospacing="1"/>
      <w:jc w:val="left"/>
    </w:pPr>
    <w:rPr>
      <w:rFonts w:ascii="宋体" w:cs="宋体" w:eastAsia="宋体" w:hAnsi="宋体"/>
      <w:kern w:val="0"/>
      <w:sz w:val="24"/>
      <w:szCs w:val="24"/>
    </w:rPr>
  </w:style>
  <w:style w:default="1" w:styleId="NoList" w:type="numbering">
    <w:name w:val="No List"/>
    <w:uiPriority w:val="99"/>
    <w:semiHidden/>
    <w:unhideWhenUsed/>
    <w:qFormat/>
  </w:style>
  <w:style w:default="1" w:styleId="a1" w:type="table">
    <w:name w:val="Normal Table"/>
    <w:uiPriority w:val="99"/>
    <w:semiHidden/>
    <w:unhideWhenUsed/>
    <w:tblPr>
      <w:tblCellMar>
        <w:top w:type="dxa" w:w="0"/>
        <w:left w:type="dxa" w:w="108"/>
        <w:bottom w:type="dxa" w:w="0"/>
        <w:right w:type="dxa" w:w="108"/>
      </w:tblCellMar>
    </w:tblPr>
  </w:style>
</w:styles>
</file>

<file path=word/_rels/document.xml.rels><?xml version="1.0" encoding="UTF-8" standalone="yes"?>
<Relationships xmlns="http://schemas.openxmlformats.org/package/2006/relationships">
<Relationship Id="rId1" Target="styles.xml" Type="http://schemas.openxmlformats.org/officeDocument/2006/relationships/styles"/>
<Relationship Id="rId2" Target="fontTable.xml" Type="http://schemas.openxmlformats.org/officeDocument/2006/relationships/fontTable"/>
<Relationship Id="rId3" Target="settings.xml" Type="http://schemas.openxmlformats.org/officeDocument/2006/relationships/settings"/>
<Relationship Id="rId4" Target="theme/theme1.xml" Type="http://schemas.openxmlformats.org/officeDocument/2006/relationships/theme"/>
</Relationships>

</file>

<file path=word/theme/theme1.xml><?xml version="1.0" encoding="utf-8"?>
<a:theme xmlns:a="http://schemas.openxmlformats.org/drawingml/2006/main" xmlns:r="http://schemas.openxmlformats.org/officeDocument/2006/relationships" name="Office 主题​​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Application>LibreOffice/7.6.2.1$Windows_X86_64 LibreOffice_project/56f7684011345957bbf33a7ee678afaf4d2ba333</Application>
  <AppVersion>15.0000</AppVersion>
  <Pages>3</Pages>
  <Words>923</Words>
  <Characters>998</Characters>
  <CharactersWithSpaces>1010</CharactersWithSpaces>
  <Paragraphs>292</Paragraphs>
  <Company>China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2021-10-21T05:34:00Z</dcterms:created>
  <dc:creator>IdeaBank</dc:creator>
  <dc:language>zh-CN</dc:language>
  <dcterms:modified xsi:type="dcterms:W3CDTF">2024-01-13T19:48:24Z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