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汤阴县市场监督管理局2023年政府信息公开工作年度报告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汤阴县市场监督管理局坚持以习近平新时代中国特色社会主义思想为指导，全面贯彻党的二十大精神，认真落实国家、省、市、县关于政务公开的决策部署，立足新发展阶段、贯彻新发展理念、构建新发展格局，努力做好政务公开工作，推动政府决策和管理服务更加透明规范。</w:t>
      </w:r>
    </w:p>
    <w:p>
      <w:pPr>
        <w:pStyle w:val="Normal"/>
        <w:widowControl/>
        <w:shd w:color="auto" w:fill="FFFFFF" w:val="clear"/>
        <w:ind w:firstLine="480"/>
        <w:rPr>
          <w:rFonts w:ascii="宋体" w:cs="宋体" w:eastAsia="宋体" w:hAnsi="宋体"/>
          <w:color w:val="333333"/>
          <w:kern w:val="0"/>
          <w:sz w:val="24"/>
          <w:szCs w:val="24"/>
        </w:rPr>
      </w:pPr>
      <w:r>
        <w:t>（一）依法做好政府信息主动公开工作。我局坚持“以公开为常态、不公开为例外”的原则，做好主动公开目录中栏目的建设和信息更新工作，提高政府工作透明度。2023年，我局通过政府信息公开平台发布信息151条，抽检结果信息4期，“食安汤阴”微信公众号发布信息225条。</w:t>
      </w:r>
    </w:p>
    <w:p>
      <w:pPr>
        <w:pStyle w:val="Normal"/>
        <w:widowControl/>
        <w:shd w:color="auto" w:fill="FFFFFF" w:val="clear"/>
        <w:ind w:firstLine="480"/>
        <w:rPr>
          <w:rFonts w:ascii="宋体" w:cs="宋体" w:eastAsia="宋体" w:hAnsi="宋体"/>
          <w:color w:val="333333"/>
          <w:kern w:val="0"/>
          <w:sz w:val="24"/>
          <w:szCs w:val="24"/>
        </w:rPr>
      </w:pPr>
      <w:r>
        <w:t>（二）规范做好依申请公开工作。2023年，我局未收到依申请公开。</w:t>
      </w:r>
    </w:p>
    <w:p>
      <w:pPr>
        <w:pStyle w:val="Normal"/>
        <w:widowControl/>
        <w:shd w:color="auto" w:fill="FFFFFF" w:val="clear"/>
        <w:ind w:firstLine="480"/>
        <w:rPr>
          <w:rFonts w:ascii="宋体" w:cs="宋体" w:eastAsia="宋体" w:hAnsi="宋体"/>
          <w:color w:val="333333"/>
          <w:kern w:val="0"/>
          <w:sz w:val="24"/>
          <w:szCs w:val="24"/>
        </w:rPr>
      </w:pPr>
      <w:r>
        <w:t>（三）持续优化政府信息管理服务。一是完善政府信息公开平台各专栏建设，明确标注文件名称、文号、成文及发布日期等要素。二是围绕民生领域加大主动公开力度。推进食品药品安全领域信息公开，按照规定公开食品药品日常监管、专项整治、抽检结果信息和行政处罚案件信息等百姓关注的热点问题，接受社会公众的监督。三是做好政策解读工作。通过文字、音频等多种方式进行重点解读，同时确保解读材料与政策文件相互关联。</w:t>
      </w:r>
    </w:p>
    <w:p>
      <w:pPr>
        <w:pStyle w:val="Normal"/>
        <w:widowControl/>
        <w:shd w:color="auto" w:fill="FFFFFF" w:val="clear"/>
        <w:ind w:firstLine="480"/>
        <w:rPr>
          <w:rFonts w:ascii="宋体" w:cs="宋体" w:eastAsia="宋体" w:hAnsi="宋体"/>
          <w:color w:val="333333"/>
          <w:kern w:val="0"/>
          <w:sz w:val="24"/>
          <w:szCs w:val="24"/>
        </w:rPr>
      </w:pPr>
      <w:r>
        <w:t>（四）强化政府信息公开平台建设。我局政府信息公开平台、政务新媒体的日常运维由办公室专人24小时值班值守做好安全防护工作，严格落实网络意识形态工作责任制和网络安全责任制，完善信息发布三级审核、网络安全管理、舆情监测等各项制度，不断加强内容建设和功能保障。认真做好日常巡查和监测，及时完成各类排查整改工作，有效提高信息发布的规范性、准确性。</w:t>
      </w:r>
    </w:p>
    <w:p>
      <w:pPr>
        <w:pStyle w:val="Normal"/>
        <w:widowControl/>
        <w:shd w:color="auto" w:fill="FFFFFF" w:val="clear"/>
        <w:ind w:firstLine="480"/>
        <w:rPr>
          <w:rFonts w:ascii="宋体" w:cs="宋体" w:eastAsia="宋体" w:hAnsi="宋体"/>
          <w:color w:val="333333"/>
          <w:kern w:val="0"/>
          <w:sz w:val="24"/>
          <w:szCs w:val="24"/>
        </w:rPr>
      </w:pPr>
      <w:r>
        <w:t>（五）推进政务公开监督保障落实。制定《汤阴县市场监督管理局2023年政务公开工作要点分工方案》，推动2023年政务公开工作要点做实做细。定期召开政务公开工作会议听取汇报，研究部署政务公开工作，积极参加政务公开工作培训，着力提升政务公开工作水平。在政府信息公开平台发布政府信息公开指南，提供线上线下联系方式，方便公民、法人或者其他组织提出意见建议、投诉举报。</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45492</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366</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（一）存在的主要问题</w:t>
      </w:r>
    </w:p>
    <w:p>
      <w:pPr>
        <w:pStyle w:val="Normal"/>
        <w:widowControl/>
        <w:shd w:color="auto" w:fill="FFFFFF" w:val="clear"/>
        <w:ind w:firstLine="480"/>
        <w:rPr>
          <w:rFonts w:ascii="宋体" w:cs="宋体" w:eastAsia="宋体" w:hAnsi="宋体"/>
          <w:color w:val="333333"/>
          <w:kern w:val="0"/>
          <w:sz w:val="24"/>
          <w:szCs w:val="24"/>
        </w:rPr>
      </w:pPr>
      <w:r>
        <w:t>主动公开内容还有欠缺，对应主动公开信息的范围、内容理解不够到位。</w:t>
      </w:r>
    </w:p>
    <w:p>
      <w:pPr>
        <w:pStyle w:val="Normal"/>
        <w:widowControl/>
        <w:shd w:color="auto" w:fill="FFFFFF" w:val="clear"/>
        <w:ind w:firstLine="480"/>
        <w:rPr>
          <w:rFonts w:ascii="宋体" w:cs="宋体" w:eastAsia="宋体" w:hAnsi="宋体"/>
          <w:color w:val="333333"/>
          <w:kern w:val="0"/>
          <w:sz w:val="24"/>
          <w:szCs w:val="24"/>
        </w:rPr>
      </w:pPr>
      <w:r>
        <w:t>（二）改进措施</w:t>
      </w:r>
    </w:p>
    <w:p>
      <w:pPr>
        <w:pStyle w:val="Normal"/>
        <w:widowControl/>
        <w:shd w:color="auto" w:fill="FFFFFF" w:val="clear"/>
        <w:ind w:firstLine="480"/>
        <w:rPr>
          <w:rFonts w:ascii="宋体" w:cs="宋体" w:eastAsia="宋体" w:hAnsi="宋体"/>
          <w:color w:val="333333"/>
          <w:kern w:val="0"/>
          <w:sz w:val="24"/>
          <w:szCs w:val="24"/>
        </w:rPr>
      </w:pPr>
      <w:r>
        <w:t>着力提高主动公开质量，加强信息审核把关，加强规范发布，丰富公开形式。</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