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汤阴县统计局2023年政府信息公开工作年度报告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汤阴县统计局组织领导和协调指导全县统计工作，确保统计数据真实准确、完整及时，2023年无行政处罚、行政强制、行政许可等需要公开的内容。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进一步加大统计执法力度，积极承担法律法规赋予县级统计行政部门履行的其他执法职责。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