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汤阴县乡村振兴局2023年政府信息公开工作年度报告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2023年，我局认真贯彻落实《中华人民共和国政府信息公开条例》以及省、市、县关于加强政府信息公开工作的相关要求，积极推进政府信息公开工作，完善政务公开机制，推动政务公开标准化规范化发展，按时公开财政衔接资金项目、雨露计划、脱贫人口小额信贷贴息、脱贫劳动力跨地就业一次性交通补助等数据。</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下一步，我局围绕“五公开”和县政府政务公开工作各项要求，进一步整改落实。</w:t>
      </w:r>
    </w:p>
    <w:p>
      <w:pPr>
        <w:pStyle w:val="Normal"/>
        <w:widowControl/>
        <w:shd w:color="auto" w:fill="FFFFFF" w:val="clear"/>
        <w:ind w:firstLine="480"/>
        <w:rPr>
          <w:rFonts w:ascii="宋体" w:cs="宋体" w:eastAsia="宋体" w:hAnsi="宋体"/>
          <w:color w:val="333333"/>
          <w:kern w:val="0"/>
          <w:sz w:val="24"/>
          <w:szCs w:val="24"/>
        </w:rPr>
      </w:pPr>
      <w:r>
        <w:t>一是进一步强化组织领导。切实加强对政务公开工作的组织领导，坚持定期安排政务公开工作，反馈政务公开工作存在的问题。切实发挥综合科的牵头作用，积极协调各科室落实好政务公开工作，及时上报政务公开信息，做到规定公开的全面公开。</w:t>
      </w:r>
    </w:p>
    <w:p>
      <w:pPr>
        <w:pStyle w:val="Normal"/>
        <w:widowControl/>
        <w:shd w:color="auto" w:fill="FFFFFF" w:val="clear"/>
        <w:ind w:firstLine="480"/>
        <w:rPr>
          <w:rFonts w:ascii="宋体" w:cs="宋体" w:eastAsia="宋体" w:hAnsi="宋体"/>
          <w:color w:val="333333"/>
          <w:kern w:val="0"/>
          <w:sz w:val="24"/>
          <w:szCs w:val="24"/>
        </w:rPr>
      </w:pPr>
      <w:r>
        <w:t>二是进一步狠抓制度落实。不断完善政务公开信息保密审查制度，上网公开登记制度，落实公文公开标识属性，不断规范政务公开工作流程，做到上网信息必审查，公开信息必登记。</w:t>
      </w:r>
    </w:p>
    <w:p>
      <w:pPr>
        <w:pStyle w:val="Normal"/>
        <w:widowControl/>
        <w:shd w:color="auto" w:fill="FFFFFF" w:val="clear"/>
        <w:ind w:firstLine="480"/>
        <w:rPr>
          <w:rFonts w:ascii="宋体" w:cs="宋体" w:eastAsia="宋体" w:hAnsi="宋体"/>
          <w:color w:val="333333"/>
          <w:kern w:val="0"/>
          <w:sz w:val="24"/>
          <w:szCs w:val="24"/>
        </w:rPr>
      </w:pPr>
      <w:r>
        <w:t>三是进一步落实监督检查。切实加强对政务公开工作的监督检查，定期对各科室落实政务公开工作情况及乡村振兴局门户网站政务信息报送情况进行督查，并及时通报督查结果，督促各科室提高政务公开工作意识，深入推进政务公开工作。</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