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15">
  <w:body>
    <w:p>
      <w:pPr>
        <w:pStyle w:val="Normal"/>
        <w:widowControl/>
        <w:shd w:color="auto" w:fill="FFFFFF" w:val="clear"/>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p>
      <w:pPr>
        <w:pStyle w:val="Normal"/>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汤阴县政务服务和大数据管理局2023年政府信息公开工作年度报告</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pStyle w:val="Normal"/>
        <w:widowControl/>
        <w:shd w:color="auto" w:fill="FFFFFF" w:val="clear"/>
        <w:ind w:firstLine="480"/>
        <w:rPr>
          <w:rFonts w:ascii="宋体" w:cs="宋体" w:eastAsia="宋体" w:hAnsi="宋体"/>
          <w:color w:val="333333"/>
          <w:kern w:val="0"/>
          <w:sz w:val="24"/>
          <w:szCs w:val="24"/>
        </w:rPr>
      </w:pPr>
      <w:r>
        <w:t>2023年，汤阴县政务服务和大数据管理局认真贯彻落实《中华人民共和国政府信息公开条例》，坚持以公开为常态、不公开为例外，遵循公正、公平、合法、便民的原则，扎实推进政府信息公开工作。</w:t>
      </w:r>
    </w:p>
    <w:p>
      <w:pPr>
        <w:pStyle w:val="Normal"/>
        <w:widowControl/>
        <w:shd w:color="auto" w:fill="FFFFFF" w:val="clear"/>
        <w:ind w:firstLine="480"/>
        <w:rPr>
          <w:rFonts w:ascii="宋体" w:cs="宋体" w:eastAsia="宋体" w:hAnsi="宋体"/>
          <w:color w:val="333333"/>
          <w:kern w:val="0"/>
          <w:sz w:val="24"/>
          <w:szCs w:val="24"/>
        </w:rPr>
      </w:pPr>
      <w:r>
        <w:t>（一）主动公开情况。一是及时更新政府信息公开指南和目录，确保信息内容全面、准确、及时。二是加强政策解读和回应关切，通过多种渠道及时发布政策解读和回应公众关切，增强政府公信力。三是积极推进重点领域信息公开，加大财政预决算、公共资源配置、社会公益事业等领域的信息公开力度，提高政府工作的透明度。</w:t>
      </w:r>
    </w:p>
    <w:p>
      <w:pPr>
        <w:pStyle w:val="Normal"/>
        <w:widowControl/>
        <w:shd w:color="auto" w:fill="FFFFFF" w:val="clear"/>
        <w:ind w:firstLine="480"/>
        <w:rPr>
          <w:rFonts w:ascii="宋体" w:cs="宋体" w:eastAsia="宋体" w:hAnsi="宋体"/>
          <w:color w:val="333333"/>
          <w:kern w:val="0"/>
          <w:sz w:val="24"/>
          <w:szCs w:val="24"/>
        </w:rPr>
      </w:pPr>
      <w:r>
        <w:t>（二）政府信息管理情况。建立健全依申请公开工作机制，规范依申请公开办理流程，确保申请人的合法权益得到保障。我局政府信息公开工作领导小组根据职责分工，明确了各岗位的工作任务和工作要求，形成了各司其职、各负其责、协同配合的工作格局。同时，我们不断强化对政府信息公开工作的组织领导，完善保密审查制度，建立信息发布协调机制，并全面落实应急响应和责任追究制度。这些举措确保了政府信息公开工作的规范、有序进行，从而保障了我局政务信息公开的健康运行。我们始终坚持高标准、严要求，确保信息公开工作的质量和效率，以满足公众的知情权和监督权。</w:t>
      </w:r>
    </w:p>
    <w:p>
      <w:pPr>
        <w:pStyle w:val="Normal"/>
        <w:widowControl/>
        <w:shd w:color="auto" w:fill="FFFFFF" w:val="clear"/>
        <w:ind w:firstLine="480"/>
        <w:rPr>
          <w:rFonts w:ascii="宋体" w:cs="宋体" w:eastAsia="宋体" w:hAnsi="宋体"/>
          <w:color w:val="333333"/>
          <w:kern w:val="0"/>
          <w:sz w:val="24"/>
          <w:szCs w:val="24"/>
        </w:rPr>
      </w:pPr>
      <w:r>
        <w:t>（三）在依申请公开工作落实情况。我局已建立健全的工作机制，并规范了办理流程，以确保申请人的合法权益得到充分保障。2023年，申请人提出的依申请公开申请或公开政府信息的申请保持零记录。我们始终保持高度的责任感和警惕性，确保每一项申请都能得到及时、公正、专业的处理。</w:t>
      </w:r>
    </w:p>
    <w:p>
      <w:pPr>
        <w:pStyle w:val="Normal"/>
        <w:widowControl/>
        <w:shd w:color="auto" w:fill="FFFFFF" w:val="clear"/>
        <w:ind w:firstLine="480"/>
        <w:rPr>
          <w:rFonts w:ascii="宋体" w:cs="宋体" w:eastAsia="宋体" w:hAnsi="宋体"/>
          <w:color w:val="333333"/>
          <w:kern w:val="0"/>
          <w:sz w:val="24"/>
          <w:szCs w:val="24"/>
        </w:rPr>
      </w:pPr>
      <w:r>
        <w:t>（四）信息公开违规情况。2023年县政务服务和大数据管理局未发生信息公开申请引起的相关行政复议和行政诉讼。我们始终致力于保障公众的知情权，并努力提升政府信息公开工作的质量和效率。</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pageBreakBefore w:val="on"/>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0"/>
        <w:jc w:val="center"/>
        <w:tblInd w:type="dxa" w:w="0"/>
        <w:tblLayout w:type="fixed"/>
        <w:tblCellMar>
          <w:top w:type="dxa" w:w="0"/>
          <w:left w:type="dxa" w:w="57"/>
          <w:bottom w:type="dxa" w:w="0"/>
          <w:right w:type="dxa" w:w="57"/>
        </w:tblCellMar>
        <w:tblLook w:firstColumn="1" w:firstRow="1" w:lastColumn="0" w:lastRow="0" w:noHBand="0" w:noVBand="1" w:val="04a0"/>
      </w:tblPr>
      <w:tblGrid>
        <w:gridCol w:w="2435"/>
        <w:gridCol w:w="2435"/>
        <w:gridCol w:w="2435"/>
        <w:gridCol w:w="2434"/>
      </w:tblGrid>
      <w:tr>
        <w:trPr>
          <w:trHeight w:hRule="atLeast" w:val="340"/>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三、收到和处理政府信息公开申请情况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769"/>
        <w:gridCol w:w="942"/>
        <w:gridCol w:w="3220"/>
        <w:gridCol w:w="688"/>
        <w:gridCol w:w="688"/>
        <w:gridCol w:w="689"/>
        <w:gridCol w:w="688"/>
        <w:gridCol w:w="687"/>
        <w:gridCol w:w="688"/>
        <w:gridCol w:w="688"/>
      </w:tblGrid>
      <w:tr>
        <w:trPr/>
        <w:tc>
          <w:tcPr>
            <w:tcW w:type="dxa" w:w="4931"/>
            <w:gridSpan w:val="3"/>
            <w:vMerge w:val="restart"/>
            <w:tcBorders>
              <w:top w:color="000000" w:space="0" w:sz="8" w:val="single"/>
              <w:left w:color="000000" w:space="0" w:sz="8" w:val="single"/>
              <w:bottom w:color="000000" w:space="0" w:sz="8" w:val="inset"/>
              <w:right w:color="000000" w:space="0" w:sz="8" w:val="single"/>
            </w:tcBorders>
            <w:vAlign w:val="center"/>
          </w:tcPr>
          <w:p>
            <w:pPr>
              <w:pStyle w:val="Normal"/>
              <w:widowControl/>
              <w:jc w:val="left"/>
              <w:rPr>
                <w:rFonts w:ascii="宋体" w:cs="宋体" w:eastAsia="宋体" w:hAnsi="宋体"/>
                <w:kern w:val="0"/>
                <w:sz w:val="24"/>
                <w:szCs w:val="24"/>
              </w:rPr>
            </w:pPr>
            <w:r>
              <w:rPr>
                <w:rFonts w:ascii="楷体" w:cs="宋体" w:eastAsia="楷体" w:hAnsi="楷体"/>
                <w:kern w:val="0"/>
                <w:sz w:val="20"/>
                <w:szCs w:val="20"/>
              </w:rPr>
              <w:t>（本列数据的勾稽关系为：第一项加第二项之和，等于第三项加第四项之和）</w:t>
            </w:r>
          </w:p>
        </w:tc>
        <w:tc>
          <w:tcPr>
            <w:tcW w:type="dxa" w:w="4816"/>
            <w:gridSpan w:val="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申请人情况</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restart"/>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bottom w:color="000000" w:space="0" w:sz="8" w:val="inset"/>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continue"/>
            <w:tcBorders>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商业</w:t>
            </w:r>
          </w:p>
          <w:p>
            <w:pPr>
              <w:pStyle w:val="Normal"/>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科研</w:t>
            </w:r>
          </w:p>
          <w:p>
            <w:pPr>
              <w:pStyle w:val="Normal"/>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val="continue"/>
            <w:tcBorders>
              <w:top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restart"/>
            <w:tcBorders>
              <w:left w:color="000000" w:space="0" w:sz="8" w:val="single"/>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危及“三安全一稳定”</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（五）不予处理</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rHeight w:hRule="atLeast" w:val="779"/>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inset"/>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9"/>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7"/>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top w:color="000000" w:space="0" w:sz="8" w:val="inset"/>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申请人无正当理由逾期不补正、行政机关不再处理其政府信息公开申请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四、政府信息公开行政复议、行政诉讼情况</w:t>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行政诉讼</w:t>
            </w:r>
          </w:p>
        </w:tc>
      </w:tr>
      <w:tr>
        <w:trPr/>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复议后起诉</w:t>
            </w:r>
          </w:p>
        </w:tc>
      </w:tr>
      <w:tr>
        <w:trPr/>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49"/>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trPr>
          <w:trHeight w:hRule="atLeast" w:val="672"/>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pPr>
        <w:pStyle w:val="Normal"/>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pStyle w:val="Normal"/>
        <w:widowControl/>
        <w:shd w:color="auto" w:fill="FFFFFF" w:val="clear"/>
        <w:ind w:firstLine="480"/>
        <w:rPr>
          <w:rFonts w:ascii="宋体" w:cs="宋体" w:eastAsia="宋体" w:hAnsi="宋体"/>
          <w:color w:val="333333"/>
          <w:kern w:val="0"/>
          <w:sz w:val="24"/>
          <w:szCs w:val="24"/>
        </w:rPr>
      </w:pPr>
      <w:r>
        <w:t>一是公开内容不够全面，部分领域的信息公开力度还需加强；二是公开形式不够丰富，还需进一步拓展信息公开渠道；三是政策解读质量不够高，需进一步提高解读的针对性和实效性。</w:t>
      </w:r>
    </w:p>
    <w:p>
      <w:pPr>
        <w:pStyle w:val="Normal"/>
        <w:widowControl/>
        <w:shd w:color="auto" w:fill="FFFFFF" w:val="clear"/>
        <w:ind w:firstLine="480"/>
        <w:rPr>
          <w:rFonts w:ascii="宋体" w:cs="宋体" w:eastAsia="宋体" w:hAnsi="宋体"/>
          <w:color w:val="333333"/>
          <w:kern w:val="0"/>
          <w:sz w:val="24"/>
          <w:szCs w:val="24"/>
        </w:rPr>
      </w:pPr>
      <w:r>
        <w:t>一是加强制度建设，完善信息公开工作机制；二是加大公开力度，扩大信息公开的范围和深度；三是提高公开质量，注重信息公开的及时性和准确性；四是加强培训和宣传，提高工作人员的信息公开意识和能力。</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pStyle w:val="Normal"/>
        <w:widowControl/>
        <w:shd w:color="auto" w:fill="FFFFFF" w:val="clear"/>
        <w:ind w:firstLine="480"/>
        <w:jc w:val="left"/>
        <w:rPr>
          <w:rFonts w:ascii="宋体" w:cs="宋体" w:eastAsia="宋体" w:hAnsi="宋体"/>
          <w:color w:val="333333"/>
          <w:kern w:val="0"/>
          <w:sz w:val="24"/>
          <w:szCs w:val="24"/>
        </w:rPr>
      </w:pPr>
      <w:r>
        <w:t>本年度，本机关未收取信息公开处理费。</w:t>
      </w:r>
    </w:p>
    <w:sectPr>
      <w:type w:val="nextPage"/>
      <w:pgSz w:h="16838" w:w="11906"/>
      <w:pgMar w:bottom="1440" w:footer="0" w:gutter="0" w:header="0" w:left="1800" w:right="1800" w:top="1440"/>
      <w:pgNumType w:fmt="decimal"/>
      <w:formProt w:val="false"/>
      <w:textDirection w:val="lrTb"/>
      <w:docGrid w:charSpace="6143" w:linePitch="312" w:type="lines"/>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Calibri">
    <w:charset w:val="86"/>
    <w:family w:val="roman"/>
    <w:pitch w:val="variable"/>
  </w:font>
  <w:font w:name="Liberation Sans">
    <w:altName w:val="Arial"/>
    <w:charset w:val="86"/>
    <w:family w:val="swiss"/>
    <w:pitch w:val="variable"/>
  </w:font>
  <w:font w:name="宋体">
    <w:charset w:val="86"/>
    <w:family w:val="roman"/>
    <w:pitch w:val="variable"/>
  </w:font>
  <w:font w:name="楷体">
    <w:charset w:val="86"/>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bidi="" w:eastAsia="zh-CN" w:val="en-U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asciiTheme="minorHAnsi" w:cs="" w:cstheme="minorBidi" w:eastAsia="宋体" w:eastAsiaTheme="minorEastAsia" w:hAnsi="Calibri" w:hAnsiTheme="minorHAnsi"/>
        <w:kern w:val="2"/>
        <w:sz w:val="21"/>
        <w:szCs w:val="22"/>
        <w:lang w:bidi="ar-SA" w:eastAsia="zh-CN" w:val="en-US"/>
      </w:rPr>
    </w:rPrDefault>
    <w:pPrDefault>
      <w:pPr>
        <w:suppressAutoHyphens w:val="true"/>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widowControl w:val="false"/>
      <w:bidi w:val="0"/>
      <w:spacing w:after="0" w:before="0"/>
      <w:jc w:val="both"/>
    </w:pPr>
    <w:rPr>
      <w:rFonts w:ascii="Calibri" w:asciiTheme="minorHAnsi" w:cs="" w:cstheme="minorBidi" w:eastAsia="宋体" w:eastAsiaTheme="minorEastAsia" w:hAnsi="Calibri" w:hAnsiTheme="minorHAnsi"/>
      <w:color w:val="auto"/>
      <w:kern w:val="2"/>
      <w:sz w:val="21"/>
      <w:szCs w:val="22"/>
      <w:lang w:bidi="ar-SA" w:eastAsia="zh-CN" w:val="en-US"/>
    </w:rPr>
  </w:style>
  <w:style w:default="1" w:styleId="DefaultParagraphFont" w:type="character">
    <w:name w:val="Default Paragraph Font"/>
    <w:uiPriority w:val="1"/>
    <w:semiHidden/>
    <w:unhideWhenUsed/>
    <w:qFormat/>
    <w:rPr/>
  </w:style>
  <w:style w:styleId="Style14" w:type="paragraph">
    <w:name w:val="标题样式"/>
    <w:basedOn w:val="Normal"/>
    <w:next w:val="BodyText"/>
    <w:qFormat/>
    <w:pPr>
      <w:keepNext w:val="true"/>
      <w:spacing w:after="120" w:before="240"/>
    </w:pPr>
    <w:rPr>
      <w:rFonts w:ascii="Liberation Sans" w:cs="Arial" w:eastAsia="微软雅黑" w:hAnsi="Liberation Sans"/>
      <w:sz w:val="28"/>
      <w:szCs w:val="28"/>
    </w:rPr>
  </w:style>
  <w:style w:styleId="BodyText" w:type="paragraph">
    <w:name w:val="Body Text"/>
    <w:basedOn w:val="Normal"/>
    <w:pPr>
      <w:spacing w:after="140" w:before="0" w:line="276" w:lineRule="auto"/>
    </w:pPr>
    <w:rPr/>
  </w:style>
  <w:style w:styleId="List" w:type="paragraph">
    <w:name w:val="List"/>
    <w:basedOn w:val="BodyText"/>
    <w:pPr/>
    <w:rPr>
      <w:rFonts w:cs="Arial"/>
    </w:rPr>
  </w:style>
  <w:style w:styleId="Caption" w:type="paragraph">
    <w:name w:val="Caption"/>
    <w:basedOn w:val="Normal"/>
    <w:qFormat/>
    <w:pPr>
      <w:suppressLineNumbers/>
      <w:spacing w:after="120" w:before="120"/>
    </w:pPr>
    <w:rPr>
      <w:rFonts w:cs="Arial"/>
      <w:i/>
      <w:iCs/>
      <w:sz w:val="24"/>
      <w:szCs w:val="24"/>
    </w:rPr>
  </w:style>
  <w:style w:styleId="Style15" w:type="paragraph">
    <w:name w:val="索引"/>
    <w:basedOn w:val="Normal"/>
    <w:qFormat/>
    <w:pPr>
      <w:suppressLineNumbers/>
    </w:pPr>
    <w:rPr>
      <w:rFonts w:cs="Arial"/>
    </w:rPr>
  </w:style>
  <w:style w:styleId="NormalWeb" w:type="paragraph">
    <w:name w:val="Normal (Web)"/>
    <w:basedOn w:val="Normal"/>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 w:default="1" w:styleId="NoList" w:type="numbering">
    <w:name w:val="No List"/>
    <w:uiPriority w:val="99"/>
    <w:semiHidden/>
    <w:unhideWhenUsed/>
    <w:qFormat/>
  </w:style>
  <w:style w:default="1" w:styleId="a1" w:type="table">
    <w:name w:val="Normal Table"/>
    <w:uiPriority w:val="99"/>
    <w:semiHidden/>
    <w:unhideWhenUsed/>
    <w:tblPr>
      <w:tblCellMar>
        <w:top w:type="dxa" w:w="0"/>
        <w:left w:type="dxa" w:w="108"/>
        <w:bottom w:type="dxa" w:w="0"/>
        <w:right w:type="dxa" w:w="108"/>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4" Target="theme/theme1.xml" Type="http://schemas.openxmlformats.org/officeDocument/2006/relationships/theme"/>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LibreOffice/7.6.2.1$Windows_X86_64 LibreOffice_project/56f7684011345957bbf33a7ee678afaf4d2ba333</Application>
  <AppVersion>15.0000</AppVersion>
  <Pages>3</Pages>
  <Words>923</Words>
  <Characters>998</Characters>
  <CharactersWithSpaces>1010</CharactersWithSpaces>
  <Paragraphs>292</Paragraph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dcterms:modified xsi:type="dcterms:W3CDTF">2024-01-13T19:48:24Z</dcterms:modified>
  <cp:revision>26</cp:revision>
</cp:coreProperties>
</file>

<file path=docProps/custom.xml><?xml version="1.0" encoding="utf-8"?>
<Properties xmlns="http://schemas.openxmlformats.org/officeDocument/2006/custom-properties" xmlns:vt="http://schemas.openxmlformats.org/officeDocument/2006/docPropsVTypes"/>
</file>