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汤阴县住建局2022年政府信息公开工作年度报告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汤阴县住建局严格按照县政府政务公开要求，做好各项政务公开工作，按时公开住房保障补贴、安全饮水水质监测等数据，今年全年行政处罚0件，行政许可事项205件。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205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4.6372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