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汤阴县退役军人事务局2022年政府信息公开工作年度报告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我局继续贯彻落实上级部门有关政务公开工作部署，坚持“以公开为常态、不公开为例外”原则，进一步做好政府信息主动公开和依申请公开工作，切实保障人民群众的知情权，不断推动政府信息公开工作向纵深发展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　　（一）主动公开政府信息情况。2022年，我局回复办理“市12345服务热线”9件，云上汤阴问政6件。 　　（二）依申请公开政府信息情况。2022年，我局未收到要求信息公开的申请事项，未发生因信息公开被申请行政复议的情况。 　　（三）政府信息管理情况。2022年以来，我局依托汤阴县人民政府网、云上汤阴等相关媒体及时公开我局主要业务工作进展情况，解读相关政策法规和文件，回应社会关切热点问题，宣传先进典型，累计刊播各类稿件81余篇（件）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监督保障情况。成立了由局党组书记、局长任组长，班子成员任副组长，各股室及二级机构负责人为成员的信息公开工作领导小组。明确专人负责信息工作，局党组定时听取政务信息公开汇报、召开政务公开工作培训、推进会，着力提升人员政务信息公开处理技能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1、政务服务方面有待提升；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2、我单位因服务对象的特殊性涉及秘密方面，部分信息无法公开。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