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汤阴县统计局2022年政府信息公开工作年度报告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汤阴县统计局严格按照县政府政务公开要求，做好各项政务公开工作，按时公开统计月度数据，今年无违章、规范性文件、行政许可等需要公开的内容。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今后及时公开相关统计月度数据，为社会提供更多的统计服务。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