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9CD4E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  <w:bookmarkStart w:id="0" w:name="_Toc9866"/>
      <w:bookmarkStart w:id="1" w:name="_Toc8444"/>
      <w:bookmarkStart w:id="2" w:name="_Toc186"/>
      <w:bookmarkStart w:id="3" w:name="_Toc8140"/>
      <w:bookmarkStart w:id="4" w:name="_Toc21031"/>
      <w:bookmarkStart w:id="5" w:name="_Toc29566"/>
      <w:bookmarkStart w:id="6" w:name="_Toc17872"/>
      <w:bookmarkStart w:id="7" w:name="_Toc11237"/>
      <w:bookmarkStart w:id="8" w:name="_Toc28206"/>
      <w:bookmarkStart w:id="9" w:name="_Toc9872"/>
      <w:bookmarkStart w:id="10" w:name="_Toc21015"/>
      <w:bookmarkStart w:id="11" w:name="_Toc22565"/>
    </w:p>
    <w:p w14:paraId="62880F3E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1214DFFB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1628D068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16969078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  <w:t>汤阴高新技术产业开发区</w:t>
      </w:r>
    </w:p>
    <w:p w14:paraId="58E78519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default" w:ascii="黑体" w:hAnsi="黑体" w:eastAsia="黑体" w:cs="黑体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  <w:highlight w:val="none"/>
          <w:lang w:val="en-US" w:eastAsia="zh-CN"/>
        </w:rPr>
        <w:t>国土空间规划</w:t>
      </w:r>
    </w:p>
    <w:p w14:paraId="35144B22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0"/>
          <w:szCs w:val="40"/>
          <w:highlight w:val="none"/>
        </w:rPr>
      </w:pPr>
      <w:r>
        <w:rPr>
          <w:rFonts w:hint="eastAsia" w:ascii="黑体" w:hAnsi="黑体" w:eastAsia="黑体" w:cs="黑体"/>
          <w:color w:val="auto"/>
          <w:sz w:val="40"/>
          <w:szCs w:val="40"/>
          <w:highlight w:val="none"/>
        </w:rPr>
        <w:t>（202</w:t>
      </w:r>
      <w:r>
        <w:rPr>
          <w:rFonts w:hint="eastAsia" w:ascii="黑体" w:hAnsi="黑体" w:eastAsia="黑体" w:cs="黑体"/>
          <w:color w:val="auto"/>
          <w:sz w:val="40"/>
          <w:szCs w:val="40"/>
          <w:highlight w:val="none"/>
          <w:lang w:val="en-US" w:eastAsia="zh-CN"/>
        </w:rPr>
        <w:t>4</w:t>
      </w:r>
      <w:r>
        <w:rPr>
          <w:rFonts w:hint="eastAsia" w:ascii="黑体" w:hAnsi="黑体" w:eastAsia="黑体" w:cs="黑体"/>
          <w:color w:val="auto"/>
          <w:sz w:val="40"/>
          <w:szCs w:val="40"/>
          <w:highlight w:val="none"/>
        </w:rPr>
        <w:t>-2035年）</w:t>
      </w:r>
    </w:p>
    <w:p w14:paraId="205A6A9C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4D71AD91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79533C80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47D088D6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4"/>
          <w:szCs w:val="44"/>
          <w:highlight w:val="none"/>
        </w:rPr>
      </w:pPr>
    </w:p>
    <w:p w14:paraId="3539C53D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40"/>
          <w:szCs w:val="40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0"/>
          <w:szCs w:val="40"/>
          <w:highlight w:val="none"/>
          <w:lang w:eastAsia="zh-CN"/>
        </w:rPr>
        <w:t>公示稿</w:t>
      </w:r>
    </w:p>
    <w:p w14:paraId="048BEAD5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36"/>
          <w:szCs w:val="36"/>
          <w:highlight w:val="none"/>
        </w:rPr>
      </w:pPr>
    </w:p>
    <w:p w14:paraId="351B78A0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36"/>
          <w:szCs w:val="36"/>
          <w:highlight w:val="none"/>
        </w:rPr>
      </w:pPr>
    </w:p>
    <w:p w14:paraId="23C413D1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36"/>
          <w:szCs w:val="36"/>
          <w:highlight w:val="none"/>
        </w:rPr>
      </w:pPr>
    </w:p>
    <w:p w14:paraId="5A281B54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36"/>
          <w:szCs w:val="36"/>
          <w:highlight w:val="none"/>
        </w:rPr>
      </w:pPr>
    </w:p>
    <w:p w14:paraId="2BA6ED31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36"/>
          <w:szCs w:val="36"/>
          <w:highlight w:val="none"/>
        </w:rPr>
      </w:pPr>
    </w:p>
    <w:p w14:paraId="15328E24">
      <w:pPr>
        <w:spacing w:before="0" w:beforeLines="0" w:after="0" w:afterLines="0" w:line="36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highlight w:val="none"/>
          <w:lang w:val="en-US" w:eastAsia="zh-CN"/>
        </w:rPr>
        <w:t>二〇二五年五月</w:t>
      </w:r>
    </w:p>
    <w:p w14:paraId="1C43834F">
      <w:pPr>
        <w:rPr>
          <w:rFonts w:hint="eastAsia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cs="Times New Roman"/>
          <w:b/>
          <w:bCs/>
          <w:color w:val="auto"/>
          <w:highlight w:val="none"/>
          <w:lang w:val="en-US" w:eastAsia="zh-CN"/>
        </w:rPr>
        <w:br w:type="page"/>
      </w:r>
    </w:p>
    <w:bookmarkEnd w:id="0"/>
    <w:bookmarkEnd w:id="1"/>
    <w:bookmarkEnd w:id="2"/>
    <w:bookmarkEnd w:id="3"/>
    <w:bookmarkEnd w:id="4"/>
    <w:bookmarkEnd w:id="5"/>
    <w:p w14:paraId="6F50D7EB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规划范围与期限</w:t>
      </w:r>
    </w:p>
    <w:p w14:paraId="2F9B432E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规划范围</w:t>
      </w:r>
      <w:bookmarkEnd w:id="6"/>
      <w:bookmarkEnd w:id="7"/>
      <w:bookmarkEnd w:id="8"/>
      <w:bookmarkEnd w:id="9"/>
      <w:bookmarkEnd w:id="10"/>
      <w:bookmarkEnd w:id="11"/>
    </w:p>
    <w:p w14:paraId="0D7FD2CF">
      <w:pP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本次规划项目位于汤阴县中心城区东南部，规划范围为开发区规划建设用地范围，总用地面积17.84平方公里；四至边界为东至：兴隆路--京广高铁--汤伏路--刘大线；西至：中原路--铁东路--金穗路--扁鹊路；南至：开源大道--宜兴大道--阳光大道--晋豫鲁铁路；北至：复兴大道--精忠路--省道302；研究范围为规划围合范围，总面积23.36平方公里。</w:t>
      </w:r>
    </w:p>
    <w:p w14:paraId="4018A8F7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2" w:name="_Toc31862"/>
      <w:bookmarkStart w:id="13" w:name="_Toc972"/>
      <w:bookmarkStart w:id="14" w:name="_Toc23964"/>
      <w:bookmarkStart w:id="15" w:name="_Toc16221"/>
      <w:bookmarkStart w:id="16" w:name="_Toc6729"/>
      <w:bookmarkStart w:id="17" w:name="_Toc19420"/>
      <w:r>
        <w:rPr>
          <w:rFonts w:hint="eastAsia"/>
          <w:lang w:val="en-US" w:eastAsia="zh-CN"/>
        </w:rPr>
        <w:t>规划期限</w:t>
      </w:r>
      <w:bookmarkEnd w:id="12"/>
      <w:bookmarkEnd w:id="13"/>
      <w:bookmarkEnd w:id="14"/>
      <w:bookmarkEnd w:id="15"/>
      <w:bookmarkEnd w:id="16"/>
      <w:bookmarkEnd w:id="17"/>
      <w:r>
        <w:rPr>
          <w:rFonts w:hint="eastAsia"/>
          <w:lang w:val="en-US" w:eastAsia="zh-CN"/>
        </w:rPr>
        <w:t xml:space="preserve"> </w:t>
      </w:r>
    </w:p>
    <w:p w14:paraId="06FF3D24">
      <w:pPr>
        <w:ind w:left="0" w:leftChars="0" w:firstLine="60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汤阴高新技术产业开发区总体发展规划的规划期限为：202</w:t>
      </w:r>
      <w:r>
        <w:rPr>
          <w:rFonts w:hint="eastAsia" w:cs="Times New Roman"/>
          <w:color w:val="auto"/>
          <w:highlight w:val="none"/>
          <w:lang w:val="en-US" w:eastAsia="zh"/>
        </w:rPr>
        <w:t>4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——2035年。</w:t>
      </w:r>
    </w:p>
    <w:p w14:paraId="06523DFA">
      <w:pPr>
        <w:ind w:left="0" w:leftChars="0" w:firstLine="60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近期：202</w:t>
      </w:r>
      <w:r>
        <w:rPr>
          <w:rFonts w:hint="eastAsia" w:cs="Times New Roman"/>
          <w:color w:val="auto"/>
          <w:highlight w:val="none"/>
          <w:lang w:val="en-US" w:eastAsia="zh"/>
        </w:rPr>
        <w:t>4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——20</w:t>
      </w:r>
      <w:r>
        <w:rPr>
          <w:rFonts w:hint="eastAsia" w:cs="Times New Roman"/>
          <w:color w:val="auto"/>
          <w:highlight w:val="none"/>
          <w:lang w:val="en-US" w:eastAsia="zh"/>
        </w:rPr>
        <w:t>27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年；</w:t>
      </w:r>
    </w:p>
    <w:p w14:paraId="7436EB56">
      <w:pPr>
        <w:ind w:left="0" w:leftChars="0" w:firstLine="600" w:firstLineChars="200"/>
        <w:rPr>
          <w:rFonts w:hint="eastAsia" w:cs="Times New Roman"/>
          <w:color w:val="auto"/>
          <w:highlight w:val="none"/>
          <w:lang w:val="en-US" w:eastAsia="zh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远期：20</w:t>
      </w:r>
      <w:r>
        <w:rPr>
          <w:rFonts w:hint="eastAsia" w:cs="Times New Roman"/>
          <w:color w:val="auto"/>
          <w:highlight w:val="none"/>
          <w:lang w:val="en-US" w:eastAsia="zh"/>
        </w:rPr>
        <w:t>28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——2035年</w:t>
      </w:r>
      <w:r>
        <w:rPr>
          <w:rFonts w:hint="eastAsia" w:cs="Times New Roman"/>
          <w:color w:val="auto"/>
          <w:highlight w:val="none"/>
          <w:lang w:val="en-US" w:eastAsia="zh"/>
        </w:rPr>
        <w:t>；</w:t>
      </w:r>
    </w:p>
    <w:p w14:paraId="092AD137">
      <w:pPr>
        <w:ind w:left="0" w:leftChars="0" w:firstLine="60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cs="Times New Roman"/>
          <w:color w:val="auto"/>
          <w:highlight w:val="none"/>
          <w:lang w:val="en-US" w:eastAsia="zh"/>
        </w:rPr>
        <w:t>远景展望：至2050年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。</w:t>
      </w:r>
    </w:p>
    <w:p w14:paraId="48D0191F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8" w:name="_Toc7429"/>
      <w:bookmarkStart w:id="19" w:name="_Toc11683"/>
      <w:bookmarkStart w:id="20" w:name="_Toc17600"/>
      <w:bookmarkStart w:id="21" w:name="_Toc28270"/>
      <w:bookmarkStart w:id="22" w:name="_Toc23955"/>
      <w:bookmarkStart w:id="23" w:name="_Toc32386"/>
      <w:r>
        <w:rPr>
          <w:rFonts w:hint="eastAsia"/>
          <w:lang w:val="en-US" w:eastAsia="zh-CN"/>
        </w:rPr>
        <w:t>规划定位与</w:t>
      </w:r>
      <w:bookmarkEnd w:id="18"/>
      <w:bookmarkEnd w:id="19"/>
      <w:bookmarkEnd w:id="20"/>
      <w:bookmarkEnd w:id="21"/>
      <w:bookmarkEnd w:id="22"/>
      <w:bookmarkEnd w:id="23"/>
      <w:r>
        <w:rPr>
          <w:rFonts w:hint="eastAsia"/>
          <w:lang w:val="en-US" w:eastAsia="zh-CN"/>
        </w:rPr>
        <w:t>目标</w:t>
      </w:r>
    </w:p>
    <w:p w14:paraId="62671AB6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规划定位</w:t>
      </w:r>
    </w:p>
    <w:p w14:paraId="4C4906E9">
      <w:pPr>
        <w:bidi w:val="0"/>
        <w:ind w:firstLine="600" w:firstLineChars="200"/>
        <w:rPr>
          <w:rFonts w:hint="eastAsia" w:ascii="Times New Roman" w:hAnsi="Times New Roman" w:eastAsia="宋体" w:cs="Times New Roman"/>
          <w:b w:val="0"/>
          <w:bCs w:val="0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结合开发区现状产业发展基础及相关规划发展要求，汤阴高新技术产业开发区定位为：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highlight w:val="none"/>
          <w:lang w:val="en-US" w:eastAsia="zh-CN"/>
        </w:rPr>
        <w:t>中国主食工业化生产基地、中国食品工业强县；全国医药工业名县；安阳千亿级精品钢产业重要支撑点。</w:t>
      </w:r>
    </w:p>
    <w:p w14:paraId="6F2A6553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规划目标</w:t>
      </w:r>
    </w:p>
    <w:p w14:paraId="1BF0E3A7">
      <w:pPr>
        <w:bidi w:val="0"/>
        <w:ind w:firstLine="60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依托现有产业基础，将汤阴高新技术产业开发区建设成为生态环境良好、产业聚集度较高、产业配套完善、主导产业鲜明、综合竞争力较强的具有自主创新、具备产业核心竞争力的创新产业基地，成为新的经济增长极，使之成为产业发展载体，环境优美、设施完善、可持续发展的循环经济开发区。</w:t>
      </w:r>
    </w:p>
    <w:p w14:paraId="0E30919B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产业发展规划</w:t>
      </w:r>
    </w:p>
    <w:p w14:paraId="2AF84615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主导产业选择</w:t>
      </w:r>
    </w:p>
    <w:p w14:paraId="21581D47">
      <w:pPr>
        <w:bidi w:val="0"/>
        <w:rPr>
          <w:rFonts w:hint="default"/>
          <w:color w:val="auto"/>
          <w:highlight w:val="none"/>
        </w:rPr>
      </w:pPr>
      <w:r>
        <w:rPr>
          <w:rFonts w:hint="eastAsia"/>
          <w:color w:val="auto"/>
          <w:highlight w:val="none"/>
        </w:rPr>
        <w:t>汤阴高新技术产业开发区原省定主导产业为食品和医药。随着产业开发区的发展，原主导产业</w:t>
      </w:r>
      <w:r>
        <w:rPr>
          <w:rFonts w:hint="default"/>
          <w:color w:val="auto"/>
          <w:highlight w:val="none"/>
        </w:rPr>
        <w:t>与未来发展方向存在一定差异</w:t>
      </w:r>
      <w:r>
        <w:rPr>
          <w:rFonts w:hint="eastAsia"/>
          <w:color w:val="auto"/>
          <w:highlight w:val="none"/>
        </w:rPr>
        <w:t>。同时河南省发改委在《关于做好产业</w:t>
      </w:r>
      <w:r>
        <w:rPr>
          <w:rFonts w:hint="eastAsia" w:eastAsia="宋体" w:cs="Times New Roman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</w:rPr>
        <w:t>规划修编工作的通知》中也强调进一步优化主导产业的选择。</w:t>
      </w:r>
      <w:r>
        <w:rPr>
          <w:rFonts w:hint="default"/>
          <w:color w:val="auto"/>
          <w:highlight w:val="none"/>
        </w:rPr>
        <w:t>规划</w:t>
      </w:r>
      <w:r>
        <w:rPr>
          <w:rFonts w:hint="eastAsia"/>
          <w:color w:val="auto"/>
          <w:highlight w:val="none"/>
        </w:rPr>
        <w:t>汤阴高新技术产业开发区</w:t>
      </w:r>
      <w:r>
        <w:rPr>
          <w:rFonts w:hint="default"/>
          <w:color w:val="auto"/>
          <w:highlight w:val="none"/>
        </w:rPr>
        <w:t>产业发展主要分为三个方向：食品产业、医药产业、精品钢及深加工产业。</w:t>
      </w:r>
    </w:p>
    <w:p w14:paraId="70E3FFA7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产业发展策略</w:t>
      </w:r>
    </w:p>
    <w:p w14:paraId="7208DB22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第一步：产品升级。落实产品集成战略，实现产品层次和价值提升。重点推动关键技术研发和创新能力提升，推动企业从简单制造生产向研发制造发展。</w:t>
      </w:r>
    </w:p>
    <w:p w14:paraId="3570170B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第二步：企业升级。落实企业提升战略，提升产业内生增长动力，重点扶持和培育龙头企业，提升企业竞争力，加强龙头企业的引领和带动作用，通过龙头和规模上企业从而带动产业开发区产业的整体实力。</w:t>
      </w:r>
    </w:p>
    <w:p w14:paraId="56321D37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第三步：产业链升级。落实链条整合战略，增强产业竞争力。重点加强延链补链招商，推进产业内部整合与协作，增加产业关联性，提升资源配置效率，向现代化产业集群升级。</w:t>
      </w:r>
    </w:p>
    <w:p w14:paraId="11DB31F5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24" w:name="_Toc12037"/>
      <w:bookmarkStart w:id="25" w:name="_Toc9254"/>
      <w:r>
        <w:rPr>
          <w:rFonts w:hint="eastAsia"/>
          <w:lang w:val="en-US" w:eastAsia="zh-CN"/>
        </w:rPr>
        <w:t>国土空间布局</w:t>
      </w:r>
      <w:bookmarkEnd w:id="24"/>
      <w:bookmarkEnd w:id="25"/>
    </w:p>
    <w:p w14:paraId="7DCCE13E">
      <w:pPr>
        <w:pStyle w:val="3"/>
        <w:bidi w:val="0"/>
        <w:ind w:left="575" w:leftChars="0" w:hanging="575" w:firstLineChars="0"/>
        <w:rPr>
          <w:rFonts w:hint="eastAsia"/>
          <w:lang w:eastAsia="zh-CN"/>
        </w:rPr>
      </w:pPr>
      <w:bookmarkStart w:id="26" w:name="_Toc15326"/>
      <w:bookmarkStart w:id="27" w:name="_Toc25283"/>
      <w:r>
        <w:rPr>
          <w:rFonts w:hint="eastAsia"/>
          <w:lang w:val="en-US" w:eastAsia="zh-CN"/>
        </w:rPr>
        <w:t>总体空间</w:t>
      </w:r>
      <w:r>
        <w:rPr>
          <w:rFonts w:hint="eastAsia"/>
          <w:lang w:eastAsia="zh-CN"/>
        </w:rPr>
        <w:t>结构</w:t>
      </w:r>
      <w:bookmarkEnd w:id="26"/>
      <w:bookmarkEnd w:id="27"/>
    </w:p>
    <w:p w14:paraId="6475D777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按照开发区发展目标，</w:t>
      </w:r>
      <w:r>
        <w:rPr>
          <w:rFonts w:hint="eastAsia"/>
          <w:color w:val="auto"/>
          <w:highlight w:val="none"/>
          <w:lang w:val="en-US" w:eastAsia="zh-CN"/>
        </w:rPr>
        <w:t>结合河流水系及城市发展格局，</w:t>
      </w:r>
      <w:r>
        <w:rPr>
          <w:rFonts w:hint="eastAsia"/>
          <w:color w:val="auto"/>
          <w:highlight w:val="none"/>
          <w:lang w:eastAsia="zh-CN"/>
        </w:rPr>
        <w:t>统筹生产、生活、生态三大空间，确定不同功能区域的划分。开发区</w:t>
      </w:r>
      <w:r>
        <w:rPr>
          <w:rFonts w:hint="eastAsia"/>
          <w:color w:val="auto"/>
          <w:highlight w:val="none"/>
          <w:lang w:val="en-US" w:eastAsia="zh-CN"/>
        </w:rPr>
        <w:t>形成</w:t>
      </w:r>
      <w:r>
        <w:rPr>
          <w:rFonts w:hint="eastAsia"/>
          <w:color w:val="auto"/>
          <w:highlight w:val="none"/>
          <w:lang w:eastAsia="zh-CN"/>
        </w:rPr>
        <w:t>“</w:t>
      </w:r>
      <w:r>
        <w:rPr>
          <w:rFonts w:hint="eastAsia"/>
          <w:b/>
          <w:bCs/>
          <w:color w:val="auto"/>
          <w:highlight w:val="none"/>
          <w:lang w:eastAsia="zh-CN"/>
        </w:rPr>
        <w:t>一心、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两</w:t>
      </w:r>
      <w:r>
        <w:rPr>
          <w:rFonts w:hint="eastAsia"/>
          <w:b/>
          <w:bCs/>
          <w:color w:val="auto"/>
          <w:highlight w:val="none"/>
          <w:lang w:eastAsia="zh-CN"/>
        </w:rPr>
        <w:t>轴、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四</w:t>
      </w:r>
      <w:r>
        <w:rPr>
          <w:rFonts w:hint="eastAsia"/>
          <w:b/>
          <w:bCs/>
          <w:color w:val="auto"/>
          <w:highlight w:val="none"/>
          <w:lang w:eastAsia="zh-CN"/>
        </w:rPr>
        <w:t>园、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一廊</w:t>
      </w:r>
      <w:r>
        <w:rPr>
          <w:rFonts w:hint="eastAsia"/>
          <w:color w:val="auto"/>
          <w:highlight w:val="none"/>
          <w:lang w:eastAsia="zh-CN"/>
        </w:rPr>
        <w:t>”的空间格局。</w:t>
      </w:r>
    </w:p>
    <w:p w14:paraId="0968DDD0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eastAsia="zh-CN"/>
        </w:rPr>
        <w:t>一心</w:t>
      </w:r>
      <w:r>
        <w:rPr>
          <w:rFonts w:hint="eastAsia"/>
          <w:color w:val="auto"/>
          <w:highlight w:val="none"/>
          <w:lang w:eastAsia="zh-CN"/>
        </w:rPr>
        <w:t>：是指开发区公共服务中心，位于众品大道中段两侧。</w:t>
      </w:r>
    </w:p>
    <w:p w14:paraId="02C598D9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两</w:t>
      </w:r>
      <w:r>
        <w:rPr>
          <w:rFonts w:hint="eastAsia"/>
          <w:b/>
          <w:bCs/>
          <w:color w:val="auto"/>
          <w:highlight w:val="none"/>
          <w:lang w:eastAsia="zh-CN"/>
        </w:rPr>
        <w:t>轴</w:t>
      </w:r>
      <w:r>
        <w:rPr>
          <w:rFonts w:hint="eastAsia"/>
          <w:color w:val="auto"/>
          <w:highlight w:val="none"/>
          <w:lang w:eastAsia="zh-CN"/>
        </w:rPr>
        <w:t>：是指沿东西向众品大道、南北向</w:t>
      </w:r>
      <w:r>
        <w:rPr>
          <w:rFonts w:hint="eastAsia"/>
          <w:color w:val="auto"/>
          <w:highlight w:val="none"/>
          <w:lang w:val="en-US" w:eastAsia="zh-CN"/>
        </w:rPr>
        <w:t>大南街</w:t>
      </w:r>
      <w:r>
        <w:rPr>
          <w:rFonts w:hint="eastAsia"/>
          <w:color w:val="auto"/>
          <w:highlight w:val="none"/>
          <w:lang w:eastAsia="zh-CN"/>
        </w:rPr>
        <w:t>联系汤阴中心城区和开发区形成的产城融合轴，及延伸形成的城乡融合轴。</w:t>
      </w:r>
    </w:p>
    <w:p w14:paraId="006FB93B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四</w:t>
      </w:r>
      <w:r>
        <w:rPr>
          <w:rFonts w:hint="eastAsia"/>
          <w:b/>
          <w:bCs/>
          <w:color w:val="auto"/>
          <w:highlight w:val="none"/>
          <w:lang w:eastAsia="zh-CN"/>
        </w:rPr>
        <w:t>园：</w:t>
      </w:r>
      <w:r>
        <w:rPr>
          <w:rFonts w:hint="eastAsia"/>
          <w:color w:val="auto"/>
          <w:highlight w:val="none"/>
          <w:lang w:eastAsia="zh-CN"/>
        </w:rPr>
        <w:t>是指按照主导产业形成的不同产业园，包括食品产业园、精品钢及深加工产业园、医药产业园、物流产业园。</w:t>
      </w:r>
    </w:p>
    <w:p w14:paraId="33EBB453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一廊</w:t>
      </w:r>
      <w:r>
        <w:rPr>
          <w:rFonts w:hint="eastAsia"/>
          <w:b/>
          <w:bCs/>
          <w:color w:val="auto"/>
          <w:highlight w:val="none"/>
          <w:lang w:eastAsia="zh-CN"/>
        </w:rPr>
        <w:t>：</w:t>
      </w:r>
      <w:r>
        <w:rPr>
          <w:rFonts w:hint="eastAsia"/>
          <w:color w:val="auto"/>
          <w:highlight w:val="none"/>
          <w:lang w:val="en-US" w:eastAsia="zh-CN"/>
        </w:rPr>
        <w:t>是指淤泥河的生态廊道，东西向贯穿开发区，沿淤泥——永通河生态廊道改善开发区自然景观，打造水绿交融的生态园区。</w:t>
      </w:r>
    </w:p>
    <w:p w14:paraId="3F3F3E74"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用地布局</w:t>
      </w:r>
    </w:p>
    <w:p w14:paraId="62ECA354">
      <w:pPr>
        <w:bidi w:val="0"/>
        <w:rPr>
          <w:rFonts w:hint="eastAsia"/>
          <w:color w:val="auto"/>
          <w:sz w:val="24"/>
          <w:szCs w:val="24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规划开发区</w:t>
      </w:r>
      <w:r>
        <w:rPr>
          <w:rFonts w:hint="default"/>
          <w:color w:val="auto"/>
          <w:highlight w:val="none"/>
          <w:lang w:val="en-US" w:eastAsia="zh-CN"/>
        </w:rPr>
        <w:t>建设用地面积</w:t>
      </w:r>
      <w:r>
        <w:rPr>
          <w:rFonts w:hint="eastAsia"/>
          <w:color w:val="auto"/>
          <w:highlight w:val="none"/>
          <w:lang w:val="en-US" w:eastAsia="zh-CN"/>
        </w:rPr>
        <w:t>1783.97</w:t>
      </w:r>
      <w:r>
        <w:rPr>
          <w:rFonts w:hint="default"/>
          <w:color w:val="auto"/>
          <w:highlight w:val="none"/>
          <w:lang w:val="en-US" w:eastAsia="zh-CN"/>
        </w:rPr>
        <w:t>公顷，以工业用地为主</w:t>
      </w:r>
      <w:r>
        <w:rPr>
          <w:rFonts w:hint="eastAsia"/>
          <w:color w:val="auto"/>
          <w:highlight w:val="none"/>
          <w:lang w:val="en-US" w:eastAsia="zh-CN"/>
        </w:rPr>
        <w:t>，用地</w:t>
      </w:r>
      <w:r>
        <w:rPr>
          <w:rFonts w:hint="eastAsia"/>
          <w:color w:val="auto"/>
          <w:sz w:val="24"/>
          <w:szCs w:val="24"/>
          <w:highlight w:val="none"/>
        </w:rPr>
        <w:t>具体如下：</w:t>
      </w:r>
    </w:p>
    <w:p w14:paraId="2C4EEBF6">
      <w:pPr>
        <w:bidi w:val="0"/>
        <w:rPr>
          <w:rFonts w:hint="default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1、工矿用地布局规划</w:t>
      </w:r>
    </w:p>
    <w:p w14:paraId="00089A5F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提升开发区工业和仓储用地使用效率，精准配置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产业用地规模</w:t>
      </w:r>
      <w:r>
        <w:rPr>
          <w:rFonts w:hint="eastAsia"/>
          <w:color w:val="auto"/>
          <w:highlight w:val="none"/>
          <w:lang w:eastAsia="zh-CN"/>
        </w:rPr>
        <w:t>，至2035年，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工矿用地为</w:t>
      </w:r>
      <w:r>
        <w:rPr>
          <w:rFonts w:hint="eastAsia"/>
          <w:color w:val="auto"/>
          <w:highlight w:val="none"/>
          <w:lang w:val="en-US" w:eastAsia="zh-CN"/>
        </w:rPr>
        <w:t>1280.48</w:t>
      </w:r>
      <w:r>
        <w:rPr>
          <w:rFonts w:hint="eastAsia"/>
          <w:color w:val="auto"/>
          <w:highlight w:val="none"/>
          <w:lang w:eastAsia="zh-CN"/>
        </w:rPr>
        <w:t>公顷，占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城镇建设用地的</w:t>
      </w:r>
      <w:r>
        <w:rPr>
          <w:rFonts w:hint="eastAsia"/>
          <w:color w:val="auto"/>
          <w:highlight w:val="none"/>
          <w:lang w:val="en-US" w:eastAsia="zh-CN"/>
        </w:rPr>
        <w:t>71.78</w:t>
      </w:r>
      <w:r>
        <w:rPr>
          <w:rFonts w:hint="eastAsia"/>
          <w:color w:val="auto"/>
          <w:highlight w:val="none"/>
          <w:lang w:eastAsia="zh-CN"/>
        </w:rPr>
        <w:t>%。稳定工业用地总量，严控工业用地保护线内用地转化为非产业用地。</w:t>
      </w:r>
    </w:p>
    <w:p w14:paraId="16AD9FBE">
      <w:pPr>
        <w:bidi w:val="0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2、仓储用地布局规划</w:t>
      </w:r>
    </w:p>
    <w:p w14:paraId="212A5975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建设陆港与空港联动的区域货运枢纽，构建“专业物流园区、物流中心、末端配送网点”的三级物流仓储设施分布体系。统筹合理安排城市仓储用地，为区域周边地区和产业用地配套及城市生产生活提供有效服务。培育重点物流服务项目，打造智能物流服务平台体系，形成区域优势。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仓储用地规模为</w:t>
      </w:r>
      <w:r>
        <w:rPr>
          <w:rFonts w:hint="eastAsia"/>
          <w:color w:val="auto"/>
          <w:highlight w:val="none"/>
          <w:lang w:val="en-US" w:eastAsia="zh-CN"/>
        </w:rPr>
        <w:t>142.06</w:t>
      </w:r>
      <w:r>
        <w:rPr>
          <w:rFonts w:hint="eastAsia"/>
          <w:color w:val="auto"/>
          <w:highlight w:val="none"/>
          <w:lang w:eastAsia="zh-CN"/>
        </w:rPr>
        <w:t>公顷，占规划城镇建设用地的</w:t>
      </w:r>
      <w:r>
        <w:rPr>
          <w:rFonts w:hint="eastAsia"/>
          <w:color w:val="auto"/>
          <w:highlight w:val="none"/>
          <w:lang w:val="en-US" w:eastAsia="zh-CN"/>
        </w:rPr>
        <w:t>7.96</w:t>
      </w:r>
      <w:r>
        <w:rPr>
          <w:rFonts w:hint="eastAsia"/>
          <w:color w:val="auto"/>
          <w:highlight w:val="none"/>
          <w:lang w:eastAsia="zh-CN"/>
        </w:rPr>
        <w:t>%。</w:t>
      </w:r>
    </w:p>
    <w:p w14:paraId="0C0D7903">
      <w:pPr>
        <w:bidi w:val="0"/>
        <w:rPr>
          <w:rFonts w:hint="eastAsia"/>
          <w:b/>
          <w:bCs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3、</w:t>
      </w:r>
      <w:r>
        <w:rPr>
          <w:rFonts w:hint="eastAsia"/>
          <w:b/>
          <w:bCs/>
          <w:color w:val="auto"/>
          <w:highlight w:val="none"/>
          <w:lang w:eastAsia="zh-CN"/>
        </w:rPr>
        <w:t>居住用地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布局规划</w:t>
      </w:r>
    </w:p>
    <w:p w14:paraId="26FD1449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eastAsia="zh-CN"/>
        </w:rPr>
        <w:t>优化生活空间布局，</w:t>
      </w:r>
      <w:r>
        <w:rPr>
          <w:rFonts w:hint="eastAsia"/>
          <w:color w:val="auto"/>
          <w:highlight w:val="none"/>
          <w:lang w:val="en-US" w:eastAsia="zh-CN"/>
        </w:rPr>
        <w:t>适当安排居住用地，实现职住平衡，缩短通勤时长</w:t>
      </w:r>
      <w:r>
        <w:rPr>
          <w:rFonts w:hint="eastAsia"/>
          <w:color w:val="auto"/>
          <w:highlight w:val="none"/>
          <w:lang w:eastAsia="zh-CN"/>
        </w:rPr>
        <w:t>。至2035年，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居住用地规模为</w:t>
      </w:r>
      <w:r>
        <w:rPr>
          <w:rFonts w:hint="eastAsia"/>
          <w:color w:val="auto"/>
          <w:highlight w:val="none"/>
          <w:lang w:val="en-US" w:eastAsia="zh-CN"/>
        </w:rPr>
        <w:t>25.27</w:t>
      </w:r>
      <w:r>
        <w:rPr>
          <w:rFonts w:hint="eastAsia"/>
          <w:color w:val="auto"/>
          <w:highlight w:val="none"/>
          <w:lang w:eastAsia="zh-CN"/>
        </w:rPr>
        <w:t>公顷，占规划城镇建设用地的1.4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  <w:lang w:eastAsia="zh-CN"/>
        </w:rPr>
        <w:t>%。规划居住用地规划人口总计</w:t>
      </w:r>
      <w:r>
        <w:rPr>
          <w:rFonts w:hint="eastAsia"/>
          <w:color w:val="auto"/>
          <w:highlight w:val="none"/>
          <w:lang w:val="en-US" w:eastAsia="zh-CN"/>
        </w:rPr>
        <w:t>1.18万人，其中村庄拆迁安置人口0.16万人。</w:t>
      </w:r>
    </w:p>
    <w:p w14:paraId="08415CDC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4、公共管理与公共服务用地布局规划</w:t>
      </w:r>
    </w:p>
    <w:p w14:paraId="323EAF11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结合开发区功能，适当</w:t>
      </w:r>
      <w:r>
        <w:rPr>
          <w:rFonts w:hint="eastAsia"/>
          <w:color w:val="auto"/>
          <w:highlight w:val="none"/>
          <w:lang w:eastAsia="zh-CN"/>
        </w:rPr>
        <w:t>增加公共服务设施用地供给。至2035年，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公共管理与公共服务用地规模为</w:t>
      </w:r>
      <w:r>
        <w:rPr>
          <w:rFonts w:hint="eastAsia"/>
          <w:color w:val="auto"/>
          <w:highlight w:val="none"/>
          <w:lang w:val="en-US" w:eastAsia="zh-CN"/>
        </w:rPr>
        <w:t>10.67</w:t>
      </w:r>
      <w:r>
        <w:rPr>
          <w:rFonts w:hint="eastAsia"/>
          <w:color w:val="auto"/>
          <w:highlight w:val="none"/>
          <w:lang w:eastAsia="zh-CN"/>
        </w:rPr>
        <w:t>公顷，占规划城镇建设用地的</w:t>
      </w:r>
      <w:r>
        <w:rPr>
          <w:rFonts w:hint="eastAsia"/>
          <w:color w:val="auto"/>
          <w:highlight w:val="none"/>
          <w:lang w:val="en-US" w:eastAsia="zh-CN"/>
        </w:rPr>
        <w:t>0.60</w:t>
      </w:r>
      <w:r>
        <w:rPr>
          <w:rFonts w:hint="eastAsia"/>
          <w:color w:val="auto"/>
          <w:highlight w:val="none"/>
          <w:lang w:eastAsia="zh-CN"/>
        </w:rPr>
        <w:t>%。</w:t>
      </w:r>
    </w:p>
    <w:p w14:paraId="3784EA99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5、商业服务业用地布局规划</w:t>
      </w:r>
    </w:p>
    <w:p w14:paraId="1F19924D">
      <w:pPr>
        <w:bidi w:val="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</w:t>
      </w:r>
      <w:r>
        <w:rPr>
          <w:rFonts w:hint="eastAsia"/>
          <w:color w:val="auto"/>
          <w:highlight w:val="none"/>
          <w:lang w:eastAsia="zh-CN"/>
        </w:rPr>
        <w:t>商业服务业用地规模为</w:t>
      </w:r>
      <w:r>
        <w:rPr>
          <w:rFonts w:hint="eastAsia"/>
          <w:color w:val="auto"/>
          <w:highlight w:val="none"/>
          <w:lang w:val="en-US" w:eastAsia="zh-CN"/>
        </w:rPr>
        <w:t>40.98</w:t>
      </w:r>
      <w:r>
        <w:rPr>
          <w:rFonts w:hint="eastAsia"/>
          <w:color w:val="auto"/>
          <w:highlight w:val="none"/>
          <w:lang w:eastAsia="zh-CN"/>
        </w:rPr>
        <w:t>公顷，占规划城镇建设用地的</w:t>
      </w:r>
      <w:r>
        <w:rPr>
          <w:rFonts w:hint="eastAsia"/>
          <w:color w:val="auto"/>
          <w:highlight w:val="none"/>
          <w:lang w:val="en-US" w:eastAsia="zh-CN"/>
        </w:rPr>
        <w:t>2.30</w:t>
      </w:r>
      <w:r>
        <w:rPr>
          <w:rFonts w:hint="eastAsia"/>
          <w:color w:val="auto"/>
          <w:highlight w:val="none"/>
          <w:lang w:eastAsia="zh-CN"/>
        </w:rPr>
        <w:t>%。</w:t>
      </w:r>
    </w:p>
    <w:p w14:paraId="0CE2CC5D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6、交通运输用地布局规划</w:t>
      </w:r>
    </w:p>
    <w:p w14:paraId="2D1E2F61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规划除对上层次规划所确定的城市主要交通干道用地予以落实外，重点对次干道和支路进行整理和疏通，形成方便快捷的道路交通系统。</w:t>
      </w:r>
      <w:r>
        <w:rPr>
          <w:rFonts w:hint="eastAsia"/>
          <w:color w:val="auto"/>
          <w:highlight w:val="none"/>
          <w:lang w:eastAsia="zh-CN"/>
        </w:rPr>
        <w:t>至2035年，</w:t>
      </w:r>
      <w:r>
        <w:rPr>
          <w:rFonts w:hint="eastAsia"/>
          <w:color w:val="auto"/>
          <w:highlight w:val="none"/>
          <w:lang w:val="en-US" w:eastAsia="zh-CN"/>
        </w:rPr>
        <w:t>开发区</w:t>
      </w:r>
      <w:r>
        <w:rPr>
          <w:rFonts w:hint="eastAsia"/>
          <w:color w:val="auto"/>
          <w:highlight w:val="none"/>
          <w:lang w:eastAsia="zh-CN"/>
        </w:rPr>
        <w:t>内</w:t>
      </w:r>
      <w:r>
        <w:rPr>
          <w:rFonts w:hint="eastAsia"/>
          <w:color w:val="auto"/>
          <w:highlight w:val="none"/>
          <w:lang w:val="en-US" w:eastAsia="zh-CN"/>
        </w:rPr>
        <w:t>规划交通运输</w:t>
      </w:r>
      <w:r>
        <w:rPr>
          <w:rFonts w:hint="eastAsia"/>
          <w:color w:val="auto"/>
          <w:highlight w:val="none"/>
          <w:lang w:eastAsia="zh-CN"/>
        </w:rPr>
        <w:t>用地规模为</w:t>
      </w:r>
      <w:r>
        <w:rPr>
          <w:rFonts w:hint="eastAsia"/>
          <w:color w:val="auto"/>
          <w:highlight w:val="none"/>
          <w:lang w:val="en-US" w:eastAsia="zh-CN"/>
        </w:rPr>
        <w:t>153.40</w:t>
      </w:r>
      <w:r>
        <w:rPr>
          <w:rFonts w:hint="eastAsia"/>
          <w:color w:val="auto"/>
          <w:highlight w:val="none"/>
          <w:lang w:eastAsia="zh-CN"/>
        </w:rPr>
        <w:t>公顷，占规划城镇建设用地的</w:t>
      </w:r>
      <w:r>
        <w:rPr>
          <w:rFonts w:hint="eastAsia"/>
          <w:color w:val="auto"/>
          <w:highlight w:val="none"/>
          <w:lang w:val="en-US" w:eastAsia="zh-CN"/>
        </w:rPr>
        <w:t>8.60</w:t>
      </w:r>
      <w:r>
        <w:rPr>
          <w:rFonts w:hint="eastAsia"/>
          <w:color w:val="auto"/>
          <w:highlight w:val="none"/>
          <w:lang w:eastAsia="zh-CN"/>
        </w:rPr>
        <w:t>%。</w:t>
      </w:r>
    </w:p>
    <w:p w14:paraId="5842F578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7、公用设施用地布局规划</w:t>
      </w:r>
    </w:p>
    <w:p w14:paraId="4CD16E0B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eastAsia="zh-CN"/>
        </w:rPr>
        <w:t>配置完善的</w:t>
      </w:r>
      <w:r>
        <w:rPr>
          <w:rFonts w:hint="eastAsia"/>
          <w:color w:val="auto"/>
          <w:highlight w:val="none"/>
          <w:lang w:val="en-US" w:eastAsia="zh-CN"/>
        </w:rPr>
        <w:t>市政公用</w:t>
      </w:r>
      <w:r>
        <w:rPr>
          <w:rFonts w:hint="eastAsia"/>
          <w:color w:val="auto"/>
          <w:highlight w:val="none"/>
          <w:lang w:eastAsia="zh-CN"/>
        </w:rPr>
        <w:t>设施是开发区建设的先决条件，根据《汤阴县国土空间总体规划（</w:t>
      </w:r>
      <w:r>
        <w:rPr>
          <w:rFonts w:hint="eastAsia"/>
          <w:color w:val="auto"/>
          <w:highlight w:val="none"/>
          <w:lang w:val="en-US" w:eastAsia="zh-CN"/>
        </w:rPr>
        <w:t>2021-2035</w:t>
      </w:r>
      <w:r>
        <w:rPr>
          <w:rFonts w:hint="default" w:eastAsia="宋体" w:cs="Times New Roman"/>
          <w:color w:val="auto"/>
          <w:highlight w:val="none"/>
          <w:lang w:eastAsia="zh-CN"/>
        </w:rPr>
        <w:t>年</w:t>
      </w:r>
      <w:r>
        <w:rPr>
          <w:rFonts w:hint="eastAsia"/>
          <w:color w:val="auto"/>
          <w:highlight w:val="none"/>
          <w:lang w:eastAsia="zh-CN"/>
        </w:rPr>
        <w:t>）》在现状设施的基础上，充分考虑开发区发展的可持续性，高标准规划</w:t>
      </w:r>
      <w:r>
        <w:rPr>
          <w:rFonts w:hint="eastAsia"/>
          <w:color w:val="auto"/>
          <w:highlight w:val="none"/>
          <w:lang w:val="en-US" w:eastAsia="zh-CN"/>
        </w:rPr>
        <w:t>市政公用</w:t>
      </w:r>
      <w:r>
        <w:rPr>
          <w:rFonts w:hint="eastAsia"/>
          <w:color w:val="auto"/>
          <w:highlight w:val="none"/>
          <w:lang w:eastAsia="zh-CN"/>
        </w:rPr>
        <w:t>设施，为今后开发区的快速发展提供可能。</w:t>
      </w:r>
      <w:r>
        <w:rPr>
          <w:rFonts w:hint="eastAsia"/>
          <w:color w:val="auto"/>
          <w:highlight w:val="none"/>
          <w:lang w:val="en-US" w:eastAsia="zh-CN"/>
        </w:rPr>
        <w:t>至2035年，开发区内规划公用设施用地规模为16.46公顷，占规划城镇建设用地的0.92%。</w:t>
      </w:r>
    </w:p>
    <w:p w14:paraId="390287B6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8、绿地与开敞空间用地布局规划</w:t>
      </w:r>
    </w:p>
    <w:p w14:paraId="6DD6EE26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在开发区内主要作为防控工业污染的绿化隔离带。由于开发区内工业用地比例较大，因此绿地的设置对开发区卫生防护将起到非常重要的作用，规划要加大绿地面积的比例。</w:t>
      </w:r>
      <w:r>
        <w:rPr>
          <w:rFonts w:hint="eastAsia"/>
          <w:color w:val="auto"/>
          <w:highlight w:val="none"/>
          <w:lang w:eastAsia="zh-CN"/>
        </w:rPr>
        <w:t>至2035年，</w:t>
      </w:r>
      <w:r>
        <w:rPr>
          <w:rFonts w:hint="eastAsia"/>
          <w:color w:val="auto"/>
          <w:highlight w:val="none"/>
          <w:lang w:val="en-US" w:eastAsia="zh-CN"/>
        </w:rPr>
        <w:t>开发区内规划绿地与开敞空间用地规模为102.83公顷，占规划城镇建设用地的5.76%。</w:t>
      </w:r>
    </w:p>
    <w:p w14:paraId="5F0104FC"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9、特殊用地布局规划</w:t>
      </w:r>
    </w:p>
    <w:p w14:paraId="7199FBB1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特殊用地</w:t>
      </w:r>
      <w:r>
        <w:rPr>
          <w:rFonts w:hint="default"/>
          <w:color w:val="auto"/>
          <w:highlight w:val="none"/>
          <w:lang w:val="en-US" w:eastAsia="zh-CN"/>
        </w:rPr>
        <w:t>主要指军事、宗教、文物古迹、殡葬等用地。</w:t>
      </w:r>
      <w:r>
        <w:rPr>
          <w:rFonts w:hint="eastAsia"/>
          <w:color w:val="auto"/>
          <w:highlight w:val="none"/>
          <w:lang w:val="en-US" w:eastAsia="zh-CN"/>
        </w:rPr>
        <w:t>至2035年，开发区内规划特殊用地规模为3.61公顷，占规划城镇建设用地的0.20%。</w:t>
      </w:r>
    </w:p>
    <w:p w14:paraId="5179F384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产业空间布局</w:t>
      </w:r>
    </w:p>
    <w:p w14:paraId="0441347D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产业结构</w:t>
      </w:r>
    </w:p>
    <w:p w14:paraId="56846C46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Times New Roman"/>
          <w:color w:val="auto"/>
          <w:highlight w:val="none"/>
        </w:rPr>
      </w:pPr>
      <w:bookmarkStart w:id="28" w:name="_Toc10477"/>
      <w:r>
        <w:rPr>
          <w:rFonts w:hint="eastAsia" w:ascii="Times New Roman" w:hAnsi="Times New Roman" w:eastAsia="宋体" w:cs="Times New Roman"/>
          <w:color w:val="auto"/>
          <w:highlight w:val="none"/>
        </w:rPr>
        <w:t>按照高新技术产业开发区发展目标，统筹生产、生活、生态三大空间，确定不同功能区域的划分。开发区用地总体呈现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“一心、二轴、四园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多点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”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的空间格局。</w:t>
      </w:r>
    </w:p>
    <w:p w14:paraId="121179B5">
      <w:pPr>
        <w:bidi w:val="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一心：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是指开发区公共服务中心，位于众品大道中段两侧。</w:t>
      </w:r>
    </w:p>
    <w:p w14:paraId="5543620E">
      <w:pPr>
        <w:bidi w:val="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二轴：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是指沿东西向众品大道、南北向刘大线联系汤阴中心城区和开发区形成的产城融合轴，及延伸形成的城乡融合轴。</w:t>
      </w:r>
    </w:p>
    <w:p w14:paraId="4A34913C">
      <w:pPr>
        <w:bidi w:val="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四园：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是指按照主导产业形成的不同产业园，包括食品产业园、精品钢及深加工产业园、医药产业园和物流产业园。</w:t>
      </w:r>
    </w:p>
    <w:p w14:paraId="14595B76">
      <w:pPr>
        <w:bidi w:val="0"/>
        <w:rPr>
          <w:rFonts w:hint="eastAsia"/>
          <w:b/>
          <w:bCs/>
          <w:color w:val="auto"/>
          <w:highlight w:val="none"/>
        </w:rPr>
      </w:pPr>
      <w:r>
        <w:rPr>
          <w:rFonts w:hint="default"/>
          <w:b/>
          <w:bCs/>
          <w:color w:val="auto"/>
          <w:highlight w:val="none"/>
        </w:rPr>
        <w:t>1</w:t>
      </w:r>
      <w:r>
        <w:rPr>
          <w:rFonts w:hint="eastAsia"/>
          <w:b/>
          <w:bCs/>
          <w:color w:val="auto"/>
          <w:highlight w:val="none"/>
        </w:rPr>
        <w:t>、食品产业园</w:t>
      </w:r>
    </w:p>
    <w:p w14:paraId="75650432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重点发展粮油加工，肉制品加工，果蔬、饮品和乳制品加工，休闲食品和方便食品制造等类别，在做强粮油加工、肉制品加工基础上，发展重点应向冷链食品、休闲食品和饮料制造方面倾斜，坚持绿色安全、品牌提升，注重食品制造的绿色化、精品化，向中高端方向发展，做到精致、精细，加快构建产业链优势。</w:t>
      </w:r>
    </w:p>
    <w:p w14:paraId="1061FFE8">
      <w:pPr>
        <w:bidi w:val="0"/>
        <w:rPr>
          <w:rFonts w:hint="default"/>
          <w:b/>
          <w:bCs/>
          <w:color w:val="auto"/>
          <w:highlight w:val="none"/>
        </w:rPr>
      </w:pPr>
      <w:bookmarkStart w:id="29" w:name="_Toc1356"/>
      <w:r>
        <w:rPr>
          <w:rFonts w:hint="default"/>
          <w:b/>
          <w:bCs/>
          <w:color w:val="auto"/>
          <w:highlight w:val="none"/>
        </w:rPr>
        <w:t>2</w:t>
      </w:r>
      <w:r>
        <w:rPr>
          <w:rFonts w:hint="eastAsia"/>
          <w:b/>
          <w:bCs/>
          <w:color w:val="auto"/>
          <w:highlight w:val="none"/>
        </w:rPr>
        <w:t>、精品钢及深加工产业</w:t>
      </w:r>
      <w:bookmarkEnd w:id="29"/>
      <w:r>
        <w:rPr>
          <w:rFonts w:hint="default"/>
          <w:b/>
          <w:bCs/>
          <w:color w:val="auto"/>
          <w:highlight w:val="none"/>
        </w:rPr>
        <w:t>园</w:t>
      </w:r>
    </w:p>
    <w:p w14:paraId="674ECE95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鼓励钢铁企业走</w:t>
      </w:r>
      <w:r>
        <w:rPr>
          <w:rFonts w:hint="default"/>
          <w:color w:val="auto"/>
          <w:highlight w:val="none"/>
        </w:rPr>
        <w:t>“</w:t>
      </w:r>
      <w:r>
        <w:rPr>
          <w:rFonts w:hint="eastAsia"/>
          <w:color w:val="auto"/>
          <w:highlight w:val="none"/>
        </w:rPr>
        <w:t>专、精、特、新</w:t>
      </w:r>
      <w:r>
        <w:rPr>
          <w:rFonts w:hint="default"/>
          <w:color w:val="auto"/>
          <w:highlight w:val="none"/>
        </w:rPr>
        <w:t>”</w:t>
      </w:r>
      <w:r>
        <w:rPr>
          <w:rFonts w:hint="eastAsia"/>
          <w:color w:val="auto"/>
          <w:highlight w:val="none"/>
        </w:rPr>
        <w:t>的发展道路，大力推进特钢的引进与发展，开发绿色低碳节能环保型钢材以及装备制造业、航空航天业所需的高性能特钢材料。发展具有高质量、长寿命的轴承钢、齿轮钢、工模具钢、不锈钢、高温合金等特钢产品。支持大力发展特钢废钢回收体系等特钢配套产业。</w:t>
      </w:r>
    </w:p>
    <w:p w14:paraId="2F7346AA">
      <w:pPr>
        <w:bidi w:val="0"/>
        <w:rPr>
          <w:rFonts w:hint="default"/>
          <w:b/>
          <w:bCs/>
          <w:color w:val="auto"/>
          <w:highlight w:val="none"/>
        </w:rPr>
      </w:pPr>
      <w:bookmarkStart w:id="30" w:name="_Toc12124"/>
      <w:r>
        <w:rPr>
          <w:rFonts w:hint="default"/>
          <w:b/>
          <w:bCs/>
          <w:color w:val="auto"/>
          <w:highlight w:val="none"/>
        </w:rPr>
        <w:t>3</w:t>
      </w:r>
      <w:r>
        <w:rPr>
          <w:rFonts w:hint="eastAsia"/>
          <w:b/>
          <w:bCs/>
          <w:color w:val="auto"/>
          <w:highlight w:val="none"/>
        </w:rPr>
        <w:t>、医药产业</w:t>
      </w:r>
      <w:bookmarkEnd w:id="30"/>
      <w:r>
        <w:rPr>
          <w:rFonts w:hint="default"/>
          <w:b/>
          <w:bCs/>
          <w:color w:val="auto"/>
          <w:highlight w:val="none"/>
        </w:rPr>
        <w:t>园</w:t>
      </w:r>
    </w:p>
    <w:p w14:paraId="0229410C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从医药制造业的产业链来看，主要包括研发审批、生产加工、交易流通三大环节，汤阴高新技术产业开发区医药制造业应以生产制造环节为核心，积极培育研发审批环节的服务功能，培育交易流通环节的物流职能，并完善生活生产服务等相应的配套服务设施。重点发展医药产业：大健康产业、中药制造、化学制药、保健品生产、医疗器械。</w:t>
      </w:r>
    </w:p>
    <w:p w14:paraId="2111F794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4、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</w:rPr>
        <w:t>物流产业园</w:t>
      </w:r>
    </w:p>
    <w:p w14:paraId="7D2820B3"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紧抓安阳建设陆港型国家物流枢纽承载城市的战略机遇，不断完善通道网络建设，加快构筑“四港联动”发展格局，形成对内辐射晋豫鲁冀周边区域，对外联通“一带一路”的区域交通物流枢纽基地。</w:t>
      </w:r>
    </w:p>
    <w:p w14:paraId="0583830B">
      <w:pPr>
        <w:bidi w:val="0"/>
        <w:rPr>
          <w:rFonts w:hint="eastAsia" w:ascii="Times New Roman" w:hAnsi="Times New Roman" w:eastAsia="宋体" w:cs="Times New Roman"/>
          <w:b w:val="0"/>
          <w:bCs w:val="0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多点：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highlight w:val="none"/>
          <w:lang w:val="en-US" w:eastAsia="zh-CN"/>
        </w:rPr>
        <w:t>是指依托融雪实业、睿恒数控、华能安阳热电等现有企业积极发展循环经济、高端机械制造、清洁能源等新兴产业，形成新的增长点；同时，大力支持园区内符合国家产业政策鼓励发展的行业企业发展，以期形成多点开花之势。</w:t>
      </w:r>
    </w:p>
    <w:bookmarkEnd w:id="28"/>
    <w:p w14:paraId="04F60686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工矿用地布局</w:t>
      </w:r>
    </w:p>
    <w:p w14:paraId="554B8DEC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规划工矿用地面积为</w:t>
      </w:r>
      <w:r>
        <w:rPr>
          <w:rFonts w:hint="eastAsia"/>
          <w:color w:val="auto"/>
          <w:highlight w:val="none"/>
          <w:lang w:val="en-US" w:eastAsia="zh-CN"/>
        </w:rPr>
        <w:t>1280.48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公顷，占规划城镇建设用地的71.78%。</w:t>
      </w:r>
    </w:p>
    <w:p w14:paraId="283E42CF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主要为工业用地，其中一类工业用地面积为371.51公顷；二类工业用地面积为908.97公顷。分为标准厂房模块和大中型企业生产用地，以满足不同功能产业或同类型产业不同生产模式需求。</w:t>
      </w:r>
    </w:p>
    <w:p w14:paraId="1DDB6513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仓储用地布局</w:t>
      </w:r>
    </w:p>
    <w:p w14:paraId="10B588FA">
      <w:pPr>
        <w:bidi w:val="0"/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仓储用地布局依托对外交通便捷的地段，用于发展物流产业与满足园区企业生产高峰期的仓储调配需要。规划结合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开发区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对外铁路交通通道出入口及主干道布置仓储物流用地，形成两个仓储物流园区，服务于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汤阴高新技术产业开发区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。</w:t>
      </w:r>
    </w:p>
    <w:p w14:paraId="29009099">
      <w:pPr>
        <w:bidi w:val="0"/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规划仓储用地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142.06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公顷，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占规划城镇建设用地的7.96%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。高速以东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规划用地主要分布在阳光大道两侧、精忠路与金穗路东南侧，在万庄物流园、华源冷链物流产业基地的基础上，规划仓储用地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129.76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公顷；高速以西：振兴大道南侧、刘大线以西、铁路线以北街区，规划仓储用地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12.30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公顷。</w:t>
      </w:r>
    </w:p>
    <w:p w14:paraId="4B2DC4CE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基础设施和公共服务设施</w:t>
      </w:r>
    </w:p>
    <w:p w14:paraId="312685DE">
      <w:pPr>
        <w:pStyle w:val="3"/>
        <w:bidi w:val="0"/>
        <w:ind w:left="575" w:leftChars="0" w:hanging="575" w:firstLineChars="0"/>
        <w:rPr>
          <w:rFonts w:hint="eastAsia"/>
          <w:lang w:eastAsia="zh-CN"/>
        </w:rPr>
      </w:pPr>
      <w:bookmarkStart w:id="31" w:name="_Toc25753"/>
      <w:bookmarkStart w:id="32" w:name="_Toc2861"/>
      <w:r>
        <w:rPr>
          <w:rFonts w:hint="eastAsia"/>
          <w:lang w:eastAsia="zh-CN"/>
        </w:rPr>
        <w:t>综合交通网络规划</w:t>
      </w:r>
      <w:bookmarkEnd w:id="31"/>
      <w:bookmarkEnd w:id="32"/>
    </w:p>
    <w:p w14:paraId="0C306784">
      <w:pPr>
        <w:pStyle w:val="4"/>
        <w:numPr>
          <w:ilvl w:val="0"/>
          <w:numId w:val="2"/>
        </w:numPr>
        <w:bidi w:val="0"/>
        <w:ind w:left="720" w:leftChars="0" w:hanging="7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对外交通</w:t>
      </w:r>
    </w:p>
    <w:p w14:paraId="4520FDDF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公路运输</w:t>
      </w:r>
    </w:p>
    <w:p w14:paraId="0C70F1E3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规划形成京港澳高速公路、安鹤快速通道（原107国道）、安鹤快速通道（中华路）、107国道等南北通道，机场快速通道、汤濮快速通道、省道302、省道303、国道515等东西主要通道。</w:t>
      </w:r>
    </w:p>
    <w:p w14:paraId="67A084D3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铁路运输</w:t>
      </w:r>
    </w:p>
    <w:p w14:paraId="13F1EC4A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规划形成京广铁路客运专线、京广铁路、晋豫鲁铁路大通道等铁路线。</w:t>
      </w:r>
    </w:p>
    <w:p w14:paraId="45E17334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航空交通</w:t>
      </w:r>
    </w:p>
    <w:p w14:paraId="41EEC480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依托安阳红旗渠机场发展航运，安阳红旗渠机场为支线机场，以客运为主、货运为辅。</w:t>
      </w:r>
    </w:p>
    <w:p w14:paraId="043DB6E9">
      <w:pPr>
        <w:pStyle w:val="4"/>
        <w:numPr>
          <w:ilvl w:val="0"/>
          <w:numId w:val="2"/>
        </w:numPr>
        <w:bidi w:val="0"/>
        <w:ind w:left="720" w:leftChars="0" w:hanging="72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eastAsia="zh-CN"/>
        </w:rPr>
        <w:t>开发区</w:t>
      </w:r>
      <w:r>
        <w:rPr>
          <w:rFonts w:hint="eastAsia" w:ascii="Times New Roman" w:hAnsi="Times New Roman" w:cs="Times New Roman"/>
          <w:lang w:val="en-US" w:eastAsia="zh-CN"/>
        </w:rPr>
        <w:t>道路网布局</w:t>
      </w:r>
    </w:p>
    <w:p w14:paraId="00954F96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开发区内道路系统由主干路、次干路及支路三级路网组成，主干路、次干路构成开发区内的主要路网体系</w:t>
      </w:r>
      <w:r>
        <w:rPr>
          <w:rFonts w:hint="default" w:eastAsia="宋体" w:cs="Times New Roman"/>
          <w:color w:val="auto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形成棋盘式方格网布局：</w:t>
      </w:r>
    </w:p>
    <w:p w14:paraId="119FE7B7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主干路：铁东路、刘大线、光明路、中华路、扁鹊路、汤伏路、精忠路、众品大道、振兴大道、开源大道、阳光大道；</w:t>
      </w:r>
    </w:p>
    <w:p w14:paraId="1170A4CD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次干路：工兴大道、复兴大道、中兴大道、金秋路、兴隆路；</w:t>
      </w:r>
    </w:p>
    <w:p w14:paraId="66873996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 xml:space="preserve">支 </w:t>
      </w:r>
      <w:r>
        <w:rPr>
          <w:rFonts w:hint="eastAsia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路：其他道路为支路</w:t>
      </w:r>
      <w:r>
        <w:rPr>
          <w:rFonts w:hint="eastAsia" w:cs="Times New Roman"/>
          <w:color w:val="auto"/>
          <w:highlight w:val="none"/>
          <w:lang w:val="en-US" w:eastAsia="zh-CN"/>
        </w:rPr>
        <w:t>。</w:t>
      </w:r>
    </w:p>
    <w:p w14:paraId="6B43DEEF">
      <w:pPr>
        <w:pStyle w:val="3"/>
        <w:bidi w:val="0"/>
        <w:ind w:left="575" w:leftChars="0" w:hanging="575" w:firstLineChars="0"/>
      </w:pPr>
      <w:bookmarkStart w:id="33" w:name="_Toc32505"/>
      <w:bookmarkStart w:id="34" w:name="_Toc3378"/>
      <w:bookmarkStart w:id="35" w:name="_Toc9026"/>
      <w:r>
        <w:t>市政基础设施规划</w:t>
      </w:r>
      <w:bookmarkEnd w:id="33"/>
      <w:bookmarkEnd w:id="34"/>
      <w:bookmarkEnd w:id="35"/>
    </w:p>
    <w:p w14:paraId="42B460DA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lang w:eastAsia="zh-CN"/>
        </w:rPr>
        <w:t>供水工程——</w:t>
      </w:r>
      <w:r>
        <w:rPr>
          <w:rFonts w:hint="default"/>
          <w:color w:val="auto"/>
          <w:highlight w:val="none"/>
          <w:lang w:val="en-US" w:eastAsia="zh-CN"/>
        </w:rPr>
        <w:t>扩容开发区内汤阴第二水厂至5万立方米/日，结合已投资建设的汤阴第三水厂(供水量规模5万立方米/日），和己建第一水厂（供水规模为2万立方米/日）</w:t>
      </w:r>
      <w:r>
        <w:rPr>
          <w:rFonts w:hint="eastAsia"/>
          <w:color w:val="auto"/>
          <w:highlight w:val="none"/>
          <w:lang w:val="en-US" w:eastAsia="zh-CN"/>
        </w:rPr>
        <w:t>以及城区南侧宜沟水厂（</w:t>
      </w:r>
      <w:r>
        <w:rPr>
          <w:rFonts w:hint="default"/>
          <w:color w:val="auto"/>
          <w:highlight w:val="none"/>
          <w:lang w:val="en-US" w:eastAsia="zh-CN"/>
        </w:rPr>
        <w:t>(供水量规模5万立方米/日</w:t>
      </w:r>
      <w:r>
        <w:rPr>
          <w:rFonts w:hint="eastAsia"/>
          <w:color w:val="auto"/>
          <w:highlight w:val="none"/>
          <w:lang w:val="en-US" w:eastAsia="zh-CN"/>
        </w:rPr>
        <w:t>）</w:t>
      </w:r>
      <w:r>
        <w:rPr>
          <w:rFonts w:hint="default"/>
          <w:color w:val="auto"/>
          <w:highlight w:val="none"/>
          <w:lang w:val="en-US" w:eastAsia="zh-CN"/>
        </w:rPr>
        <w:t>，为汤阴高新技术产业开发区供水。</w:t>
      </w:r>
    </w:p>
    <w:p w14:paraId="2DFEAA32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污水工程——规划保留工业园污水处理厂和城南污水处理厂处理规模：近期新建食品园区污水处理厂，污水处理厂处理规模为3万立方米/日；远期扩建城东污水处理厂处理规模为4万立方米/日。</w:t>
      </w:r>
    </w:p>
    <w:p w14:paraId="1FF70F4A">
      <w:pPr>
        <w:keepNext w:val="0"/>
        <w:keepLines w:val="0"/>
        <w:widowControl/>
        <w:suppressLineNumbers w:val="0"/>
        <w:jc w:val="left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电力工程——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开发区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内规划保留220KV变电站2座，为220KV鼎盛变和220KV易都变，扩容220KV鼎盛变，主变容量2x180兆伏安，扩容220KV易都变，主变容量3x180兆伏安；保留110</w:t>
      </w:r>
      <w:r>
        <w:rPr>
          <w:rFonts w:hint="eastAsia"/>
          <w:color w:val="auto"/>
          <w:highlight w:val="none"/>
          <w:lang w:val="en-US" w:eastAsia="zh-CN"/>
        </w:rPr>
        <w:t>KV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变电站3座，为</w:t>
      </w:r>
      <w:r>
        <w:rPr>
          <w:rFonts w:hint="eastAsia"/>
          <w:color w:val="auto"/>
          <w:highlight w:val="none"/>
          <w:lang w:val="en-US" w:eastAsia="zh-CN"/>
        </w:rPr>
        <w:t>110KV大云变、110KV精忠变、110KV卫州变，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扩容110KV</w:t>
      </w:r>
      <w:r>
        <w:rPr>
          <w:rFonts w:hint="eastAsia"/>
          <w:color w:val="auto"/>
          <w:highlight w:val="none"/>
          <w:lang w:val="en-US" w:eastAsia="zh-CN"/>
        </w:rPr>
        <w:t>卫州变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，主变容量150兆伏安，新建110</w:t>
      </w:r>
      <w:r>
        <w:rPr>
          <w:rFonts w:hint="eastAsia"/>
          <w:color w:val="auto"/>
          <w:highlight w:val="none"/>
          <w:lang w:val="en-US" w:eastAsia="zh-CN"/>
        </w:rPr>
        <w:t>KV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变电站3座，为</w:t>
      </w:r>
      <w:r>
        <w:rPr>
          <w:rFonts w:hint="eastAsia"/>
          <w:color w:val="auto"/>
          <w:highlight w:val="none"/>
          <w:lang w:val="en-US" w:eastAsia="zh-CN"/>
        </w:rPr>
        <w:t>110KV物流变、110KV五一变、110KV方圆变；并结合220KV汤阴变、220KV向阳变，以满足开发区供电设施需求。</w:t>
      </w:r>
    </w:p>
    <w:p w14:paraId="00230D44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热力工程——</w:t>
      </w:r>
      <w:r>
        <w:rPr>
          <w:rFonts w:hint="eastAsia"/>
          <w:color w:val="auto"/>
          <w:lang w:eastAsia="zh-CN"/>
        </w:rPr>
        <w:t>规划期末，</w:t>
      </w:r>
      <w:r>
        <w:rPr>
          <w:color w:val="auto"/>
        </w:rPr>
        <w:t>汤阴高新技术产业开发区</w:t>
      </w:r>
      <w:r>
        <w:rPr>
          <w:rFonts w:hint="eastAsia"/>
          <w:color w:val="auto"/>
          <w:lang w:eastAsia="zh-CN"/>
        </w:rPr>
        <w:t>热力依然采用</w:t>
      </w:r>
      <w:r>
        <w:rPr>
          <w:color w:val="auto"/>
        </w:rPr>
        <w:t>华能安阳热电有限责任公司</w:t>
      </w:r>
      <w:r>
        <w:rPr>
          <w:rFonts w:hint="eastAsia"/>
          <w:color w:val="auto"/>
          <w:lang w:eastAsia="zh-CN"/>
        </w:rPr>
        <w:t>供热</w:t>
      </w:r>
      <w:r>
        <w:rPr>
          <w:rFonts w:hint="eastAsia"/>
          <w:color w:val="auto"/>
          <w:highlight w:val="none"/>
          <w:lang w:val="en-US" w:eastAsia="zh-CN"/>
        </w:rPr>
        <w:t>。开发区采用供热热气管网、供热热水管网两套供热系统，分别用于工业用汽，生活供暖，以满开发区生产生活需求。</w:t>
      </w:r>
    </w:p>
    <w:p w14:paraId="2A48FFC8">
      <w:pPr>
        <w:pStyle w:val="3"/>
        <w:bidi w:val="0"/>
        <w:ind w:left="575" w:leftChars="0" w:hanging="575" w:firstLineChars="0"/>
      </w:pPr>
      <w:bookmarkStart w:id="36" w:name="_Toc21239"/>
      <w:bookmarkStart w:id="37" w:name="_Toc11099"/>
      <w:r>
        <w:t>公共服务设施规划</w:t>
      </w:r>
      <w:bookmarkEnd w:id="36"/>
      <w:bookmarkEnd w:id="37"/>
    </w:p>
    <w:p w14:paraId="13A4F4D1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开发区紧邻中心城区，在规划安置公共设施时，充分考虑与城镇在商业、行政、医疗、教育、体育等设施的共享。根据城镇需要来确定公共设施的位置和规模，在与城镇对接的基础上，仅提供相应规模生活圈居住区配套设施，大型公共设施仍以城镇为依托。</w:t>
      </w:r>
    </w:p>
    <w:p w14:paraId="6953CD8A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建设指标控制</w:t>
      </w:r>
    </w:p>
    <w:p w14:paraId="34D18BD2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容积率及建筑密度控制</w:t>
      </w:r>
    </w:p>
    <w:p w14:paraId="23277054">
      <w:pPr>
        <w:rPr>
          <w:rFonts w:hint="eastAsia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工业用地容积率在符合《工业项目建设用地控制指标》和《河南省开发区标准体系及基准值（试行)》的同时，还应符合以下要求：一类工业用地不低于0.8，二类工业用地不低于1.0；科研、设计、检测等用地宜建设多层以上建筑，容积率不低于2.0。鼓励办公与科研、设计、中试、检测、物流、仓储、商务、金融等各类产业功能混合使用土地，合理确定开发强度，其中物流仓储用地宜建设多层建筑用房，容积率不低于1.5；商业用地宜建设高层建筑，容积率不低于2.5。鼓励建设3层以上标准化厂房</w:t>
      </w:r>
      <w:r>
        <w:rPr>
          <w:rFonts w:hint="default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  <w:lang w:val="en-US" w:eastAsia="zh-CN"/>
        </w:rPr>
        <w:t>除因满足生产设备、技术工艺的要求外，开发区内每宗标准厂房建设用地的容积率不低于1.2</w:t>
      </w:r>
      <w:r>
        <w:rPr>
          <w:rFonts w:hint="default"/>
          <w:color w:val="auto"/>
          <w:highlight w:val="none"/>
          <w:lang w:eastAsia="zh-CN"/>
        </w:rPr>
        <w:t>，建筑密度不低于35%</w:t>
      </w:r>
      <w:r>
        <w:rPr>
          <w:rFonts w:hint="eastAsia"/>
          <w:color w:val="auto"/>
          <w:highlight w:val="none"/>
          <w:lang w:val="en-US" w:eastAsia="zh-CN"/>
        </w:rPr>
        <w:t>。</w:t>
      </w:r>
    </w:p>
    <w:p w14:paraId="6A3956CC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建筑高度控制</w:t>
      </w:r>
    </w:p>
    <w:p w14:paraId="2A3AB8F9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商业建筑高度控制50米以下；行政办公、医院等公共建筑控制50米以下；普通住宅区建筑高度控制27米以下；中高层住宅建筑高度控制54米；消防站建筑高度控制40米以下；交通枢纽站、工业建筑、仓储物流建筑高度控制24米以下；加油加气站建筑高度控制不超过15米；居住用地服务设施建筑高度不超过12米；其他设施建筑其高度一般控制12米以下。</w:t>
      </w:r>
    </w:p>
    <w:p w14:paraId="4D5DECF3"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8" w:name="_Toc31127"/>
      <w:bookmarkStart w:id="39" w:name="_Toc6241"/>
      <w:bookmarkStart w:id="40" w:name="_Toc22312"/>
      <w:bookmarkStart w:id="41" w:name="_Toc12627"/>
      <w:bookmarkStart w:id="42" w:name="_Toc19511"/>
      <w:bookmarkStart w:id="43" w:name="_Toc2032"/>
      <w:r>
        <w:rPr>
          <w:rFonts w:hint="eastAsia"/>
          <w:lang w:val="en-US" w:eastAsia="zh-CN"/>
        </w:rPr>
        <w:t>发展时序与近期规划</w:t>
      </w:r>
      <w:bookmarkEnd w:id="38"/>
      <w:bookmarkEnd w:id="39"/>
      <w:bookmarkEnd w:id="40"/>
      <w:bookmarkEnd w:id="41"/>
      <w:bookmarkEnd w:id="42"/>
      <w:bookmarkEnd w:id="43"/>
    </w:p>
    <w:p w14:paraId="0CEE34A3"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44" w:name="_Toc17356"/>
      <w:bookmarkStart w:id="45" w:name="_Toc20139"/>
      <w:bookmarkStart w:id="46" w:name="_Toc4942"/>
      <w:bookmarkStart w:id="47" w:name="_Toc5414"/>
      <w:bookmarkStart w:id="48" w:name="_Toc1162"/>
      <w:bookmarkStart w:id="49" w:name="_Toc25078"/>
      <w:r>
        <w:rPr>
          <w:rFonts w:hint="eastAsia"/>
          <w:lang w:val="en-US" w:eastAsia="zh-CN"/>
        </w:rPr>
        <w:t>发展时序</w:t>
      </w:r>
      <w:bookmarkEnd w:id="44"/>
      <w:bookmarkEnd w:id="45"/>
      <w:bookmarkEnd w:id="46"/>
      <w:bookmarkEnd w:id="47"/>
      <w:bookmarkEnd w:id="48"/>
      <w:bookmarkEnd w:id="49"/>
    </w:p>
    <w:p w14:paraId="57DC7C8B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近期：202</w:t>
      </w:r>
      <w:r>
        <w:rPr>
          <w:rFonts w:hint="eastAsia" w:cs="Times New Roman"/>
          <w:b/>
          <w:bCs/>
          <w:color w:val="auto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—202</w:t>
      </w:r>
      <w:r>
        <w:rPr>
          <w:rFonts w:hint="eastAsia" w:cs="Times New Roman"/>
          <w:b/>
          <w:bCs/>
          <w:color w:val="auto"/>
          <w:highlight w:val="none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年</w:t>
      </w:r>
    </w:p>
    <w:p w14:paraId="3BD1E691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以完善</w:t>
      </w:r>
      <w:r>
        <w:rPr>
          <w:rFonts w:hint="default" w:eastAsia="宋体" w:cs="Times New Roman"/>
          <w:color w:val="auto"/>
          <w:highlight w:val="none"/>
          <w:lang w:eastAsia="zh-CN"/>
        </w:rPr>
        <w:t>开发区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内基础设施为主</w:t>
      </w:r>
      <w:r>
        <w:rPr>
          <w:rFonts w:hint="default" w:eastAsia="宋体" w:cs="Times New Roman"/>
          <w:color w:val="auto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建设发展的基本框架，基本建成开发区的市政设施、服务设施；加大招商引资的力度与政策支持力度，积极发展本地主导产业中龙头企业；加强食品、精品钢及深加工、医药产业链的形成，完成研发、检测检验、行业标准的制定，有计划地发展主导产业。</w:t>
      </w:r>
    </w:p>
    <w:p w14:paraId="073CC460">
      <w:pPr>
        <w:bidi w:val="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远期：202</w:t>
      </w:r>
      <w:r>
        <w:rPr>
          <w:rFonts w:hint="eastAsia" w:cs="Times New Roman"/>
          <w:b/>
          <w:bCs/>
          <w:color w:val="auto"/>
          <w:highlight w:val="none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—2035年</w:t>
      </w:r>
    </w:p>
    <w:p w14:paraId="5D7BB016">
      <w:pPr>
        <w:bidi w:val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开发建设基本完成，产业集群初步形成，配套生产性服务设施完备，市政设施齐全，全面促进产业和城市的融合发展。形成清洁生产与循环经济与一体的功能完善、协调发展的循环产业园。</w:t>
      </w:r>
    </w:p>
    <w:p w14:paraId="47E7B830"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近期建设</w:t>
      </w:r>
    </w:p>
    <w:p w14:paraId="24666035">
      <w:pPr>
        <w:bidi w:val="0"/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近期规划建设用地12.42平方公里。近期建设重点是基础设施的投入和重点项目的推进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创造投资硬环境。</w:t>
      </w:r>
    </w:p>
    <w:p w14:paraId="69020FF8">
      <w:pPr>
        <w:bidi w:val="0"/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近期建设内容包含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道路设施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基础设施建设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公共服务设施建设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的完善，以及重大项目落地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。</w:t>
      </w:r>
    </w:p>
    <w:p w14:paraId="1F98F2E2">
      <w:pPr>
        <w:rPr>
          <w:rFonts w:hint="default"/>
          <w:lang w:val="en-US" w:eastAsia="zh-CN"/>
        </w:rPr>
      </w:pPr>
    </w:p>
    <w:p w14:paraId="7FF5A950">
      <w:pPr>
        <w:ind w:left="0" w:leftChars="0" w:firstLine="600" w:firstLineChars="200"/>
        <w:rPr>
          <w:rFonts w:hint="eastAsia" w:cs="Times New Roman"/>
          <w:color w:val="auto"/>
          <w:highlight w:val="none"/>
          <w:lang w:val="en-US" w:eastAsia="zh-CN"/>
        </w:rPr>
      </w:pPr>
    </w:p>
    <w:p w14:paraId="1F168B92"/>
    <w:p w14:paraId="1601ABB9"/>
    <w:p w14:paraId="786D2E2C"/>
    <w:p w14:paraId="28BAF3D4"/>
    <w:p w14:paraId="2B5E7F19"/>
    <w:p w14:paraId="585FC59F"/>
    <w:p w14:paraId="3D6D9814"/>
    <w:p w14:paraId="042B3902"/>
    <w:p w14:paraId="3BC46984"/>
    <w:p w14:paraId="4FF3FD18"/>
    <w:p w14:paraId="0852F210"/>
    <w:p w14:paraId="088F937E"/>
    <w:p w14:paraId="3D0799BD"/>
    <w:p w14:paraId="6F730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9225" cy="7397750"/>
            <wp:effectExtent l="0" t="0" r="9525" b="1270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0" w:name="_GoBack"/>
      <w:bookmarkEnd w:id="50"/>
    </w:p>
    <w:p w14:paraId="0B1D1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600"/>
      </w:pPr>
      <w:r>
        <w:separator/>
      </w:r>
    </w:p>
  </w:footnote>
  <w:footnote w:type="continuationSeparator" w:id="1">
    <w:p>
      <w:pPr>
        <w:spacing w:before="0" w:after="0" w:line="360" w:lineRule="auto"/>
        <w:ind w:firstLine="6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4ED7B"/>
    <w:multiLevelType w:val="singleLevel"/>
    <w:tmpl w:val="9C64ED7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DDFF507B"/>
    <w:multiLevelType w:val="multilevel"/>
    <w:tmpl w:val="DDFF507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A65C6F"/>
    <w:rsid w:val="47933E88"/>
    <w:rsid w:val="6128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30" w:beforeLines="30" w:after="30" w:afterLines="30" w:line="360" w:lineRule="auto"/>
      <w:ind w:firstLine="482" w:firstLineChars="200"/>
      <w:jc w:val="both"/>
    </w:pPr>
    <w:rPr>
      <w:rFonts w:ascii="Times New Roman" w:hAnsi="Times New Roman" w:eastAsia="宋体" w:cs="Times New Roman"/>
      <w:kern w:val="2"/>
      <w:sz w:val="30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after="330" w:afterLines="0" w:line="480" w:lineRule="auto"/>
      <w:ind w:left="432" w:hanging="432" w:firstLineChars="0"/>
      <w:jc w:val="left"/>
      <w:outlineLvl w:val="0"/>
    </w:pPr>
    <w:rPr>
      <w:rFonts w:eastAsia="黑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tabs>
        <w:tab w:val="left" w:pos="420"/>
      </w:tabs>
      <w:spacing w:before="50" w:after="50"/>
      <w:ind w:left="575" w:hanging="575" w:firstLineChars="0"/>
      <w:outlineLvl w:val="1"/>
    </w:pPr>
    <w:rPr>
      <w:rFonts w:ascii="Cambria" w:hAnsi="Cambria" w:eastAsia="黑体" w:cs="Times New Roman"/>
      <w:b/>
      <w:bCs/>
      <w:sz w:val="32"/>
      <w:szCs w:val="30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50" w:after="50"/>
      <w:ind w:left="720" w:hanging="720" w:firstLineChars="0"/>
      <w:outlineLvl w:val="2"/>
    </w:pPr>
    <w:rPr>
      <w:rFonts w:eastAsia="黑体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unhideWhenUsed/>
    <w:qFormat/>
    <w:uiPriority w:val="1"/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5048</Words>
  <Characters>5384</Characters>
  <Lines>0</Lines>
  <Paragraphs>0</Paragraphs>
  <TotalTime>24</TotalTime>
  <ScaleCrop>false</ScaleCrop>
  <LinksUpToDate>false</LinksUpToDate>
  <CharactersWithSpaces>5387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2025-06-11T07:00:00Z</dcterms:created>
  <dc:creator>Administrator</dc:creator>
  <cp:lastModifiedBy>陈菲菲</cp:lastModifiedBy>
  <dcterms:modified xsi:type="dcterms:W3CDTF">2025-06-12T01:36:12Z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eyJoZGlkIjoiMGY3ZDdkMmQ2YTNjNGE5MjU1MDhjNjBjODcxNmE4MTgiLCJ1c2VySWQiOiI1MzYxMzEyNjQifQ==</vt:lpwstr>
  </property>
  <property fmtid="{D5CDD505-2E9C-101B-9397-08002B2CF9AE}" pid="4" name="ICV">
    <vt:lpwstr>6B7F8C882C704E6590FA2FFF65342530_12</vt:lpwstr>
  </property>
</Properties>
</file>