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color w:val="auto"/>
          <w:sz w:val="36"/>
          <w:szCs w:val="36"/>
        </w:rPr>
      </w:pPr>
    </w:p>
    <w:p>
      <w:pPr>
        <w:rPr>
          <w:rFonts w:hint="eastAsia" w:ascii="宋体" w:hAnsi="宋体" w:eastAsia="宋体" w:cs="宋体"/>
          <w:color w:val="auto"/>
          <w:sz w:val="36"/>
          <w:szCs w:val="36"/>
        </w:rPr>
      </w:pPr>
    </w:p>
    <w:p>
      <w:pPr>
        <w:rPr>
          <w:rFonts w:hint="eastAsia" w:ascii="宋体" w:hAnsi="宋体" w:eastAsia="宋体" w:cs="宋体"/>
          <w:color w:val="auto"/>
          <w:sz w:val="36"/>
          <w:szCs w:val="36"/>
        </w:rPr>
      </w:pPr>
    </w:p>
    <w:p>
      <w:pPr>
        <w:rPr>
          <w:rFonts w:hint="eastAsia" w:ascii="宋体" w:hAnsi="宋体" w:eastAsia="宋体" w:cs="宋体"/>
          <w:color w:val="auto"/>
          <w:sz w:val="36"/>
          <w:szCs w:val="36"/>
        </w:rPr>
      </w:pPr>
    </w:p>
    <w:p>
      <w:pPr>
        <w:adjustRightInd w:val="0"/>
        <w:snapToGrid w:val="0"/>
        <w:jc w:val="center"/>
        <w:outlineLvl w:val="0"/>
        <w:rPr>
          <w:rFonts w:hint="default" w:ascii="Times New Roman" w:hAnsi="Times New Roman" w:eastAsia="宋体" w:cs="Times New Roman"/>
          <w:b/>
          <w:bCs w:val="0"/>
          <w:color w:val="auto"/>
          <w:sz w:val="72"/>
          <w:szCs w:val="72"/>
        </w:rPr>
      </w:pPr>
      <w:bookmarkStart w:id="0" w:name="_Toc22312"/>
      <w:r>
        <w:rPr>
          <w:rFonts w:hint="default" w:ascii="Times New Roman" w:hAnsi="Times New Roman" w:eastAsia="宋体" w:cs="Times New Roman"/>
          <w:b/>
          <w:bCs w:val="0"/>
          <w:color w:val="auto"/>
          <w:sz w:val="72"/>
          <w:szCs w:val="72"/>
        </w:rPr>
        <w:t>建设项目环境影响报告表</w:t>
      </w:r>
      <w:bookmarkEnd w:id="0"/>
    </w:p>
    <w:p>
      <w:pPr>
        <w:adjustRightInd w:val="0"/>
        <w:snapToGrid w:val="0"/>
        <w:spacing w:before="192" w:beforeLines="80"/>
        <w:jc w:val="center"/>
        <w:rPr>
          <w:rFonts w:hint="default" w:ascii="Times New Roman" w:hAnsi="Times New Roman" w:eastAsia="宋体" w:cs="Times New Roman"/>
          <w:bCs/>
          <w:color w:val="auto"/>
          <w:sz w:val="48"/>
          <w:szCs w:val="48"/>
        </w:rPr>
      </w:pPr>
      <w:r>
        <w:rPr>
          <w:rFonts w:hint="default" w:ascii="Times New Roman" w:hAnsi="Times New Roman" w:eastAsia="宋体" w:cs="Times New Roman"/>
          <w:bCs/>
          <w:color w:val="auto"/>
          <w:sz w:val="48"/>
          <w:szCs w:val="48"/>
        </w:rPr>
        <w:t>（污染影响类）</w:t>
      </w:r>
    </w:p>
    <w:p>
      <w:pPr>
        <w:adjustRightInd w:val="0"/>
        <w:snapToGrid w:val="0"/>
        <w:spacing w:line="288" w:lineRule="auto"/>
        <w:jc w:val="center"/>
        <w:outlineLvl w:val="9"/>
        <w:rPr>
          <w:rFonts w:hint="default" w:ascii="Times New Roman" w:hAnsi="Times New Roman" w:eastAsia="宋体" w:cs="Times New Roman"/>
          <w:color w:val="auto"/>
          <w:kern w:val="44"/>
          <w:sz w:val="44"/>
          <w:szCs w:val="44"/>
        </w:rPr>
      </w:pPr>
    </w:p>
    <w:p>
      <w:pPr>
        <w:jc w:val="center"/>
        <w:rPr>
          <w:rFonts w:hint="default" w:ascii="Times New Roman" w:hAnsi="Times New Roman" w:eastAsia="宋体" w:cs="Times New Roman"/>
          <w:color w:val="auto"/>
          <w:sz w:val="52"/>
          <w:szCs w:val="52"/>
        </w:rPr>
      </w:pPr>
    </w:p>
    <w:p>
      <w:pPr>
        <w:ind w:firstLine="1040"/>
        <w:rPr>
          <w:rFonts w:hint="default" w:ascii="Times New Roman" w:hAnsi="Times New Roman" w:eastAsia="宋体" w:cs="Times New Roman"/>
          <w:color w:val="auto"/>
          <w:sz w:val="44"/>
          <w:szCs w:val="44"/>
        </w:rPr>
      </w:pPr>
    </w:p>
    <w:p>
      <w:pPr>
        <w:ind w:firstLine="1040"/>
        <w:rPr>
          <w:rFonts w:hint="default" w:ascii="Times New Roman" w:hAnsi="Times New Roman" w:eastAsia="宋体" w:cs="Times New Roman"/>
          <w:color w:val="auto"/>
          <w:sz w:val="44"/>
          <w:szCs w:val="44"/>
        </w:rPr>
      </w:pPr>
    </w:p>
    <w:p>
      <w:pPr>
        <w:ind w:firstLine="1040"/>
        <w:rPr>
          <w:rFonts w:hint="default" w:ascii="Times New Roman" w:hAnsi="Times New Roman" w:eastAsia="宋体" w:cs="Times New Roman"/>
          <w:color w:val="auto"/>
          <w:sz w:val="44"/>
          <w:szCs w:val="44"/>
        </w:rPr>
      </w:pPr>
    </w:p>
    <w:p>
      <w:pPr>
        <w:ind w:firstLine="1040"/>
        <w:rPr>
          <w:rFonts w:hint="default" w:ascii="Times New Roman" w:hAnsi="Times New Roman" w:eastAsia="宋体" w:cs="Times New Roman"/>
          <w:color w:val="auto"/>
          <w:sz w:val="44"/>
          <w:szCs w:val="44"/>
        </w:rPr>
      </w:pPr>
    </w:p>
    <w:p>
      <w:pPr>
        <w:adjustRightInd w:val="0"/>
        <w:snapToGrid w:val="0"/>
        <w:spacing w:line="288" w:lineRule="auto"/>
        <w:ind w:left="2518" w:leftChars="342" w:hanging="1800" w:hangingChars="500"/>
        <w:rPr>
          <w:rFonts w:hint="default" w:ascii="Times New Roman" w:hAnsi="Times New Roman" w:eastAsia="宋体" w:cs="Times New Roman"/>
          <w:color w:val="auto"/>
          <w:sz w:val="36"/>
          <w:szCs w:val="36"/>
          <w:u w:val="single"/>
          <w:lang w:val="en-US"/>
        </w:rPr>
      </w:pPr>
      <w:r>
        <w:rPr>
          <w:rFonts w:hint="default" w:ascii="Times New Roman" w:hAnsi="Times New Roman" w:eastAsia="宋体" w:cs="Times New Roman"/>
          <w:color w:val="auto"/>
          <w:sz w:val="36"/>
          <w:szCs w:val="36"/>
        </w:rPr>
        <w:t>项目名称：</w:t>
      </w:r>
      <w:r>
        <w:rPr>
          <w:rFonts w:hint="eastAsia" w:ascii="Times New Roman" w:hAnsi="Times New Roman" w:eastAsia="宋体" w:cs="Times New Roman"/>
          <w:color w:val="auto"/>
          <w:sz w:val="36"/>
          <w:szCs w:val="36"/>
          <w:u w:val="single"/>
          <w:lang w:val="en-US" w:eastAsia="zh-CN"/>
        </w:rPr>
        <w:t xml:space="preserve">  年产6万吨铝锌合金配套炒灰机项目  </w:t>
      </w:r>
    </w:p>
    <w:p>
      <w:pPr>
        <w:adjustRightInd w:val="0"/>
        <w:snapToGrid w:val="0"/>
        <w:spacing w:line="288" w:lineRule="auto"/>
        <w:ind w:firstLine="720" w:firstLineChars="200"/>
        <w:rPr>
          <w:rFonts w:hint="default" w:ascii="Times New Roman" w:hAnsi="Times New Roman" w:eastAsia="宋体" w:cs="Times New Roman"/>
          <w:color w:val="auto"/>
          <w:sz w:val="36"/>
          <w:szCs w:val="36"/>
          <w:u w:val="single"/>
        </w:rPr>
      </w:pPr>
      <w:r>
        <w:rPr>
          <w:rFonts w:hint="default" w:ascii="Times New Roman" w:hAnsi="Times New Roman" w:eastAsia="宋体" w:cs="Times New Roman"/>
          <w:color w:val="auto"/>
          <w:sz w:val="36"/>
          <w:szCs w:val="36"/>
        </w:rPr>
        <w:t>建设单位（盖章）：</w:t>
      </w:r>
      <w:r>
        <w:rPr>
          <w:rFonts w:hint="eastAsia" w:ascii="Times New Roman" w:hAnsi="Times New Roman" w:eastAsia="宋体" w:cs="Times New Roman"/>
          <w:color w:val="auto"/>
          <w:sz w:val="36"/>
          <w:szCs w:val="36"/>
          <w:u w:val="single"/>
          <w:lang w:eastAsia="zh-CN"/>
        </w:rPr>
        <w:t>安阳神龙腾达新材科技有限公司</w:t>
      </w:r>
    </w:p>
    <w:p>
      <w:pPr>
        <w:tabs>
          <w:tab w:val="left" w:pos="8820"/>
        </w:tabs>
        <w:adjustRightInd w:val="0"/>
        <w:snapToGrid w:val="0"/>
        <w:spacing w:line="288" w:lineRule="auto"/>
        <w:ind w:firstLine="720" w:firstLineChars="200"/>
        <w:rPr>
          <w:rFonts w:hint="default" w:ascii="Times New Roman" w:hAnsi="Times New Roman" w:eastAsia="宋体" w:cs="Times New Roman"/>
          <w:color w:val="auto"/>
          <w:sz w:val="36"/>
          <w:szCs w:val="36"/>
          <w:u w:val="single"/>
        </w:rPr>
      </w:pPr>
      <w:r>
        <w:rPr>
          <w:rFonts w:hint="default" w:ascii="Times New Roman" w:hAnsi="Times New Roman" w:eastAsia="宋体" w:cs="Times New Roman"/>
          <w:color w:val="auto"/>
          <w:sz w:val="36"/>
          <w:szCs w:val="36"/>
        </w:rPr>
        <w:t>编制日期：</w:t>
      </w:r>
      <w:r>
        <w:rPr>
          <w:rFonts w:hint="default" w:ascii="Times New Roman" w:hAnsi="Times New Roman" w:eastAsia="宋体" w:cs="Times New Roman"/>
          <w:color w:val="auto"/>
          <w:sz w:val="36"/>
          <w:szCs w:val="36"/>
          <w:u w:val="single"/>
        </w:rPr>
        <w:t xml:space="preserve">    </w:t>
      </w:r>
      <w:r>
        <w:rPr>
          <w:rFonts w:hint="default" w:ascii="Times New Roman" w:hAnsi="Times New Roman" w:eastAsia="宋体" w:cs="Times New Roman"/>
          <w:color w:val="auto"/>
          <w:sz w:val="36"/>
          <w:szCs w:val="36"/>
          <w:u w:val="single"/>
          <w:lang w:val="en-US" w:eastAsia="zh-CN"/>
        </w:rPr>
        <w:t xml:space="preserve"> </w:t>
      </w:r>
      <w:r>
        <w:rPr>
          <w:rFonts w:hint="eastAsia" w:ascii="Times New Roman" w:hAnsi="Times New Roman" w:eastAsia="宋体" w:cs="Times New Roman"/>
          <w:color w:val="auto"/>
          <w:sz w:val="36"/>
          <w:szCs w:val="36"/>
          <w:u w:val="single"/>
          <w:lang w:val="en-US" w:eastAsia="zh-CN"/>
        </w:rPr>
        <w:t xml:space="preserve">       </w:t>
      </w:r>
      <w:r>
        <w:rPr>
          <w:rFonts w:hint="default" w:ascii="Times New Roman" w:hAnsi="Times New Roman" w:eastAsia="宋体" w:cs="Times New Roman"/>
          <w:color w:val="auto"/>
          <w:sz w:val="36"/>
          <w:szCs w:val="36"/>
          <w:u w:val="single"/>
          <w:lang w:val="en-US" w:eastAsia="zh-CN"/>
        </w:rPr>
        <w:t>202</w:t>
      </w:r>
      <w:r>
        <w:rPr>
          <w:rFonts w:hint="eastAsia" w:ascii="Times New Roman" w:hAnsi="Times New Roman" w:eastAsia="宋体" w:cs="Times New Roman"/>
          <w:color w:val="auto"/>
          <w:sz w:val="36"/>
          <w:szCs w:val="36"/>
          <w:u w:val="single"/>
          <w:lang w:val="en-US" w:eastAsia="zh-CN"/>
        </w:rPr>
        <w:t>5</w:t>
      </w:r>
      <w:r>
        <w:rPr>
          <w:rFonts w:hint="default" w:ascii="Times New Roman" w:hAnsi="Times New Roman" w:eastAsia="宋体" w:cs="Times New Roman"/>
          <w:color w:val="auto"/>
          <w:sz w:val="36"/>
          <w:szCs w:val="36"/>
          <w:u w:val="single"/>
          <w:lang w:val="en-US" w:eastAsia="zh-CN"/>
        </w:rPr>
        <w:t>年</w:t>
      </w:r>
      <w:r>
        <w:rPr>
          <w:rFonts w:hint="eastAsia" w:cs="Times New Roman"/>
          <w:color w:val="auto"/>
          <w:sz w:val="36"/>
          <w:szCs w:val="36"/>
          <w:u w:val="single"/>
          <w:lang w:val="en-US" w:eastAsia="zh-CN"/>
        </w:rPr>
        <w:t>9</w:t>
      </w:r>
      <w:r>
        <w:rPr>
          <w:rFonts w:hint="default" w:ascii="Times New Roman" w:hAnsi="Times New Roman" w:eastAsia="宋体" w:cs="Times New Roman"/>
          <w:color w:val="auto"/>
          <w:sz w:val="36"/>
          <w:szCs w:val="36"/>
          <w:u w:val="single"/>
          <w:lang w:val="en-US" w:eastAsia="zh-CN"/>
        </w:rPr>
        <w:t xml:space="preserve">月 </w:t>
      </w:r>
      <w:r>
        <w:rPr>
          <w:rFonts w:hint="default" w:ascii="Times New Roman" w:hAnsi="Times New Roman" w:eastAsia="宋体" w:cs="Times New Roman"/>
          <w:color w:val="auto"/>
          <w:sz w:val="36"/>
          <w:szCs w:val="36"/>
          <w:u w:val="single"/>
        </w:rPr>
        <w:t xml:space="preserve">            </w:t>
      </w:r>
    </w:p>
    <w:p>
      <w:pPr>
        <w:adjustRightInd w:val="0"/>
        <w:snapToGrid w:val="0"/>
        <w:spacing w:line="288" w:lineRule="auto"/>
        <w:ind w:firstLine="1040"/>
        <w:rPr>
          <w:rFonts w:hint="default" w:ascii="Times New Roman" w:hAnsi="Times New Roman" w:eastAsia="宋体" w:cs="Times New Roman"/>
          <w:color w:val="auto"/>
          <w:sz w:val="36"/>
          <w:szCs w:val="36"/>
          <w:u w:val="single"/>
        </w:rPr>
      </w:pPr>
      <w:bookmarkStart w:id="1" w:name="_Hlk57884087"/>
    </w:p>
    <w:p>
      <w:pPr>
        <w:adjustRightInd w:val="0"/>
        <w:snapToGrid w:val="0"/>
        <w:spacing w:line="288" w:lineRule="auto"/>
        <w:ind w:firstLine="1040"/>
        <w:rPr>
          <w:rFonts w:hint="eastAsia" w:ascii="宋体" w:hAnsi="宋体" w:eastAsia="宋体" w:cs="宋体"/>
          <w:color w:val="auto"/>
          <w:sz w:val="36"/>
          <w:szCs w:val="36"/>
        </w:rPr>
      </w:pPr>
    </w:p>
    <w:p>
      <w:pPr>
        <w:adjustRightInd w:val="0"/>
        <w:snapToGrid w:val="0"/>
        <w:spacing w:line="288" w:lineRule="auto"/>
        <w:ind w:firstLine="1040"/>
        <w:rPr>
          <w:rFonts w:hint="eastAsia" w:ascii="宋体" w:hAnsi="宋体" w:eastAsia="宋体" w:cs="宋体"/>
          <w:color w:val="auto"/>
          <w:sz w:val="36"/>
          <w:szCs w:val="36"/>
        </w:rPr>
      </w:pPr>
    </w:p>
    <w:p>
      <w:pPr>
        <w:adjustRightInd w:val="0"/>
        <w:snapToGrid w:val="0"/>
        <w:spacing w:line="288" w:lineRule="auto"/>
        <w:ind w:firstLine="1040"/>
        <w:rPr>
          <w:rFonts w:hint="eastAsia" w:ascii="宋体" w:hAnsi="宋体" w:eastAsia="宋体" w:cs="宋体"/>
          <w:color w:val="auto"/>
          <w:sz w:val="36"/>
          <w:szCs w:val="36"/>
        </w:rPr>
      </w:pPr>
    </w:p>
    <w:p>
      <w:pPr>
        <w:adjustRightInd w:val="0"/>
        <w:snapToGrid w:val="0"/>
        <w:spacing w:line="288" w:lineRule="auto"/>
        <w:ind w:firstLine="1040"/>
        <w:rPr>
          <w:rFonts w:hint="eastAsia" w:ascii="宋体" w:hAnsi="宋体" w:eastAsia="宋体" w:cs="宋体"/>
          <w:color w:val="auto"/>
          <w:sz w:val="36"/>
          <w:szCs w:val="36"/>
        </w:rPr>
      </w:pPr>
    </w:p>
    <w:bookmarkEnd w:id="1"/>
    <w:p>
      <w:pPr>
        <w:adjustRightInd w:val="0"/>
        <w:snapToGrid w:val="0"/>
        <w:spacing w:line="288" w:lineRule="auto"/>
        <w:ind w:left="0" w:leftChars="0" w:firstLine="0" w:firstLineChars="0"/>
        <w:jc w:val="center"/>
        <w:rPr>
          <w:rFonts w:hint="eastAsia" w:ascii="宋体" w:hAnsi="宋体" w:eastAsia="宋体" w:cs="宋体"/>
          <w:color w:val="auto"/>
          <w:sz w:val="36"/>
          <w:szCs w:val="36"/>
        </w:rPr>
      </w:pPr>
      <w:r>
        <w:rPr>
          <w:rFonts w:hint="eastAsia" w:ascii="宋体" w:hAnsi="宋体" w:eastAsia="宋体" w:cs="宋体"/>
          <w:color w:val="auto"/>
          <w:sz w:val="36"/>
          <w:szCs w:val="36"/>
        </w:rPr>
        <w:t>中华人民共和国生态环境部制</w:t>
      </w:r>
    </w:p>
    <w:p>
      <w:pPr>
        <w:rPr>
          <w:rFonts w:hint="eastAsia" w:ascii="宋体" w:hAnsi="宋体" w:eastAsia="宋体" w:cs="宋体"/>
          <w:color w:val="auto"/>
          <w:sz w:val="36"/>
          <w:szCs w:val="36"/>
        </w:rPr>
      </w:pPr>
      <w:r>
        <w:rPr>
          <w:rFonts w:hint="eastAsia" w:ascii="宋体" w:hAnsi="宋体" w:eastAsia="宋体" w:cs="宋体"/>
          <w:color w:val="auto"/>
          <w:sz w:val="36"/>
          <w:szCs w:val="36"/>
        </w:rPr>
        <w:br w:type="page"/>
      </w:r>
    </w:p>
    <w:p>
      <w:pPr>
        <w:rPr>
          <w:rFonts w:hint="eastAsia" w:ascii="宋体" w:hAnsi="宋体" w:eastAsia="宋体" w:cs="宋体"/>
          <w:color w:val="auto"/>
          <w:sz w:val="36"/>
          <w:szCs w:val="36"/>
        </w:rPr>
      </w:pPr>
      <w:r>
        <w:rPr>
          <w:rFonts w:hint="eastAsia" w:ascii="宋体" w:hAnsi="宋体" w:eastAsia="宋体" w:cs="宋体"/>
          <w:color w:val="auto"/>
          <w:sz w:val="36"/>
          <w:szCs w:val="36"/>
        </w:rPr>
        <w:br w:type="page"/>
      </w:r>
    </w:p>
    <w:p>
      <w:pPr>
        <w:adjustRightInd w:val="0"/>
        <w:snapToGrid w:val="0"/>
        <w:spacing w:line="288" w:lineRule="auto"/>
        <w:jc w:val="center"/>
        <w:rPr>
          <w:rFonts w:hint="eastAsia" w:ascii="宋体" w:hAnsi="宋体" w:eastAsia="宋体" w:cs="宋体"/>
          <w:color w:val="auto"/>
          <w:sz w:val="36"/>
          <w:szCs w:val="36"/>
        </w:rPr>
        <w:sectPr>
          <w:footerReference r:id="rId3" w:type="default"/>
          <w:footerReference r:id="rId4" w:type="even"/>
          <w:pgSz w:w="11906" w:h="16838"/>
          <w:pgMar w:top="1701" w:right="1531" w:bottom="1701" w:left="1531" w:header="851" w:footer="1077" w:gutter="0"/>
          <w:pgBorders>
            <w:top w:val="none" w:color="auto" w:sz="0" w:space="0"/>
            <w:left w:val="none" w:color="auto" w:sz="0" w:space="0"/>
            <w:bottom w:val="none" w:color="auto" w:sz="0" w:space="0"/>
            <w:right w:val="none" w:color="auto" w:sz="0" w:space="0"/>
          </w:pgBorders>
          <w:pgNumType w:fmt="numberInDash" w:start="3"/>
          <w:cols w:space="720" w:num="1"/>
          <w:docGrid w:linePitch="312" w:charSpace="0"/>
        </w:sectPr>
      </w:pPr>
    </w:p>
    <w:p>
      <w:pPr>
        <w:spacing w:before="0" w:beforeLines="0" w:after="0" w:afterLines="0" w:line="360" w:lineRule="auto"/>
        <w:ind w:left="0" w:leftChars="0" w:right="0" w:rightChars="0" w:firstLine="0" w:firstLineChars="0"/>
        <w:jc w:val="center"/>
        <w:rPr>
          <w:b/>
          <w:bCs/>
          <w:color w:val="auto"/>
          <w:sz w:val="36"/>
          <w:szCs w:val="36"/>
        </w:rPr>
      </w:pPr>
      <w:r>
        <w:rPr>
          <w:rFonts w:ascii="宋体" w:hAnsi="宋体" w:eastAsia="宋体"/>
          <w:b/>
          <w:bCs/>
          <w:color w:val="auto"/>
          <w:sz w:val="36"/>
          <w:szCs w:val="36"/>
        </w:rPr>
        <w:t>目录</w:t>
      </w:r>
    </w:p>
    <w:p>
      <w:pPr>
        <w:pStyle w:val="66"/>
        <w:keepNext w:val="0"/>
        <w:keepLines w:val="0"/>
        <w:pageBreakBefore w:val="0"/>
        <w:tabs>
          <w:tab w:val="right" w:leader="dot" w:pos="8844"/>
        </w:tabs>
        <w:kinsoku/>
        <w:wordWrap/>
        <w:overflowPunct/>
        <w:topLinePunct w:val="0"/>
        <w:autoSpaceDE/>
        <w:autoSpaceDN/>
        <w:bidi w:val="0"/>
        <w:adjustRightInd w:val="0"/>
        <w:snapToGrid w:val="0"/>
        <w:spacing w:line="360" w:lineRule="auto"/>
        <w:textAlignment w:val="auto"/>
        <w:rPr>
          <w:b w:val="0"/>
          <w:bCs w:val="0"/>
          <w:color w:val="auto"/>
          <w:sz w:val="28"/>
          <w:szCs w:val="28"/>
        </w:rPr>
      </w:pPr>
      <w:r>
        <w:rPr>
          <w:rFonts w:hint="eastAsia"/>
          <w:b w:val="0"/>
          <w:bCs w:val="0"/>
          <w:color w:val="auto"/>
          <w:sz w:val="28"/>
          <w:szCs w:val="28"/>
        </w:rPr>
        <w:fldChar w:fldCharType="begin"/>
      </w:r>
      <w:r>
        <w:rPr>
          <w:rFonts w:hint="eastAsia"/>
          <w:b w:val="0"/>
          <w:bCs w:val="0"/>
          <w:color w:val="auto"/>
          <w:sz w:val="28"/>
          <w:szCs w:val="28"/>
        </w:rPr>
        <w:instrText xml:space="preserve">TOC \o "1-1" \h \u </w:instrText>
      </w:r>
      <w:r>
        <w:rPr>
          <w:rFonts w:hint="eastAsia"/>
          <w:b w:val="0"/>
          <w:bCs w:val="0"/>
          <w:color w:val="auto"/>
          <w:sz w:val="28"/>
          <w:szCs w:val="28"/>
        </w:rPr>
        <w:fldChar w:fldCharType="separate"/>
      </w:r>
      <w:r>
        <w:rPr>
          <w:rFonts w:hint="eastAsia"/>
          <w:b w:val="0"/>
          <w:bCs w:val="0"/>
          <w:color w:val="auto"/>
          <w:sz w:val="28"/>
          <w:szCs w:val="28"/>
        </w:rPr>
        <w:fldChar w:fldCharType="begin"/>
      </w:r>
      <w:r>
        <w:rPr>
          <w:rFonts w:hint="eastAsia"/>
          <w:b w:val="0"/>
          <w:bCs w:val="0"/>
          <w:color w:val="auto"/>
          <w:sz w:val="28"/>
          <w:szCs w:val="28"/>
        </w:rPr>
        <w:instrText xml:space="preserve"> HYPERLINK \l _Toc13348 </w:instrText>
      </w:r>
      <w:r>
        <w:rPr>
          <w:rFonts w:hint="eastAsia"/>
          <w:b w:val="0"/>
          <w:bCs w:val="0"/>
          <w:color w:val="auto"/>
          <w:sz w:val="28"/>
          <w:szCs w:val="28"/>
        </w:rPr>
        <w:fldChar w:fldCharType="separate"/>
      </w:r>
      <w:r>
        <w:rPr>
          <w:rFonts w:hint="eastAsia" w:ascii="宋体" w:hAnsi="宋体" w:eastAsia="宋体" w:cs="宋体"/>
          <w:b w:val="0"/>
          <w:bCs w:val="0"/>
          <w:snapToGrid w:val="0"/>
          <w:color w:val="auto"/>
          <w:sz w:val="28"/>
          <w:szCs w:val="28"/>
        </w:rPr>
        <w:t>一、建设项目基本情况</w:t>
      </w:r>
      <w:r>
        <w:rPr>
          <w:b w:val="0"/>
          <w:bCs w:val="0"/>
          <w:color w:val="auto"/>
          <w:sz w:val="28"/>
          <w:szCs w:val="28"/>
        </w:rPr>
        <w:tab/>
      </w:r>
      <w:r>
        <w:rPr>
          <w:b w:val="0"/>
          <w:bCs w:val="0"/>
          <w:color w:val="auto"/>
          <w:sz w:val="28"/>
          <w:szCs w:val="28"/>
        </w:rPr>
        <w:fldChar w:fldCharType="begin"/>
      </w:r>
      <w:r>
        <w:rPr>
          <w:b w:val="0"/>
          <w:bCs w:val="0"/>
          <w:color w:val="auto"/>
          <w:sz w:val="28"/>
          <w:szCs w:val="28"/>
        </w:rPr>
        <w:instrText xml:space="preserve"> PAGEREF _Toc13348 \h </w:instrText>
      </w:r>
      <w:r>
        <w:rPr>
          <w:b w:val="0"/>
          <w:bCs w:val="0"/>
          <w:color w:val="auto"/>
          <w:sz w:val="28"/>
          <w:szCs w:val="28"/>
        </w:rPr>
        <w:fldChar w:fldCharType="separate"/>
      </w:r>
      <w:r>
        <w:rPr>
          <w:b w:val="0"/>
          <w:bCs w:val="0"/>
          <w:color w:val="auto"/>
          <w:sz w:val="28"/>
          <w:szCs w:val="28"/>
        </w:rPr>
        <w:t>- 1 -</w:t>
      </w:r>
      <w:r>
        <w:rPr>
          <w:b w:val="0"/>
          <w:bCs w:val="0"/>
          <w:color w:val="auto"/>
          <w:sz w:val="28"/>
          <w:szCs w:val="28"/>
        </w:rPr>
        <w:fldChar w:fldCharType="end"/>
      </w:r>
      <w:r>
        <w:rPr>
          <w:rFonts w:hint="eastAsia"/>
          <w:b w:val="0"/>
          <w:bCs w:val="0"/>
          <w:color w:val="auto"/>
          <w:sz w:val="28"/>
          <w:szCs w:val="28"/>
        </w:rPr>
        <w:fldChar w:fldCharType="end"/>
      </w:r>
    </w:p>
    <w:p>
      <w:pPr>
        <w:pStyle w:val="66"/>
        <w:keepNext w:val="0"/>
        <w:keepLines w:val="0"/>
        <w:pageBreakBefore w:val="0"/>
        <w:tabs>
          <w:tab w:val="right" w:leader="dot" w:pos="8844"/>
        </w:tabs>
        <w:kinsoku/>
        <w:wordWrap/>
        <w:overflowPunct/>
        <w:topLinePunct w:val="0"/>
        <w:autoSpaceDE/>
        <w:autoSpaceDN/>
        <w:bidi w:val="0"/>
        <w:adjustRightInd w:val="0"/>
        <w:snapToGrid w:val="0"/>
        <w:spacing w:line="360" w:lineRule="auto"/>
        <w:textAlignment w:val="auto"/>
        <w:rPr>
          <w:b w:val="0"/>
          <w:bCs w:val="0"/>
          <w:color w:val="auto"/>
          <w:sz w:val="28"/>
          <w:szCs w:val="28"/>
        </w:rPr>
      </w:pPr>
      <w:r>
        <w:rPr>
          <w:rFonts w:hint="eastAsia"/>
          <w:b w:val="0"/>
          <w:bCs w:val="0"/>
          <w:color w:val="auto"/>
          <w:sz w:val="28"/>
          <w:szCs w:val="28"/>
        </w:rPr>
        <w:fldChar w:fldCharType="begin"/>
      </w:r>
      <w:r>
        <w:rPr>
          <w:rFonts w:hint="eastAsia"/>
          <w:b w:val="0"/>
          <w:bCs w:val="0"/>
          <w:color w:val="auto"/>
          <w:sz w:val="28"/>
          <w:szCs w:val="28"/>
        </w:rPr>
        <w:instrText xml:space="preserve"> HYPERLINK \l _Toc2405 </w:instrText>
      </w:r>
      <w:r>
        <w:rPr>
          <w:rFonts w:hint="eastAsia"/>
          <w:b w:val="0"/>
          <w:bCs w:val="0"/>
          <w:color w:val="auto"/>
          <w:sz w:val="28"/>
          <w:szCs w:val="28"/>
        </w:rPr>
        <w:fldChar w:fldCharType="separate"/>
      </w:r>
      <w:r>
        <w:rPr>
          <w:rFonts w:hint="eastAsia" w:ascii="宋体" w:hAnsi="宋体" w:eastAsia="宋体" w:cs="宋体"/>
          <w:b w:val="0"/>
          <w:bCs w:val="0"/>
          <w:snapToGrid w:val="0"/>
          <w:color w:val="auto"/>
          <w:sz w:val="28"/>
          <w:szCs w:val="28"/>
        </w:rPr>
        <w:t>二、建设项目工程分析</w:t>
      </w:r>
      <w:r>
        <w:rPr>
          <w:b w:val="0"/>
          <w:bCs w:val="0"/>
          <w:color w:val="auto"/>
          <w:sz w:val="28"/>
          <w:szCs w:val="28"/>
        </w:rPr>
        <w:tab/>
      </w:r>
      <w:r>
        <w:rPr>
          <w:b w:val="0"/>
          <w:bCs w:val="0"/>
          <w:color w:val="auto"/>
          <w:sz w:val="28"/>
          <w:szCs w:val="28"/>
        </w:rPr>
        <w:fldChar w:fldCharType="begin"/>
      </w:r>
      <w:r>
        <w:rPr>
          <w:b w:val="0"/>
          <w:bCs w:val="0"/>
          <w:color w:val="auto"/>
          <w:sz w:val="28"/>
          <w:szCs w:val="28"/>
        </w:rPr>
        <w:instrText xml:space="preserve"> PAGEREF _Toc2405 \h </w:instrText>
      </w:r>
      <w:r>
        <w:rPr>
          <w:b w:val="0"/>
          <w:bCs w:val="0"/>
          <w:color w:val="auto"/>
          <w:sz w:val="28"/>
          <w:szCs w:val="28"/>
        </w:rPr>
        <w:fldChar w:fldCharType="separate"/>
      </w:r>
      <w:r>
        <w:rPr>
          <w:b w:val="0"/>
          <w:bCs w:val="0"/>
          <w:color w:val="auto"/>
          <w:sz w:val="28"/>
          <w:szCs w:val="28"/>
        </w:rPr>
        <w:t>- 31 -</w:t>
      </w:r>
      <w:r>
        <w:rPr>
          <w:b w:val="0"/>
          <w:bCs w:val="0"/>
          <w:color w:val="auto"/>
          <w:sz w:val="28"/>
          <w:szCs w:val="28"/>
        </w:rPr>
        <w:fldChar w:fldCharType="end"/>
      </w:r>
      <w:r>
        <w:rPr>
          <w:rFonts w:hint="eastAsia"/>
          <w:b w:val="0"/>
          <w:bCs w:val="0"/>
          <w:color w:val="auto"/>
          <w:sz w:val="28"/>
          <w:szCs w:val="28"/>
        </w:rPr>
        <w:fldChar w:fldCharType="end"/>
      </w:r>
    </w:p>
    <w:p>
      <w:pPr>
        <w:pStyle w:val="66"/>
        <w:keepNext w:val="0"/>
        <w:keepLines w:val="0"/>
        <w:pageBreakBefore w:val="0"/>
        <w:tabs>
          <w:tab w:val="right" w:leader="dot" w:pos="8844"/>
        </w:tabs>
        <w:kinsoku/>
        <w:wordWrap/>
        <w:overflowPunct/>
        <w:topLinePunct w:val="0"/>
        <w:autoSpaceDE/>
        <w:autoSpaceDN/>
        <w:bidi w:val="0"/>
        <w:adjustRightInd w:val="0"/>
        <w:snapToGrid w:val="0"/>
        <w:spacing w:line="360" w:lineRule="auto"/>
        <w:textAlignment w:val="auto"/>
        <w:rPr>
          <w:b w:val="0"/>
          <w:bCs w:val="0"/>
          <w:color w:val="auto"/>
          <w:sz w:val="28"/>
          <w:szCs w:val="28"/>
        </w:rPr>
      </w:pPr>
      <w:r>
        <w:rPr>
          <w:rFonts w:hint="eastAsia"/>
          <w:b w:val="0"/>
          <w:bCs w:val="0"/>
          <w:color w:val="auto"/>
          <w:sz w:val="28"/>
          <w:szCs w:val="28"/>
        </w:rPr>
        <w:fldChar w:fldCharType="begin"/>
      </w:r>
      <w:r>
        <w:rPr>
          <w:rFonts w:hint="eastAsia"/>
          <w:b w:val="0"/>
          <w:bCs w:val="0"/>
          <w:color w:val="auto"/>
          <w:sz w:val="28"/>
          <w:szCs w:val="28"/>
        </w:rPr>
        <w:instrText xml:space="preserve"> HYPERLINK \l _Toc17006 </w:instrText>
      </w:r>
      <w:r>
        <w:rPr>
          <w:rFonts w:hint="eastAsia"/>
          <w:b w:val="0"/>
          <w:bCs w:val="0"/>
          <w:color w:val="auto"/>
          <w:sz w:val="28"/>
          <w:szCs w:val="28"/>
        </w:rPr>
        <w:fldChar w:fldCharType="separate"/>
      </w:r>
      <w:r>
        <w:rPr>
          <w:rFonts w:hint="eastAsia" w:ascii="宋体" w:hAnsi="宋体" w:eastAsia="宋体" w:cs="宋体"/>
          <w:b w:val="0"/>
          <w:bCs w:val="0"/>
          <w:snapToGrid w:val="0"/>
          <w:color w:val="auto"/>
          <w:sz w:val="28"/>
          <w:szCs w:val="28"/>
        </w:rPr>
        <w:t>三、区域环境质量现状、环境保护目标及评价标准</w:t>
      </w:r>
      <w:r>
        <w:rPr>
          <w:b w:val="0"/>
          <w:bCs w:val="0"/>
          <w:color w:val="auto"/>
          <w:sz w:val="28"/>
          <w:szCs w:val="28"/>
        </w:rPr>
        <w:tab/>
      </w:r>
      <w:r>
        <w:rPr>
          <w:b w:val="0"/>
          <w:bCs w:val="0"/>
          <w:color w:val="auto"/>
          <w:sz w:val="28"/>
          <w:szCs w:val="28"/>
        </w:rPr>
        <w:fldChar w:fldCharType="begin"/>
      </w:r>
      <w:r>
        <w:rPr>
          <w:b w:val="0"/>
          <w:bCs w:val="0"/>
          <w:color w:val="auto"/>
          <w:sz w:val="28"/>
          <w:szCs w:val="28"/>
        </w:rPr>
        <w:instrText xml:space="preserve"> PAGEREF _Toc17006 \h </w:instrText>
      </w:r>
      <w:r>
        <w:rPr>
          <w:b w:val="0"/>
          <w:bCs w:val="0"/>
          <w:color w:val="auto"/>
          <w:sz w:val="28"/>
          <w:szCs w:val="28"/>
        </w:rPr>
        <w:fldChar w:fldCharType="separate"/>
      </w:r>
      <w:r>
        <w:rPr>
          <w:b w:val="0"/>
          <w:bCs w:val="0"/>
          <w:color w:val="auto"/>
          <w:sz w:val="28"/>
          <w:szCs w:val="28"/>
        </w:rPr>
        <w:t>- 50 -</w:t>
      </w:r>
      <w:r>
        <w:rPr>
          <w:b w:val="0"/>
          <w:bCs w:val="0"/>
          <w:color w:val="auto"/>
          <w:sz w:val="28"/>
          <w:szCs w:val="28"/>
        </w:rPr>
        <w:fldChar w:fldCharType="end"/>
      </w:r>
      <w:r>
        <w:rPr>
          <w:rFonts w:hint="eastAsia"/>
          <w:b w:val="0"/>
          <w:bCs w:val="0"/>
          <w:color w:val="auto"/>
          <w:sz w:val="28"/>
          <w:szCs w:val="28"/>
        </w:rPr>
        <w:fldChar w:fldCharType="end"/>
      </w:r>
    </w:p>
    <w:p>
      <w:pPr>
        <w:pStyle w:val="66"/>
        <w:keepNext w:val="0"/>
        <w:keepLines w:val="0"/>
        <w:pageBreakBefore w:val="0"/>
        <w:tabs>
          <w:tab w:val="right" w:leader="dot" w:pos="8844"/>
        </w:tabs>
        <w:kinsoku/>
        <w:wordWrap/>
        <w:overflowPunct/>
        <w:topLinePunct w:val="0"/>
        <w:autoSpaceDE/>
        <w:autoSpaceDN/>
        <w:bidi w:val="0"/>
        <w:adjustRightInd w:val="0"/>
        <w:snapToGrid w:val="0"/>
        <w:spacing w:line="360" w:lineRule="auto"/>
        <w:textAlignment w:val="auto"/>
        <w:rPr>
          <w:b w:val="0"/>
          <w:bCs w:val="0"/>
          <w:color w:val="auto"/>
          <w:sz w:val="28"/>
          <w:szCs w:val="28"/>
        </w:rPr>
      </w:pPr>
      <w:r>
        <w:rPr>
          <w:rFonts w:hint="eastAsia"/>
          <w:b w:val="0"/>
          <w:bCs w:val="0"/>
          <w:color w:val="auto"/>
          <w:sz w:val="28"/>
          <w:szCs w:val="28"/>
        </w:rPr>
        <w:fldChar w:fldCharType="begin"/>
      </w:r>
      <w:r>
        <w:rPr>
          <w:rFonts w:hint="eastAsia"/>
          <w:b w:val="0"/>
          <w:bCs w:val="0"/>
          <w:color w:val="auto"/>
          <w:sz w:val="28"/>
          <w:szCs w:val="28"/>
        </w:rPr>
        <w:instrText xml:space="preserve"> HYPERLINK \l _Toc24437 </w:instrText>
      </w:r>
      <w:r>
        <w:rPr>
          <w:rFonts w:hint="eastAsia"/>
          <w:b w:val="0"/>
          <w:bCs w:val="0"/>
          <w:color w:val="auto"/>
          <w:sz w:val="28"/>
          <w:szCs w:val="28"/>
        </w:rPr>
        <w:fldChar w:fldCharType="separate"/>
      </w:r>
      <w:r>
        <w:rPr>
          <w:rFonts w:hint="eastAsia" w:ascii="宋体" w:hAnsi="宋体" w:eastAsia="宋体" w:cs="宋体"/>
          <w:b w:val="0"/>
          <w:bCs w:val="0"/>
          <w:snapToGrid w:val="0"/>
          <w:color w:val="auto"/>
          <w:sz w:val="28"/>
          <w:szCs w:val="28"/>
        </w:rPr>
        <w:t>四、主要环境影响和保护措施</w:t>
      </w:r>
      <w:r>
        <w:rPr>
          <w:b w:val="0"/>
          <w:bCs w:val="0"/>
          <w:color w:val="auto"/>
          <w:sz w:val="28"/>
          <w:szCs w:val="28"/>
        </w:rPr>
        <w:tab/>
      </w:r>
      <w:r>
        <w:rPr>
          <w:b w:val="0"/>
          <w:bCs w:val="0"/>
          <w:color w:val="auto"/>
          <w:sz w:val="28"/>
          <w:szCs w:val="28"/>
        </w:rPr>
        <w:fldChar w:fldCharType="begin"/>
      </w:r>
      <w:r>
        <w:rPr>
          <w:b w:val="0"/>
          <w:bCs w:val="0"/>
          <w:color w:val="auto"/>
          <w:sz w:val="28"/>
          <w:szCs w:val="28"/>
        </w:rPr>
        <w:instrText xml:space="preserve"> PAGEREF _Toc24437 \h </w:instrText>
      </w:r>
      <w:r>
        <w:rPr>
          <w:b w:val="0"/>
          <w:bCs w:val="0"/>
          <w:color w:val="auto"/>
          <w:sz w:val="28"/>
          <w:szCs w:val="28"/>
        </w:rPr>
        <w:fldChar w:fldCharType="separate"/>
      </w:r>
      <w:r>
        <w:rPr>
          <w:b w:val="0"/>
          <w:bCs w:val="0"/>
          <w:color w:val="auto"/>
          <w:sz w:val="28"/>
          <w:szCs w:val="28"/>
        </w:rPr>
        <w:t>- 57 -</w:t>
      </w:r>
      <w:r>
        <w:rPr>
          <w:b w:val="0"/>
          <w:bCs w:val="0"/>
          <w:color w:val="auto"/>
          <w:sz w:val="28"/>
          <w:szCs w:val="28"/>
        </w:rPr>
        <w:fldChar w:fldCharType="end"/>
      </w:r>
      <w:r>
        <w:rPr>
          <w:rFonts w:hint="eastAsia"/>
          <w:b w:val="0"/>
          <w:bCs w:val="0"/>
          <w:color w:val="auto"/>
          <w:sz w:val="28"/>
          <w:szCs w:val="28"/>
        </w:rPr>
        <w:fldChar w:fldCharType="end"/>
      </w:r>
    </w:p>
    <w:p>
      <w:pPr>
        <w:pStyle w:val="66"/>
        <w:keepNext w:val="0"/>
        <w:keepLines w:val="0"/>
        <w:pageBreakBefore w:val="0"/>
        <w:tabs>
          <w:tab w:val="right" w:leader="dot" w:pos="8844"/>
        </w:tabs>
        <w:kinsoku/>
        <w:wordWrap/>
        <w:overflowPunct/>
        <w:topLinePunct w:val="0"/>
        <w:autoSpaceDE/>
        <w:autoSpaceDN/>
        <w:bidi w:val="0"/>
        <w:adjustRightInd w:val="0"/>
        <w:snapToGrid w:val="0"/>
        <w:spacing w:line="360" w:lineRule="auto"/>
        <w:textAlignment w:val="auto"/>
        <w:rPr>
          <w:b w:val="0"/>
          <w:bCs w:val="0"/>
          <w:color w:val="auto"/>
          <w:sz w:val="28"/>
          <w:szCs w:val="28"/>
        </w:rPr>
      </w:pPr>
      <w:r>
        <w:rPr>
          <w:rFonts w:hint="eastAsia"/>
          <w:b w:val="0"/>
          <w:bCs w:val="0"/>
          <w:color w:val="auto"/>
          <w:sz w:val="28"/>
          <w:szCs w:val="28"/>
        </w:rPr>
        <w:fldChar w:fldCharType="begin"/>
      </w:r>
      <w:r>
        <w:rPr>
          <w:rFonts w:hint="eastAsia"/>
          <w:b w:val="0"/>
          <w:bCs w:val="0"/>
          <w:color w:val="auto"/>
          <w:sz w:val="28"/>
          <w:szCs w:val="28"/>
        </w:rPr>
        <w:instrText xml:space="preserve"> HYPERLINK \l _Toc5712 </w:instrText>
      </w:r>
      <w:r>
        <w:rPr>
          <w:rFonts w:hint="eastAsia"/>
          <w:b w:val="0"/>
          <w:bCs w:val="0"/>
          <w:color w:val="auto"/>
          <w:sz w:val="28"/>
          <w:szCs w:val="28"/>
        </w:rPr>
        <w:fldChar w:fldCharType="separate"/>
      </w:r>
      <w:r>
        <w:rPr>
          <w:rFonts w:hint="eastAsia" w:ascii="宋体" w:hAnsi="宋体" w:eastAsia="宋体" w:cs="宋体"/>
          <w:b w:val="0"/>
          <w:bCs w:val="0"/>
          <w:snapToGrid w:val="0"/>
          <w:color w:val="auto"/>
          <w:sz w:val="28"/>
          <w:szCs w:val="28"/>
        </w:rPr>
        <w:t>五、环境保护措施监督检查清单</w:t>
      </w:r>
      <w:r>
        <w:rPr>
          <w:b w:val="0"/>
          <w:bCs w:val="0"/>
          <w:color w:val="auto"/>
          <w:sz w:val="28"/>
          <w:szCs w:val="28"/>
        </w:rPr>
        <w:tab/>
      </w:r>
      <w:r>
        <w:rPr>
          <w:b w:val="0"/>
          <w:bCs w:val="0"/>
          <w:color w:val="auto"/>
          <w:sz w:val="28"/>
          <w:szCs w:val="28"/>
        </w:rPr>
        <w:fldChar w:fldCharType="begin"/>
      </w:r>
      <w:r>
        <w:rPr>
          <w:b w:val="0"/>
          <w:bCs w:val="0"/>
          <w:color w:val="auto"/>
          <w:sz w:val="28"/>
          <w:szCs w:val="28"/>
        </w:rPr>
        <w:instrText xml:space="preserve"> PAGEREF _Toc5712 \h </w:instrText>
      </w:r>
      <w:r>
        <w:rPr>
          <w:b w:val="0"/>
          <w:bCs w:val="0"/>
          <w:color w:val="auto"/>
          <w:sz w:val="28"/>
          <w:szCs w:val="28"/>
        </w:rPr>
        <w:fldChar w:fldCharType="separate"/>
      </w:r>
      <w:r>
        <w:rPr>
          <w:b w:val="0"/>
          <w:bCs w:val="0"/>
          <w:color w:val="auto"/>
          <w:sz w:val="28"/>
          <w:szCs w:val="28"/>
        </w:rPr>
        <w:t>- 80 -</w:t>
      </w:r>
      <w:r>
        <w:rPr>
          <w:b w:val="0"/>
          <w:bCs w:val="0"/>
          <w:color w:val="auto"/>
          <w:sz w:val="28"/>
          <w:szCs w:val="28"/>
        </w:rPr>
        <w:fldChar w:fldCharType="end"/>
      </w:r>
      <w:r>
        <w:rPr>
          <w:rFonts w:hint="eastAsia"/>
          <w:b w:val="0"/>
          <w:bCs w:val="0"/>
          <w:color w:val="auto"/>
          <w:sz w:val="28"/>
          <w:szCs w:val="28"/>
        </w:rPr>
        <w:fldChar w:fldCharType="end"/>
      </w:r>
    </w:p>
    <w:p>
      <w:pPr>
        <w:pStyle w:val="66"/>
        <w:keepNext w:val="0"/>
        <w:keepLines w:val="0"/>
        <w:pageBreakBefore w:val="0"/>
        <w:tabs>
          <w:tab w:val="right" w:leader="dot" w:pos="8844"/>
        </w:tabs>
        <w:kinsoku/>
        <w:wordWrap/>
        <w:overflowPunct/>
        <w:topLinePunct w:val="0"/>
        <w:autoSpaceDE/>
        <w:autoSpaceDN/>
        <w:bidi w:val="0"/>
        <w:adjustRightInd w:val="0"/>
        <w:snapToGrid w:val="0"/>
        <w:spacing w:line="360" w:lineRule="auto"/>
        <w:textAlignment w:val="auto"/>
        <w:rPr>
          <w:b w:val="0"/>
          <w:bCs w:val="0"/>
          <w:color w:val="auto"/>
          <w:sz w:val="28"/>
          <w:szCs w:val="28"/>
        </w:rPr>
      </w:pPr>
      <w:r>
        <w:rPr>
          <w:rFonts w:hint="eastAsia"/>
          <w:b w:val="0"/>
          <w:bCs w:val="0"/>
          <w:color w:val="auto"/>
          <w:sz w:val="28"/>
          <w:szCs w:val="28"/>
        </w:rPr>
        <w:fldChar w:fldCharType="begin"/>
      </w:r>
      <w:r>
        <w:rPr>
          <w:rFonts w:hint="eastAsia"/>
          <w:b w:val="0"/>
          <w:bCs w:val="0"/>
          <w:color w:val="auto"/>
          <w:sz w:val="28"/>
          <w:szCs w:val="28"/>
        </w:rPr>
        <w:instrText xml:space="preserve"> HYPERLINK \l _Toc2714 </w:instrText>
      </w:r>
      <w:r>
        <w:rPr>
          <w:rFonts w:hint="eastAsia"/>
          <w:b w:val="0"/>
          <w:bCs w:val="0"/>
          <w:color w:val="auto"/>
          <w:sz w:val="28"/>
          <w:szCs w:val="28"/>
        </w:rPr>
        <w:fldChar w:fldCharType="separate"/>
      </w:r>
      <w:r>
        <w:rPr>
          <w:rFonts w:hint="eastAsia" w:ascii="宋体" w:hAnsi="宋体" w:eastAsia="宋体" w:cs="宋体"/>
          <w:b w:val="0"/>
          <w:bCs w:val="0"/>
          <w:snapToGrid w:val="0"/>
          <w:color w:val="auto"/>
          <w:sz w:val="28"/>
          <w:szCs w:val="28"/>
        </w:rPr>
        <w:t>六、结论</w:t>
      </w:r>
      <w:r>
        <w:rPr>
          <w:b w:val="0"/>
          <w:bCs w:val="0"/>
          <w:color w:val="auto"/>
          <w:sz w:val="28"/>
          <w:szCs w:val="28"/>
        </w:rPr>
        <w:tab/>
      </w:r>
      <w:r>
        <w:rPr>
          <w:b w:val="0"/>
          <w:bCs w:val="0"/>
          <w:color w:val="auto"/>
          <w:sz w:val="28"/>
          <w:szCs w:val="28"/>
        </w:rPr>
        <w:fldChar w:fldCharType="begin"/>
      </w:r>
      <w:r>
        <w:rPr>
          <w:b w:val="0"/>
          <w:bCs w:val="0"/>
          <w:color w:val="auto"/>
          <w:sz w:val="28"/>
          <w:szCs w:val="28"/>
        </w:rPr>
        <w:instrText xml:space="preserve"> PAGEREF _Toc2714 \h </w:instrText>
      </w:r>
      <w:r>
        <w:rPr>
          <w:b w:val="0"/>
          <w:bCs w:val="0"/>
          <w:color w:val="auto"/>
          <w:sz w:val="28"/>
          <w:szCs w:val="28"/>
        </w:rPr>
        <w:fldChar w:fldCharType="separate"/>
      </w:r>
      <w:r>
        <w:rPr>
          <w:b w:val="0"/>
          <w:bCs w:val="0"/>
          <w:color w:val="auto"/>
          <w:sz w:val="28"/>
          <w:szCs w:val="28"/>
        </w:rPr>
        <w:t>- 82 -</w:t>
      </w:r>
      <w:r>
        <w:rPr>
          <w:b w:val="0"/>
          <w:bCs w:val="0"/>
          <w:color w:val="auto"/>
          <w:sz w:val="28"/>
          <w:szCs w:val="28"/>
        </w:rPr>
        <w:fldChar w:fldCharType="end"/>
      </w:r>
      <w:r>
        <w:rPr>
          <w:rFonts w:hint="eastAsia"/>
          <w:b w:val="0"/>
          <w:bCs w:val="0"/>
          <w:color w:val="auto"/>
          <w:sz w:val="28"/>
          <w:szCs w:val="28"/>
        </w:rPr>
        <w:fldChar w:fldCharType="end"/>
      </w:r>
    </w:p>
    <w:p>
      <w:pPr>
        <w:pStyle w:val="66"/>
        <w:keepNext w:val="0"/>
        <w:keepLines w:val="0"/>
        <w:pageBreakBefore w:val="0"/>
        <w:tabs>
          <w:tab w:val="right" w:leader="dot" w:pos="8844"/>
        </w:tabs>
        <w:kinsoku/>
        <w:wordWrap/>
        <w:overflowPunct/>
        <w:topLinePunct w:val="0"/>
        <w:autoSpaceDE/>
        <w:autoSpaceDN/>
        <w:bidi w:val="0"/>
        <w:adjustRightInd w:val="0"/>
        <w:snapToGrid w:val="0"/>
        <w:spacing w:line="360" w:lineRule="auto"/>
        <w:textAlignment w:val="auto"/>
        <w:rPr>
          <w:b w:val="0"/>
          <w:bCs w:val="0"/>
          <w:color w:val="auto"/>
          <w:sz w:val="28"/>
          <w:szCs w:val="28"/>
        </w:rPr>
      </w:pPr>
      <w:r>
        <w:rPr>
          <w:rFonts w:hint="eastAsia"/>
          <w:b w:val="0"/>
          <w:bCs w:val="0"/>
          <w:color w:val="auto"/>
          <w:sz w:val="28"/>
          <w:szCs w:val="28"/>
        </w:rPr>
        <w:fldChar w:fldCharType="begin"/>
      </w:r>
      <w:r>
        <w:rPr>
          <w:rFonts w:hint="eastAsia"/>
          <w:b w:val="0"/>
          <w:bCs w:val="0"/>
          <w:color w:val="auto"/>
          <w:sz w:val="28"/>
          <w:szCs w:val="28"/>
        </w:rPr>
        <w:instrText xml:space="preserve"> HYPERLINK \l _Toc23317 </w:instrText>
      </w:r>
      <w:r>
        <w:rPr>
          <w:rFonts w:hint="eastAsia"/>
          <w:b w:val="0"/>
          <w:bCs w:val="0"/>
          <w:color w:val="auto"/>
          <w:sz w:val="28"/>
          <w:szCs w:val="28"/>
        </w:rPr>
        <w:fldChar w:fldCharType="separate"/>
      </w:r>
      <w:r>
        <w:rPr>
          <w:rFonts w:hint="eastAsia" w:ascii="宋体" w:hAnsi="宋体" w:eastAsia="宋体" w:cs="宋体"/>
          <w:b w:val="0"/>
          <w:bCs w:val="0"/>
          <w:snapToGrid w:val="0"/>
          <w:color w:val="auto"/>
          <w:sz w:val="28"/>
          <w:szCs w:val="28"/>
        </w:rPr>
        <w:t>附表</w:t>
      </w:r>
      <w:r>
        <w:rPr>
          <w:b w:val="0"/>
          <w:bCs w:val="0"/>
          <w:color w:val="auto"/>
          <w:sz w:val="28"/>
          <w:szCs w:val="28"/>
        </w:rPr>
        <w:tab/>
      </w:r>
      <w:r>
        <w:rPr>
          <w:b w:val="0"/>
          <w:bCs w:val="0"/>
          <w:color w:val="auto"/>
          <w:sz w:val="28"/>
          <w:szCs w:val="28"/>
        </w:rPr>
        <w:fldChar w:fldCharType="begin"/>
      </w:r>
      <w:r>
        <w:rPr>
          <w:b w:val="0"/>
          <w:bCs w:val="0"/>
          <w:color w:val="auto"/>
          <w:sz w:val="28"/>
          <w:szCs w:val="28"/>
        </w:rPr>
        <w:instrText xml:space="preserve"> PAGEREF _Toc23317 \h </w:instrText>
      </w:r>
      <w:r>
        <w:rPr>
          <w:b w:val="0"/>
          <w:bCs w:val="0"/>
          <w:color w:val="auto"/>
          <w:sz w:val="28"/>
          <w:szCs w:val="28"/>
        </w:rPr>
        <w:fldChar w:fldCharType="separate"/>
      </w:r>
      <w:r>
        <w:rPr>
          <w:b w:val="0"/>
          <w:bCs w:val="0"/>
          <w:color w:val="auto"/>
          <w:sz w:val="28"/>
          <w:szCs w:val="28"/>
        </w:rPr>
        <w:t>- 83 -</w:t>
      </w:r>
      <w:r>
        <w:rPr>
          <w:b w:val="0"/>
          <w:bCs w:val="0"/>
          <w:color w:val="auto"/>
          <w:sz w:val="28"/>
          <w:szCs w:val="28"/>
        </w:rPr>
        <w:fldChar w:fldCharType="end"/>
      </w:r>
      <w:r>
        <w:rPr>
          <w:rFonts w:hint="eastAsia"/>
          <w:b w:val="0"/>
          <w:bCs w:val="0"/>
          <w:color w:val="auto"/>
          <w:sz w:val="28"/>
          <w:szCs w:val="28"/>
        </w:rPr>
        <w:fldChar w:fldCharType="end"/>
      </w:r>
    </w:p>
    <w:p>
      <w:pPr>
        <w:pStyle w:val="5"/>
        <w:keepNext w:val="0"/>
        <w:keepLines w:val="0"/>
        <w:pageBreakBefore w:val="0"/>
        <w:widowControl w:val="0"/>
        <w:kinsoku/>
        <w:wordWrap/>
        <w:overflowPunct/>
        <w:topLinePunct w:val="0"/>
        <w:autoSpaceDE/>
        <w:autoSpaceDN/>
        <w:bidi w:val="0"/>
        <w:adjustRightInd w:val="0"/>
        <w:snapToGrid w:val="0"/>
        <w:spacing w:before="0" w:after="0" w:line="360" w:lineRule="auto"/>
        <w:textAlignment w:val="auto"/>
        <w:outlineLvl w:val="9"/>
        <w:rPr>
          <w:rFonts w:hint="eastAsia"/>
          <w:b/>
          <w:bCs/>
          <w:color w:val="auto"/>
          <w:sz w:val="24"/>
          <w:szCs w:val="24"/>
          <w:lang w:eastAsia="zh-CN"/>
        </w:rPr>
      </w:pPr>
      <w:r>
        <w:rPr>
          <w:rFonts w:hint="eastAsia"/>
          <w:b w:val="0"/>
          <w:bCs w:val="0"/>
          <w:color w:val="auto"/>
          <w:sz w:val="28"/>
          <w:szCs w:val="28"/>
        </w:rPr>
        <w:fldChar w:fldCharType="end"/>
      </w:r>
      <w:r>
        <w:rPr>
          <w:rFonts w:hint="eastAsia"/>
          <w:b/>
          <w:bCs/>
          <w:color w:val="auto"/>
          <w:sz w:val="24"/>
          <w:szCs w:val="24"/>
          <w:lang w:eastAsia="zh-CN"/>
        </w:rPr>
        <w:t>附图：</w:t>
      </w:r>
    </w:p>
    <w:p>
      <w:pPr>
        <w:spacing w:line="360" w:lineRule="auto"/>
        <w:ind w:firstLine="480" w:firstLineChars="200"/>
        <w:rPr>
          <w:rFonts w:hint="eastAsia"/>
          <w:b w:val="0"/>
          <w:bCs w:val="0"/>
          <w:color w:val="auto"/>
          <w:sz w:val="24"/>
          <w:szCs w:val="24"/>
          <w:lang w:val="en-US" w:eastAsia="zh-CN"/>
        </w:rPr>
      </w:pPr>
      <w:r>
        <w:rPr>
          <w:rFonts w:hint="eastAsia"/>
          <w:b w:val="0"/>
          <w:bCs w:val="0"/>
          <w:color w:val="auto"/>
          <w:sz w:val="24"/>
          <w:szCs w:val="24"/>
          <w:lang w:eastAsia="zh-CN"/>
        </w:rPr>
        <w:t>附图</w:t>
      </w:r>
      <w:r>
        <w:rPr>
          <w:rFonts w:hint="eastAsia"/>
          <w:b w:val="0"/>
          <w:bCs w:val="0"/>
          <w:color w:val="auto"/>
          <w:sz w:val="24"/>
          <w:szCs w:val="24"/>
          <w:lang w:val="en-US" w:eastAsia="zh-CN"/>
        </w:rPr>
        <w:t>1：厂区地理位置图</w:t>
      </w:r>
    </w:p>
    <w:p>
      <w:pPr>
        <w:spacing w:line="360" w:lineRule="auto"/>
        <w:ind w:firstLine="480" w:firstLineChars="200"/>
        <w:rPr>
          <w:rFonts w:hint="eastAsia"/>
          <w:b w:val="0"/>
          <w:bCs w:val="0"/>
          <w:color w:val="auto"/>
          <w:sz w:val="24"/>
          <w:szCs w:val="24"/>
          <w:lang w:val="en-US" w:eastAsia="zh-CN"/>
        </w:rPr>
      </w:pPr>
      <w:r>
        <w:rPr>
          <w:rFonts w:hint="eastAsia"/>
          <w:b w:val="0"/>
          <w:bCs w:val="0"/>
          <w:color w:val="auto"/>
          <w:sz w:val="24"/>
          <w:szCs w:val="24"/>
          <w:lang w:val="en-US" w:eastAsia="zh-CN"/>
        </w:rPr>
        <w:t>附图2：项目厂址周边敏感点分布图</w:t>
      </w:r>
    </w:p>
    <w:p>
      <w:pPr>
        <w:spacing w:line="360" w:lineRule="auto"/>
        <w:ind w:firstLine="480" w:firstLineChars="200"/>
        <w:rPr>
          <w:rFonts w:hint="eastAsia"/>
          <w:b w:val="0"/>
          <w:bCs w:val="0"/>
          <w:color w:val="auto"/>
          <w:sz w:val="24"/>
          <w:szCs w:val="24"/>
          <w:lang w:val="en-US" w:eastAsia="zh-CN"/>
        </w:rPr>
      </w:pPr>
      <w:r>
        <w:rPr>
          <w:rFonts w:hint="eastAsia"/>
          <w:b w:val="0"/>
          <w:bCs w:val="0"/>
          <w:color w:val="auto"/>
          <w:sz w:val="24"/>
          <w:szCs w:val="24"/>
          <w:lang w:val="en-US" w:eastAsia="zh-CN"/>
        </w:rPr>
        <w:t>附图3：项目车间功能布局示意图</w:t>
      </w:r>
    </w:p>
    <w:p>
      <w:pPr>
        <w:spacing w:line="360" w:lineRule="auto"/>
        <w:ind w:firstLine="480" w:firstLineChars="200"/>
        <w:rPr>
          <w:rFonts w:hint="eastAsia"/>
          <w:b w:val="0"/>
          <w:bCs w:val="0"/>
          <w:color w:val="auto"/>
          <w:sz w:val="24"/>
          <w:szCs w:val="24"/>
          <w:lang w:val="en-US" w:eastAsia="zh-CN"/>
        </w:rPr>
      </w:pPr>
      <w:r>
        <w:rPr>
          <w:rFonts w:hint="eastAsia"/>
          <w:b w:val="0"/>
          <w:bCs w:val="0"/>
          <w:color w:val="auto"/>
          <w:sz w:val="24"/>
          <w:szCs w:val="24"/>
          <w:lang w:val="en-US" w:eastAsia="zh-CN"/>
        </w:rPr>
        <w:t>附图4：项目与安阳市新型制造业产业园区产业布局规划位置关系图</w:t>
      </w:r>
    </w:p>
    <w:p>
      <w:pPr>
        <w:spacing w:line="360" w:lineRule="auto"/>
        <w:ind w:firstLine="480" w:firstLineChars="200"/>
        <w:rPr>
          <w:rFonts w:hint="eastAsia"/>
          <w:b w:val="0"/>
          <w:bCs w:val="0"/>
          <w:color w:val="auto"/>
          <w:sz w:val="24"/>
          <w:szCs w:val="24"/>
          <w:lang w:val="en-US" w:eastAsia="zh-CN"/>
        </w:rPr>
      </w:pPr>
      <w:r>
        <w:rPr>
          <w:rFonts w:hint="eastAsia"/>
          <w:b w:val="0"/>
          <w:bCs w:val="0"/>
          <w:color w:val="auto"/>
          <w:sz w:val="24"/>
          <w:szCs w:val="24"/>
          <w:lang w:val="en-US" w:eastAsia="zh-CN"/>
        </w:rPr>
        <w:t>附图5：安阳神龙腾达公司厂区总平面布置图</w:t>
      </w:r>
    </w:p>
    <w:p>
      <w:pPr>
        <w:spacing w:line="360" w:lineRule="auto"/>
        <w:ind w:firstLine="480" w:firstLineChars="200"/>
        <w:rPr>
          <w:rFonts w:hint="eastAsia"/>
          <w:b w:val="0"/>
          <w:bCs w:val="0"/>
          <w:color w:val="auto"/>
          <w:sz w:val="24"/>
          <w:szCs w:val="24"/>
          <w:lang w:val="en-US" w:eastAsia="zh-CN"/>
        </w:rPr>
      </w:pPr>
      <w:r>
        <w:rPr>
          <w:rFonts w:hint="eastAsia"/>
          <w:b w:val="0"/>
          <w:bCs w:val="0"/>
          <w:color w:val="auto"/>
          <w:sz w:val="24"/>
          <w:szCs w:val="24"/>
          <w:lang w:val="en-US" w:eastAsia="zh-CN"/>
        </w:rPr>
        <w:t>附图6：河南省三线一单综合信息应用平台（截图）</w:t>
      </w:r>
    </w:p>
    <w:p>
      <w:pPr>
        <w:spacing w:line="360" w:lineRule="auto"/>
        <w:ind w:firstLine="480" w:firstLineChars="200"/>
        <w:rPr>
          <w:rFonts w:hint="eastAsia"/>
          <w:b w:val="0"/>
          <w:bCs w:val="0"/>
          <w:color w:val="auto"/>
          <w:sz w:val="24"/>
          <w:szCs w:val="24"/>
          <w:lang w:val="en-US" w:eastAsia="zh-CN"/>
        </w:rPr>
      </w:pPr>
      <w:r>
        <w:rPr>
          <w:rFonts w:hint="eastAsia"/>
          <w:b w:val="0"/>
          <w:bCs w:val="0"/>
          <w:color w:val="auto"/>
          <w:sz w:val="24"/>
          <w:szCs w:val="24"/>
          <w:lang w:val="en-US" w:eastAsia="zh-CN"/>
        </w:rPr>
        <w:t>附图7：工程师现场踏勘照片</w:t>
      </w:r>
    </w:p>
    <w:p>
      <w:pPr>
        <w:spacing w:line="360" w:lineRule="auto"/>
        <w:rPr>
          <w:rFonts w:hint="eastAsia"/>
          <w:b/>
          <w:bCs/>
          <w:color w:val="auto"/>
          <w:sz w:val="24"/>
          <w:szCs w:val="24"/>
          <w:lang w:val="en-US" w:eastAsia="zh-CN"/>
        </w:rPr>
      </w:pPr>
      <w:r>
        <w:rPr>
          <w:rFonts w:hint="eastAsia"/>
          <w:b/>
          <w:bCs/>
          <w:color w:val="auto"/>
          <w:sz w:val="24"/>
          <w:szCs w:val="24"/>
          <w:lang w:val="en-US" w:eastAsia="zh-CN"/>
        </w:rPr>
        <w:t>附件：</w:t>
      </w:r>
    </w:p>
    <w:p>
      <w:pPr>
        <w:spacing w:line="360" w:lineRule="auto"/>
        <w:ind w:firstLine="480" w:firstLineChars="200"/>
        <w:rPr>
          <w:rFonts w:hint="eastAsia"/>
          <w:b w:val="0"/>
          <w:bCs w:val="0"/>
          <w:color w:val="auto"/>
          <w:sz w:val="24"/>
          <w:szCs w:val="24"/>
          <w:lang w:val="en-US" w:eastAsia="zh-CN"/>
        </w:rPr>
      </w:pPr>
      <w:r>
        <w:rPr>
          <w:rFonts w:hint="eastAsia"/>
          <w:b w:val="0"/>
          <w:bCs w:val="0"/>
          <w:color w:val="auto"/>
          <w:sz w:val="24"/>
          <w:szCs w:val="24"/>
          <w:lang w:val="en-US" w:eastAsia="zh-CN"/>
        </w:rPr>
        <w:t>附件1：委托书</w:t>
      </w:r>
    </w:p>
    <w:p>
      <w:pPr>
        <w:spacing w:line="360" w:lineRule="auto"/>
        <w:ind w:firstLine="480" w:firstLineChars="200"/>
        <w:rPr>
          <w:rFonts w:hint="eastAsia"/>
          <w:b w:val="0"/>
          <w:bCs w:val="0"/>
          <w:color w:val="auto"/>
          <w:sz w:val="24"/>
          <w:szCs w:val="24"/>
          <w:lang w:val="en-US" w:eastAsia="zh-CN"/>
        </w:rPr>
      </w:pPr>
      <w:r>
        <w:rPr>
          <w:rFonts w:hint="eastAsia"/>
          <w:b w:val="0"/>
          <w:bCs w:val="0"/>
          <w:color w:val="auto"/>
          <w:sz w:val="24"/>
          <w:szCs w:val="24"/>
          <w:lang w:val="en-US" w:eastAsia="zh-CN"/>
        </w:rPr>
        <w:t>附件2：确认书</w:t>
      </w:r>
    </w:p>
    <w:p>
      <w:pPr>
        <w:spacing w:line="360" w:lineRule="auto"/>
        <w:ind w:firstLine="480" w:firstLineChars="200"/>
        <w:rPr>
          <w:rFonts w:hint="eastAsia"/>
          <w:b w:val="0"/>
          <w:bCs w:val="0"/>
          <w:color w:val="auto"/>
          <w:sz w:val="24"/>
          <w:szCs w:val="24"/>
          <w:lang w:val="en-US" w:eastAsia="zh-CN"/>
        </w:rPr>
      </w:pPr>
      <w:r>
        <w:rPr>
          <w:rFonts w:hint="eastAsia"/>
          <w:b w:val="0"/>
          <w:bCs w:val="0"/>
          <w:color w:val="auto"/>
          <w:sz w:val="24"/>
          <w:szCs w:val="24"/>
          <w:lang w:val="en-US" w:eastAsia="zh-CN"/>
        </w:rPr>
        <w:t>附件3：河南省企业投资项目备案证明</w:t>
      </w:r>
    </w:p>
    <w:p>
      <w:pPr>
        <w:spacing w:line="360" w:lineRule="auto"/>
        <w:ind w:firstLine="480" w:firstLineChars="200"/>
        <w:rPr>
          <w:rFonts w:hint="eastAsia"/>
          <w:b w:val="0"/>
          <w:bCs w:val="0"/>
          <w:color w:val="auto"/>
          <w:sz w:val="24"/>
          <w:szCs w:val="24"/>
          <w:lang w:val="en-US" w:eastAsia="zh-CN"/>
        </w:rPr>
      </w:pPr>
      <w:r>
        <w:rPr>
          <w:rFonts w:hint="eastAsia"/>
          <w:b w:val="0"/>
          <w:bCs w:val="0"/>
          <w:color w:val="auto"/>
          <w:sz w:val="24"/>
          <w:szCs w:val="24"/>
          <w:lang w:val="en-US" w:eastAsia="zh-CN"/>
        </w:rPr>
        <w:t>附件4：入驻证明</w:t>
      </w:r>
    </w:p>
    <w:p>
      <w:pPr>
        <w:spacing w:line="360" w:lineRule="auto"/>
        <w:ind w:firstLine="480" w:firstLineChars="200"/>
        <w:rPr>
          <w:rFonts w:hint="eastAsia"/>
          <w:b w:val="0"/>
          <w:bCs w:val="0"/>
          <w:color w:val="auto"/>
          <w:sz w:val="24"/>
          <w:szCs w:val="24"/>
          <w:lang w:val="en-US" w:eastAsia="zh-CN"/>
        </w:rPr>
      </w:pPr>
      <w:r>
        <w:rPr>
          <w:rFonts w:hint="eastAsia"/>
          <w:b w:val="0"/>
          <w:bCs w:val="0"/>
          <w:color w:val="auto"/>
          <w:sz w:val="24"/>
          <w:szCs w:val="24"/>
          <w:lang w:val="en-US" w:eastAsia="zh-CN"/>
        </w:rPr>
        <w:t>附件5：土地证</w:t>
      </w:r>
    </w:p>
    <w:p>
      <w:pPr>
        <w:spacing w:line="360" w:lineRule="auto"/>
        <w:ind w:firstLine="480" w:firstLineChars="200"/>
        <w:rPr>
          <w:rFonts w:hint="eastAsia"/>
          <w:b w:val="0"/>
          <w:bCs w:val="0"/>
          <w:color w:val="auto"/>
          <w:sz w:val="24"/>
          <w:szCs w:val="24"/>
          <w:lang w:val="en-US" w:eastAsia="zh-CN"/>
        </w:rPr>
      </w:pPr>
      <w:r>
        <w:rPr>
          <w:rFonts w:hint="eastAsia"/>
          <w:b w:val="0"/>
          <w:bCs w:val="0"/>
          <w:color w:val="auto"/>
          <w:sz w:val="24"/>
          <w:szCs w:val="24"/>
          <w:lang w:val="en-US" w:eastAsia="zh-CN"/>
        </w:rPr>
        <w:t>附件6：企业营业执照及法人身份证</w:t>
      </w:r>
    </w:p>
    <w:p>
      <w:pPr>
        <w:spacing w:line="360" w:lineRule="auto"/>
        <w:ind w:firstLine="480" w:firstLineChars="200"/>
        <w:rPr>
          <w:rFonts w:hint="eastAsia"/>
          <w:b w:val="0"/>
          <w:bCs w:val="0"/>
          <w:color w:val="auto"/>
          <w:sz w:val="24"/>
          <w:szCs w:val="24"/>
          <w:lang w:val="en-US" w:eastAsia="zh-CN"/>
        </w:rPr>
      </w:pPr>
      <w:r>
        <w:rPr>
          <w:rFonts w:hint="eastAsia"/>
          <w:b w:val="0"/>
          <w:bCs w:val="0"/>
          <w:color w:val="auto"/>
          <w:sz w:val="24"/>
          <w:szCs w:val="24"/>
          <w:lang w:val="en-US" w:eastAsia="zh-CN"/>
        </w:rPr>
        <w:t>附件7：现有工程环评批复文件</w:t>
      </w:r>
    </w:p>
    <w:p>
      <w:pPr>
        <w:spacing w:line="360" w:lineRule="auto"/>
        <w:ind w:firstLine="480" w:firstLineChars="200"/>
        <w:rPr>
          <w:rFonts w:hint="eastAsia"/>
          <w:b w:val="0"/>
          <w:bCs w:val="0"/>
          <w:color w:val="auto"/>
          <w:sz w:val="24"/>
          <w:szCs w:val="24"/>
          <w:lang w:val="en-US" w:eastAsia="zh-CN"/>
        </w:rPr>
      </w:pPr>
      <w:r>
        <w:rPr>
          <w:rFonts w:hint="eastAsia"/>
          <w:b w:val="0"/>
          <w:bCs w:val="0"/>
          <w:color w:val="auto"/>
          <w:sz w:val="24"/>
          <w:szCs w:val="24"/>
          <w:lang w:val="en-US" w:eastAsia="zh-CN"/>
        </w:rPr>
        <w:t>附件8：现有工程排污许可证</w:t>
      </w:r>
    </w:p>
    <w:p>
      <w:pPr>
        <w:spacing w:line="360" w:lineRule="auto"/>
        <w:ind w:firstLine="480" w:firstLineChars="200"/>
        <w:rPr>
          <w:rFonts w:hint="default"/>
          <w:b w:val="0"/>
          <w:bCs w:val="0"/>
          <w:color w:val="auto"/>
          <w:sz w:val="24"/>
          <w:szCs w:val="24"/>
          <w:lang w:val="en-US" w:eastAsia="zh-CN"/>
        </w:rPr>
      </w:pPr>
      <w:r>
        <w:rPr>
          <w:rFonts w:hint="eastAsia"/>
          <w:b w:val="0"/>
          <w:bCs w:val="0"/>
          <w:color w:val="auto"/>
          <w:sz w:val="24"/>
          <w:szCs w:val="24"/>
          <w:lang w:val="en-US" w:eastAsia="zh-CN"/>
        </w:rPr>
        <w:t>附件9：成分分析报告</w:t>
      </w:r>
    </w:p>
    <w:p>
      <w:pPr>
        <w:ind w:firstLine="480" w:firstLineChars="200"/>
        <w:rPr>
          <w:rFonts w:hint="default"/>
          <w:b w:val="0"/>
          <w:bCs w:val="0"/>
          <w:color w:val="auto"/>
          <w:sz w:val="24"/>
          <w:szCs w:val="24"/>
          <w:lang w:val="en-US" w:eastAsia="zh-CN"/>
        </w:rPr>
      </w:pPr>
    </w:p>
    <w:p>
      <w:pPr>
        <w:rPr>
          <w:rFonts w:hint="eastAsia" w:ascii="宋体" w:hAnsi="宋体" w:eastAsia="宋体" w:cs="宋体"/>
          <w:b w:val="0"/>
          <w:bCs w:val="0"/>
          <w:color w:val="auto"/>
          <w:sz w:val="36"/>
          <w:szCs w:val="36"/>
          <w:lang w:eastAsia="zh-CN"/>
        </w:rPr>
      </w:pPr>
      <w:r>
        <w:rPr>
          <w:rFonts w:hint="eastAsia" w:ascii="宋体" w:hAnsi="宋体" w:eastAsia="宋体" w:cs="宋体"/>
          <w:b w:val="0"/>
          <w:bCs w:val="0"/>
          <w:color w:val="auto"/>
          <w:sz w:val="36"/>
          <w:szCs w:val="36"/>
          <w:lang w:eastAsia="zh-CN"/>
        </w:rPr>
        <w:br w:type="page"/>
      </w:r>
    </w:p>
    <w:p>
      <w:pPr>
        <w:rPr>
          <w:rFonts w:hint="eastAsia" w:ascii="宋体" w:hAnsi="宋体" w:eastAsia="宋体" w:cs="宋体"/>
          <w:b w:val="0"/>
          <w:bCs w:val="0"/>
          <w:color w:val="auto"/>
          <w:sz w:val="36"/>
          <w:szCs w:val="36"/>
          <w:lang w:eastAsia="zh-CN"/>
        </w:rPr>
      </w:pPr>
      <w:r>
        <w:rPr>
          <w:rFonts w:hint="eastAsia" w:ascii="宋体" w:hAnsi="宋体" w:eastAsia="宋体" w:cs="宋体"/>
          <w:b w:val="0"/>
          <w:bCs w:val="0"/>
          <w:color w:val="auto"/>
          <w:sz w:val="36"/>
          <w:szCs w:val="36"/>
          <w:lang w:eastAsia="zh-CN"/>
        </w:rPr>
        <w:br w:type="page"/>
      </w:r>
    </w:p>
    <w:p>
      <w:pPr>
        <w:adjustRightInd w:val="0"/>
        <w:snapToGrid w:val="0"/>
        <w:spacing w:line="288" w:lineRule="auto"/>
        <w:rPr>
          <w:rFonts w:hint="eastAsia" w:ascii="宋体" w:hAnsi="宋体" w:eastAsia="宋体" w:cs="宋体"/>
          <w:b w:val="0"/>
          <w:bCs w:val="0"/>
          <w:color w:val="auto"/>
          <w:sz w:val="36"/>
          <w:szCs w:val="36"/>
          <w:lang w:eastAsia="zh-CN"/>
        </w:rPr>
        <w:sectPr>
          <w:footerReference r:id="rId5" w:type="default"/>
          <w:pgSz w:w="11906" w:h="16838"/>
          <w:pgMar w:top="1701" w:right="1531" w:bottom="1701" w:left="1531" w:header="851" w:footer="1077" w:gutter="0"/>
          <w:pgBorders>
            <w:top w:val="none" w:color="auto" w:sz="0" w:space="0"/>
            <w:left w:val="none" w:color="auto" w:sz="0" w:space="0"/>
            <w:bottom w:val="none" w:color="auto" w:sz="0" w:space="0"/>
            <w:right w:val="none" w:color="auto" w:sz="0" w:space="0"/>
          </w:pgBorders>
          <w:pgNumType w:fmt="numberInDash" w:start="1"/>
          <w:cols w:space="720" w:num="1"/>
          <w:docGrid w:linePitch="312" w:charSpace="0"/>
        </w:sectPr>
      </w:pPr>
    </w:p>
    <w:p>
      <w:pPr>
        <w:pStyle w:val="23"/>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jc w:val="center"/>
        <w:textAlignment w:val="auto"/>
        <w:outlineLvl w:val="0"/>
        <w:rPr>
          <w:rFonts w:hint="eastAsia" w:ascii="宋体" w:hAnsi="宋体" w:eastAsia="宋体" w:cs="宋体"/>
          <w:b/>
          <w:bCs/>
          <w:snapToGrid w:val="0"/>
          <w:color w:val="auto"/>
          <w:sz w:val="30"/>
          <w:szCs w:val="30"/>
        </w:rPr>
      </w:pPr>
      <w:bookmarkStart w:id="2" w:name="_Toc13348"/>
      <w:r>
        <w:rPr>
          <w:rFonts w:hint="eastAsia" w:ascii="宋体" w:hAnsi="宋体" w:eastAsia="宋体" w:cs="宋体"/>
          <w:b/>
          <w:bCs/>
          <w:snapToGrid w:val="0"/>
          <w:color w:val="auto"/>
          <w:sz w:val="30"/>
          <w:szCs w:val="30"/>
        </w:rPr>
        <w:t>一、建设项目基本情况</w:t>
      </w:r>
      <w:bookmarkEnd w:id="2"/>
    </w:p>
    <w:tbl>
      <w:tblPr>
        <w:tblStyle w:val="27"/>
        <w:tblW w:w="8870"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533"/>
        <w:gridCol w:w="763"/>
        <w:gridCol w:w="1900"/>
        <w:gridCol w:w="1692"/>
        <w:gridCol w:w="398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97" w:hRule="atLeast"/>
          <w:jc w:val="center"/>
        </w:trPr>
        <w:tc>
          <w:tcPr>
            <w:tcW w:w="1296"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建设项目名称</w:t>
            </w:r>
          </w:p>
        </w:tc>
        <w:tc>
          <w:tcPr>
            <w:tcW w:w="7574" w:type="dxa"/>
            <w:gridSpan w:val="3"/>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年产6万吨铝锌合金配套炒灰机项目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97" w:hRule="atLeast"/>
          <w:jc w:val="center"/>
        </w:trPr>
        <w:tc>
          <w:tcPr>
            <w:tcW w:w="1296" w:type="dxa"/>
            <w:gridSpan w:val="2"/>
            <w:tcMar>
              <w:top w:w="16" w:type="dxa"/>
              <w:left w:w="16" w:type="dxa"/>
              <w:right w:w="16"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项目代码</w:t>
            </w:r>
          </w:p>
        </w:tc>
        <w:tc>
          <w:tcPr>
            <w:tcW w:w="7574" w:type="dxa"/>
            <w:gridSpan w:val="3"/>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2504-410523-04-02-961284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97" w:hRule="atLeast"/>
          <w:jc w:val="center"/>
        </w:trPr>
        <w:tc>
          <w:tcPr>
            <w:tcW w:w="1296"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建设单位联系人</w:t>
            </w:r>
          </w:p>
        </w:tc>
        <w:tc>
          <w:tcPr>
            <w:tcW w:w="1900"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于靖雪</w:t>
            </w:r>
          </w:p>
        </w:tc>
        <w:tc>
          <w:tcPr>
            <w:tcW w:w="1692"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联系方式</w:t>
            </w:r>
          </w:p>
        </w:tc>
        <w:tc>
          <w:tcPr>
            <w:tcW w:w="3982"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lang w:val="en-US" w:eastAsia="zh-CN"/>
              </w:rPr>
            </w:pPr>
            <w:bookmarkStart w:id="14" w:name="_GoBack"/>
            <w:bookmarkEnd w:id="14"/>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97" w:hRule="atLeast"/>
          <w:jc w:val="center"/>
        </w:trPr>
        <w:tc>
          <w:tcPr>
            <w:tcW w:w="1296"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建设地点</w:t>
            </w:r>
          </w:p>
        </w:tc>
        <w:tc>
          <w:tcPr>
            <w:tcW w:w="7574" w:type="dxa"/>
            <w:gridSpan w:val="3"/>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u w:val="none"/>
                <w:lang w:eastAsia="zh-CN"/>
              </w:rPr>
              <w:t>河南</w:t>
            </w:r>
            <w:r>
              <w:rPr>
                <w:rFonts w:hint="default" w:ascii="Times New Roman" w:hAnsi="Times New Roman" w:eastAsia="宋体" w:cs="Times New Roman"/>
                <w:color w:val="auto"/>
                <w:sz w:val="24"/>
                <w:szCs w:val="24"/>
                <w:u w:val="none"/>
              </w:rPr>
              <w:t>省</w:t>
            </w:r>
            <w:r>
              <w:rPr>
                <w:rFonts w:hint="default" w:ascii="Times New Roman" w:hAnsi="Times New Roman" w:eastAsia="宋体" w:cs="Times New Roman"/>
                <w:color w:val="auto"/>
                <w:sz w:val="24"/>
                <w:szCs w:val="24"/>
                <w:u w:val="none"/>
                <w:lang w:eastAsia="zh-CN"/>
              </w:rPr>
              <w:t>安阳</w:t>
            </w:r>
            <w:r>
              <w:rPr>
                <w:rFonts w:hint="default" w:ascii="Times New Roman" w:hAnsi="Times New Roman" w:eastAsia="宋体" w:cs="Times New Roman"/>
                <w:color w:val="auto"/>
                <w:sz w:val="24"/>
                <w:szCs w:val="24"/>
                <w:u w:val="none"/>
              </w:rPr>
              <w:t>市</w:t>
            </w:r>
            <w:r>
              <w:rPr>
                <w:rFonts w:hint="eastAsia" w:ascii="Times New Roman" w:hAnsi="Times New Roman" w:eastAsia="宋体" w:cs="Times New Roman"/>
                <w:color w:val="auto"/>
                <w:sz w:val="24"/>
                <w:szCs w:val="24"/>
                <w:u w:val="none"/>
                <w:lang w:eastAsia="zh-CN"/>
              </w:rPr>
              <w:t>汤阴</w:t>
            </w:r>
            <w:r>
              <w:rPr>
                <w:rFonts w:hint="default" w:ascii="Times New Roman" w:hAnsi="Times New Roman" w:eastAsia="宋体" w:cs="Times New Roman"/>
                <w:strike w:val="0"/>
                <w:dstrike w:val="0"/>
                <w:color w:val="auto"/>
                <w:sz w:val="24"/>
                <w:szCs w:val="24"/>
                <w:u w:val="none"/>
              </w:rPr>
              <w:t>县</w:t>
            </w:r>
            <w:r>
              <w:rPr>
                <w:rFonts w:hint="eastAsia" w:ascii="Times New Roman" w:hAnsi="Times New Roman" w:eastAsia="宋体" w:cs="Times New Roman"/>
                <w:color w:val="auto"/>
                <w:sz w:val="24"/>
                <w:szCs w:val="24"/>
                <w:u w:val="none"/>
                <w:lang w:eastAsia="zh-CN"/>
              </w:rPr>
              <w:t>宜沟镇</w:t>
            </w:r>
            <w:r>
              <w:rPr>
                <w:rFonts w:hint="default" w:ascii="Times New Roman" w:hAnsi="Times New Roman" w:eastAsia="宋体" w:cs="Times New Roman"/>
                <w:color w:val="auto"/>
                <w:sz w:val="24"/>
                <w:szCs w:val="24"/>
                <w:u w:val="none"/>
              </w:rPr>
              <w:t>中原路与宜兴大道交叉口东北方位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97" w:hRule="atLeast"/>
          <w:jc w:val="center"/>
        </w:trPr>
        <w:tc>
          <w:tcPr>
            <w:tcW w:w="1296"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地理坐标</w:t>
            </w:r>
          </w:p>
        </w:tc>
        <w:tc>
          <w:tcPr>
            <w:tcW w:w="7574" w:type="dxa"/>
            <w:gridSpan w:val="3"/>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eastAsia="zh-CN"/>
              </w:rPr>
              <w:t>东经</w:t>
            </w:r>
            <w:r>
              <w:rPr>
                <w:rFonts w:hint="default" w:ascii="Times New Roman" w:hAnsi="Times New Roman" w:eastAsia="宋体" w:cs="Times New Roman"/>
                <w:color w:val="auto"/>
                <w:sz w:val="24"/>
                <w:szCs w:val="24"/>
                <w:u w:val="single"/>
              </w:rPr>
              <w:t xml:space="preserve"> </w:t>
            </w:r>
            <w:r>
              <w:rPr>
                <w:rFonts w:hint="default" w:ascii="Times New Roman" w:hAnsi="Times New Roman" w:eastAsia="宋体" w:cs="Times New Roman"/>
                <w:color w:val="auto"/>
                <w:sz w:val="24"/>
                <w:szCs w:val="24"/>
                <w:u w:val="single"/>
                <w:lang w:val="en-US" w:eastAsia="zh-CN"/>
              </w:rPr>
              <w:t>114</w:t>
            </w:r>
            <w:r>
              <w:rPr>
                <w:rFonts w:hint="default" w:ascii="Times New Roman" w:hAnsi="Times New Roman" w:eastAsia="宋体" w:cs="Times New Roman"/>
                <w:color w:val="auto"/>
                <w:sz w:val="24"/>
                <w:szCs w:val="24"/>
                <w:u w:val="single"/>
              </w:rPr>
              <w:t xml:space="preserve"> </w:t>
            </w:r>
            <w:r>
              <w:rPr>
                <w:rFonts w:hint="default" w:ascii="Times New Roman" w:hAnsi="Times New Roman" w:eastAsia="宋体" w:cs="Times New Roman"/>
                <w:color w:val="auto"/>
                <w:sz w:val="24"/>
                <w:szCs w:val="24"/>
              </w:rPr>
              <w:t>度</w:t>
            </w:r>
            <w:r>
              <w:rPr>
                <w:rFonts w:hint="default" w:ascii="Times New Roman" w:hAnsi="Times New Roman" w:eastAsia="宋体" w:cs="Times New Roman"/>
                <w:color w:val="auto"/>
                <w:sz w:val="24"/>
                <w:szCs w:val="24"/>
                <w:u w:val="single"/>
              </w:rPr>
              <w:t xml:space="preserve"> </w:t>
            </w:r>
            <w:r>
              <w:rPr>
                <w:rFonts w:hint="eastAsia" w:ascii="Times New Roman" w:hAnsi="Times New Roman" w:eastAsia="宋体" w:cs="Times New Roman"/>
                <w:color w:val="auto"/>
                <w:sz w:val="24"/>
                <w:szCs w:val="24"/>
                <w:u w:val="single"/>
                <w:lang w:val="en-US" w:eastAsia="zh-CN"/>
              </w:rPr>
              <w:t>20</w:t>
            </w:r>
            <w:r>
              <w:rPr>
                <w:rFonts w:hint="default" w:ascii="Times New Roman" w:hAnsi="Times New Roman" w:eastAsia="宋体" w:cs="Times New Roman"/>
                <w:color w:val="auto"/>
                <w:sz w:val="24"/>
                <w:szCs w:val="24"/>
                <w:u w:val="single"/>
              </w:rPr>
              <w:t xml:space="preserve"> </w:t>
            </w:r>
            <w:r>
              <w:rPr>
                <w:rFonts w:hint="default" w:ascii="Times New Roman" w:hAnsi="Times New Roman" w:eastAsia="宋体" w:cs="Times New Roman"/>
                <w:color w:val="auto"/>
                <w:sz w:val="24"/>
                <w:szCs w:val="24"/>
              </w:rPr>
              <w:t>分</w:t>
            </w:r>
            <w:r>
              <w:rPr>
                <w:rFonts w:hint="default" w:ascii="Times New Roman" w:hAnsi="Times New Roman" w:eastAsia="宋体" w:cs="Times New Roman"/>
                <w:color w:val="auto"/>
                <w:sz w:val="24"/>
                <w:szCs w:val="24"/>
                <w:u w:val="single"/>
              </w:rPr>
              <w:t xml:space="preserve"> </w:t>
            </w:r>
            <w:r>
              <w:rPr>
                <w:rFonts w:hint="eastAsia" w:ascii="Times New Roman" w:hAnsi="Times New Roman" w:eastAsia="宋体" w:cs="Times New Roman"/>
                <w:color w:val="auto"/>
                <w:sz w:val="24"/>
                <w:szCs w:val="24"/>
                <w:u w:val="single"/>
                <w:lang w:val="en-US" w:eastAsia="zh-CN"/>
              </w:rPr>
              <w:t>17.981</w:t>
            </w:r>
            <w:r>
              <w:rPr>
                <w:rFonts w:hint="default" w:ascii="Times New Roman" w:hAnsi="Times New Roman" w:eastAsia="宋体" w:cs="Times New Roman"/>
                <w:color w:val="auto"/>
                <w:sz w:val="24"/>
                <w:szCs w:val="24"/>
                <w:u w:val="single"/>
              </w:rPr>
              <w:t xml:space="preserve"> </w:t>
            </w:r>
            <w:r>
              <w:rPr>
                <w:rFonts w:hint="default" w:ascii="Times New Roman" w:hAnsi="Times New Roman" w:eastAsia="宋体" w:cs="Times New Roman"/>
                <w:color w:val="auto"/>
                <w:sz w:val="24"/>
                <w:szCs w:val="24"/>
              </w:rPr>
              <w:t>秒，</w:t>
            </w:r>
            <w:r>
              <w:rPr>
                <w:rFonts w:hint="eastAsia" w:ascii="Times New Roman" w:hAnsi="Times New Roman" w:eastAsia="宋体" w:cs="Times New Roman"/>
                <w:color w:val="auto"/>
                <w:sz w:val="24"/>
                <w:szCs w:val="24"/>
                <w:lang w:eastAsia="zh-CN"/>
              </w:rPr>
              <w:t>北纬</w:t>
            </w:r>
            <w:r>
              <w:rPr>
                <w:rFonts w:hint="default" w:ascii="Times New Roman" w:hAnsi="Times New Roman" w:eastAsia="宋体" w:cs="Times New Roman"/>
                <w:color w:val="auto"/>
                <w:sz w:val="24"/>
                <w:szCs w:val="24"/>
                <w:u w:val="single"/>
              </w:rPr>
              <w:t xml:space="preserve"> </w:t>
            </w:r>
            <w:r>
              <w:rPr>
                <w:rFonts w:hint="default" w:ascii="Times New Roman" w:hAnsi="Times New Roman" w:eastAsia="宋体" w:cs="Times New Roman"/>
                <w:color w:val="auto"/>
                <w:sz w:val="24"/>
                <w:szCs w:val="24"/>
                <w:u w:val="single"/>
                <w:lang w:val="en-US" w:eastAsia="zh-CN"/>
              </w:rPr>
              <w:t>3</w:t>
            </w:r>
            <w:r>
              <w:rPr>
                <w:rFonts w:hint="eastAsia" w:ascii="Times New Roman" w:hAnsi="Times New Roman" w:eastAsia="宋体" w:cs="Times New Roman"/>
                <w:color w:val="auto"/>
                <w:sz w:val="24"/>
                <w:szCs w:val="24"/>
                <w:u w:val="single"/>
                <w:lang w:val="en-US" w:eastAsia="zh-CN"/>
              </w:rPr>
              <w:t>5</w:t>
            </w:r>
            <w:r>
              <w:rPr>
                <w:rFonts w:hint="default" w:ascii="Times New Roman" w:hAnsi="Times New Roman" w:eastAsia="宋体" w:cs="Times New Roman"/>
                <w:color w:val="auto"/>
                <w:sz w:val="24"/>
                <w:szCs w:val="24"/>
                <w:u w:val="single"/>
              </w:rPr>
              <w:t xml:space="preserve"> </w:t>
            </w:r>
            <w:r>
              <w:rPr>
                <w:rFonts w:hint="default" w:ascii="Times New Roman" w:hAnsi="Times New Roman" w:eastAsia="宋体" w:cs="Times New Roman"/>
                <w:color w:val="auto"/>
                <w:sz w:val="24"/>
                <w:szCs w:val="24"/>
              </w:rPr>
              <w:t>度</w:t>
            </w:r>
            <w:r>
              <w:rPr>
                <w:rFonts w:hint="default" w:ascii="Times New Roman" w:hAnsi="Times New Roman" w:eastAsia="宋体" w:cs="Times New Roman"/>
                <w:color w:val="auto"/>
                <w:sz w:val="24"/>
                <w:szCs w:val="24"/>
                <w:u w:val="single"/>
              </w:rPr>
              <w:t xml:space="preserve"> </w:t>
            </w:r>
            <w:r>
              <w:rPr>
                <w:rFonts w:hint="eastAsia" w:ascii="Times New Roman" w:hAnsi="Times New Roman" w:eastAsia="宋体" w:cs="Times New Roman"/>
                <w:color w:val="auto"/>
                <w:sz w:val="24"/>
                <w:szCs w:val="24"/>
                <w:u w:val="single"/>
                <w:lang w:val="en-US" w:eastAsia="zh-CN"/>
              </w:rPr>
              <w:t>50</w:t>
            </w:r>
            <w:r>
              <w:rPr>
                <w:rFonts w:hint="default" w:ascii="Times New Roman" w:hAnsi="Times New Roman" w:eastAsia="宋体" w:cs="Times New Roman"/>
                <w:color w:val="auto"/>
                <w:sz w:val="24"/>
                <w:szCs w:val="24"/>
                <w:u w:val="single"/>
              </w:rPr>
              <w:t xml:space="preserve"> </w:t>
            </w:r>
            <w:r>
              <w:rPr>
                <w:rFonts w:hint="default" w:ascii="Times New Roman" w:hAnsi="Times New Roman" w:eastAsia="宋体" w:cs="Times New Roman"/>
                <w:color w:val="auto"/>
                <w:sz w:val="24"/>
                <w:szCs w:val="24"/>
              </w:rPr>
              <w:t>分</w:t>
            </w:r>
            <w:r>
              <w:rPr>
                <w:rFonts w:hint="default" w:ascii="Times New Roman" w:hAnsi="Times New Roman" w:eastAsia="宋体" w:cs="Times New Roman"/>
                <w:color w:val="auto"/>
                <w:sz w:val="24"/>
                <w:szCs w:val="24"/>
                <w:u w:val="single"/>
              </w:rPr>
              <w:t xml:space="preserve"> </w:t>
            </w:r>
            <w:r>
              <w:rPr>
                <w:rFonts w:hint="eastAsia" w:ascii="Times New Roman" w:hAnsi="Times New Roman" w:eastAsia="宋体" w:cs="Times New Roman"/>
                <w:color w:val="auto"/>
                <w:sz w:val="24"/>
                <w:szCs w:val="24"/>
                <w:u w:val="single"/>
                <w:lang w:val="en-US" w:eastAsia="zh-CN"/>
              </w:rPr>
              <w:t>55.332</w:t>
            </w:r>
            <w:r>
              <w:rPr>
                <w:rFonts w:hint="default" w:ascii="Times New Roman" w:hAnsi="Times New Roman" w:eastAsia="宋体" w:cs="Times New Roman"/>
                <w:color w:val="auto"/>
                <w:sz w:val="24"/>
                <w:szCs w:val="24"/>
                <w:u w:val="single"/>
              </w:rPr>
              <w:t xml:space="preserve"> </w:t>
            </w:r>
            <w:r>
              <w:rPr>
                <w:rFonts w:hint="default" w:ascii="Times New Roman" w:hAnsi="Times New Roman" w:eastAsia="宋体" w:cs="Times New Roman"/>
                <w:color w:val="auto"/>
                <w:sz w:val="24"/>
                <w:szCs w:val="24"/>
              </w:rPr>
              <w:t>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61" w:hRule="atLeast"/>
          <w:jc w:val="center"/>
        </w:trPr>
        <w:tc>
          <w:tcPr>
            <w:tcW w:w="1296"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国民经济</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行业类别</w:t>
            </w:r>
          </w:p>
        </w:tc>
        <w:tc>
          <w:tcPr>
            <w:tcW w:w="19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4"/>
                <w:szCs w:val="24"/>
                <w:lang w:val="en-US"/>
              </w:rPr>
            </w:pPr>
            <w:r>
              <w:rPr>
                <w:rFonts w:hint="eastAsia" w:ascii="Times New Roman" w:hAnsi="Times New Roman" w:eastAsia="宋体" w:cs="Times New Roman"/>
                <w:color w:val="auto"/>
                <w:sz w:val="24"/>
                <w:szCs w:val="24"/>
                <w:lang w:val="en-US" w:eastAsia="zh-CN"/>
              </w:rPr>
              <w:t>N7724危险废物治理</w:t>
            </w:r>
          </w:p>
        </w:tc>
        <w:tc>
          <w:tcPr>
            <w:tcW w:w="1692"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bookmarkStart w:id="3" w:name="_Hlk49843745"/>
            <w:r>
              <w:rPr>
                <w:rFonts w:hint="default" w:ascii="Times New Roman" w:hAnsi="Times New Roman" w:eastAsia="宋体" w:cs="Times New Roman"/>
                <w:color w:val="auto"/>
                <w:sz w:val="24"/>
                <w:szCs w:val="24"/>
              </w:rPr>
              <w:t>建设项目</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行业类别</w:t>
            </w:r>
            <w:bookmarkEnd w:id="3"/>
          </w:p>
        </w:tc>
        <w:tc>
          <w:tcPr>
            <w:tcW w:w="3982" w:type="dxa"/>
            <w:vAlign w:val="center"/>
          </w:tcPr>
          <w:p>
            <w:pPr>
              <w:keepNext w:val="0"/>
              <w:keepLines w:val="0"/>
              <w:widowControl/>
              <w:suppressLineNumbers w:val="0"/>
              <w:spacing w:before="0" w:beforeAutospacing="0" w:after="0" w:afterAutospacing="0"/>
              <w:ind w:left="0" w:right="0"/>
              <w:jc w:val="both"/>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四十七、生态保护和环境治理业-101.危险废物（不含医疗废物）利用及处置-其他</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1219" w:hRule="atLeast"/>
          <w:jc w:val="center"/>
        </w:trPr>
        <w:tc>
          <w:tcPr>
            <w:tcW w:w="1296"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建设性质</w:t>
            </w:r>
          </w:p>
        </w:tc>
        <w:tc>
          <w:tcPr>
            <w:tcW w:w="1900" w:type="dxa"/>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新建（迁建）</w:t>
            </w:r>
          </w:p>
          <w:p>
            <w:pPr>
              <w:keepNext w:val="0"/>
              <w:keepLines w:val="0"/>
              <w:suppressLineNumbers w:val="0"/>
              <w:spacing w:before="0" w:beforeAutospacing="0" w:after="0" w:afterAutospacing="0"/>
              <w:ind w:left="0" w:right="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sym w:font="Wingdings 2" w:char="0052"/>
            </w:r>
            <w:r>
              <w:rPr>
                <w:rFonts w:hint="default" w:ascii="Times New Roman" w:hAnsi="Times New Roman" w:eastAsia="宋体" w:cs="Times New Roman"/>
                <w:color w:val="auto"/>
                <w:sz w:val="24"/>
                <w:szCs w:val="24"/>
              </w:rPr>
              <w:t>改建</w:t>
            </w:r>
          </w:p>
          <w:p>
            <w:pPr>
              <w:keepNext w:val="0"/>
              <w:keepLines w:val="0"/>
              <w:suppressLineNumbers w:val="0"/>
              <w:spacing w:before="0" w:beforeAutospacing="0" w:after="0" w:afterAutospacing="0"/>
              <w:ind w:left="0" w:right="0"/>
              <w:jc w:val="left"/>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扩建</w:t>
            </w:r>
          </w:p>
          <w:p>
            <w:pPr>
              <w:keepNext w:val="0"/>
              <w:keepLines w:val="0"/>
              <w:suppressLineNumbers w:val="0"/>
              <w:spacing w:before="0" w:beforeAutospacing="0" w:after="0" w:afterAutospacing="0"/>
              <w:ind w:left="0" w:right="0"/>
              <w:jc w:val="left"/>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技术改造</w:t>
            </w:r>
          </w:p>
        </w:tc>
        <w:tc>
          <w:tcPr>
            <w:tcW w:w="1692"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建设项目</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申报情形</w:t>
            </w:r>
          </w:p>
        </w:tc>
        <w:tc>
          <w:tcPr>
            <w:tcW w:w="3982" w:type="dxa"/>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sym w:font="Wingdings 2" w:char="0052"/>
            </w:r>
            <w:r>
              <w:rPr>
                <w:rFonts w:hint="default" w:ascii="Times New Roman" w:hAnsi="Times New Roman" w:eastAsia="宋体" w:cs="Times New Roman"/>
                <w:color w:val="auto"/>
                <w:sz w:val="24"/>
                <w:szCs w:val="24"/>
              </w:rPr>
              <w:t xml:space="preserve">首次申报项目             </w:t>
            </w:r>
          </w:p>
          <w:p>
            <w:pPr>
              <w:keepNext w:val="0"/>
              <w:keepLines w:val="0"/>
              <w:suppressLineNumbers w:val="0"/>
              <w:spacing w:before="0" w:beforeAutospacing="0" w:after="0" w:afterAutospacing="0"/>
              <w:ind w:left="0" w:right="0"/>
              <w:jc w:val="left"/>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不予批准后再次申报项目</w:t>
            </w:r>
          </w:p>
          <w:p>
            <w:pPr>
              <w:keepNext w:val="0"/>
              <w:keepLines w:val="0"/>
              <w:suppressLineNumbers w:val="0"/>
              <w:spacing w:before="0" w:beforeAutospacing="0" w:after="0" w:afterAutospacing="0"/>
              <w:ind w:left="0" w:right="0"/>
              <w:jc w:val="left"/>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 xml:space="preserve">超五年重新审核项目     </w:t>
            </w:r>
          </w:p>
          <w:p>
            <w:pPr>
              <w:keepNext w:val="0"/>
              <w:keepLines w:val="0"/>
              <w:suppressLineNumbers w:val="0"/>
              <w:spacing w:before="0" w:beforeAutospacing="0" w:after="0" w:afterAutospacing="0"/>
              <w:ind w:left="0" w:right="0"/>
              <w:jc w:val="left"/>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851" w:hRule="atLeast"/>
          <w:jc w:val="center"/>
        </w:trPr>
        <w:tc>
          <w:tcPr>
            <w:tcW w:w="1296"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项目审批（核准/备案）部门（选填）</w:t>
            </w:r>
          </w:p>
        </w:tc>
        <w:tc>
          <w:tcPr>
            <w:tcW w:w="1900"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汤阴县发展和改革委员会</w:t>
            </w:r>
          </w:p>
        </w:tc>
        <w:tc>
          <w:tcPr>
            <w:tcW w:w="1692"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项目审批（核准/备案）文号（选填）</w:t>
            </w:r>
          </w:p>
        </w:tc>
        <w:tc>
          <w:tcPr>
            <w:tcW w:w="3982"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highlight w:val="yellow"/>
              </w:rPr>
            </w:pPr>
            <w:r>
              <w:rPr>
                <w:rFonts w:hint="eastAsia" w:ascii="Times New Roman" w:hAnsi="Times New Roman" w:cs="Times New Roman"/>
                <w:color w:val="auto"/>
                <w:sz w:val="24"/>
                <w:szCs w:val="24"/>
              </w:rPr>
              <w:t>2504-410523-04-02-961284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97" w:hRule="atLeast"/>
          <w:jc w:val="center"/>
        </w:trPr>
        <w:tc>
          <w:tcPr>
            <w:tcW w:w="1296"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总投资（万元）</w:t>
            </w:r>
          </w:p>
        </w:tc>
        <w:tc>
          <w:tcPr>
            <w:tcW w:w="1900"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20</w:t>
            </w:r>
          </w:p>
        </w:tc>
        <w:tc>
          <w:tcPr>
            <w:tcW w:w="1692"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环保投资（万元）</w:t>
            </w:r>
          </w:p>
        </w:tc>
        <w:tc>
          <w:tcPr>
            <w:tcW w:w="3982"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97" w:hRule="atLeast"/>
          <w:jc w:val="center"/>
        </w:trPr>
        <w:tc>
          <w:tcPr>
            <w:tcW w:w="1296"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环保投资占比（%）</w:t>
            </w:r>
          </w:p>
        </w:tc>
        <w:tc>
          <w:tcPr>
            <w:tcW w:w="1900"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100</w:t>
            </w:r>
          </w:p>
        </w:tc>
        <w:tc>
          <w:tcPr>
            <w:tcW w:w="1692"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施工工期</w:t>
            </w:r>
          </w:p>
        </w:tc>
        <w:tc>
          <w:tcPr>
            <w:tcW w:w="3982"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lang w:val="en-US" w:eastAsia="zh-CN"/>
              </w:rPr>
              <w:t>个月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97" w:hRule="atLeast"/>
          <w:jc w:val="center"/>
        </w:trPr>
        <w:tc>
          <w:tcPr>
            <w:tcW w:w="1296"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是否开工建设</w:t>
            </w:r>
          </w:p>
        </w:tc>
        <w:tc>
          <w:tcPr>
            <w:tcW w:w="1900" w:type="dxa"/>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sym w:font="Wingdings 2" w:char="00A3"/>
            </w:r>
            <w:r>
              <w:rPr>
                <w:rFonts w:hint="default" w:ascii="Times New Roman" w:hAnsi="Times New Roman" w:eastAsia="宋体" w:cs="Times New Roman"/>
                <w:color w:val="auto"/>
                <w:sz w:val="24"/>
                <w:szCs w:val="24"/>
              </w:rPr>
              <w:t>否</w:t>
            </w: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是：</w:t>
            </w:r>
            <w:r>
              <w:rPr>
                <w:rFonts w:hint="eastAsia" w:ascii="Times New Roman" w:hAnsi="Times New Roman" w:eastAsia="宋体" w:cs="Times New Roman"/>
                <w:color w:val="auto"/>
                <w:sz w:val="24"/>
                <w:szCs w:val="24"/>
                <w:u w:val="single"/>
                <w:lang w:eastAsia="zh-CN"/>
              </w:rPr>
              <w:t>设备已安装</w:t>
            </w:r>
            <w:r>
              <w:rPr>
                <w:rFonts w:hint="eastAsia" w:ascii="Times New Roman" w:hAnsi="Times New Roman" w:eastAsia="宋体" w:cs="Times New Roman"/>
                <w:color w:val="auto"/>
                <w:sz w:val="24"/>
                <w:szCs w:val="24"/>
                <w:u w:val="single"/>
                <w:lang w:val="en-US" w:eastAsia="zh-CN"/>
              </w:rPr>
              <w:t xml:space="preserve">   </w:t>
            </w:r>
            <w:r>
              <w:rPr>
                <w:rFonts w:hint="default" w:ascii="Times New Roman" w:hAnsi="Times New Roman" w:eastAsia="宋体" w:cs="Times New Roman"/>
                <w:color w:val="auto"/>
                <w:sz w:val="24"/>
                <w:szCs w:val="24"/>
                <w:u w:val="single"/>
              </w:rPr>
              <w:t xml:space="preserve">   </w:t>
            </w:r>
          </w:p>
        </w:tc>
        <w:tc>
          <w:tcPr>
            <w:tcW w:w="1692"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pacing w:val="-6"/>
                <w:sz w:val="24"/>
                <w:szCs w:val="24"/>
              </w:rPr>
            </w:pPr>
            <w:r>
              <w:rPr>
                <w:rFonts w:hint="default" w:ascii="Times New Roman" w:hAnsi="Times New Roman" w:eastAsia="宋体" w:cs="Times New Roman"/>
                <w:color w:val="auto"/>
                <w:spacing w:val="-6"/>
                <w:sz w:val="24"/>
                <w:szCs w:val="24"/>
              </w:rPr>
              <w:t>用地（用海）</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pacing w:val="-6"/>
                <w:sz w:val="24"/>
                <w:szCs w:val="24"/>
              </w:rPr>
              <w:t>面积（m</w:t>
            </w:r>
            <w:r>
              <w:rPr>
                <w:rFonts w:hint="default" w:ascii="Times New Roman" w:hAnsi="Times New Roman" w:eastAsia="宋体" w:cs="Times New Roman"/>
                <w:color w:val="auto"/>
                <w:spacing w:val="-6"/>
                <w:sz w:val="24"/>
                <w:szCs w:val="24"/>
                <w:vertAlign w:val="superscript"/>
              </w:rPr>
              <w:t>2</w:t>
            </w:r>
            <w:r>
              <w:rPr>
                <w:rFonts w:hint="default" w:ascii="Times New Roman" w:hAnsi="Times New Roman" w:eastAsia="宋体" w:cs="Times New Roman"/>
                <w:color w:val="auto"/>
                <w:spacing w:val="-6"/>
                <w:sz w:val="24"/>
                <w:szCs w:val="24"/>
              </w:rPr>
              <w:t>）</w:t>
            </w:r>
          </w:p>
        </w:tc>
        <w:tc>
          <w:tcPr>
            <w:tcW w:w="3982"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0（不新增用地）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27" w:hRule="atLeast"/>
          <w:jc w:val="center"/>
        </w:trPr>
        <w:tc>
          <w:tcPr>
            <w:tcW w:w="1296" w:type="dxa"/>
            <w:gridSpan w:val="2"/>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专项评价设置情况</w:t>
            </w:r>
          </w:p>
        </w:tc>
        <w:tc>
          <w:tcPr>
            <w:tcW w:w="7574" w:type="dxa"/>
            <w:gridSpan w:val="3"/>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21" w:hRule="atLeast"/>
          <w:jc w:val="center"/>
        </w:trPr>
        <w:tc>
          <w:tcPr>
            <w:tcW w:w="533" w:type="dxa"/>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sz w:val="24"/>
                <w:szCs w:val="24"/>
              </w:rPr>
              <w:t>规划情况</w:t>
            </w:r>
          </w:p>
        </w:tc>
        <w:tc>
          <w:tcPr>
            <w:tcW w:w="8337" w:type="dxa"/>
            <w:gridSpan w:val="4"/>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0" w:firstLineChars="0"/>
              <w:jc w:val="left"/>
              <w:textAlignment w:val="auto"/>
              <w:rPr>
                <w:rFonts w:hint="eastAsia" w:ascii="Times New Roman" w:hAnsi="Times New Roman" w:eastAsia="宋体" w:cs="Times New Roman"/>
                <w:b w:val="0"/>
                <w:bCs w:val="0"/>
                <w:color w:val="auto"/>
                <w:kern w:val="0"/>
                <w:sz w:val="24"/>
                <w:szCs w:val="24"/>
                <w:lang w:val="en-US" w:eastAsia="zh-CN"/>
              </w:rPr>
            </w:pPr>
            <w:r>
              <w:rPr>
                <w:rFonts w:hint="eastAsia" w:ascii="Times New Roman" w:hAnsi="Times New Roman" w:eastAsia="宋体" w:cs="Times New Roman"/>
                <w:b/>
                <w:bCs/>
                <w:color w:val="auto"/>
                <w:kern w:val="0"/>
                <w:sz w:val="24"/>
                <w:szCs w:val="24"/>
                <w:lang w:eastAsia="zh-CN"/>
              </w:rPr>
              <w:t>规划名称：</w:t>
            </w:r>
            <w:r>
              <w:rPr>
                <w:rFonts w:hint="eastAsia" w:ascii="Times New Roman" w:hAnsi="Times New Roman" w:eastAsia="宋体" w:cs="Times New Roman"/>
                <w:color w:val="auto"/>
                <w:kern w:val="0"/>
                <w:sz w:val="24"/>
                <w:szCs w:val="24"/>
                <w:lang w:eastAsia="zh-CN"/>
              </w:rPr>
              <w:t>《安阳</w:t>
            </w:r>
            <w:r>
              <w:rPr>
                <w:rFonts w:hint="eastAsia" w:ascii="Times New Roman" w:hAnsi="Times New Roman" w:eastAsia="宋体" w:cs="Times New Roman"/>
                <w:b w:val="0"/>
                <w:bCs w:val="0"/>
                <w:color w:val="auto"/>
                <w:kern w:val="0"/>
                <w:sz w:val="24"/>
                <w:szCs w:val="24"/>
                <w:lang w:val="en-US" w:eastAsia="zh-CN"/>
              </w:rPr>
              <w:t>市新型制造业产业园区总体发展规划（2010-2020）》；</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0" w:firstLineChars="0"/>
              <w:jc w:val="left"/>
              <w:textAlignment w:val="auto"/>
              <w:rPr>
                <w:rFonts w:hint="eastAsia" w:ascii="Times New Roman" w:hAnsi="Times New Roman" w:eastAsia="宋体" w:cs="Times New Roman"/>
                <w:b w:val="0"/>
                <w:bCs w:val="0"/>
                <w:color w:val="auto"/>
                <w:kern w:val="0"/>
                <w:sz w:val="24"/>
                <w:szCs w:val="24"/>
                <w:lang w:val="en-US" w:eastAsia="zh-CN"/>
              </w:rPr>
            </w:pPr>
            <w:r>
              <w:rPr>
                <w:rFonts w:hint="eastAsia" w:ascii="Times New Roman" w:hAnsi="Times New Roman" w:eastAsia="宋体" w:cs="Times New Roman"/>
                <w:b/>
                <w:bCs/>
                <w:color w:val="auto"/>
                <w:kern w:val="0"/>
                <w:sz w:val="24"/>
                <w:szCs w:val="24"/>
                <w:lang w:val="en-US" w:eastAsia="zh-CN"/>
              </w:rPr>
              <w:t>审批机关：</w:t>
            </w:r>
            <w:r>
              <w:rPr>
                <w:rFonts w:hint="eastAsia" w:ascii="Times New Roman" w:hAnsi="Times New Roman" w:eastAsia="宋体" w:cs="Times New Roman"/>
                <w:b w:val="0"/>
                <w:bCs w:val="0"/>
                <w:color w:val="auto"/>
                <w:kern w:val="0"/>
                <w:sz w:val="24"/>
                <w:szCs w:val="24"/>
                <w:lang w:val="en-US" w:eastAsia="zh-CN"/>
              </w:rPr>
              <w:t>安阳市发展和改革委员会；</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0" w:firstLineChars="0"/>
              <w:jc w:val="left"/>
              <w:textAlignment w:val="auto"/>
              <w:rPr>
                <w:rFonts w:hint="eastAsia" w:ascii="Times New Roman" w:hAnsi="Times New Roman" w:eastAsia="宋体" w:cs="Times New Roman"/>
                <w:b w:val="0"/>
                <w:bCs w:val="0"/>
                <w:color w:val="auto"/>
                <w:kern w:val="0"/>
                <w:sz w:val="24"/>
                <w:szCs w:val="24"/>
                <w:lang w:val="en-US" w:eastAsia="zh-CN"/>
              </w:rPr>
            </w:pPr>
            <w:r>
              <w:rPr>
                <w:rFonts w:hint="eastAsia" w:ascii="Times New Roman" w:hAnsi="Times New Roman" w:eastAsia="宋体" w:cs="Times New Roman"/>
                <w:b/>
                <w:bCs/>
                <w:color w:val="auto"/>
                <w:kern w:val="0"/>
                <w:sz w:val="24"/>
                <w:szCs w:val="24"/>
                <w:lang w:val="en-US" w:eastAsia="zh-CN"/>
              </w:rPr>
              <w:t>审批文件名称：</w:t>
            </w:r>
            <w:r>
              <w:rPr>
                <w:rFonts w:hint="eastAsia" w:ascii="Times New Roman" w:hAnsi="Times New Roman" w:eastAsia="宋体" w:cs="Times New Roman"/>
                <w:b w:val="0"/>
                <w:bCs w:val="0"/>
                <w:color w:val="auto"/>
                <w:kern w:val="0"/>
                <w:sz w:val="24"/>
                <w:szCs w:val="24"/>
                <w:lang w:val="en-US" w:eastAsia="zh-CN"/>
              </w:rPr>
              <w:t>《关于确定全市专业园区名单的通知》；</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0" w:firstLineChars="0"/>
              <w:jc w:val="left"/>
              <w:textAlignment w:val="auto"/>
              <w:rPr>
                <w:rFonts w:hint="default"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b/>
                <w:bCs/>
                <w:color w:val="auto"/>
                <w:kern w:val="0"/>
                <w:sz w:val="24"/>
                <w:szCs w:val="24"/>
                <w:lang w:val="en-US" w:eastAsia="zh-CN"/>
              </w:rPr>
              <w:t>审批文号：</w:t>
            </w:r>
            <w:r>
              <w:rPr>
                <w:rFonts w:hint="eastAsia" w:ascii="Times New Roman" w:hAnsi="Times New Roman" w:eastAsia="宋体" w:cs="Times New Roman"/>
                <w:b w:val="0"/>
                <w:bCs w:val="0"/>
                <w:color w:val="auto"/>
                <w:kern w:val="0"/>
                <w:sz w:val="24"/>
                <w:szCs w:val="24"/>
                <w:lang w:val="en-US" w:eastAsia="zh-CN"/>
              </w:rPr>
              <w:t>安发改工业</w:t>
            </w:r>
            <w:r>
              <w:rPr>
                <w:rFonts w:hint="eastAsia" w:ascii="Times New Roman" w:hAnsi="Times New Roman" w:eastAsia="宋体" w:cs="Times New Roman"/>
                <w:color w:val="auto"/>
                <w:kern w:val="0"/>
                <w:sz w:val="24"/>
                <w:szCs w:val="24"/>
                <w:lang w:eastAsia="zh-CN"/>
              </w:rPr>
              <w:t>〔2011〕271号</w:t>
            </w:r>
            <w:r>
              <w:rPr>
                <w:rFonts w:hint="eastAsia" w:ascii="Times New Roman" w:hAnsi="Times New Roman" w:eastAsia="宋体" w:cs="Times New Roman"/>
                <w:color w:val="auto"/>
                <w:kern w:val="0"/>
                <w:sz w:val="24"/>
                <w:szCs w:val="24"/>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33"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规划环境影响</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sz w:val="24"/>
                <w:szCs w:val="24"/>
              </w:rPr>
              <w:t>评价情况</w:t>
            </w:r>
          </w:p>
        </w:tc>
        <w:tc>
          <w:tcPr>
            <w:tcW w:w="8337" w:type="dxa"/>
            <w:gridSpan w:val="4"/>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0" w:firstLineChars="0"/>
              <w:textAlignment w:val="auto"/>
              <w:rPr>
                <w:rFonts w:hint="eastAsia" w:ascii="Times New Roman" w:hAnsi="Times New Roman" w:eastAsia="宋体" w:cs="Times New Roman"/>
                <w:b w:val="0"/>
                <w:bCs w:val="0"/>
                <w:color w:val="auto"/>
                <w:kern w:val="0"/>
                <w:sz w:val="24"/>
                <w:szCs w:val="24"/>
                <w:lang w:val="en-US" w:eastAsia="zh-CN"/>
              </w:rPr>
            </w:pPr>
            <w:r>
              <w:rPr>
                <w:rFonts w:hint="default" w:ascii="Times New Roman" w:hAnsi="Times New Roman" w:cs="Times New Roman"/>
                <w:b/>
                <w:bCs/>
                <w:color w:val="auto"/>
                <w:kern w:val="0"/>
                <w:sz w:val="24"/>
                <w:szCs w:val="24"/>
              </w:rPr>
              <w:t>规划环评文件名称</w:t>
            </w:r>
            <w:r>
              <w:rPr>
                <w:rFonts w:hint="eastAsia" w:ascii="Times New Roman" w:hAnsi="Times New Roman" w:eastAsia="宋体" w:cs="Times New Roman"/>
                <w:b/>
                <w:bCs/>
                <w:color w:val="auto"/>
                <w:kern w:val="0"/>
                <w:sz w:val="24"/>
                <w:szCs w:val="24"/>
                <w:lang w:val="en-US" w:eastAsia="zh-CN"/>
              </w:rPr>
              <w:t>：</w:t>
            </w:r>
            <w:r>
              <w:rPr>
                <w:rFonts w:hint="eastAsia" w:ascii="Times New Roman" w:hAnsi="Times New Roman" w:eastAsia="宋体" w:cs="Times New Roman"/>
                <w:b w:val="0"/>
                <w:bCs w:val="0"/>
                <w:color w:val="auto"/>
                <w:kern w:val="0"/>
                <w:sz w:val="24"/>
                <w:szCs w:val="24"/>
                <w:lang w:val="en-US" w:eastAsia="zh-CN"/>
              </w:rPr>
              <w:t>《安阳市新型制造业产业园区空间发展规划（2010-2020）环境影响报告书》；</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0" w:firstLineChars="0"/>
              <w:textAlignment w:val="auto"/>
              <w:rPr>
                <w:rFonts w:hint="eastAsia" w:ascii="Times New Roman" w:hAnsi="Times New Roman" w:eastAsia="宋体" w:cs="Times New Roman"/>
                <w:b w:val="0"/>
                <w:bCs w:val="0"/>
                <w:color w:val="auto"/>
                <w:kern w:val="0"/>
                <w:sz w:val="24"/>
                <w:szCs w:val="24"/>
                <w:lang w:val="en-US" w:eastAsia="zh-CN"/>
              </w:rPr>
            </w:pPr>
            <w:r>
              <w:rPr>
                <w:rFonts w:hint="eastAsia" w:ascii="Times New Roman" w:hAnsi="Times New Roman" w:eastAsia="宋体" w:cs="Times New Roman"/>
                <w:b/>
                <w:bCs/>
                <w:color w:val="auto"/>
                <w:kern w:val="0"/>
                <w:sz w:val="24"/>
                <w:szCs w:val="24"/>
                <w:lang w:val="en-US" w:eastAsia="zh-CN"/>
              </w:rPr>
              <w:t>审查机关：</w:t>
            </w:r>
            <w:r>
              <w:rPr>
                <w:rFonts w:hint="eastAsia" w:ascii="Times New Roman" w:hAnsi="Times New Roman" w:eastAsia="宋体" w:cs="Times New Roman"/>
                <w:b w:val="0"/>
                <w:bCs w:val="0"/>
                <w:color w:val="auto"/>
                <w:kern w:val="0"/>
                <w:sz w:val="24"/>
                <w:szCs w:val="24"/>
                <w:lang w:val="en-US" w:eastAsia="zh-CN"/>
              </w:rPr>
              <w:t>安阳市生态环境局（原安阳市环境保护局）；</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0" w:firstLineChars="0"/>
              <w:textAlignment w:val="auto"/>
              <w:rPr>
                <w:rFonts w:hint="eastAsia" w:ascii="Times New Roman" w:hAnsi="Times New Roman" w:eastAsia="宋体" w:cs="Times New Roman"/>
                <w:b w:val="0"/>
                <w:bCs w:val="0"/>
                <w:color w:val="auto"/>
                <w:kern w:val="0"/>
                <w:sz w:val="24"/>
                <w:szCs w:val="24"/>
                <w:lang w:val="en-US" w:eastAsia="zh-CN"/>
              </w:rPr>
            </w:pPr>
            <w:r>
              <w:rPr>
                <w:rFonts w:hint="eastAsia" w:ascii="Times New Roman" w:hAnsi="Times New Roman" w:eastAsia="宋体" w:cs="Times New Roman"/>
                <w:b/>
                <w:bCs/>
                <w:color w:val="auto"/>
                <w:kern w:val="0"/>
                <w:sz w:val="24"/>
                <w:szCs w:val="24"/>
                <w:lang w:val="en-US" w:eastAsia="zh-CN"/>
              </w:rPr>
              <w:t>审查文件名称：</w:t>
            </w:r>
            <w:r>
              <w:rPr>
                <w:rFonts w:hint="eastAsia" w:ascii="Times New Roman" w:hAnsi="Times New Roman" w:eastAsia="宋体" w:cs="Times New Roman"/>
                <w:b w:val="0"/>
                <w:bCs w:val="0"/>
                <w:color w:val="auto"/>
                <w:kern w:val="0"/>
                <w:sz w:val="24"/>
                <w:szCs w:val="24"/>
                <w:lang w:val="en-US" w:eastAsia="zh-CN"/>
              </w:rPr>
              <w:t>《安阳市环境保护局关于安阳市新型制造业产业园区总体发展规划（2010-2020）环境影响报告书的审查意见》；</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0" w:firstLineChars="0"/>
              <w:textAlignment w:val="auto"/>
              <w:rPr>
                <w:rFonts w:hint="eastAsia" w:ascii="Times New Roman" w:hAnsi="Times New Roman" w:cs="Times New Roman"/>
                <w:color w:val="auto"/>
                <w:kern w:val="0"/>
                <w:sz w:val="24"/>
                <w:szCs w:val="24"/>
                <w:lang w:val="en-US" w:eastAsia="zh-CN"/>
              </w:rPr>
            </w:pPr>
            <w:r>
              <w:rPr>
                <w:rFonts w:hint="eastAsia" w:ascii="Times New Roman" w:hAnsi="Times New Roman" w:eastAsia="宋体" w:cs="Times New Roman"/>
                <w:b/>
                <w:bCs/>
                <w:color w:val="auto"/>
                <w:kern w:val="0"/>
                <w:sz w:val="24"/>
                <w:szCs w:val="24"/>
                <w:lang w:val="en-US" w:eastAsia="zh-CN"/>
              </w:rPr>
              <w:t>审查文号：</w:t>
            </w:r>
            <w:r>
              <w:rPr>
                <w:rFonts w:hint="eastAsia" w:ascii="Times New Roman" w:hAnsi="Times New Roman" w:eastAsia="宋体" w:cs="Times New Roman"/>
                <w:b w:val="0"/>
                <w:bCs w:val="0"/>
                <w:color w:val="auto"/>
                <w:kern w:val="0"/>
                <w:sz w:val="24"/>
                <w:szCs w:val="24"/>
                <w:lang w:val="en-US" w:eastAsia="zh-CN"/>
              </w:rPr>
              <w:t>安环函〔</w:t>
            </w:r>
            <w:r>
              <w:rPr>
                <w:rFonts w:hint="eastAsia" w:ascii="Times New Roman" w:hAnsi="Times New Roman" w:cs="Times New Roman"/>
                <w:color w:val="auto"/>
                <w:kern w:val="0"/>
                <w:sz w:val="24"/>
                <w:szCs w:val="24"/>
                <w:lang w:val="en-US" w:eastAsia="zh-CN"/>
              </w:rPr>
              <w:t>2013〕23。</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0" w:firstLineChars="0"/>
              <w:textAlignment w:val="auto"/>
              <w:rPr>
                <w:rFonts w:hint="default" w:ascii="Times New Roman" w:hAnsi="Times New Roman" w:cs="Times New Roman"/>
                <w:color w:val="auto"/>
                <w:kern w:val="0"/>
                <w:sz w:val="24"/>
                <w:szCs w:val="24"/>
                <w:lang w:val="en-US" w:eastAsia="zh-CN"/>
              </w:rPr>
            </w:pPr>
            <w:r>
              <w:rPr>
                <w:rFonts w:hint="eastAsia" w:ascii="Times New Roman" w:hAnsi="Times New Roman" w:cs="Times New Roman"/>
                <w:b/>
                <w:bCs/>
                <w:color w:val="auto"/>
                <w:kern w:val="0"/>
                <w:sz w:val="24"/>
                <w:szCs w:val="24"/>
                <w:lang w:val="en-US" w:eastAsia="zh-CN"/>
              </w:rPr>
              <w:t>规划环评跟踪评价文件名称：</w:t>
            </w:r>
            <w:r>
              <w:rPr>
                <w:rFonts w:hint="eastAsia" w:ascii="Times New Roman" w:hAnsi="Times New Roman" w:cs="Times New Roman"/>
                <w:color w:val="auto"/>
                <w:kern w:val="0"/>
                <w:sz w:val="24"/>
                <w:szCs w:val="24"/>
                <w:lang w:val="en-US" w:eastAsia="zh-CN"/>
              </w:rPr>
              <w:t>《安阳市新型制造业产业园区总体发展规划（</w:t>
            </w:r>
            <w:r>
              <w:rPr>
                <w:rFonts w:hint="default" w:ascii="Times New Roman" w:hAnsi="Times New Roman" w:cs="Times New Roman"/>
                <w:color w:val="auto"/>
                <w:kern w:val="0"/>
                <w:sz w:val="24"/>
                <w:szCs w:val="24"/>
                <w:lang w:val="en-US" w:eastAsia="zh-CN"/>
              </w:rPr>
              <w:t>2010-2020）环境影响跟踪评价报告书》；</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0" w:firstLineChars="0"/>
              <w:textAlignment w:val="auto"/>
              <w:rPr>
                <w:rFonts w:hint="default" w:ascii="Times New Roman" w:hAnsi="Times New Roman" w:cs="Times New Roman"/>
                <w:color w:val="auto"/>
                <w:kern w:val="0"/>
                <w:sz w:val="24"/>
                <w:szCs w:val="24"/>
                <w:lang w:val="en-US" w:eastAsia="zh-CN"/>
              </w:rPr>
            </w:pPr>
            <w:r>
              <w:rPr>
                <w:rFonts w:hint="default" w:ascii="Times New Roman" w:hAnsi="Times New Roman" w:cs="Times New Roman"/>
                <w:b/>
                <w:bCs/>
                <w:color w:val="auto"/>
                <w:kern w:val="0"/>
                <w:sz w:val="24"/>
                <w:szCs w:val="24"/>
                <w:lang w:val="en-US" w:eastAsia="zh-CN"/>
              </w:rPr>
              <w:t>审查机关：</w:t>
            </w:r>
            <w:r>
              <w:rPr>
                <w:rFonts w:hint="default" w:ascii="Times New Roman" w:hAnsi="Times New Roman" w:cs="Times New Roman"/>
                <w:color w:val="auto"/>
                <w:kern w:val="0"/>
                <w:sz w:val="24"/>
                <w:szCs w:val="24"/>
                <w:lang w:val="en-US" w:eastAsia="zh-CN"/>
              </w:rPr>
              <w:t>安阳市生态环境局；</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0" w:firstLineChars="0"/>
              <w:textAlignment w:val="auto"/>
              <w:rPr>
                <w:rFonts w:hint="default" w:ascii="Times New Roman" w:hAnsi="Times New Roman" w:cs="Times New Roman"/>
                <w:color w:val="auto"/>
                <w:kern w:val="0"/>
                <w:sz w:val="24"/>
                <w:szCs w:val="24"/>
                <w:lang w:val="en-US" w:eastAsia="zh-CN"/>
              </w:rPr>
            </w:pPr>
            <w:r>
              <w:rPr>
                <w:rFonts w:hint="default" w:ascii="Times New Roman" w:hAnsi="Times New Roman" w:cs="Times New Roman"/>
                <w:b/>
                <w:bCs/>
                <w:color w:val="auto"/>
                <w:kern w:val="0"/>
                <w:sz w:val="24"/>
                <w:szCs w:val="24"/>
                <w:lang w:val="en-US" w:eastAsia="zh-CN"/>
              </w:rPr>
              <w:t>审查文件及文号：</w:t>
            </w:r>
            <w:r>
              <w:rPr>
                <w:rFonts w:hint="default" w:ascii="Times New Roman" w:hAnsi="Times New Roman" w:cs="Times New Roman"/>
                <w:color w:val="auto"/>
                <w:kern w:val="0"/>
                <w:sz w:val="24"/>
                <w:szCs w:val="24"/>
                <w:lang w:val="en-US" w:eastAsia="zh-CN"/>
              </w:rPr>
              <w:t>《安阳市生态环境局关于安阳市新型制造产业园区总体发展规划（2010-2020）环境影响跟踪评价报告书的审核意见》，安环函</w:t>
            </w:r>
            <w:r>
              <w:rPr>
                <w:rFonts w:hint="default" w:ascii="Times New Roman" w:hAnsi="Times New Roman" w:eastAsia="宋体" w:cs="Times New Roman"/>
                <w:color w:val="auto"/>
                <w:kern w:val="0"/>
                <w:sz w:val="24"/>
                <w:szCs w:val="24"/>
                <w:lang w:val="en-US" w:eastAsia="zh-CN"/>
              </w:rPr>
              <w:t>〔2019〕73号。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33" w:type="dxa"/>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规划及规划环境影响评价符合性分析</w:t>
            </w:r>
          </w:p>
        </w:tc>
        <w:tc>
          <w:tcPr>
            <w:tcW w:w="8337" w:type="dxa"/>
            <w:gridSpan w:val="4"/>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b w:val="0"/>
                <w:bCs w:val="0"/>
                <w:color w:val="auto"/>
                <w:kern w:val="0"/>
                <w:sz w:val="24"/>
                <w:szCs w:val="24"/>
                <w:lang w:val="en-US" w:eastAsia="zh-CN"/>
              </w:rPr>
            </w:pPr>
            <w:r>
              <w:rPr>
                <w:rFonts w:hint="default" w:ascii="Times New Roman" w:hAnsi="Times New Roman" w:eastAsia="宋体" w:cs="Times New Roman"/>
                <w:b w:val="0"/>
                <w:bCs w:val="0"/>
                <w:color w:val="auto"/>
                <w:kern w:val="0"/>
                <w:sz w:val="24"/>
                <w:szCs w:val="24"/>
                <w:lang w:val="en-US" w:eastAsia="zh-CN"/>
              </w:rPr>
              <w:t>本项目</w:t>
            </w:r>
            <w:r>
              <w:rPr>
                <w:rFonts w:hint="eastAsia" w:ascii="Times New Roman" w:hAnsi="Times New Roman" w:eastAsia="宋体" w:cs="Times New Roman"/>
                <w:b w:val="0"/>
                <w:bCs w:val="0"/>
                <w:color w:val="auto"/>
                <w:kern w:val="0"/>
                <w:sz w:val="24"/>
                <w:szCs w:val="24"/>
                <w:lang w:val="en-US" w:eastAsia="zh-CN"/>
              </w:rPr>
              <w:t>为危险废物治理项目，</w:t>
            </w:r>
            <w:r>
              <w:rPr>
                <w:rFonts w:hint="default" w:ascii="Times New Roman" w:hAnsi="Times New Roman" w:eastAsia="宋体" w:cs="Times New Roman"/>
                <w:b w:val="0"/>
                <w:bCs w:val="0"/>
                <w:color w:val="auto"/>
                <w:kern w:val="0"/>
                <w:sz w:val="24"/>
                <w:szCs w:val="24"/>
                <w:lang w:val="en-US" w:eastAsia="zh-CN"/>
              </w:rPr>
              <w:t>位于</w:t>
            </w:r>
            <w:r>
              <w:rPr>
                <w:rFonts w:hint="eastAsia" w:cs="Times New Roman"/>
                <w:b w:val="0"/>
                <w:bCs w:val="0"/>
                <w:color w:val="auto"/>
                <w:kern w:val="0"/>
                <w:sz w:val="24"/>
                <w:szCs w:val="24"/>
                <w:lang w:val="en-US" w:eastAsia="zh-CN"/>
              </w:rPr>
              <w:t>安阳市汤阴县中原路与宜兴大道交叉口东北方位</w:t>
            </w:r>
            <w:r>
              <w:rPr>
                <w:rFonts w:hint="eastAsia" w:ascii="Times New Roman" w:hAnsi="Times New Roman" w:eastAsia="宋体" w:cs="Times New Roman"/>
                <w:b w:val="0"/>
                <w:bCs w:val="0"/>
                <w:color w:val="auto"/>
                <w:kern w:val="0"/>
                <w:sz w:val="24"/>
                <w:szCs w:val="24"/>
                <w:lang w:val="en-US" w:eastAsia="zh-CN"/>
              </w:rPr>
              <w:t>现有厂区内。根据</w:t>
            </w:r>
            <w:r>
              <w:rPr>
                <w:rFonts w:hint="eastAsia" w:ascii="Times New Roman" w:hAnsi="Times New Roman" w:eastAsia="宋体" w:cs="Times New Roman"/>
                <w:color w:val="auto"/>
                <w:kern w:val="0"/>
                <w:sz w:val="24"/>
                <w:szCs w:val="24"/>
                <w:lang w:eastAsia="zh-CN"/>
              </w:rPr>
              <w:t>《安阳市新型制造业产业园区总体发展规划（2010-2020）》及其规划环评，本项目与规划相符性分析如下：</w:t>
            </w:r>
          </w:p>
          <w:p>
            <w:pPr>
              <w:keepNext w:val="0"/>
              <w:keepLines w:val="0"/>
              <w:pageBreakBefore w:val="0"/>
              <w:widowControl w:val="0"/>
              <w:numPr>
                <w:ilvl w:val="0"/>
                <w:numId w:val="0"/>
              </w:numPr>
              <w:suppressLineNumbers w:val="0"/>
              <w:tabs>
                <w:tab w:val="clear" w:pos="2040"/>
              </w:tabs>
              <w:kinsoku/>
              <w:wordWrap/>
              <w:overflowPunct/>
              <w:topLinePunct w:val="0"/>
              <w:autoSpaceDE w:val="0"/>
              <w:autoSpaceDN w:val="0"/>
              <w:bidi w:val="0"/>
              <w:adjustRightInd w:val="0"/>
              <w:snapToGrid w:val="0"/>
              <w:spacing w:before="0" w:beforeAutospacing="0" w:after="0" w:afterAutospacing="0" w:line="360" w:lineRule="auto"/>
              <w:ind w:left="0" w:right="0"/>
              <w:jc w:val="both"/>
              <w:textAlignment w:val="auto"/>
              <w:rPr>
                <w:rFonts w:hint="eastAsia" w:ascii="Times New Roman" w:hAnsi="Times New Roman" w:eastAsia="宋体" w:cs="Times New Roman"/>
                <w:b/>
                <w:bCs/>
                <w:color w:val="auto"/>
                <w:kern w:val="0"/>
                <w:sz w:val="24"/>
                <w:szCs w:val="24"/>
                <w:lang w:eastAsia="zh-CN"/>
              </w:rPr>
            </w:pPr>
            <w:r>
              <w:rPr>
                <w:rFonts w:hint="eastAsia" w:ascii="Times New Roman" w:hAnsi="Times New Roman" w:eastAsia="宋体" w:cs="Times New Roman"/>
                <w:b/>
                <w:bCs/>
                <w:color w:val="auto"/>
                <w:kern w:val="0"/>
                <w:sz w:val="24"/>
                <w:szCs w:val="24"/>
                <w:lang w:val="en-US" w:eastAsia="zh-CN"/>
              </w:rPr>
              <w:t>1.</w:t>
            </w:r>
            <w:r>
              <w:rPr>
                <w:rFonts w:hint="eastAsia" w:ascii="Times New Roman" w:hAnsi="Times New Roman" w:eastAsia="宋体" w:cs="Times New Roman"/>
                <w:b/>
                <w:bCs/>
                <w:color w:val="auto"/>
                <w:kern w:val="0"/>
                <w:sz w:val="24"/>
                <w:szCs w:val="24"/>
                <w:lang w:eastAsia="zh-CN"/>
              </w:rPr>
              <w:t>与《安阳市新型制造业产业园区总体发展规划（2010-2020）》及其规划环评相符性分析</w:t>
            </w:r>
          </w:p>
          <w:p>
            <w:pPr>
              <w:keepNext w:val="0"/>
              <w:keepLines w:val="0"/>
              <w:pageBreakBefore w:val="0"/>
              <w:widowControl w:val="0"/>
              <w:numPr>
                <w:ilvl w:val="0"/>
                <w:numId w:val="0"/>
              </w:numPr>
              <w:suppressLineNumbers w:val="0"/>
              <w:tabs>
                <w:tab w:val="clear" w:pos="2040"/>
              </w:tabs>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color w:val="auto"/>
                <w:kern w:val="0"/>
                <w:sz w:val="24"/>
                <w:szCs w:val="24"/>
                <w:lang w:val="en-US" w:eastAsia="zh-CN"/>
              </w:rPr>
            </w:pPr>
            <w:r>
              <w:rPr>
                <w:rFonts w:hint="eastAsia" w:ascii="Times New Roman" w:hAnsi="Times New Roman" w:eastAsia="宋体" w:cs="Times New Roman"/>
                <w:b/>
                <w:bCs/>
                <w:color w:val="auto"/>
                <w:kern w:val="0"/>
                <w:sz w:val="24"/>
                <w:szCs w:val="24"/>
                <w:lang w:eastAsia="zh-CN"/>
              </w:rPr>
              <w:t>项目与规划环评相符性分析表</w:t>
            </w:r>
          </w:p>
          <w:tbl>
            <w:tblPr>
              <w:tblStyle w:val="27"/>
              <w:tblW w:w="8118" w:type="dxa"/>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911"/>
              <w:gridCol w:w="3062"/>
              <w:gridCol w:w="114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96" w:hRule="atLeast"/>
              </w:trPr>
              <w:tc>
                <w:tcPr>
                  <w:tcW w:w="3911" w:type="dxa"/>
                  <w:vAlign w:val="center"/>
                </w:tcPr>
                <w:p>
                  <w:pPr>
                    <w:keepNext w:val="0"/>
                    <w:keepLines w:val="0"/>
                    <w:suppressLineNumbers w:val="0"/>
                    <w:spacing w:before="0" w:beforeLines="0" w:beforeAutospacing="0" w:after="0" w:afterAutospacing="0" w:line="240" w:lineRule="auto"/>
                    <w:ind w:left="0" w:right="0" w:firstLine="0" w:firstLineChars="0"/>
                    <w:jc w:val="center"/>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产业园区建设项目环境保护准入要求</w:t>
                  </w:r>
                </w:p>
              </w:tc>
              <w:tc>
                <w:tcPr>
                  <w:tcW w:w="3062" w:type="dxa"/>
                  <w:vAlign w:val="center"/>
                </w:tcPr>
                <w:p>
                  <w:pPr>
                    <w:keepNext w:val="0"/>
                    <w:keepLines w:val="0"/>
                    <w:suppressLineNumbers w:val="0"/>
                    <w:spacing w:before="0" w:beforeLines="0" w:beforeAutospacing="0" w:after="0" w:afterAutospacing="0" w:line="240" w:lineRule="auto"/>
                    <w:ind w:left="0" w:right="0" w:firstLine="0" w:firstLineChars="0"/>
                    <w:jc w:val="center"/>
                    <w:rPr>
                      <w:rFonts w:hint="eastAsia" w:ascii="Times New Roman" w:hAnsi="Times New Roman" w:eastAsia="宋体" w:cs="Times New Roman"/>
                      <w:b/>
                      <w:bCs/>
                      <w:color w:val="auto"/>
                      <w:sz w:val="21"/>
                      <w:szCs w:val="21"/>
                      <w:lang w:eastAsia="zh-CN"/>
                    </w:rPr>
                  </w:pPr>
                  <w:r>
                    <w:rPr>
                      <w:rFonts w:hint="eastAsia" w:ascii="Times New Roman" w:hAnsi="Times New Roman" w:cs="Times New Roman"/>
                      <w:b/>
                      <w:bCs/>
                      <w:color w:val="auto"/>
                      <w:sz w:val="21"/>
                      <w:szCs w:val="21"/>
                      <w:lang w:eastAsia="zh-CN"/>
                    </w:rPr>
                    <w:t>本项目情况</w:t>
                  </w:r>
                </w:p>
              </w:tc>
              <w:tc>
                <w:tcPr>
                  <w:tcW w:w="1145" w:type="dxa"/>
                  <w:vAlign w:val="center"/>
                </w:tcPr>
                <w:p>
                  <w:pPr>
                    <w:keepNext w:val="0"/>
                    <w:keepLines w:val="0"/>
                    <w:suppressLineNumbers w:val="0"/>
                    <w:spacing w:before="0" w:beforeLines="0" w:beforeAutospacing="0" w:after="0" w:afterAutospacing="0" w:line="240" w:lineRule="auto"/>
                    <w:ind w:left="0" w:right="0" w:firstLine="0" w:firstLineChars="0"/>
                    <w:jc w:val="center"/>
                    <w:rPr>
                      <w:rFonts w:hint="eastAsia" w:ascii="Times New Roman" w:hAnsi="Times New Roman" w:eastAsia="宋体" w:cs="Times New Roman"/>
                      <w:b/>
                      <w:bCs/>
                      <w:color w:val="auto"/>
                      <w:sz w:val="21"/>
                      <w:szCs w:val="21"/>
                      <w:lang w:eastAsia="zh-CN"/>
                    </w:rPr>
                  </w:pPr>
                  <w:r>
                    <w:rPr>
                      <w:rFonts w:hint="eastAsia" w:ascii="Times New Roman" w:hAnsi="Times New Roman" w:cs="Times New Roman"/>
                      <w:b/>
                      <w:bCs/>
                      <w:color w:val="auto"/>
                      <w:sz w:val="21"/>
                      <w:szCs w:val="21"/>
                      <w:lang w:eastAsia="zh-CN"/>
                    </w:rPr>
                    <w:t>相符性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240" w:hRule="atLeast"/>
              </w:trPr>
              <w:tc>
                <w:tcPr>
                  <w:tcW w:w="3911" w:type="dxa"/>
                  <w:vAlign w:val="center"/>
                </w:tcPr>
                <w:p>
                  <w:pPr>
                    <w:pStyle w:val="8"/>
                    <w:keepNext w:val="0"/>
                    <w:keepLines w:val="0"/>
                    <w:suppressLineNumbers w:val="0"/>
                    <w:spacing w:beforeAutospacing="0" w:after="0" w:afterAutospacing="0" w:line="240" w:lineRule="auto"/>
                    <w:ind w:left="0" w:leftChars="0" w:right="0" w:firstLine="0" w:firstLineChars="0"/>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1）根据区域环境的实际特点，建议鼓励建设装备制造业、特种钢材加工业、电器机械产业、工程塑料产业等符合产业园区功能定位的建设项目入驻，同时应考虑上下游产品的关联性，尽可能延长产业链；鼓励建设省级以上（含省级）认定的高新技术类项目。</w:t>
                  </w:r>
                </w:p>
              </w:tc>
              <w:tc>
                <w:tcPr>
                  <w:tcW w:w="3062" w:type="dxa"/>
                  <w:vAlign w:val="center"/>
                </w:tcPr>
                <w:p>
                  <w:pPr>
                    <w:pStyle w:val="8"/>
                    <w:keepNext w:val="0"/>
                    <w:keepLines w:val="0"/>
                    <w:suppressLineNumbers w:val="0"/>
                    <w:spacing w:beforeAutospacing="0" w:after="0" w:afterAutospacing="0" w:line="240" w:lineRule="auto"/>
                    <w:ind w:left="0" w:leftChars="0" w:right="0" w:firstLine="0" w:firstLineChars="0"/>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本项目为危险废物治理项目，本项目为铝锌合金生产线配套的危废利用，属于产业链条延伸项目，符合园区功能定位。</w:t>
                  </w:r>
                </w:p>
              </w:tc>
              <w:tc>
                <w:tcPr>
                  <w:tcW w:w="1145" w:type="dxa"/>
                  <w:vAlign w:val="center"/>
                </w:tcPr>
                <w:p>
                  <w:pPr>
                    <w:pStyle w:val="8"/>
                    <w:keepNext w:val="0"/>
                    <w:keepLines w:val="0"/>
                    <w:suppressLineNumbers w:val="0"/>
                    <w:spacing w:beforeAutospacing="0" w:after="0" w:afterAutospacing="0" w:line="240" w:lineRule="auto"/>
                    <w:ind w:left="0" w:leftChars="0" w:right="0" w:firstLine="0" w:firstLineChars="0"/>
                    <w:jc w:val="center"/>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747" w:hRule="atLeast"/>
              </w:trPr>
              <w:tc>
                <w:tcPr>
                  <w:tcW w:w="3911" w:type="dxa"/>
                  <w:vAlign w:val="center"/>
                </w:tcPr>
                <w:p>
                  <w:pPr>
                    <w:keepNext w:val="0"/>
                    <w:keepLines w:val="0"/>
                    <w:suppressLineNumbers w:val="0"/>
                    <w:spacing w:before="0" w:beforeLines="0" w:beforeAutospacing="0" w:after="0" w:afterAutospacing="0" w:line="240" w:lineRule="auto"/>
                    <w:ind w:left="0" w:right="0"/>
                    <w:rPr>
                      <w:rFonts w:hint="eastAsia" w:ascii="Times New Roman" w:hAnsi="Times New Roman" w:cs="Times New Roman"/>
                      <w:snapToGrid/>
                      <w:color w:val="auto"/>
                      <w:sz w:val="21"/>
                      <w:szCs w:val="21"/>
                    </w:rPr>
                  </w:pPr>
                  <w:r>
                    <w:rPr>
                      <w:rFonts w:hint="eastAsia" w:ascii="Times New Roman" w:hAnsi="Times New Roman" w:cs="Times New Roman"/>
                      <w:snapToGrid/>
                      <w:color w:val="auto"/>
                      <w:sz w:val="21"/>
                      <w:szCs w:val="21"/>
                    </w:rPr>
                    <w:t>（2）限制一些与主导产业相关性不强的企业入驻；限制大气污染物排放量大的企业入区；限制水资源消耗量大、水污染物排放量大的企业入区；严禁采用列入《产业结构调整指导目录》限制类、淘汰类的落后生产工艺和设备。</w:t>
                  </w:r>
                </w:p>
              </w:tc>
              <w:tc>
                <w:tcPr>
                  <w:tcW w:w="3062" w:type="dxa"/>
                  <w:vAlign w:val="center"/>
                </w:tcPr>
                <w:p>
                  <w:pPr>
                    <w:keepNext w:val="0"/>
                    <w:keepLines w:val="0"/>
                    <w:suppressLineNumbers w:val="0"/>
                    <w:spacing w:before="0" w:beforeLines="0" w:beforeAutospacing="0" w:after="0" w:afterAutospacing="0" w:line="240" w:lineRule="auto"/>
                    <w:ind w:left="0" w:right="0"/>
                    <w:rPr>
                      <w:rFonts w:hint="default" w:ascii="Times New Roman" w:hAnsi="Times New Roman" w:cs="Times New Roman"/>
                      <w:snapToGrid/>
                      <w:color w:val="auto"/>
                      <w:sz w:val="21"/>
                      <w:szCs w:val="21"/>
                    </w:rPr>
                  </w:pPr>
                  <w:r>
                    <w:rPr>
                      <w:rFonts w:hint="eastAsia" w:ascii="Times New Roman" w:hAnsi="Times New Roman" w:cs="Times New Roman"/>
                      <w:color w:val="auto"/>
                      <w:sz w:val="21"/>
                      <w:szCs w:val="21"/>
                      <w:lang w:eastAsia="zh-CN"/>
                    </w:rPr>
                    <w:t>本项目为危险废物治理项目，本项目为铝锌合金生产线配套的危废利用，属于产业链条延伸项目，符合园区功能定位，不属于限制产业。</w:t>
                  </w:r>
                </w:p>
              </w:tc>
              <w:tc>
                <w:tcPr>
                  <w:tcW w:w="1145" w:type="dxa"/>
                  <w:vAlign w:val="center"/>
                </w:tcPr>
                <w:p>
                  <w:pPr>
                    <w:keepNext w:val="0"/>
                    <w:keepLines w:val="0"/>
                    <w:suppressLineNumbers w:val="0"/>
                    <w:spacing w:before="0" w:beforeLines="0" w:beforeAutospacing="0" w:after="0" w:afterAutospacing="0" w:line="240" w:lineRule="auto"/>
                    <w:ind w:left="0" w:right="0"/>
                    <w:jc w:val="center"/>
                    <w:rPr>
                      <w:rFonts w:hint="eastAsia" w:ascii="Times New Roman" w:hAnsi="Times New Roman" w:eastAsia="宋体" w:cs="Times New Roman"/>
                      <w:snapToGrid/>
                      <w:color w:val="auto"/>
                      <w:sz w:val="21"/>
                      <w:szCs w:val="21"/>
                      <w:lang w:eastAsia="zh-CN"/>
                    </w:rPr>
                  </w:pPr>
                  <w:r>
                    <w:rPr>
                      <w:rFonts w:hint="eastAsia" w:ascii="Times New Roman" w:hAnsi="Times New Roman" w:cs="Times New Roman"/>
                      <w:snapToGrid/>
                      <w:color w:val="auto"/>
                      <w:sz w:val="21"/>
                      <w:szCs w:val="21"/>
                      <w:lang w:eastAsia="zh-CN"/>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3911" w:type="dxa"/>
                  <w:vAlign w:val="center"/>
                </w:tcPr>
                <w:p>
                  <w:pPr>
                    <w:keepNext w:val="0"/>
                    <w:keepLines w:val="0"/>
                    <w:suppressLineNumbers w:val="0"/>
                    <w:spacing w:before="0" w:beforeLines="0" w:beforeAutospacing="0" w:after="0" w:afterAutospacing="0" w:line="240" w:lineRule="auto"/>
                    <w:ind w:left="0" w:right="0"/>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（3）禁止新建、扩建污染重的化工建设项目，新建、扩建电镀、皮革加工、造纸、印染、生物发酵、选矿、冶炼、炼焦、炼油和规模化禽畜养殖以及其他污染重的建设项目。</w:t>
                  </w:r>
                </w:p>
              </w:tc>
              <w:tc>
                <w:tcPr>
                  <w:tcW w:w="3062" w:type="dxa"/>
                  <w:vAlign w:val="center"/>
                </w:tcPr>
                <w:p>
                  <w:pPr>
                    <w:keepNext w:val="0"/>
                    <w:keepLines w:val="0"/>
                    <w:suppressLineNumbers w:val="0"/>
                    <w:spacing w:before="0" w:beforeLines="0" w:beforeAutospacing="0" w:after="0" w:afterAutospacing="0" w:line="240" w:lineRule="auto"/>
                    <w:ind w:left="0" w:right="0"/>
                    <w:rPr>
                      <w:rFonts w:hint="eastAsia" w:ascii="Times New Roman" w:hAnsi="Times New Roman" w:cs="Times New Roman"/>
                      <w:snapToGrid/>
                      <w:color w:val="auto"/>
                      <w:sz w:val="21"/>
                      <w:szCs w:val="21"/>
                    </w:rPr>
                  </w:pPr>
                  <w:r>
                    <w:rPr>
                      <w:rFonts w:hint="eastAsia" w:ascii="Times New Roman" w:hAnsi="Times New Roman" w:cs="Times New Roman"/>
                      <w:color w:val="auto"/>
                      <w:sz w:val="21"/>
                      <w:szCs w:val="21"/>
                      <w:lang w:eastAsia="zh-CN"/>
                    </w:rPr>
                    <w:t>本项目为危险废物治理项目，不属于化工项目。</w:t>
                  </w:r>
                </w:p>
              </w:tc>
              <w:tc>
                <w:tcPr>
                  <w:tcW w:w="1145" w:type="dxa"/>
                  <w:vAlign w:val="center"/>
                </w:tcPr>
                <w:p>
                  <w:pPr>
                    <w:keepNext w:val="0"/>
                    <w:keepLines w:val="0"/>
                    <w:suppressLineNumbers w:val="0"/>
                    <w:spacing w:before="0" w:beforeLines="0" w:beforeAutospacing="0" w:after="0" w:afterAutospacing="0" w:line="240" w:lineRule="auto"/>
                    <w:ind w:left="0" w:right="0"/>
                    <w:jc w:val="center"/>
                    <w:rPr>
                      <w:rFonts w:hint="eastAsia" w:ascii="Times New Roman" w:hAnsi="Times New Roman" w:eastAsia="宋体" w:cs="Times New Roman"/>
                      <w:snapToGrid/>
                      <w:color w:val="auto"/>
                      <w:sz w:val="21"/>
                      <w:szCs w:val="21"/>
                      <w:lang w:eastAsia="zh-CN"/>
                    </w:rPr>
                  </w:pPr>
                  <w:r>
                    <w:rPr>
                      <w:rFonts w:hint="eastAsia" w:ascii="Times New Roman" w:hAnsi="Times New Roman" w:cs="Times New Roman"/>
                      <w:snapToGrid/>
                      <w:color w:val="auto"/>
                      <w:sz w:val="21"/>
                      <w:szCs w:val="21"/>
                      <w:lang w:eastAsia="zh-CN"/>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3911" w:type="dxa"/>
                  <w:vAlign w:val="center"/>
                </w:tcPr>
                <w:p>
                  <w:pPr>
                    <w:keepNext w:val="0"/>
                    <w:keepLines w:val="0"/>
                    <w:suppressLineNumbers w:val="0"/>
                    <w:spacing w:before="0" w:beforeLines="0" w:beforeAutospacing="0" w:after="0" w:afterAutospacing="0" w:line="240" w:lineRule="auto"/>
                    <w:ind w:left="0" w:right="0"/>
                    <w:rPr>
                      <w:rFonts w:hint="eastAsia" w:ascii="Times New Roman" w:hAnsi="Times New Roman" w:cs="Times New Roman"/>
                      <w:b/>
                      <w:color w:val="auto"/>
                      <w:sz w:val="21"/>
                      <w:szCs w:val="21"/>
                    </w:rPr>
                  </w:pPr>
                  <w:r>
                    <w:rPr>
                      <w:rFonts w:hint="eastAsia" w:ascii="Times New Roman" w:hAnsi="Times New Roman" w:cs="Times New Roman"/>
                      <w:color w:val="auto"/>
                      <w:sz w:val="21"/>
                      <w:szCs w:val="21"/>
                    </w:rPr>
                    <w:t>（4）在环境保护与资源综合利用方面，建设项目应首先严格执行</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rPr>
                    <w:t>三同时</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rPr>
                    <w:t>制度，大力推行清洁生产，改进先进生产技术和设备，从生产的源头控制污染物产生量，降低末端治理压力。</w:t>
                  </w:r>
                </w:p>
              </w:tc>
              <w:tc>
                <w:tcPr>
                  <w:tcW w:w="3062" w:type="dxa"/>
                  <w:vAlign w:val="center"/>
                </w:tcPr>
                <w:p>
                  <w:pPr>
                    <w:keepNext w:val="0"/>
                    <w:keepLines w:val="0"/>
                    <w:suppressLineNumbers w:val="0"/>
                    <w:spacing w:before="0" w:beforeLines="0" w:beforeAutospacing="0" w:after="0" w:afterAutospacing="0" w:line="240" w:lineRule="auto"/>
                    <w:ind w:left="0" w:right="0"/>
                    <w:rPr>
                      <w:rFonts w:hint="eastAsia" w:ascii="Times New Roman" w:hAnsi="Times New Roman" w:cs="Times New Roman"/>
                      <w:color w:val="auto"/>
                      <w:sz w:val="21"/>
                      <w:szCs w:val="21"/>
                    </w:rPr>
                  </w:pPr>
                  <w:r>
                    <w:rPr>
                      <w:rFonts w:hint="eastAsia" w:ascii="Times New Roman" w:hAnsi="Times New Roman" w:cs="Times New Roman"/>
                      <w:color w:val="auto"/>
                      <w:sz w:val="21"/>
                      <w:szCs w:val="21"/>
                      <w:lang w:eastAsia="zh-CN"/>
                    </w:rPr>
                    <w:t>本项目为危险废物治理项目，项目将严格执行三同时制度，实施清洁生产。</w:t>
                  </w:r>
                </w:p>
              </w:tc>
              <w:tc>
                <w:tcPr>
                  <w:tcW w:w="1145" w:type="dxa"/>
                  <w:vAlign w:val="center"/>
                </w:tcPr>
                <w:p>
                  <w:pPr>
                    <w:keepNext w:val="0"/>
                    <w:keepLines w:val="0"/>
                    <w:suppressLineNumbers w:val="0"/>
                    <w:spacing w:before="0" w:beforeLines="0" w:beforeAutospacing="0" w:after="0" w:afterAutospacing="0" w:line="240" w:lineRule="auto"/>
                    <w:ind w:left="0" w:right="0"/>
                    <w:jc w:val="center"/>
                    <w:rPr>
                      <w:rFonts w:hint="eastAsia" w:ascii="Times New Roman" w:hAnsi="Times New Roman" w:cs="Times New Roman"/>
                      <w:color w:val="auto"/>
                      <w:sz w:val="21"/>
                      <w:szCs w:val="21"/>
                    </w:rPr>
                  </w:pPr>
                  <w:r>
                    <w:rPr>
                      <w:rFonts w:hint="eastAsia" w:ascii="Times New Roman" w:hAnsi="Times New Roman" w:cs="Times New Roman"/>
                      <w:snapToGrid/>
                      <w:color w:val="auto"/>
                      <w:sz w:val="21"/>
                      <w:szCs w:val="21"/>
                      <w:lang w:eastAsia="zh-CN"/>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3911" w:type="dxa"/>
                  <w:vAlign w:val="center"/>
                </w:tcPr>
                <w:p>
                  <w:pPr>
                    <w:keepNext w:val="0"/>
                    <w:keepLines w:val="0"/>
                    <w:suppressLineNumbers w:val="0"/>
                    <w:spacing w:before="0" w:beforeLines="0" w:beforeAutospacing="0" w:after="0" w:afterAutospacing="0" w:line="240" w:lineRule="auto"/>
                    <w:ind w:left="0" w:right="0"/>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（5）建设项目应采用国际、国内先进水平的清洁生产工艺和技术，禁止新建国家产业政策限制类、淘汰类的项目进入。</w:t>
                  </w:r>
                </w:p>
              </w:tc>
              <w:tc>
                <w:tcPr>
                  <w:tcW w:w="3062" w:type="dxa"/>
                  <w:vAlign w:val="center"/>
                </w:tcPr>
                <w:p>
                  <w:pPr>
                    <w:keepNext w:val="0"/>
                    <w:keepLines w:val="0"/>
                    <w:suppressLineNumbers w:val="0"/>
                    <w:spacing w:before="0" w:beforeLines="0" w:beforeAutospacing="0" w:after="0" w:afterAutospacing="0" w:line="240" w:lineRule="auto"/>
                    <w:ind w:left="0" w:right="0"/>
                    <w:rPr>
                      <w:rFonts w:hint="eastAsia" w:ascii="Times New Roman" w:hAnsi="Times New Roman" w:cs="Times New Roman"/>
                      <w:color w:val="auto"/>
                      <w:sz w:val="21"/>
                      <w:szCs w:val="21"/>
                    </w:rPr>
                  </w:pPr>
                  <w:r>
                    <w:rPr>
                      <w:rFonts w:hint="eastAsia" w:ascii="Times New Roman" w:hAnsi="Times New Roman" w:cs="Times New Roman"/>
                      <w:color w:val="auto"/>
                      <w:sz w:val="21"/>
                      <w:szCs w:val="21"/>
                      <w:lang w:eastAsia="zh-CN"/>
                    </w:rPr>
                    <w:t>本项目为危险废物治理项目，项目清洁生产水平</w:t>
                  </w:r>
                  <w:r>
                    <w:rPr>
                      <w:rFonts w:hint="eastAsia" w:ascii="Times New Roman" w:hAnsi="Times New Roman" w:cs="Times New Roman"/>
                      <w:color w:val="auto"/>
                      <w:sz w:val="21"/>
                      <w:szCs w:val="21"/>
                      <w:lang w:val="en-US" w:eastAsia="zh-CN"/>
                    </w:rPr>
                    <w:t>满足</w:t>
                  </w:r>
                  <w:r>
                    <w:rPr>
                      <w:rFonts w:hint="eastAsia" w:ascii="Times New Roman" w:hAnsi="Times New Roman" w:cs="Times New Roman"/>
                      <w:color w:val="auto"/>
                      <w:sz w:val="21"/>
                      <w:szCs w:val="21"/>
                      <w:lang w:eastAsia="zh-CN"/>
                    </w:rPr>
                    <w:t>国内先进。</w:t>
                  </w:r>
                </w:p>
              </w:tc>
              <w:tc>
                <w:tcPr>
                  <w:tcW w:w="1145" w:type="dxa"/>
                  <w:vAlign w:val="center"/>
                </w:tcPr>
                <w:p>
                  <w:pPr>
                    <w:keepNext w:val="0"/>
                    <w:keepLines w:val="0"/>
                    <w:suppressLineNumbers w:val="0"/>
                    <w:spacing w:before="0" w:beforeLines="0" w:beforeAutospacing="0" w:after="0" w:afterAutospacing="0" w:line="240" w:lineRule="auto"/>
                    <w:ind w:left="0" w:right="0"/>
                    <w:jc w:val="center"/>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58" w:hRule="atLeast"/>
              </w:trPr>
              <w:tc>
                <w:tcPr>
                  <w:tcW w:w="3911" w:type="dxa"/>
                  <w:vAlign w:val="center"/>
                </w:tcPr>
                <w:p>
                  <w:pPr>
                    <w:keepNext w:val="0"/>
                    <w:keepLines w:val="0"/>
                    <w:suppressLineNumbers w:val="0"/>
                    <w:spacing w:before="0" w:beforeLines="0" w:beforeAutospacing="0" w:after="0" w:afterAutospacing="0" w:line="240" w:lineRule="auto"/>
                    <w:ind w:left="0" w:right="0"/>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（6）在南水北调中线总干渠两侧二级水源保护区内，不得从事以下活动：</w:t>
                  </w:r>
                </w:p>
                <w:p>
                  <w:pPr>
                    <w:keepNext w:val="0"/>
                    <w:keepLines w:val="0"/>
                    <w:suppressLineNumbers w:val="0"/>
                    <w:spacing w:before="0" w:beforeLines="0" w:beforeAutospacing="0" w:after="0" w:afterAutospacing="0" w:line="240" w:lineRule="auto"/>
                    <w:ind w:left="0" w:right="0"/>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①新建、扩建污染较重的废水排污口，设置医疗废水排污口；</w:t>
                  </w:r>
                </w:p>
                <w:p>
                  <w:pPr>
                    <w:keepNext w:val="0"/>
                    <w:keepLines w:val="0"/>
                    <w:suppressLineNumbers w:val="0"/>
                    <w:spacing w:before="0" w:beforeLines="0" w:beforeAutospacing="0" w:after="0" w:afterAutospacing="0" w:line="240" w:lineRule="auto"/>
                    <w:ind w:left="0" w:right="0"/>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②设置生活垃圾、医疗垃圾、工业危险废物等危险废物集中转运、堆放、填埋和焚烧设施，设置危险品转运和贮存设施，新建加油站及油库。</w:t>
                  </w:r>
                </w:p>
              </w:tc>
              <w:tc>
                <w:tcPr>
                  <w:tcW w:w="3062" w:type="dxa"/>
                  <w:vAlign w:val="center"/>
                </w:tcPr>
                <w:p>
                  <w:pPr>
                    <w:keepNext w:val="0"/>
                    <w:keepLines w:val="0"/>
                    <w:suppressLineNumbers w:val="0"/>
                    <w:spacing w:before="0" w:beforeLines="0" w:beforeAutospacing="0" w:after="0" w:afterAutospacing="0" w:line="240" w:lineRule="auto"/>
                    <w:ind w:left="0" w:right="0"/>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本项目距离南水北调中线总干渠两侧二级保护区</w:t>
                  </w:r>
                  <w:r>
                    <w:rPr>
                      <w:rFonts w:hint="eastAsia" w:cs="Times New Roman"/>
                      <w:color w:val="auto"/>
                      <w:sz w:val="21"/>
                      <w:szCs w:val="21"/>
                      <w:lang w:val="en-US" w:eastAsia="zh-CN"/>
                    </w:rPr>
                    <w:t>850</w:t>
                  </w:r>
                  <w:r>
                    <w:rPr>
                      <w:rFonts w:hint="eastAsia" w:ascii="Times New Roman" w:hAnsi="Times New Roman" w:cs="Times New Roman"/>
                      <w:color w:val="auto"/>
                      <w:sz w:val="21"/>
                      <w:szCs w:val="21"/>
                      <w:lang w:val="en-US" w:eastAsia="zh-CN"/>
                    </w:rPr>
                    <w:t>m，</w:t>
                  </w:r>
                  <w:r>
                    <w:rPr>
                      <w:rFonts w:hint="eastAsia" w:ascii="Times New Roman" w:hAnsi="Times New Roman" w:cs="Times New Roman"/>
                      <w:color w:val="auto"/>
                      <w:sz w:val="21"/>
                      <w:szCs w:val="21"/>
                      <w:lang w:eastAsia="zh-CN"/>
                    </w:rPr>
                    <w:t>不</w:t>
                  </w:r>
                  <w:r>
                    <w:rPr>
                      <w:rFonts w:hint="eastAsia" w:ascii="Times New Roman" w:hAnsi="Times New Roman" w:cs="Times New Roman"/>
                      <w:color w:val="auto"/>
                      <w:sz w:val="21"/>
                      <w:szCs w:val="21"/>
                    </w:rPr>
                    <w:t>在南水北调中线总干渠两侧二级水源保护区内</w:t>
                  </w:r>
                  <w:r>
                    <w:rPr>
                      <w:rFonts w:hint="eastAsia" w:ascii="Times New Roman" w:hAnsi="Times New Roman" w:cs="Times New Roman"/>
                      <w:color w:val="auto"/>
                      <w:sz w:val="21"/>
                      <w:szCs w:val="21"/>
                      <w:lang w:eastAsia="zh-CN"/>
                    </w:rPr>
                    <w:t>。</w:t>
                  </w:r>
                </w:p>
              </w:tc>
              <w:tc>
                <w:tcPr>
                  <w:tcW w:w="1145" w:type="dxa"/>
                  <w:vAlign w:val="center"/>
                </w:tcPr>
                <w:p>
                  <w:pPr>
                    <w:keepNext w:val="0"/>
                    <w:keepLines w:val="0"/>
                    <w:suppressLineNumbers w:val="0"/>
                    <w:spacing w:before="0" w:beforeLines="0" w:beforeAutospacing="0" w:after="0" w:afterAutospacing="0" w:line="240" w:lineRule="auto"/>
                    <w:ind w:left="0" w:right="0"/>
                    <w:jc w:val="center"/>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3911" w:type="dxa"/>
                  <w:vAlign w:val="center"/>
                </w:tcPr>
                <w:p>
                  <w:pPr>
                    <w:keepNext w:val="0"/>
                    <w:keepLines w:val="0"/>
                    <w:suppressLineNumbers w:val="0"/>
                    <w:spacing w:before="0" w:beforeLines="0" w:beforeAutospacing="0" w:after="0" w:afterAutospacing="0" w:line="240" w:lineRule="auto"/>
                    <w:ind w:left="0" w:right="0"/>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7）钢铁行业新建烧结机使用面积180平方米及以上；焦炉炭化室高度6米及以上；高炉有效容积1000立方米及以上；转炉公称容量120吨及以上；电炉公称容量70吨及以上。企业吨钢污水排放量不超过2.0立方米，吨钢烟粉尘排放量不超过1.0千克，吨钢二氧化硫排放量不超过1.8千克，二次能源实现100%回收利用。</w:t>
                  </w:r>
                </w:p>
              </w:tc>
              <w:tc>
                <w:tcPr>
                  <w:tcW w:w="3062" w:type="dxa"/>
                  <w:vAlign w:val="center"/>
                </w:tcPr>
                <w:p>
                  <w:pPr>
                    <w:keepNext w:val="0"/>
                    <w:keepLines w:val="0"/>
                    <w:suppressLineNumbers w:val="0"/>
                    <w:spacing w:before="0" w:beforeLines="0" w:beforeAutospacing="0" w:after="0" w:afterAutospacing="0" w:line="240" w:lineRule="auto"/>
                    <w:ind w:left="0" w:right="0"/>
                    <w:rPr>
                      <w:rFonts w:hint="eastAsia" w:ascii="Times New Roman" w:hAnsi="Times New Roman" w:cs="Times New Roman"/>
                      <w:color w:val="auto"/>
                      <w:sz w:val="21"/>
                      <w:szCs w:val="21"/>
                    </w:rPr>
                  </w:pPr>
                  <w:r>
                    <w:rPr>
                      <w:rFonts w:hint="eastAsia" w:ascii="Times New Roman" w:hAnsi="Times New Roman" w:cs="Times New Roman"/>
                      <w:color w:val="auto"/>
                      <w:sz w:val="21"/>
                      <w:szCs w:val="21"/>
                      <w:lang w:eastAsia="zh-CN"/>
                    </w:rPr>
                    <w:t>本项目为危险废物治理项目，不属于钢铁行业、不涉及焦炉、高炉。</w:t>
                  </w:r>
                </w:p>
              </w:tc>
              <w:tc>
                <w:tcPr>
                  <w:tcW w:w="1145" w:type="dxa"/>
                  <w:vAlign w:val="center"/>
                </w:tcPr>
                <w:p>
                  <w:pPr>
                    <w:keepNext w:val="0"/>
                    <w:keepLines w:val="0"/>
                    <w:suppressLineNumbers w:val="0"/>
                    <w:spacing w:before="0" w:beforeLines="0" w:beforeAutospacing="0" w:after="0" w:afterAutospacing="0" w:line="240" w:lineRule="auto"/>
                    <w:ind w:left="0" w:right="0"/>
                    <w:jc w:val="center"/>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不涉及</w:t>
                  </w:r>
                </w:p>
              </w:tc>
            </w:tr>
          </w:tbl>
          <w:p>
            <w:pPr>
              <w:keepNext/>
              <w:keepLines/>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b w:val="0"/>
                <w:bCs w:val="0"/>
                <w:color w:val="auto"/>
                <w:kern w:val="0"/>
                <w:sz w:val="24"/>
                <w:szCs w:val="24"/>
                <w:lang w:val="en-US" w:eastAsia="zh-CN"/>
              </w:rPr>
            </w:pPr>
            <w:r>
              <w:rPr>
                <w:rFonts w:hint="eastAsia" w:ascii="Times New Roman" w:hAnsi="Times New Roman" w:eastAsia="宋体" w:cs="Times New Roman"/>
                <w:color w:val="auto"/>
                <w:kern w:val="0"/>
                <w:sz w:val="24"/>
                <w:szCs w:val="24"/>
                <w:lang w:eastAsia="zh-CN"/>
              </w:rPr>
              <w:t>因此，本项目符合《安阳市新型制造业产业园区总体发展规划（2010-2020）》及其规划环评要求。</w:t>
            </w:r>
          </w:p>
          <w:p>
            <w:pPr>
              <w:keepNext/>
              <w:keepLines/>
              <w:pageBreakBefore w:val="0"/>
              <w:widowControl w:val="0"/>
              <w:numPr>
                <w:ilvl w:val="0"/>
                <w:numId w:val="0"/>
              </w:numPr>
              <w:suppressLineNumbers w:val="0"/>
              <w:tabs>
                <w:tab w:val="clear" w:pos="2040"/>
              </w:tabs>
              <w:kinsoku/>
              <w:wordWrap/>
              <w:overflowPunct/>
              <w:topLinePunct w:val="0"/>
              <w:autoSpaceDE w:val="0"/>
              <w:autoSpaceDN w:val="0"/>
              <w:bidi w:val="0"/>
              <w:adjustRightInd w:val="0"/>
              <w:snapToGrid w:val="0"/>
              <w:spacing w:before="0" w:beforeAutospacing="0" w:after="0" w:afterAutospacing="0" w:line="360" w:lineRule="auto"/>
              <w:ind w:left="0" w:right="0"/>
              <w:textAlignment w:val="auto"/>
              <w:rPr>
                <w:rFonts w:hint="eastAsia" w:ascii="Times New Roman" w:hAnsi="Times New Roman" w:eastAsia="宋体" w:cs="Times New Roman"/>
                <w:b/>
                <w:bCs/>
                <w:color w:val="auto"/>
                <w:kern w:val="0"/>
                <w:sz w:val="24"/>
                <w:szCs w:val="24"/>
                <w:lang w:eastAsia="zh-CN"/>
              </w:rPr>
            </w:pPr>
            <w:r>
              <w:rPr>
                <w:rFonts w:hint="eastAsia" w:ascii="Times New Roman" w:hAnsi="Times New Roman" w:eastAsia="宋体" w:cs="Times New Roman"/>
                <w:b/>
                <w:bCs/>
                <w:color w:val="auto"/>
                <w:kern w:val="0"/>
                <w:sz w:val="24"/>
                <w:szCs w:val="24"/>
                <w:lang w:val="en-US" w:eastAsia="zh-CN" w:bidi="ar-SA"/>
              </w:rPr>
              <w:t>2.</w:t>
            </w:r>
            <w:r>
              <w:rPr>
                <w:rFonts w:hint="eastAsia" w:ascii="Times New Roman" w:hAnsi="Times New Roman" w:eastAsia="宋体" w:cs="Times New Roman"/>
                <w:b/>
                <w:bCs/>
                <w:color w:val="auto"/>
                <w:kern w:val="0"/>
                <w:sz w:val="24"/>
                <w:szCs w:val="24"/>
                <w:lang w:eastAsia="zh-CN"/>
              </w:rPr>
              <w:t>与规划环评提出的环境准入条件相符性分析</w:t>
            </w:r>
          </w:p>
          <w:p>
            <w:pPr>
              <w:keepNext w:val="0"/>
              <w:keepLines w:val="0"/>
              <w:pageBreakBefore w:val="0"/>
              <w:widowControl w:val="0"/>
              <w:numPr>
                <w:ilvl w:val="0"/>
                <w:numId w:val="0"/>
              </w:numPr>
              <w:suppressLineNumbers w:val="0"/>
              <w:tabs>
                <w:tab w:val="clear" w:pos="2040"/>
              </w:tabs>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color w:val="auto"/>
                <w:kern w:val="0"/>
                <w:sz w:val="24"/>
                <w:szCs w:val="24"/>
                <w:lang w:eastAsia="zh-CN"/>
              </w:rPr>
            </w:pPr>
            <w:r>
              <w:rPr>
                <w:rFonts w:hint="eastAsia" w:ascii="Times New Roman" w:hAnsi="Times New Roman" w:eastAsia="宋体" w:cs="Times New Roman"/>
                <w:b/>
                <w:bCs/>
                <w:color w:val="auto"/>
                <w:kern w:val="0"/>
                <w:sz w:val="24"/>
                <w:szCs w:val="24"/>
                <w:lang w:eastAsia="zh-CN"/>
              </w:rPr>
              <w:t>项目与规划环评环境准入条件相符性分析一览表</w:t>
            </w:r>
          </w:p>
          <w:tbl>
            <w:tblPr>
              <w:tblStyle w:val="28"/>
              <w:tblW w:w="8102" w:type="dxa"/>
              <w:tblInd w:w="2" w:type="dxa"/>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604"/>
              <w:gridCol w:w="3298"/>
              <w:gridCol w:w="3054"/>
              <w:gridCol w:w="1146"/>
            </w:tblGrid>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427" w:hRule="atLeast"/>
              </w:trPr>
              <w:tc>
                <w:tcPr>
                  <w:tcW w:w="3902" w:type="dxa"/>
                  <w:gridSpan w:val="2"/>
                  <w:tcBorders>
                    <w:tl2br w:val="nil"/>
                    <w:tr2bl w:val="nil"/>
                  </w:tcBorders>
                  <w:vAlign w:val="center"/>
                </w:tcPr>
                <w:p>
                  <w:pPr>
                    <w:keepNext w:val="0"/>
                    <w:keepLines w:val="0"/>
                    <w:suppressLineNumbers w:val="0"/>
                    <w:autoSpaceDE w:val="0"/>
                    <w:autoSpaceDN w:val="0"/>
                    <w:spacing w:before="0" w:beforeAutospacing="0" w:after="0" w:afterAutospacing="0"/>
                    <w:ind w:left="0" w:right="0"/>
                    <w:contextualSpacing/>
                    <w:jc w:val="center"/>
                    <w:rPr>
                      <w:rFonts w:hint="default" w:ascii="Times New Roman" w:hAnsi="Times New Roman" w:cs="Times New Roman"/>
                      <w:b/>
                      <w:color w:val="auto"/>
                      <w:kern w:val="0"/>
                      <w:sz w:val="21"/>
                      <w:szCs w:val="21"/>
                    </w:rPr>
                  </w:pPr>
                  <w:r>
                    <w:rPr>
                      <w:rFonts w:hint="eastAsia" w:ascii="Times New Roman" w:hAnsi="Times New Roman" w:cs="Times New Roman"/>
                      <w:b/>
                      <w:color w:val="auto"/>
                      <w:kern w:val="0"/>
                      <w:sz w:val="21"/>
                      <w:szCs w:val="21"/>
                    </w:rPr>
                    <w:t>准入条件具体内容</w:t>
                  </w:r>
                </w:p>
              </w:tc>
              <w:tc>
                <w:tcPr>
                  <w:tcW w:w="3054" w:type="dxa"/>
                  <w:tcBorders>
                    <w:tl2br w:val="nil"/>
                    <w:tr2bl w:val="nil"/>
                  </w:tcBorders>
                  <w:vAlign w:val="center"/>
                </w:tcPr>
                <w:p>
                  <w:pPr>
                    <w:keepNext w:val="0"/>
                    <w:keepLines w:val="0"/>
                    <w:suppressLineNumbers w:val="0"/>
                    <w:autoSpaceDE w:val="0"/>
                    <w:autoSpaceDN w:val="0"/>
                    <w:spacing w:before="0" w:beforeAutospacing="0" w:after="0" w:afterAutospacing="0"/>
                    <w:ind w:left="0" w:right="0"/>
                    <w:contextualSpacing/>
                    <w:jc w:val="center"/>
                    <w:rPr>
                      <w:rFonts w:hint="default" w:ascii="Times New Roman" w:hAnsi="Times New Roman" w:cs="Times New Roman"/>
                      <w:b/>
                      <w:color w:val="auto"/>
                      <w:kern w:val="0"/>
                      <w:sz w:val="21"/>
                      <w:szCs w:val="21"/>
                    </w:rPr>
                  </w:pPr>
                  <w:r>
                    <w:rPr>
                      <w:rFonts w:hint="eastAsia" w:ascii="Times New Roman" w:hAnsi="Times New Roman" w:cs="Times New Roman"/>
                      <w:b/>
                      <w:color w:val="auto"/>
                      <w:kern w:val="0"/>
                      <w:sz w:val="21"/>
                      <w:szCs w:val="21"/>
                    </w:rPr>
                    <w:t>本项目拟建设情况</w:t>
                  </w:r>
                </w:p>
              </w:tc>
              <w:tc>
                <w:tcPr>
                  <w:tcW w:w="1146" w:type="dxa"/>
                  <w:tcBorders>
                    <w:tl2br w:val="nil"/>
                    <w:tr2bl w:val="nil"/>
                  </w:tcBorders>
                  <w:vAlign w:val="center"/>
                </w:tcPr>
                <w:p>
                  <w:pPr>
                    <w:keepNext w:val="0"/>
                    <w:keepLines w:val="0"/>
                    <w:suppressLineNumbers w:val="0"/>
                    <w:autoSpaceDE w:val="0"/>
                    <w:autoSpaceDN w:val="0"/>
                    <w:spacing w:before="0" w:beforeAutospacing="0" w:after="0" w:afterAutospacing="0"/>
                    <w:ind w:left="0" w:right="0"/>
                    <w:contextualSpacing/>
                    <w:jc w:val="center"/>
                    <w:rPr>
                      <w:rFonts w:hint="default" w:ascii="Times New Roman" w:hAnsi="Times New Roman" w:cs="Times New Roman"/>
                      <w:b/>
                      <w:color w:val="auto"/>
                      <w:kern w:val="0"/>
                      <w:sz w:val="21"/>
                      <w:szCs w:val="21"/>
                    </w:rPr>
                  </w:pPr>
                  <w:r>
                    <w:rPr>
                      <w:rFonts w:hint="eastAsia" w:ascii="Times New Roman" w:hAnsi="Times New Roman" w:cs="Times New Roman"/>
                      <w:b/>
                      <w:color w:val="auto"/>
                      <w:kern w:val="0"/>
                      <w:sz w:val="21"/>
                      <w:szCs w:val="21"/>
                    </w:rPr>
                    <w:t>相符性</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604" w:type="dxa"/>
                  <w:tcBorders>
                    <w:tl2br w:val="nil"/>
                    <w:tr2bl w:val="nil"/>
                  </w:tcBorders>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contextualSpacing/>
                    <w:jc w:val="both"/>
                    <w:textAlignment w:val="auto"/>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产业类别</w:t>
                  </w:r>
                </w:p>
              </w:tc>
              <w:tc>
                <w:tcPr>
                  <w:tcW w:w="3298" w:type="dxa"/>
                  <w:tcBorders>
                    <w:tl2br w:val="nil"/>
                    <w:tr2bl w:val="nil"/>
                  </w:tcBorders>
                  <w:vAlign w:val="center"/>
                </w:tcPr>
                <w:p>
                  <w:pPr>
                    <w:keepNext w:val="0"/>
                    <w:keepLines w:val="0"/>
                    <w:suppressLineNumbers w:val="0"/>
                    <w:autoSpaceDE w:val="0"/>
                    <w:autoSpaceDN w:val="0"/>
                    <w:spacing w:before="0" w:beforeAutospacing="0" w:after="0" w:afterAutospacing="0"/>
                    <w:ind w:left="0" w:right="0"/>
                    <w:contextualSpacing/>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lang w:val="en-US" w:eastAsia="zh-CN"/>
                    </w:rPr>
                    <w:t>1、</w:t>
                  </w:r>
                  <w:r>
                    <w:rPr>
                      <w:rFonts w:hint="eastAsia" w:ascii="Times New Roman" w:hAnsi="Times New Roman" w:cs="Times New Roman"/>
                      <w:color w:val="auto"/>
                      <w:kern w:val="0"/>
                      <w:sz w:val="21"/>
                      <w:szCs w:val="21"/>
                    </w:rPr>
                    <w:t>原则上仅允许入驻符合园区产业定位及产业规划，符合园区循环经济发展产业链的补链项目；</w:t>
                  </w:r>
                </w:p>
                <w:p>
                  <w:pPr>
                    <w:keepNext w:val="0"/>
                    <w:keepLines w:val="0"/>
                    <w:suppressLineNumbers w:val="0"/>
                    <w:autoSpaceDE w:val="0"/>
                    <w:autoSpaceDN w:val="0"/>
                    <w:spacing w:before="0" w:beforeAutospacing="0" w:after="0" w:afterAutospacing="0"/>
                    <w:ind w:left="0" w:right="0"/>
                    <w:contextualSpacing/>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lang w:val="en-US" w:eastAsia="zh-CN"/>
                    </w:rPr>
                    <w:t>2、</w:t>
                  </w:r>
                  <w:r>
                    <w:rPr>
                      <w:rFonts w:hint="eastAsia" w:ascii="Times New Roman" w:hAnsi="Times New Roman" w:cs="Times New Roman"/>
                      <w:color w:val="auto"/>
                      <w:kern w:val="0"/>
                      <w:sz w:val="21"/>
                      <w:szCs w:val="21"/>
                    </w:rPr>
                    <w:t>杜绝入驻不符合国家产业政策、行业发展规划、行业准入条件及地方环保管理要求或国家产业政策命令淘汰、落后生产工艺装备；</w:t>
                  </w:r>
                </w:p>
                <w:p>
                  <w:pPr>
                    <w:keepNext w:val="0"/>
                    <w:keepLines w:val="0"/>
                    <w:suppressLineNumbers w:val="0"/>
                    <w:autoSpaceDE w:val="0"/>
                    <w:autoSpaceDN w:val="0"/>
                    <w:spacing w:before="0" w:beforeAutospacing="0" w:after="0" w:afterAutospacing="0"/>
                    <w:ind w:left="0" w:right="0"/>
                    <w:contextualSpacing/>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lang w:val="en-US" w:eastAsia="zh-CN"/>
                    </w:rPr>
                    <w:t>3、</w:t>
                  </w:r>
                  <w:r>
                    <w:rPr>
                      <w:rFonts w:hint="eastAsia" w:ascii="Times New Roman" w:hAnsi="Times New Roman" w:cs="Times New Roman"/>
                      <w:color w:val="auto"/>
                      <w:kern w:val="0"/>
                      <w:sz w:val="21"/>
                      <w:szCs w:val="21"/>
                    </w:rPr>
                    <w:t>依托现有企业入驻的项目，应满足产业负面清单要求。</w:t>
                  </w:r>
                </w:p>
              </w:tc>
              <w:tc>
                <w:tcPr>
                  <w:tcW w:w="3054" w:type="dxa"/>
                  <w:tcBorders>
                    <w:tl2br w:val="nil"/>
                    <w:tr2bl w:val="nil"/>
                  </w:tcBorders>
                  <w:vAlign w:val="center"/>
                </w:tcPr>
                <w:p>
                  <w:pPr>
                    <w:keepNext w:val="0"/>
                    <w:keepLines w:val="0"/>
                    <w:suppressLineNumbers w:val="0"/>
                    <w:autoSpaceDE w:val="0"/>
                    <w:autoSpaceDN w:val="0"/>
                    <w:spacing w:before="0" w:beforeAutospacing="0" w:after="0" w:afterAutospacing="0"/>
                    <w:ind w:left="0" w:right="0"/>
                    <w:contextualSpacing/>
                    <w:jc w:val="both"/>
                    <w:rPr>
                      <w:rFonts w:hint="eastAsia" w:ascii="Times New Roman" w:hAnsi="Times New Roman" w:cs="Times New Roman"/>
                      <w:color w:val="auto"/>
                      <w:kern w:val="0"/>
                      <w:sz w:val="21"/>
                      <w:szCs w:val="21"/>
                      <w:lang w:eastAsia="zh-CN"/>
                    </w:rPr>
                  </w:pPr>
                  <w:r>
                    <w:rPr>
                      <w:rFonts w:hint="eastAsia" w:ascii="Times New Roman" w:hAnsi="Times New Roman" w:cs="Times New Roman"/>
                      <w:color w:val="auto"/>
                      <w:kern w:val="0"/>
                      <w:sz w:val="21"/>
                      <w:szCs w:val="21"/>
                      <w:lang w:val="en-US" w:eastAsia="zh-CN"/>
                    </w:rPr>
                    <w:t>1、</w:t>
                  </w:r>
                  <w:r>
                    <w:rPr>
                      <w:rFonts w:hint="eastAsia" w:ascii="Times New Roman" w:hAnsi="Times New Roman" w:cs="Times New Roman"/>
                      <w:color w:val="auto"/>
                      <w:kern w:val="0"/>
                      <w:sz w:val="21"/>
                      <w:szCs w:val="21"/>
                    </w:rPr>
                    <w:t>本项目属于</w:t>
                  </w:r>
                  <w:r>
                    <w:rPr>
                      <w:rFonts w:hint="eastAsia" w:ascii="Times New Roman" w:hAnsi="Times New Roman" w:cs="Times New Roman"/>
                      <w:color w:val="auto"/>
                      <w:kern w:val="0"/>
                      <w:sz w:val="21"/>
                      <w:szCs w:val="21"/>
                      <w:lang w:eastAsia="zh-CN"/>
                    </w:rPr>
                    <w:t>危险废物治理项目</w:t>
                  </w:r>
                  <w:r>
                    <w:rPr>
                      <w:rFonts w:hint="eastAsia" w:ascii="Times New Roman" w:hAnsi="Times New Roman" w:cs="Times New Roman"/>
                      <w:color w:val="auto"/>
                      <w:kern w:val="0"/>
                      <w:sz w:val="21"/>
                      <w:szCs w:val="21"/>
                    </w:rPr>
                    <w:t>，本项目为铝锌合金生产线配套的危废利用，属于产业链条延伸项目，符合园区循环经济发展产业链的补链项目</w:t>
                  </w:r>
                  <w:r>
                    <w:rPr>
                      <w:rFonts w:hint="eastAsia" w:ascii="Times New Roman" w:hAnsi="Times New Roman" w:cs="Times New Roman"/>
                      <w:color w:val="auto"/>
                      <w:kern w:val="0"/>
                      <w:sz w:val="21"/>
                      <w:szCs w:val="21"/>
                      <w:lang w:eastAsia="zh-CN"/>
                    </w:rPr>
                    <w:t>。</w:t>
                  </w:r>
                </w:p>
                <w:p>
                  <w:pPr>
                    <w:keepNext w:val="0"/>
                    <w:keepLines w:val="0"/>
                    <w:suppressLineNumbers w:val="0"/>
                    <w:autoSpaceDE w:val="0"/>
                    <w:autoSpaceDN w:val="0"/>
                    <w:spacing w:before="0" w:beforeAutospacing="0" w:after="0" w:afterAutospacing="0"/>
                    <w:ind w:left="0" w:right="0"/>
                    <w:contextualSpacing/>
                    <w:jc w:val="both"/>
                    <w:rPr>
                      <w:rFonts w:hint="eastAsia" w:ascii="Times New Roman" w:hAnsi="Times New Roman" w:cs="Times New Roman"/>
                      <w:color w:val="auto"/>
                      <w:kern w:val="0"/>
                      <w:sz w:val="21"/>
                      <w:szCs w:val="21"/>
                      <w:lang w:eastAsia="zh-CN"/>
                    </w:rPr>
                  </w:pPr>
                  <w:r>
                    <w:rPr>
                      <w:rFonts w:hint="eastAsia" w:ascii="Times New Roman" w:hAnsi="Times New Roman" w:cs="Times New Roman"/>
                      <w:color w:val="auto"/>
                      <w:kern w:val="0"/>
                      <w:sz w:val="21"/>
                      <w:szCs w:val="21"/>
                      <w:lang w:val="en-US" w:eastAsia="zh-CN"/>
                    </w:rPr>
                    <w:t>2、</w:t>
                  </w:r>
                  <w:r>
                    <w:rPr>
                      <w:rFonts w:hint="eastAsia" w:ascii="Times New Roman" w:hAnsi="Times New Roman" w:cs="Times New Roman"/>
                      <w:color w:val="auto"/>
                      <w:kern w:val="0"/>
                      <w:sz w:val="21"/>
                      <w:szCs w:val="21"/>
                    </w:rPr>
                    <w:t>经查阅</w:t>
                  </w:r>
                  <w:r>
                    <w:rPr>
                      <w:rFonts w:hint="default" w:ascii="Times New Roman" w:hAnsi="Times New Roman" w:cs="Times New Roman"/>
                      <w:color w:val="auto"/>
                      <w:kern w:val="0"/>
                      <w:sz w:val="21"/>
                      <w:szCs w:val="21"/>
                    </w:rPr>
                    <w:t>《产业结构调整指导目录（2024年本）》，</w:t>
                  </w:r>
                  <w:r>
                    <w:rPr>
                      <w:rFonts w:hint="eastAsia" w:ascii="Times New Roman" w:hAnsi="Times New Roman" w:cs="Times New Roman"/>
                      <w:color w:val="auto"/>
                      <w:kern w:val="0"/>
                      <w:sz w:val="21"/>
                      <w:szCs w:val="21"/>
                    </w:rPr>
                    <w:t>本项目不属于限制类</w:t>
                  </w:r>
                  <w:r>
                    <w:rPr>
                      <w:rFonts w:hint="eastAsia" w:ascii="Times New Roman" w:hAnsi="Times New Roman" w:cs="Times New Roman"/>
                      <w:color w:val="auto"/>
                      <w:kern w:val="0"/>
                      <w:sz w:val="21"/>
                      <w:szCs w:val="21"/>
                      <w:lang w:eastAsia="zh-CN"/>
                    </w:rPr>
                    <w:t>、淘汰类项目</w:t>
                  </w:r>
                  <w:r>
                    <w:rPr>
                      <w:rFonts w:hint="eastAsia" w:ascii="Times New Roman" w:hAnsi="Times New Roman" w:cs="Times New Roman"/>
                      <w:color w:val="auto"/>
                      <w:kern w:val="0"/>
                      <w:sz w:val="21"/>
                      <w:szCs w:val="21"/>
                    </w:rPr>
                    <w:t>，为</w:t>
                  </w:r>
                  <w:r>
                    <w:rPr>
                      <w:rFonts w:hint="eastAsia" w:ascii="Times New Roman" w:hAnsi="Times New Roman" w:cs="Times New Roman"/>
                      <w:color w:val="auto"/>
                      <w:kern w:val="0"/>
                      <w:sz w:val="21"/>
                      <w:szCs w:val="21"/>
                      <w:lang w:eastAsia="zh-CN"/>
                    </w:rPr>
                    <w:t>鼓励</w:t>
                  </w:r>
                  <w:r>
                    <w:rPr>
                      <w:rFonts w:hint="eastAsia" w:ascii="Times New Roman" w:hAnsi="Times New Roman" w:cs="Times New Roman"/>
                      <w:color w:val="auto"/>
                      <w:kern w:val="0"/>
                      <w:sz w:val="21"/>
                      <w:szCs w:val="21"/>
                    </w:rPr>
                    <w:t>类</w:t>
                  </w:r>
                  <w:r>
                    <w:rPr>
                      <w:rFonts w:hint="eastAsia" w:ascii="Times New Roman" w:hAnsi="Times New Roman" w:cs="Times New Roman"/>
                      <w:color w:val="auto"/>
                      <w:kern w:val="0"/>
                      <w:sz w:val="21"/>
                      <w:szCs w:val="21"/>
                      <w:lang w:eastAsia="zh-CN"/>
                    </w:rPr>
                    <w:t>项目</w:t>
                  </w:r>
                  <w:r>
                    <w:rPr>
                      <w:rFonts w:hint="eastAsia" w:ascii="Times New Roman" w:hAnsi="Times New Roman" w:cs="Times New Roman"/>
                      <w:color w:val="auto"/>
                      <w:kern w:val="0"/>
                      <w:sz w:val="21"/>
                      <w:szCs w:val="21"/>
                    </w:rPr>
                    <w:t>。项目工艺、产品及生产设备未列入</w:t>
                  </w:r>
                  <w:r>
                    <w:rPr>
                      <w:rFonts w:hint="default" w:ascii="Times New Roman" w:hAnsi="Times New Roman" w:cs="Times New Roman"/>
                      <w:color w:val="auto"/>
                      <w:kern w:val="0"/>
                      <w:sz w:val="21"/>
                      <w:szCs w:val="21"/>
                    </w:rPr>
                    <w:t>《淘汰落后生产能力、工艺和产品的目录（全</w:t>
                  </w:r>
                  <w:r>
                    <w:rPr>
                      <w:rFonts w:hint="eastAsia" w:ascii="Times New Roman" w:hAnsi="Times New Roman" w:cs="Times New Roman"/>
                      <w:color w:val="auto"/>
                      <w:kern w:val="0"/>
                      <w:sz w:val="21"/>
                      <w:szCs w:val="21"/>
                    </w:rPr>
                    <w:t>四</w:t>
                  </w:r>
                  <w:r>
                    <w:rPr>
                      <w:rFonts w:hint="default" w:ascii="Times New Roman" w:hAnsi="Times New Roman" w:cs="Times New Roman"/>
                      <w:color w:val="auto"/>
                      <w:kern w:val="0"/>
                      <w:sz w:val="21"/>
                      <w:szCs w:val="21"/>
                    </w:rPr>
                    <w:t>批）》</w:t>
                  </w:r>
                  <w:r>
                    <w:rPr>
                      <w:rFonts w:hint="eastAsia" w:ascii="Times New Roman" w:hAnsi="Times New Roman" w:cs="Times New Roman"/>
                      <w:color w:val="auto"/>
                      <w:kern w:val="0"/>
                      <w:sz w:val="21"/>
                      <w:szCs w:val="21"/>
                    </w:rPr>
                    <w:t>，</w:t>
                  </w:r>
                  <w:r>
                    <w:rPr>
                      <w:rFonts w:hint="default" w:ascii="Times New Roman" w:hAnsi="Times New Roman" w:cs="Times New Roman"/>
                      <w:color w:val="auto"/>
                      <w:kern w:val="0"/>
                      <w:sz w:val="21"/>
                      <w:szCs w:val="21"/>
                    </w:rPr>
                    <w:t>项目所用设备均不在淘汰类之列，项目符合当前国家产业政策</w:t>
                  </w:r>
                  <w:r>
                    <w:rPr>
                      <w:rFonts w:hint="eastAsia" w:ascii="Times New Roman" w:hAnsi="Times New Roman" w:cs="Times New Roman"/>
                      <w:color w:val="auto"/>
                      <w:kern w:val="0"/>
                      <w:sz w:val="21"/>
                      <w:szCs w:val="21"/>
                      <w:lang w:eastAsia="zh-CN"/>
                    </w:rPr>
                    <w:t>。</w:t>
                  </w:r>
                </w:p>
                <w:p>
                  <w:pPr>
                    <w:keepNext w:val="0"/>
                    <w:keepLines w:val="0"/>
                    <w:suppressLineNumbers w:val="0"/>
                    <w:autoSpaceDE w:val="0"/>
                    <w:autoSpaceDN w:val="0"/>
                    <w:spacing w:before="0" w:beforeAutospacing="0" w:after="0" w:afterAutospacing="0"/>
                    <w:ind w:left="0" w:right="0"/>
                    <w:contextualSpacing/>
                    <w:jc w:val="both"/>
                    <w:rPr>
                      <w:rFonts w:hint="default" w:ascii="Times New Roman" w:hAnsi="Times New Roman"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3、本项目依托现有企业入驻，</w:t>
                  </w:r>
                  <w:r>
                    <w:rPr>
                      <w:rFonts w:hint="eastAsia" w:ascii="Times New Roman" w:hAnsi="Times New Roman" w:cs="Times New Roman"/>
                      <w:color w:val="auto"/>
                      <w:kern w:val="0"/>
                      <w:sz w:val="21"/>
                      <w:szCs w:val="21"/>
                      <w:lang w:eastAsia="zh-CN"/>
                    </w:rPr>
                    <w:t>满足产业负面清单要求。</w:t>
                  </w:r>
                </w:p>
              </w:tc>
              <w:tc>
                <w:tcPr>
                  <w:tcW w:w="1146" w:type="dxa"/>
                  <w:tcBorders>
                    <w:tl2br w:val="nil"/>
                    <w:tr2bl w:val="nil"/>
                  </w:tcBorders>
                  <w:vAlign w:val="center"/>
                </w:tcPr>
                <w:p>
                  <w:pPr>
                    <w:keepNext w:val="0"/>
                    <w:keepLines w:val="0"/>
                    <w:suppressLineNumbers w:val="0"/>
                    <w:autoSpaceDE w:val="0"/>
                    <w:autoSpaceDN w:val="0"/>
                    <w:spacing w:before="0" w:beforeAutospacing="0" w:after="0" w:afterAutospacing="0"/>
                    <w:ind w:left="0" w:right="0"/>
                    <w:contextualSpacing/>
                    <w:jc w:val="center"/>
                    <w:rPr>
                      <w:rFonts w:hint="eastAsia" w:ascii="Times New Roman" w:hAnsi="Times New Roman" w:eastAsia="宋体" w:cs="Times New Roman"/>
                      <w:color w:val="auto"/>
                      <w:kern w:val="0"/>
                      <w:sz w:val="21"/>
                      <w:szCs w:val="21"/>
                      <w:lang w:eastAsia="zh-CN"/>
                    </w:rPr>
                  </w:pPr>
                  <w:r>
                    <w:rPr>
                      <w:rFonts w:hint="eastAsia" w:ascii="Times New Roman" w:hAnsi="Times New Roman" w:cs="Times New Roman"/>
                      <w:color w:val="auto"/>
                      <w:kern w:val="0"/>
                      <w:sz w:val="21"/>
                      <w:szCs w:val="21"/>
                      <w:lang w:eastAsia="zh-CN"/>
                    </w:rPr>
                    <w:t>相符</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604" w:type="dxa"/>
                  <w:tcBorders>
                    <w:tl2br w:val="nil"/>
                    <w:tr2bl w:val="nil"/>
                  </w:tcBorders>
                  <w:vAlign w:val="center"/>
                </w:tcPr>
                <w:p>
                  <w:pPr>
                    <w:keepNext w:val="0"/>
                    <w:keepLines w:val="0"/>
                    <w:suppressLineNumbers w:val="0"/>
                    <w:autoSpaceDE w:val="0"/>
                    <w:autoSpaceDN w:val="0"/>
                    <w:spacing w:before="0" w:beforeAutospacing="0" w:after="0" w:afterAutospacing="0"/>
                    <w:ind w:left="0" w:right="0"/>
                    <w:contextualSpacing/>
                    <w:jc w:val="center"/>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生产规模和工艺技术先进性要求</w:t>
                  </w:r>
                </w:p>
              </w:tc>
              <w:tc>
                <w:tcPr>
                  <w:tcW w:w="3298" w:type="dxa"/>
                  <w:tcBorders>
                    <w:tl2br w:val="nil"/>
                    <w:tr2bl w:val="nil"/>
                  </w:tcBorders>
                  <w:vAlign w:val="center"/>
                </w:tcPr>
                <w:p>
                  <w:pPr>
                    <w:keepNext w:val="0"/>
                    <w:keepLines w:val="0"/>
                    <w:suppressLineNumbers w:val="0"/>
                    <w:autoSpaceDE w:val="0"/>
                    <w:autoSpaceDN w:val="0"/>
                    <w:spacing w:before="0" w:beforeAutospacing="0" w:after="0" w:afterAutospacing="0"/>
                    <w:ind w:left="0" w:right="0"/>
                    <w:contextualSpacing/>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lang w:val="en-US" w:eastAsia="zh-CN"/>
                    </w:rPr>
                    <w:t>1、</w:t>
                  </w:r>
                  <w:r>
                    <w:rPr>
                      <w:rFonts w:hint="eastAsia" w:ascii="Times New Roman" w:hAnsi="Times New Roman" w:cs="Times New Roman"/>
                      <w:color w:val="auto"/>
                      <w:kern w:val="0"/>
                      <w:sz w:val="21"/>
                      <w:szCs w:val="21"/>
                    </w:rPr>
                    <w:t>在工艺技术水平上，要求入驻项目达到国内同行业领先水平、或具备国际先进水平；</w:t>
                  </w:r>
                </w:p>
                <w:p>
                  <w:pPr>
                    <w:keepNext w:val="0"/>
                    <w:keepLines w:val="0"/>
                    <w:suppressLineNumbers w:val="0"/>
                    <w:autoSpaceDE w:val="0"/>
                    <w:autoSpaceDN w:val="0"/>
                    <w:spacing w:before="0" w:beforeAutospacing="0" w:after="0" w:afterAutospacing="0"/>
                    <w:ind w:left="0" w:right="0"/>
                    <w:contextualSpacing/>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lang w:val="en-US" w:eastAsia="zh-CN"/>
                    </w:rPr>
                    <w:t>2、</w:t>
                  </w:r>
                  <w:r>
                    <w:rPr>
                      <w:rFonts w:hint="eastAsia" w:ascii="Times New Roman" w:hAnsi="Times New Roman" w:cs="Times New Roman"/>
                      <w:color w:val="auto"/>
                      <w:kern w:val="0"/>
                      <w:sz w:val="21"/>
                      <w:szCs w:val="21"/>
                    </w:rPr>
                    <w:t>建设规模应符合国家相关行业准入条件中的经济、产品规模和生产工艺要求；</w:t>
                  </w:r>
                </w:p>
                <w:p>
                  <w:pPr>
                    <w:keepNext w:val="0"/>
                    <w:keepLines w:val="0"/>
                    <w:suppressLineNumbers w:val="0"/>
                    <w:autoSpaceDE w:val="0"/>
                    <w:autoSpaceDN w:val="0"/>
                    <w:spacing w:before="0" w:beforeAutospacing="0" w:after="0" w:afterAutospacing="0"/>
                    <w:ind w:left="0" w:right="0"/>
                    <w:contextualSpacing/>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lang w:val="en-US" w:eastAsia="zh-CN"/>
                    </w:rPr>
                    <w:t>3、</w:t>
                  </w:r>
                  <w:r>
                    <w:rPr>
                      <w:rFonts w:hint="eastAsia" w:ascii="Times New Roman" w:hAnsi="Times New Roman" w:cs="Times New Roman"/>
                      <w:color w:val="auto"/>
                      <w:kern w:val="0"/>
                      <w:sz w:val="21"/>
                      <w:szCs w:val="21"/>
                    </w:rPr>
                    <w:t>环保搬迁入驻企业应进行产品和生产技术的升级改造，达到国家相关规定要求。</w:t>
                  </w:r>
                </w:p>
              </w:tc>
              <w:tc>
                <w:tcPr>
                  <w:tcW w:w="3054" w:type="dxa"/>
                  <w:tcBorders>
                    <w:tl2br w:val="nil"/>
                    <w:tr2bl w:val="nil"/>
                  </w:tcBorders>
                  <w:vAlign w:val="center"/>
                </w:tcPr>
                <w:p>
                  <w:pPr>
                    <w:keepNext w:val="0"/>
                    <w:keepLines w:val="0"/>
                    <w:suppressLineNumbers w:val="0"/>
                    <w:autoSpaceDE w:val="0"/>
                    <w:autoSpaceDN w:val="0"/>
                    <w:spacing w:before="0" w:beforeAutospacing="0" w:after="0" w:afterAutospacing="0"/>
                    <w:ind w:left="0" w:right="0"/>
                    <w:contextualSpacing/>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lang w:val="en-US" w:eastAsia="zh-CN"/>
                    </w:rPr>
                    <w:t>1、</w:t>
                  </w:r>
                  <w:r>
                    <w:rPr>
                      <w:rFonts w:hint="eastAsia" w:ascii="Times New Roman" w:hAnsi="Times New Roman" w:cs="Times New Roman"/>
                      <w:color w:val="auto"/>
                      <w:kern w:val="0"/>
                      <w:sz w:val="21"/>
                      <w:szCs w:val="21"/>
                    </w:rPr>
                    <w:t>本项目工艺技术水平可以达到国内同行业领先水平。</w:t>
                  </w:r>
                </w:p>
                <w:p>
                  <w:pPr>
                    <w:keepNext w:val="0"/>
                    <w:keepLines w:val="0"/>
                    <w:suppressLineNumbers w:val="0"/>
                    <w:autoSpaceDE w:val="0"/>
                    <w:autoSpaceDN w:val="0"/>
                    <w:spacing w:before="0" w:beforeAutospacing="0" w:after="0" w:afterAutospacing="0"/>
                    <w:ind w:left="0" w:right="0"/>
                    <w:contextualSpacing/>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lang w:val="en-US" w:eastAsia="zh-CN"/>
                    </w:rPr>
                    <w:t>2、</w:t>
                  </w:r>
                  <w:r>
                    <w:rPr>
                      <w:rFonts w:hint="eastAsia" w:ascii="Times New Roman" w:hAnsi="Times New Roman" w:cs="Times New Roman"/>
                      <w:color w:val="auto"/>
                      <w:kern w:val="0"/>
                      <w:sz w:val="21"/>
                      <w:szCs w:val="21"/>
                    </w:rPr>
                    <w:t>本项目</w:t>
                  </w:r>
                  <w:r>
                    <w:rPr>
                      <w:rFonts w:hint="eastAsia" w:ascii="Times New Roman" w:hAnsi="Times New Roman" w:cs="Times New Roman"/>
                      <w:color w:val="auto"/>
                      <w:kern w:val="0"/>
                      <w:sz w:val="21"/>
                      <w:szCs w:val="21"/>
                      <w:lang w:eastAsia="zh-CN"/>
                    </w:rPr>
                    <w:t>在现有厂区建设，不新增用地，总投资</w:t>
                  </w:r>
                  <w:r>
                    <w:rPr>
                      <w:rFonts w:hint="eastAsia" w:ascii="Times New Roman" w:hAnsi="Times New Roman" w:cs="Times New Roman"/>
                      <w:color w:val="auto"/>
                      <w:kern w:val="0"/>
                      <w:sz w:val="21"/>
                      <w:szCs w:val="21"/>
                      <w:lang w:val="en-US" w:eastAsia="zh-CN"/>
                    </w:rPr>
                    <w:t>20万元，</w:t>
                  </w:r>
                  <w:r>
                    <w:rPr>
                      <w:rFonts w:hint="eastAsia" w:ascii="Times New Roman" w:hAnsi="Times New Roman" w:cs="Times New Roman"/>
                      <w:color w:val="auto"/>
                      <w:kern w:val="0"/>
                      <w:sz w:val="21"/>
                      <w:szCs w:val="21"/>
                      <w:lang w:eastAsia="zh-CN"/>
                    </w:rPr>
                    <w:t>建设规模符合</w:t>
                  </w:r>
                  <w:r>
                    <w:rPr>
                      <w:rFonts w:hint="eastAsia" w:ascii="Times New Roman" w:hAnsi="Times New Roman" w:cs="Times New Roman"/>
                      <w:color w:val="auto"/>
                      <w:kern w:val="0"/>
                      <w:sz w:val="21"/>
                      <w:szCs w:val="21"/>
                    </w:rPr>
                    <w:t>国家相关行业准入条件中的经济、产品规模和生产工艺要求。</w:t>
                  </w:r>
                </w:p>
                <w:p>
                  <w:pPr>
                    <w:keepNext w:val="0"/>
                    <w:keepLines w:val="0"/>
                    <w:suppressLineNumbers w:val="0"/>
                    <w:autoSpaceDE w:val="0"/>
                    <w:autoSpaceDN w:val="0"/>
                    <w:spacing w:before="0" w:beforeAutospacing="0" w:after="0" w:afterAutospacing="0"/>
                    <w:ind w:left="0" w:right="0"/>
                    <w:contextualSpacing/>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lang w:val="en-US" w:eastAsia="zh-CN"/>
                    </w:rPr>
                    <w:t>3、</w:t>
                  </w:r>
                  <w:r>
                    <w:rPr>
                      <w:rFonts w:hint="eastAsia" w:ascii="Times New Roman" w:hAnsi="Times New Roman" w:cs="Times New Roman"/>
                      <w:color w:val="auto"/>
                      <w:kern w:val="0"/>
                      <w:sz w:val="21"/>
                      <w:szCs w:val="21"/>
                    </w:rPr>
                    <w:t>本项目不属于环保搬迁入驻企业。</w:t>
                  </w:r>
                </w:p>
              </w:tc>
              <w:tc>
                <w:tcPr>
                  <w:tcW w:w="1146" w:type="dxa"/>
                  <w:tcBorders>
                    <w:tl2br w:val="nil"/>
                    <w:tr2bl w:val="nil"/>
                  </w:tcBorders>
                  <w:vAlign w:val="center"/>
                </w:tcPr>
                <w:p>
                  <w:pPr>
                    <w:keepNext w:val="0"/>
                    <w:keepLines w:val="0"/>
                    <w:suppressLineNumbers w:val="0"/>
                    <w:autoSpaceDE w:val="0"/>
                    <w:autoSpaceDN w:val="0"/>
                    <w:spacing w:before="0" w:beforeAutospacing="0" w:after="0" w:afterAutospacing="0"/>
                    <w:ind w:left="0" w:right="0"/>
                    <w:contextualSpacing/>
                    <w:jc w:val="center"/>
                    <w:rPr>
                      <w:rFonts w:hint="eastAsia" w:ascii="Times New Roman" w:hAnsi="Times New Roman" w:eastAsia="宋体" w:cs="Times New Roman"/>
                      <w:color w:val="auto"/>
                      <w:kern w:val="0"/>
                      <w:sz w:val="21"/>
                      <w:szCs w:val="21"/>
                      <w:lang w:eastAsia="zh-CN"/>
                    </w:rPr>
                  </w:pPr>
                  <w:r>
                    <w:rPr>
                      <w:rFonts w:hint="eastAsia" w:ascii="Times New Roman" w:hAnsi="Times New Roman" w:cs="Times New Roman"/>
                      <w:color w:val="auto"/>
                      <w:kern w:val="0"/>
                      <w:sz w:val="21"/>
                      <w:szCs w:val="21"/>
                      <w:lang w:eastAsia="zh-CN"/>
                    </w:rPr>
                    <w:t>相符</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821" w:hRule="atLeast"/>
              </w:trPr>
              <w:tc>
                <w:tcPr>
                  <w:tcW w:w="604" w:type="dxa"/>
                  <w:tcBorders>
                    <w:tl2br w:val="nil"/>
                    <w:tr2bl w:val="nil"/>
                  </w:tcBorders>
                  <w:vAlign w:val="center"/>
                </w:tcPr>
                <w:p>
                  <w:pPr>
                    <w:keepNext w:val="0"/>
                    <w:keepLines w:val="0"/>
                    <w:suppressLineNumbers w:val="0"/>
                    <w:autoSpaceDE w:val="0"/>
                    <w:autoSpaceDN w:val="0"/>
                    <w:spacing w:before="0" w:beforeAutospacing="0" w:after="0" w:afterAutospacing="0"/>
                    <w:ind w:left="0" w:right="0"/>
                    <w:contextualSpacing/>
                    <w:jc w:val="center"/>
                    <w:rPr>
                      <w:rFonts w:hint="eastAsia" w:ascii="Times New Roman" w:hAnsi="Times New Roman" w:cs="Times New Roman"/>
                      <w:color w:val="auto"/>
                      <w:kern w:val="0"/>
                      <w:sz w:val="21"/>
                      <w:szCs w:val="21"/>
                    </w:rPr>
                  </w:pPr>
                  <w:r>
                    <w:rPr>
                      <w:rFonts w:hint="eastAsia" w:ascii="Times New Roman" w:hAnsi="Times New Roman" w:cs="Times New Roman"/>
                      <w:color w:val="auto"/>
                      <w:kern w:val="0"/>
                      <w:sz w:val="21"/>
                      <w:szCs w:val="21"/>
                    </w:rPr>
                    <w:t>清洁生产水平</w:t>
                  </w:r>
                </w:p>
              </w:tc>
              <w:tc>
                <w:tcPr>
                  <w:tcW w:w="3298" w:type="dxa"/>
                  <w:tcBorders>
                    <w:tl2br w:val="nil"/>
                    <w:tr2bl w:val="nil"/>
                  </w:tcBorders>
                  <w:vAlign w:val="center"/>
                </w:tcPr>
                <w:p>
                  <w:pPr>
                    <w:keepNext w:val="0"/>
                    <w:keepLines w:val="0"/>
                    <w:suppressLineNumbers w:val="0"/>
                    <w:autoSpaceDE w:val="0"/>
                    <w:autoSpaceDN w:val="0"/>
                    <w:spacing w:before="0" w:beforeAutospacing="0" w:after="0" w:afterAutospacing="0"/>
                    <w:ind w:left="0" w:right="0"/>
                    <w:contextualSpacing/>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lang w:val="en-US" w:eastAsia="zh-CN"/>
                    </w:rPr>
                    <w:t>1、</w:t>
                  </w:r>
                  <w:r>
                    <w:rPr>
                      <w:rFonts w:hint="eastAsia" w:ascii="Times New Roman" w:hAnsi="Times New Roman" w:cs="Times New Roman"/>
                      <w:color w:val="auto"/>
                      <w:kern w:val="0"/>
                      <w:sz w:val="21"/>
                      <w:szCs w:val="21"/>
                    </w:rPr>
                    <w:t>应符合国家和行业环境保护标准和清洁生产标准要求；</w:t>
                  </w:r>
                </w:p>
                <w:p>
                  <w:pPr>
                    <w:keepNext w:val="0"/>
                    <w:keepLines w:val="0"/>
                    <w:suppressLineNumbers w:val="0"/>
                    <w:autoSpaceDE w:val="0"/>
                    <w:autoSpaceDN w:val="0"/>
                    <w:spacing w:before="0" w:beforeAutospacing="0" w:after="0" w:afterAutospacing="0"/>
                    <w:ind w:left="0" w:right="0"/>
                    <w:contextualSpacing/>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lang w:val="en-US" w:eastAsia="zh-CN"/>
                    </w:rPr>
                    <w:t>2、</w:t>
                  </w:r>
                  <w:r>
                    <w:rPr>
                      <w:rFonts w:hint="eastAsia" w:ascii="Times New Roman" w:hAnsi="Times New Roman" w:cs="Times New Roman"/>
                      <w:color w:val="auto"/>
                      <w:kern w:val="0"/>
                      <w:sz w:val="21"/>
                      <w:szCs w:val="21"/>
                    </w:rPr>
                    <w:t>入驻项目的单位产品水耗、电耗、综合能耗等清洁生产指标应达到国内相关行业指标要求；</w:t>
                  </w:r>
                </w:p>
                <w:p>
                  <w:pPr>
                    <w:keepNext w:val="0"/>
                    <w:keepLines w:val="0"/>
                    <w:suppressLineNumbers w:val="0"/>
                    <w:autoSpaceDE w:val="0"/>
                    <w:autoSpaceDN w:val="0"/>
                    <w:spacing w:before="0" w:beforeAutospacing="0" w:after="0" w:afterAutospacing="0"/>
                    <w:ind w:left="0" w:right="0"/>
                    <w:contextualSpacing/>
                    <w:jc w:val="both"/>
                    <w:rPr>
                      <w:rFonts w:hint="eastAsia" w:ascii="Times New Roman" w:hAnsi="Times New Roman" w:cs="Times New Roman"/>
                      <w:color w:val="auto"/>
                      <w:kern w:val="0"/>
                      <w:sz w:val="21"/>
                      <w:szCs w:val="21"/>
                    </w:rPr>
                  </w:pPr>
                  <w:r>
                    <w:rPr>
                      <w:rFonts w:hint="eastAsia" w:ascii="Times New Roman" w:hAnsi="Times New Roman" w:cs="Times New Roman"/>
                      <w:color w:val="auto"/>
                      <w:kern w:val="0"/>
                      <w:sz w:val="21"/>
                      <w:szCs w:val="21"/>
                      <w:lang w:val="en-US" w:eastAsia="zh-CN"/>
                    </w:rPr>
                    <w:t>3、</w:t>
                  </w:r>
                  <w:r>
                    <w:rPr>
                      <w:rFonts w:hint="eastAsia" w:ascii="Times New Roman" w:hAnsi="Times New Roman" w:cs="Times New Roman"/>
                      <w:color w:val="auto"/>
                      <w:kern w:val="0"/>
                      <w:sz w:val="21"/>
                      <w:szCs w:val="21"/>
                    </w:rPr>
                    <w:t>入驻企业清洁生产水平应达到国内同行业先进水平或领先水平。</w:t>
                  </w:r>
                </w:p>
              </w:tc>
              <w:tc>
                <w:tcPr>
                  <w:tcW w:w="3054" w:type="dxa"/>
                  <w:tcBorders>
                    <w:tl2br w:val="nil"/>
                    <w:tr2bl w:val="nil"/>
                  </w:tcBorders>
                  <w:vAlign w:val="center"/>
                </w:tcPr>
                <w:p>
                  <w:pPr>
                    <w:keepNext w:val="0"/>
                    <w:keepLines w:val="0"/>
                    <w:suppressLineNumbers w:val="0"/>
                    <w:autoSpaceDE w:val="0"/>
                    <w:autoSpaceDN w:val="0"/>
                    <w:spacing w:before="0" w:beforeAutospacing="0" w:after="0" w:afterAutospacing="0"/>
                    <w:ind w:left="0" w:right="0"/>
                    <w:contextualSpacing/>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lang w:val="en-US" w:eastAsia="zh-CN"/>
                    </w:rPr>
                    <w:t>1、</w:t>
                  </w:r>
                  <w:r>
                    <w:rPr>
                      <w:rFonts w:hint="eastAsia" w:ascii="Times New Roman" w:hAnsi="Times New Roman" w:cs="Times New Roman"/>
                      <w:color w:val="auto"/>
                      <w:kern w:val="0"/>
                      <w:sz w:val="21"/>
                      <w:szCs w:val="21"/>
                    </w:rPr>
                    <w:t>本项目</w:t>
                  </w:r>
                  <w:r>
                    <w:rPr>
                      <w:rFonts w:hint="eastAsia" w:ascii="Times New Roman" w:hAnsi="Times New Roman" w:cs="Times New Roman"/>
                      <w:color w:val="auto"/>
                      <w:kern w:val="0"/>
                      <w:sz w:val="21"/>
                      <w:szCs w:val="21"/>
                      <w:lang w:val="en-US" w:eastAsia="zh-CN"/>
                    </w:rPr>
                    <w:t>污染物排放满足《大气污染物综合排放标准》（GB16297-1996）、《安阳市2019年工业大气污染治理5个专项实施方案》的通知（安环攻坚办〔2019〕196号文）及《河南省重污染天气通用行业应急减排措施制定技术指南》（2024年修订版）等相关标准，</w:t>
                  </w:r>
                  <w:r>
                    <w:rPr>
                      <w:rFonts w:hint="eastAsia" w:ascii="Times New Roman" w:hAnsi="Times New Roman" w:cs="Times New Roman"/>
                      <w:color w:val="auto"/>
                      <w:kern w:val="0"/>
                      <w:sz w:val="21"/>
                      <w:szCs w:val="21"/>
                    </w:rPr>
                    <w:t>符合国家和行业环境保护标准和清洁生产标准要求。</w:t>
                  </w:r>
                </w:p>
                <w:p>
                  <w:pPr>
                    <w:keepNext w:val="0"/>
                    <w:keepLines w:val="0"/>
                    <w:suppressLineNumbers w:val="0"/>
                    <w:autoSpaceDE w:val="0"/>
                    <w:autoSpaceDN w:val="0"/>
                    <w:spacing w:before="0" w:beforeAutospacing="0" w:after="0" w:afterAutospacing="0"/>
                    <w:ind w:left="0" w:right="0"/>
                    <w:contextualSpacing/>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lang w:val="en-US" w:eastAsia="zh-CN"/>
                    </w:rPr>
                    <w:t>2、</w:t>
                  </w:r>
                  <w:r>
                    <w:rPr>
                      <w:rFonts w:hint="eastAsia" w:ascii="Times New Roman" w:hAnsi="Times New Roman" w:cs="Times New Roman"/>
                      <w:color w:val="auto"/>
                      <w:kern w:val="0"/>
                      <w:sz w:val="21"/>
                      <w:szCs w:val="21"/>
                    </w:rPr>
                    <w:t>本项目单位产品</w:t>
                  </w:r>
                  <w:r>
                    <w:rPr>
                      <w:rFonts w:hint="eastAsia" w:ascii="Times New Roman" w:hAnsi="Times New Roman" w:cs="Times New Roman"/>
                      <w:color w:val="auto"/>
                      <w:kern w:val="0"/>
                      <w:sz w:val="21"/>
                      <w:szCs w:val="21"/>
                      <w:lang w:eastAsia="zh-CN"/>
                    </w:rPr>
                    <w:t>水耗、</w:t>
                  </w:r>
                  <w:r>
                    <w:rPr>
                      <w:rFonts w:hint="eastAsia" w:ascii="Times New Roman" w:hAnsi="Times New Roman" w:cs="Times New Roman"/>
                      <w:color w:val="auto"/>
                      <w:kern w:val="0"/>
                      <w:sz w:val="21"/>
                      <w:szCs w:val="21"/>
                    </w:rPr>
                    <w:t>电耗、综合能耗等清洁生产指标达到国内相关行业指标要求。</w:t>
                  </w:r>
                </w:p>
                <w:p>
                  <w:pPr>
                    <w:keepNext w:val="0"/>
                    <w:keepLines w:val="0"/>
                    <w:suppressLineNumbers w:val="0"/>
                    <w:autoSpaceDE w:val="0"/>
                    <w:autoSpaceDN w:val="0"/>
                    <w:spacing w:before="0" w:beforeAutospacing="0" w:after="0" w:afterAutospacing="0"/>
                    <w:ind w:left="0" w:right="0"/>
                    <w:contextualSpacing/>
                    <w:jc w:val="both"/>
                    <w:rPr>
                      <w:rFonts w:hint="eastAsia" w:ascii="Times New Roman" w:hAnsi="Times New Roman" w:cs="Times New Roman"/>
                      <w:color w:val="auto"/>
                      <w:kern w:val="0"/>
                      <w:sz w:val="21"/>
                      <w:szCs w:val="21"/>
                    </w:rPr>
                  </w:pPr>
                  <w:r>
                    <w:rPr>
                      <w:rFonts w:hint="eastAsia" w:ascii="Times New Roman" w:hAnsi="Times New Roman" w:cs="Times New Roman"/>
                      <w:color w:val="auto"/>
                      <w:kern w:val="0"/>
                      <w:sz w:val="21"/>
                      <w:szCs w:val="21"/>
                      <w:lang w:val="en-US" w:eastAsia="zh-CN"/>
                    </w:rPr>
                    <w:t>3、</w:t>
                  </w:r>
                  <w:r>
                    <w:rPr>
                      <w:rFonts w:hint="eastAsia" w:ascii="Times New Roman" w:hAnsi="Times New Roman" w:cs="Times New Roman"/>
                      <w:color w:val="auto"/>
                      <w:kern w:val="0"/>
                      <w:sz w:val="21"/>
                      <w:szCs w:val="21"/>
                    </w:rPr>
                    <w:t>本项目清洁生产水平达到国内同行业先进水平。</w:t>
                  </w:r>
                </w:p>
              </w:tc>
              <w:tc>
                <w:tcPr>
                  <w:tcW w:w="1146" w:type="dxa"/>
                  <w:tcBorders>
                    <w:tl2br w:val="nil"/>
                    <w:tr2bl w:val="nil"/>
                  </w:tcBorders>
                  <w:vAlign w:val="center"/>
                </w:tcPr>
                <w:p>
                  <w:pPr>
                    <w:keepNext w:val="0"/>
                    <w:keepLines w:val="0"/>
                    <w:suppressLineNumbers w:val="0"/>
                    <w:autoSpaceDE w:val="0"/>
                    <w:autoSpaceDN w:val="0"/>
                    <w:spacing w:before="0" w:beforeAutospacing="0" w:after="0" w:afterAutospacing="0"/>
                    <w:ind w:left="0" w:right="0"/>
                    <w:contextualSpacing/>
                    <w:jc w:val="center"/>
                    <w:rPr>
                      <w:rFonts w:hint="eastAsia" w:ascii="Times New Roman" w:hAnsi="Times New Roman" w:eastAsia="宋体" w:cs="Times New Roman"/>
                      <w:color w:val="auto"/>
                      <w:kern w:val="0"/>
                      <w:sz w:val="21"/>
                      <w:szCs w:val="21"/>
                      <w:lang w:eastAsia="zh-CN"/>
                    </w:rPr>
                  </w:pPr>
                  <w:r>
                    <w:rPr>
                      <w:rFonts w:hint="eastAsia" w:ascii="Times New Roman" w:hAnsi="Times New Roman" w:cs="Times New Roman"/>
                      <w:color w:val="auto"/>
                      <w:kern w:val="0"/>
                      <w:sz w:val="21"/>
                      <w:szCs w:val="21"/>
                      <w:lang w:eastAsia="zh-CN"/>
                    </w:rPr>
                    <w:t>相符</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604" w:type="dxa"/>
                  <w:tcBorders>
                    <w:tl2br w:val="nil"/>
                    <w:tr2bl w:val="nil"/>
                  </w:tcBorders>
                  <w:vAlign w:val="center"/>
                </w:tcPr>
                <w:p>
                  <w:pPr>
                    <w:keepNext w:val="0"/>
                    <w:keepLines w:val="0"/>
                    <w:suppressLineNumbers w:val="0"/>
                    <w:autoSpaceDE w:val="0"/>
                    <w:autoSpaceDN w:val="0"/>
                    <w:spacing w:before="0" w:beforeAutospacing="0" w:after="0" w:afterAutospacing="0"/>
                    <w:ind w:left="0" w:right="0"/>
                    <w:contextualSpacing/>
                    <w:jc w:val="center"/>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污染物排放及总量控制</w:t>
                  </w:r>
                </w:p>
              </w:tc>
              <w:tc>
                <w:tcPr>
                  <w:tcW w:w="3298" w:type="dxa"/>
                  <w:tcBorders>
                    <w:tl2br w:val="nil"/>
                    <w:tr2bl w:val="nil"/>
                  </w:tcBorders>
                  <w:vAlign w:val="center"/>
                </w:tcPr>
                <w:p>
                  <w:pPr>
                    <w:keepNext w:val="0"/>
                    <w:keepLines w:val="0"/>
                    <w:suppressLineNumbers w:val="0"/>
                    <w:autoSpaceDE w:val="0"/>
                    <w:autoSpaceDN w:val="0"/>
                    <w:spacing w:before="0" w:beforeAutospacing="0" w:after="0" w:afterAutospacing="0"/>
                    <w:ind w:left="0" w:right="0"/>
                    <w:contextualSpacing/>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lang w:val="en-US" w:eastAsia="zh-CN"/>
                    </w:rPr>
                    <w:t>1、</w:t>
                  </w:r>
                  <w:r>
                    <w:rPr>
                      <w:rFonts w:hint="eastAsia" w:ascii="Times New Roman" w:hAnsi="Times New Roman" w:cs="Times New Roman"/>
                      <w:color w:val="auto"/>
                      <w:kern w:val="0"/>
                      <w:sz w:val="21"/>
                      <w:szCs w:val="21"/>
                    </w:rPr>
                    <w:t>入驻项目污染物排放必须满足国家、行业污染物排放标准，以及《安阳市2018年工业企业超低排放深度治理实施方案》限值要求；</w:t>
                  </w:r>
                </w:p>
                <w:p>
                  <w:pPr>
                    <w:keepNext w:val="0"/>
                    <w:keepLines w:val="0"/>
                    <w:suppressLineNumbers w:val="0"/>
                    <w:autoSpaceDE w:val="0"/>
                    <w:autoSpaceDN w:val="0"/>
                    <w:spacing w:before="0" w:beforeAutospacing="0" w:after="0" w:afterAutospacing="0"/>
                    <w:ind w:left="0" w:right="0"/>
                    <w:contextualSpacing/>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lang w:val="en-US" w:eastAsia="zh-CN"/>
                    </w:rPr>
                    <w:t>2、</w:t>
                  </w:r>
                  <w:r>
                    <w:rPr>
                      <w:rFonts w:hint="eastAsia" w:ascii="Times New Roman" w:hAnsi="Times New Roman" w:cs="Times New Roman"/>
                      <w:color w:val="auto"/>
                      <w:kern w:val="0"/>
                      <w:sz w:val="21"/>
                      <w:szCs w:val="21"/>
                    </w:rPr>
                    <w:t>使用溶剂型涂料的生产工序，烘干废气宜采用焚烧处理，废气处理设施VOCs总净化效率不低于90%，涂装废气应确保废气污染物稳定达标排放。使用溶剂型涂料的生产工序，涂装废气、晾（风）干废气宜采用吸附浓缩+焚烧方式处理，烘干废气宜采用焚烧处理。</w:t>
                  </w:r>
                </w:p>
                <w:p>
                  <w:pPr>
                    <w:keepNext w:val="0"/>
                    <w:keepLines w:val="0"/>
                    <w:suppressLineNumbers w:val="0"/>
                    <w:autoSpaceDE w:val="0"/>
                    <w:autoSpaceDN w:val="0"/>
                    <w:spacing w:before="0" w:beforeAutospacing="0" w:after="0" w:afterAutospacing="0"/>
                    <w:ind w:left="0" w:right="0"/>
                    <w:contextualSpacing/>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lang w:val="en-US" w:eastAsia="zh-CN"/>
                    </w:rPr>
                    <w:t>3、</w:t>
                  </w:r>
                  <w:r>
                    <w:rPr>
                      <w:rFonts w:hint="eastAsia" w:ascii="Times New Roman" w:hAnsi="Times New Roman" w:cs="Times New Roman"/>
                      <w:color w:val="auto"/>
                      <w:kern w:val="0"/>
                      <w:sz w:val="21"/>
                      <w:szCs w:val="21"/>
                    </w:rPr>
                    <w:t>涉及重点重金属（铬、镍、铅、镉除外）排放的企业需进行等量置换或减量置换，满足安阳市重金属排放总量控制要求；</w:t>
                  </w:r>
                </w:p>
                <w:p>
                  <w:pPr>
                    <w:keepNext w:val="0"/>
                    <w:keepLines w:val="0"/>
                    <w:suppressLineNumbers w:val="0"/>
                    <w:autoSpaceDE w:val="0"/>
                    <w:autoSpaceDN w:val="0"/>
                    <w:spacing w:before="0" w:beforeAutospacing="0" w:after="0" w:afterAutospacing="0"/>
                    <w:ind w:left="0" w:right="0"/>
                    <w:contextualSpacing/>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lang w:val="en-US" w:eastAsia="zh-CN"/>
                    </w:rPr>
                    <w:t>4、</w:t>
                  </w:r>
                  <w:r>
                    <w:rPr>
                      <w:rFonts w:hint="eastAsia" w:ascii="Times New Roman" w:hAnsi="Times New Roman" w:cs="Times New Roman"/>
                      <w:color w:val="auto"/>
                      <w:kern w:val="0"/>
                      <w:sz w:val="21"/>
                      <w:szCs w:val="21"/>
                    </w:rPr>
                    <w:t>新建涉VOCs排放的工业，需进行区域内VOCs排放等量或倍量削减替代。</w:t>
                  </w:r>
                </w:p>
              </w:tc>
              <w:tc>
                <w:tcPr>
                  <w:tcW w:w="3054" w:type="dxa"/>
                  <w:tcBorders>
                    <w:tl2br w:val="nil"/>
                    <w:tr2bl w:val="nil"/>
                  </w:tcBorders>
                  <w:vAlign w:val="center"/>
                </w:tcPr>
                <w:p>
                  <w:pPr>
                    <w:keepNext w:val="0"/>
                    <w:keepLines w:val="0"/>
                    <w:suppressLineNumbers w:val="0"/>
                    <w:autoSpaceDE w:val="0"/>
                    <w:autoSpaceDN w:val="0"/>
                    <w:spacing w:before="0" w:beforeAutospacing="0" w:after="0" w:afterAutospacing="0"/>
                    <w:ind w:left="0" w:right="0"/>
                    <w:contextualSpacing/>
                    <w:jc w:val="both"/>
                    <w:rPr>
                      <w:rFonts w:hint="eastAsia" w:ascii="Times New Roman" w:hAnsi="Times New Roman" w:cs="Times New Roman"/>
                      <w:color w:val="auto"/>
                      <w:kern w:val="0"/>
                      <w:sz w:val="21"/>
                      <w:szCs w:val="21"/>
                    </w:rPr>
                  </w:pPr>
                  <w:r>
                    <w:rPr>
                      <w:rFonts w:hint="eastAsia" w:ascii="Times New Roman" w:hAnsi="Times New Roman" w:cs="Times New Roman"/>
                      <w:color w:val="auto"/>
                      <w:kern w:val="0"/>
                      <w:sz w:val="21"/>
                      <w:szCs w:val="21"/>
                      <w:lang w:val="en-US" w:eastAsia="zh-CN"/>
                    </w:rPr>
                    <w:t>1、</w:t>
                  </w:r>
                  <w:r>
                    <w:rPr>
                      <w:rFonts w:hint="eastAsia" w:ascii="Times New Roman" w:hAnsi="Times New Roman" w:cs="Times New Roman"/>
                      <w:color w:val="auto"/>
                      <w:kern w:val="0"/>
                      <w:sz w:val="21"/>
                      <w:szCs w:val="21"/>
                    </w:rPr>
                    <w:t>本项目污染物排放满足《大气污染物综合排放标准》（GB16297-1996）、《安阳市2019年工业大气污染治理5个专项实施方案》的通知（安环攻坚办〔2019〕196号文）及《河南省重污染天气通用行业应急减排措施制定技术指南》（2024年修订版）等相关标准。</w:t>
                  </w:r>
                </w:p>
                <w:p>
                  <w:pPr>
                    <w:keepNext w:val="0"/>
                    <w:keepLines w:val="0"/>
                    <w:suppressLineNumbers w:val="0"/>
                    <w:autoSpaceDE w:val="0"/>
                    <w:autoSpaceDN w:val="0"/>
                    <w:spacing w:before="0" w:beforeAutospacing="0" w:after="0" w:afterAutospacing="0"/>
                    <w:ind w:left="0" w:right="0"/>
                    <w:contextualSpacing/>
                    <w:jc w:val="both"/>
                    <w:rPr>
                      <w:rFonts w:hint="eastAsia" w:ascii="Times New Roman" w:hAnsi="Times New Roman" w:cs="Times New Roman"/>
                      <w:color w:val="auto"/>
                      <w:kern w:val="0"/>
                      <w:sz w:val="21"/>
                      <w:szCs w:val="21"/>
                      <w:lang w:eastAsia="zh-CN"/>
                    </w:rPr>
                  </w:pPr>
                  <w:r>
                    <w:rPr>
                      <w:rFonts w:hint="eastAsia" w:ascii="Times New Roman" w:hAnsi="Times New Roman" w:cs="Times New Roman"/>
                      <w:bCs/>
                      <w:color w:val="auto"/>
                      <w:kern w:val="0"/>
                      <w:sz w:val="21"/>
                      <w:szCs w:val="21"/>
                      <w:lang w:val="en-US" w:eastAsia="zh-CN"/>
                    </w:rPr>
                    <w:t>2、本项目不涉及使用</w:t>
                  </w:r>
                  <w:r>
                    <w:rPr>
                      <w:rFonts w:hint="eastAsia" w:ascii="Times New Roman" w:hAnsi="Times New Roman" w:cs="Times New Roman"/>
                      <w:color w:val="auto"/>
                      <w:kern w:val="0"/>
                      <w:sz w:val="21"/>
                      <w:szCs w:val="21"/>
                    </w:rPr>
                    <w:t>溶剂型涂料</w:t>
                  </w:r>
                  <w:r>
                    <w:rPr>
                      <w:rFonts w:hint="eastAsia" w:ascii="Times New Roman" w:hAnsi="Times New Roman" w:cs="Times New Roman"/>
                      <w:color w:val="auto"/>
                      <w:kern w:val="0"/>
                      <w:sz w:val="21"/>
                      <w:szCs w:val="21"/>
                      <w:lang w:eastAsia="zh-CN"/>
                    </w:rPr>
                    <w:t>。</w:t>
                  </w:r>
                </w:p>
                <w:p>
                  <w:pPr>
                    <w:keepNext w:val="0"/>
                    <w:keepLines w:val="0"/>
                    <w:suppressLineNumbers w:val="0"/>
                    <w:autoSpaceDE w:val="0"/>
                    <w:autoSpaceDN w:val="0"/>
                    <w:spacing w:before="0" w:beforeAutospacing="0" w:after="0" w:afterAutospacing="0"/>
                    <w:ind w:left="0" w:right="0"/>
                    <w:contextualSpacing/>
                    <w:jc w:val="both"/>
                    <w:rPr>
                      <w:rFonts w:hint="eastAsia" w:ascii="Times New Roman" w:hAnsi="Times New Roman"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3、本项目不涉及重点重金属。</w:t>
                  </w:r>
                </w:p>
                <w:p>
                  <w:pPr>
                    <w:keepNext w:val="0"/>
                    <w:keepLines w:val="0"/>
                    <w:suppressLineNumbers w:val="0"/>
                    <w:autoSpaceDE w:val="0"/>
                    <w:autoSpaceDN w:val="0"/>
                    <w:spacing w:before="0" w:beforeAutospacing="0" w:after="0" w:afterAutospacing="0"/>
                    <w:ind w:left="0" w:right="0"/>
                    <w:contextualSpacing/>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lang w:val="en-US" w:eastAsia="zh-CN"/>
                    </w:rPr>
                    <w:t>4、本项目不涉及</w:t>
                  </w:r>
                  <w:r>
                    <w:rPr>
                      <w:rFonts w:hint="eastAsia" w:ascii="Times New Roman" w:hAnsi="Times New Roman" w:cs="Times New Roman"/>
                      <w:color w:val="auto"/>
                      <w:kern w:val="0"/>
                      <w:sz w:val="21"/>
                      <w:szCs w:val="21"/>
                    </w:rPr>
                    <w:t>VOCs排放。</w:t>
                  </w:r>
                </w:p>
              </w:tc>
              <w:tc>
                <w:tcPr>
                  <w:tcW w:w="1146" w:type="dxa"/>
                  <w:tcBorders>
                    <w:tl2br w:val="nil"/>
                    <w:tr2bl w:val="nil"/>
                  </w:tcBorders>
                  <w:vAlign w:val="center"/>
                </w:tcPr>
                <w:p>
                  <w:pPr>
                    <w:keepNext w:val="0"/>
                    <w:keepLines w:val="0"/>
                    <w:suppressLineNumbers w:val="0"/>
                    <w:autoSpaceDE w:val="0"/>
                    <w:autoSpaceDN w:val="0"/>
                    <w:spacing w:before="0" w:beforeAutospacing="0" w:after="0" w:afterAutospacing="0"/>
                    <w:ind w:left="0" w:right="0"/>
                    <w:contextualSpacing/>
                    <w:jc w:val="center"/>
                    <w:rPr>
                      <w:rFonts w:hint="eastAsia" w:ascii="Times New Roman" w:hAnsi="Times New Roman" w:eastAsia="宋体" w:cs="Times New Roman"/>
                      <w:color w:val="auto"/>
                      <w:kern w:val="0"/>
                      <w:sz w:val="21"/>
                      <w:szCs w:val="21"/>
                      <w:lang w:eastAsia="zh-CN"/>
                    </w:rPr>
                  </w:pPr>
                  <w:r>
                    <w:rPr>
                      <w:rFonts w:hint="eastAsia" w:ascii="Times New Roman" w:hAnsi="Times New Roman" w:cs="Times New Roman"/>
                      <w:color w:val="auto"/>
                      <w:kern w:val="0"/>
                      <w:sz w:val="21"/>
                      <w:szCs w:val="21"/>
                      <w:lang w:eastAsia="zh-CN"/>
                    </w:rPr>
                    <w:t>相符</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604" w:type="dxa"/>
                  <w:tcBorders>
                    <w:tl2br w:val="nil"/>
                    <w:tr2bl w:val="nil"/>
                  </w:tcBorders>
                  <w:vAlign w:val="center"/>
                </w:tcPr>
                <w:p>
                  <w:pPr>
                    <w:keepNext w:val="0"/>
                    <w:keepLines w:val="0"/>
                    <w:suppressLineNumbers w:val="0"/>
                    <w:autoSpaceDE w:val="0"/>
                    <w:autoSpaceDN w:val="0"/>
                    <w:spacing w:before="0" w:beforeAutospacing="0" w:after="0" w:afterAutospacing="0"/>
                    <w:ind w:left="0" w:right="0"/>
                    <w:contextualSpacing/>
                    <w:jc w:val="center"/>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环境管理要求</w:t>
                  </w:r>
                </w:p>
              </w:tc>
              <w:tc>
                <w:tcPr>
                  <w:tcW w:w="3298" w:type="dxa"/>
                  <w:tcBorders>
                    <w:tl2br w:val="nil"/>
                    <w:tr2bl w:val="nil"/>
                  </w:tcBorders>
                  <w:vAlign w:val="center"/>
                </w:tcPr>
                <w:p>
                  <w:pPr>
                    <w:keepNext w:val="0"/>
                    <w:keepLines w:val="0"/>
                    <w:suppressLineNumbers w:val="0"/>
                    <w:autoSpaceDE w:val="0"/>
                    <w:autoSpaceDN w:val="0"/>
                    <w:spacing w:before="0" w:beforeAutospacing="0" w:after="0" w:afterAutospacing="0"/>
                    <w:ind w:left="0" w:right="0"/>
                    <w:contextualSpacing/>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lang w:val="en-US" w:eastAsia="zh-CN"/>
                    </w:rPr>
                    <w:t>1、</w:t>
                  </w:r>
                  <w:r>
                    <w:rPr>
                      <w:rFonts w:hint="eastAsia" w:ascii="Times New Roman" w:hAnsi="Times New Roman" w:cs="Times New Roman"/>
                      <w:color w:val="auto"/>
                      <w:kern w:val="0"/>
                      <w:sz w:val="21"/>
                      <w:szCs w:val="21"/>
                      <w:lang w:eastAsia="zh-CN"/>
                    </w:rPr>
                    <w:t>入驻</w:t>
                  </w:r>
                  <w:r>
                    <w:rPr>
                      <w:rFonts w:hint="eastAsia" w:ascii="Times New Roman" w:hAnsi="Times New Roman" w:cs="Times New Roman"/>
                      <w:color w:val="auto"/>
                      <w:kern w:val="0"/>
                      <w:sz w:val="21"/>
                      <w:szCs w:val="21"/>
                    </w:rPr>
                    <w:t>企业必须严格按照园区空间结构规划进行布局；</w:t>
                  </w:r>
                </w:p>
                <w:p>
                  <w:pPr>
                    <w:keepNext w:val="0"/>
                    <w:keepLines w:val="0"/>
                    <w:suppressLineNumbers w:val="0"/>
                    <w:autoSpaceDE w:val="0"/>
                    <w:autoSpaceDN w:val="0"/>
                    <w:spacing w:before="0" w:beforeAutospacing="0" w:after="0" w:afterAutospacing="0"/>
                    <w:ind w:left="0" w:right="0"/>
                    <w:contextualSpacing/>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lang w:val="en-US" w:eastAsia="zh-CN"/>
                    </w:rPr>
                    <w:t>2、</w:t>
                  </w:r>
                  <w:r>
                    <w:rPr>
                      <w:rFonts w:hint="eastAsia" w:ascii="Times New Roman" w:hAnsi="Times New Roman" w:cs="Times New Roman"/>
                      <w:color w:val="auto"/>
                      <w:kern w:val="0"/>
                      <w:sz w:val="21"/>
                      <w:szCs w:val="21"/>
                      <w:lang w:eastAsia="zh-CN"/>
                    </w:rPr>
                    <w:t>入驻</w:t>
                  </w:r>
                  <w:r>
                    <w:rPr>
                      <w:rFonts w:hint="eastAsia" w:ascii="Times New Roman" w:hAnsi="Times New Roman" w:cs="Times New Roman"/>
                      <w:color w:val="auto"/>
                      <w:kern w:val="0"/>
                      <w:sz w:val="21"/>
                      <w:szCs w:val="21"/>
                    </w:rPr>
                    <w:t>企业必须满足单位工业增加值新鲜水耗≤8吨/万元。</w:t>
                  </w:r>
                </w:p>
              </w:tc>
              <w:tc>
                <w:tcPr>
                  <w:tcW w:w="3054" w:type="dxa"/>
                  <w:tcBorders>
                    <w:tl2br w:val="nil"/>
                    <w:tr2bl w:val="nil"/>
                  </w:tcBorders>
                  <w:vAlign w:val="center"/>
                </w:tcPr>
                <w:p>
                  <w:pPr>
                    <w:keepNext w:val="0"/>
                    <w:keepLines w:val="0"/>
                    <w:suppressLineNumbers w:val="0"/>
                    <w:autoSpaceDE w:val="0"/>
                    <w:autoSpaceDN w:val="0"/>
                    <w:spacing w:before="0" w:beforeAutospacing="0" w:after="0" w:afterAutospacing="0"/>
                    <w:ind w:left="0" w:right="0"/>
                    <w:contextualSpacing/>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lang w:val="en-US" w:eastAsia="zh-CN"/>
                    </w:rPr>
                    <w:t>1、</w:t>
                  </w:r>
                  <w:r>
                    <w:rPr>
                      <w:rFonts w:hint="eastAsia" w:ascii="Times New Roman" w:hAnsi="Times New Roman" w:cs="Times New Roman"/>
                      <w:color w:val="auto"/>
                      <w:kern w:val="0"/>
                      <w:sz w:val="21"/>
                      <w:szCs w:val="21"/>
                    </w:rPr>
                    <w:t>本项目严格按照园区空间结构规划进行布局。</w:t>
                  </w:r>
                </w:p>
                <w:p>
                  <w:pPr>
                    <w:keepNext w:val="0"/>
                    <w:keepLines w:val="0"/>
                    <w:suppressLineNumbers w:val="0"/>
                    <w:autoSpaceDE w:val="0"/>
                    <w:autoSpaceDN w:val="0"/>
                    <w:spacing w:before="0" w:beforeAutospacing="0" w:after="0" w:afterAutospacing="0"/>
                    <w:ind w:left="0" w:right="0"/>
                    <w:contextualSpacing/>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lang w:val="en-US" w:eastAsia="zh-CN"/>
                    </w:rPr>
                    <w:t>2、</w:t>
                  </w:r>
                  <w:r>
                    <w:rPr>
                      <w:rFonts w:hint="eastAsia" w:ascii="Times New Roman" w:hAnsi="Times New Roman" w:cs="Times New Roman"/>
                      <w:color w:val="auto"/>
                      <w:kern w:val="0"/>
                      <w:sz w:val="21"/>
                      <w:szCs w:val="21"/>
                    </w:rPr>
                    <w:t>本项目单位工业增加值新鲜水耗</w:t>
                  </w:r>
                  <w:r>
                    <w:rPr>
                      <w:rFonts w:hint="eastAsia" w:ascii="Times New Roman" w:hAnsi="Times New Roman" w:cs="Times New Roman"/>
                      <w:color w:val="auto"/>
                      <w:kern w:val="0"/>
                      <w:sz w:val="21"/>
                      <w:szCs w:val="21"/>
                      <w:lang w:eastAsia="zh-CN"/>
                    </w:rPr>
                    <w:t>为</w:t>
                  </w:r>
                  <w:r>
                    <w:rPr>
                      <w:rFonts w:hint="eastAsia" w:ascii="Times New Roman" w:hAnsi="Times New Roman" w:cs="Times New Roman"/>
                      <w:color w:val="auto"/>
                      <w:kern w:val="0"/>
                      <w:sz w:val="21"/>
                      <w:szCs w:val="21"/>
                      <w:lang w:val="en-US" w:eastAsia="zh-CN"/>
                    </w:rPr>
                    <w:t>7.5</w:t>
                  </w:r>
                  <w:r>
                    <w:rPr>
                      <w:rFonts w:hint="eastAsia" w:ascii="Times New Roman" w:hAnsi="Times New Roman" w:cs="Times New Roman"/>
                      <w:color w:val="auto"/>
                      <w:kern w:val="0"/>
                      <w:sz w:val="21"/>
                      <w:szCs w:val="21"/>
                    </w:rPr>
                    <w:t>吨/万元</w:t>
                  </w:r>
                  <w:r>
                    <w:rPr>
                      <w:rFonts w:hint="eastAsia" w:ascii="Times New Roman" w:hAnsi="Times New Roman" w:cs="Times New Roman"/>
                      <w:color w:val="auto"/>
                      <w:kern w:val="0"/>
                      <w:sz w:val="21"/>
                      <w:szCs w:val="21"/>
                      <w:lang w:eastAsia="zh-CN"/>
                    </w:rPr>
                    <w:t>，满足左侧文件要求</w:t>
                  </w:r>
                  <w:r>
                    <w:rPr>
                      <w:rFonts w:hint="eastAsia" w:ascii="Times New Roman" w:hAnsi="Times New Roman" w:cs="Times New Roman"/>
                      <w:color w:val="auto"/>
                      <w:kern w:val="0"/>
                      <w:sz w:val="21"/>
                      <w:szCs w:val="21"/>
                    </w:rPr>
                    <w:t>。</w:t>
                  </w:r>
                </w:p>
              </w:tc>
              <w:tc>
                <w:tcPr>
                  <w:tcW w:w="1146" w:type="dxa"/>
                  <w:tcBorders>
                    <w:tl2br w:val="nil"/>
                    <w:tr2bl w:val="nil"/>
                  </w:tcBorders>
                  <w:vAlign w:val="center"/>
                </w:tcPr>
                <w:p>
                  <w:pPr>
                    <w:keepNext w:val="0"/>
                    <w:keepLines w:val="0"/>
                    <w:suppressLineNumbers w:val="0"/>
                    <w:autoSpaceDE w:val="0"/>
                    <w:autoSpaceDN w:val="0"/>
                    <w:spacing w:before="0" w:beforeAutospacing="0" w:after="0" w:afterAutospacing="0"/>
                    <w:ind w:left="0" w:right="0"/>
                    <w:contextualSpacing/>
                    <w:jc w:val="center"/>
                    <w:rPr>
                      <w:rFonts w:hint="eastAsia" w:ascii="Times New Roman" w:hAnsi="Times New Roman" w:eastAsia="宋体" w:cs="Times New Roman"/>
                      <w:color w:val="auto"/>
                      <w:kern w:val="0"/>
                      <w:sz w:val="21"/>
                      <w:szCs w:val="21"/>
                      <w:lang w:eastAsia="zh-CN"/>
                    </w:rPr>
                  </w:pPr>
                  <w:r>
                    <w:rPr>
                      <w:rFonts w:hint="eastAsia" w:ascii="Times New Roman" w:hAnsi="Times New Roman" w:cs="Times New Roman"/>
                      <w:color w:val="auto"/>
                      <w:kern w:val="0"/>
                      <w:sz w:val="21"/>
                      <w:szCs w:val="21"/>
                      <w:lang w:eastAsia="zh-CN"/>
                    </w:rPr>
                    <w:t>相符</w:t>
                  </w:r>
                </w:p>
              </w:tc>
            </w:tr>
          </w:tbl>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b w:val="0"/>
                <w:bCs w:val="0"/>
                <w:color w:val="auto"/>
                <w:sz w:val="24"/>
                <w:szCs w:val="24"/>
                <w:highlight w:val="none"/>
                <w:u w:val="none" w:color="auto"/>
                <w:lang w:val="en-US" w:eastAsia="zh-CN"/>
              </w:rPr>
            </w:pPr>
            <w:r>
              <w:rPr>
                <w:rFonts w:hint="eastAsia" w:ascii="Times New Roman" w:hAnsi="Times New Roman" w:eastAsia="宋体" w:cs="Times New Roman"/>
                <w:b w:val="0"/>
                <w:bCs w:val="0"/>
                <w:color w:val="auto"/>
                <w:sz w:val="24"/>
                <w:szCs w:val="24"/>
                <w:highlight w:val="none"/>
                <w:u w:val="none" w:color="auto"/>
                <w:lang w:val="en-US" w:eastAsia="zh-CN"/>
              </w:rPr>
              <w:t>由上表对比分析可知，本项目符合规划环评准入条件。</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3.与规划环评产业发展负面清单相符性分析</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与规划环评产业发展负面清单相符性分析一览表</w:t>
            </w:r>
          </w:p>
          <w:tbl>
            <w:tblPr>
              <w:tblStyle w:val="28"/>
              <w:tblW w:w="8113" w:type="dxa"/>
              <w:jc w:val="center"/>
              <w:tblInd w:w="0" w:type="dxa"/>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597"/>
              <w:gridCol w:w="3311"/>
              <w:gridCol w:w="3048"/>
              <w:gridCol w:w="1157"/>
            </w:tblGrid>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414" w:hRule="atLeast"/>
                <w:jc w:val="center"/>
              </w:trPr>
              <w:tc>
                <w:tcPr>
                  <w:tcW w:w="3908" w:type="dxa"/>
                  <w:gridSpan w:val="2"/>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b/>
                      <w:color w:val="auto"/>
                      <w:kern w:val="0"/>
                      <w:sz w:val="21"/>
                      <w:szCs w:val="21"/>
                    </w:rPr>
                  </w:pPr>
                  <w:r>
                    <w:rPr>
                      <w:rFonts w:hint="default" w:ascii="Times New Roman" w:hAnsi="Times New Roman" w:cs="Times New Roman"/>
                      <w:b/>
                      <w:color w:val="auto"/>
                      <w:kern w:val="0"/>
                      <w:sz w:val="21"/>
                      <w:szCs w:val="21"/>
                    </w:rPr>
                    <w:t>负面清单</w:t>
                  </w:r>
                  <w:r>
                    <w:rPr>
                      <w:rFonts w:hint="eastAsia" w:ascii="Times New Roman" w:hAnsi="Times New Roman" w:cs="Times New Roman"/>
                      <w:b/>
                      <w:color w:val="auto"/>
                      <w:kern w:val="0"/>
                      <w:sz w:val="21"/>
                      <w:szCs w:val="21"/>
                    </w:rPr>
                    <w:t>具体内容</w:t>
                  </w:r>
                </w:p>
              </w:tc>
              <w:tc>
                <w:tcPr>
                  <w:tcW w:w="3048"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b/>
                      <w:color w:val="auto"/>
                      <w:kern w:val="0"/>
                      <w:sz w:val="21"/>
                      <w:szCs w:val="21"/>
                    </w:rPr>
                  </w:pPr>
                  <w:r>
                    <w:rPr>
                      <w:rFonts w:hint="eastAsia" w:ascii="Times New Roman" w:hAnsi="Times New Roman" w:cs="Times New Roman"/>
                      <w:b/>
                      <w:color w:val="auto"/>
                      <w:kern w:val="0"/>
                      <w:sz w:val="21"/>
                      <w:szCs w:val="21"/>
                    </w:rPr>
                    <w:t>本项目拟建设情况</w:t>
                  </w:r>
                </w:p>
              </w:tc>
              <w:tc>
                <w:tcPr>
                  <w:tcW w:w="1157"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b/>
                      <w:color w:val="auto"/>
                      <w:kern w:val="0"/>
                      <w:sz w:val="21"/>
                      <w:szCs w:val="21"/>
                    </w:rPr>
                  </w:pPr>
                  <w:r>
                    <w:rPr>
                      <w:rFonts w:hint="eastAsia" w:ascii="Times New Roman" w:hAnsi="Times New Roman" w:cs="Times New Roman"/>
                      <w:b/>
                      <w:color w:val="auto"/>
                      <w:kern w:val="0"/>
                      <w:sz w:val="21"/>
                      <w:szCs w:val="21"/>
                    </w:rPr>
                    <w:t>相符性</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1093" w:hRule="atLeast"/>
                <w:jc w:val="center"/>
              </w:trPr>
              <w:tc>
                <w:tcPr>
                  <w:tcW w:w="597" w:type="dxa"/>
                  <w:vMerge w:val="restart"/>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管理要求</w:t>
                  </w:r>
                </w:p>
              </w:tc>
              <w:tc>
                <w:tcPr>
                  <w:tcW w:w="3311"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禁止入驻国家产业结构调整指导目录淘汰、限制类项目。</w:t>
                  </w:r>
                </w:p>
              </w:tc>
              <w:tc>
                <w:tcPr>
                  <w:tcW w:w="3048"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根据</w:t>
                  </w:r>
                  <w:r>
                    <w:rPr>
                      <w:rFonts w:hint="default" w:ascii="Times New Roman" w:hAnsi="Times New Roman" w:cs="Times New Roman"/>
                      <w:color w:val="auto"/>
                      <w:kern w:val="0"/>
                      <w:sz w:val="21"/>
                      <w:szCs w:val="21"/>
                    </w:rPr>
                    <w:t>《产业结构调整指导目录（2024年本）》，</w:t>
                  </w:r>
                  <w:r>
                    <w:rPr>
                      <w:rFonts w:hint="eastAsia" w:ascii="Times New Roman" w:hAnsi="Times New Roman" w:cs="Times New Roman"/>
                      <w:color w:val="auto"/>
                      <w:kern w:val="0"/>
                      <w:sz w:val="21"/>
                      <w:szCs w:val="21"/>
                    </w:rPr>
                    <w:t>本项目不属于</w:t>
                  </w:r>
                  <w:r>
                    <w:rPr>
                      <w:rFonts w:hint="eastAsia" w:ascii="Times New Roman" w:hAnsi="Times New Roman" w:cs="Times New Roman"/>
                      <w:color w:val="auto"/>
                      <w:kern w:val="0"/>
                      <w:sz w:val="21"/>
                      <w:szCs w:val="21"/>
                      <w:lang w:eastAsia="zh-CN"/>
                    </w:rPr>
                    <w:t>淘汰类、</w:t>
                  </w:r>
                  <w:r>
                    <w:rPr>
                      <w:rFonts w:hint="eastAsia" w:ascii="Times New Roman" w:hAnsi="Times New Roman" w:cs="Times New Roman"/>
                      <w:color w:val="auto"/>
                      <w:kern w:val="0"/>
                      <w:sz w:val="21"/>
                      <w:szCs w:val="21"/>
                    </w:rPr>
                    <w:t>限制类</w:t>
                  </w:r>
                  <w:r>
                    <w:rPr>
                      <w:rFonts w:hint="eastAsia" w:ascii="Times New Roman" w:hAnsi="Times New Roman" w:cs="Times New Roman"/>
                      <w:color w:val="auto"/>
                      <w:kern w:val="0"/>
                      <w:sz w:val="21"/>
                      <w:szCs w:val="21"/>
                      <w:lang w:eastAsia="zh-CN"/>
                    </w:rPr>
                    <w:t>项目</w:t>
                  </w:r>
                  <w:r>
                    <w:rPr>
                      <w:rFonts w:hint="eastAsia" w:ascii="Times New Roman" w:hAnsi="Times New Roman" w:cs="Times New Roman"/>
                      <w:color w:val="auto"/>
                      <w:kern w:val="0"/>
                      <w:sz w:val="21"/>
                      <w:szCs w:val="21"/>
                    </w:rPr>
                    <w:t>，为</w:t>
                  </w:r>
                  <w:r>
                    <w:rPr>
                      <w:rFonts w:hint="eastAsia" w:ascii="Times New Roman" w:hAnsi="Times New Roman" w:cs="Times New Roman"/>
                      <w:color w:val="auto"/>
                      <w:kern w:val="0"/>
                      <w:sz w:val="21"/>
                      <w:szCs w:val="21"/>
                      <w:lang w:eastAsia="zh-CN"/>
                    </w:rPr>
                    <w:t>鼓励</w:t>
                  </w:r>
                  <w:r>
                    <w:rPr>
                      <w:rFonts w:hint="eastAsia" w:ascii="Times New Roman" w:hAnsi="Times New Roman" w:cs="Times New Roman"/>
                      <w:color w:val="auto"/>
                      <w:kern w:val="0"/>
                      <w:sz w:val="21"/>
                      <w:szCs w:val="21"/>
                    </w:rPr>
                    <w:t>类</w:t>
                  </w:r>
                  <w:r>
                    <w:rPr>
                      <w:rFonts w:hint="eastAsia" w:ascii="Times New Roman" w:hAnsi="Times New Roman" w:cs="Times New Roman"/>
                      <w:color w:val="auto"/>
                      <w:kern w:val="0"/>
                      <w:sz w:val="21"/>
                      <w:szCs w:val="21"/>
                      <w:lang w:eastAsia="zh-CN"/>
                    </w:rPr>
                    <w:t>项目</w:t>
                  </w:r>
                  <w:r>
                    <w:rPr>
                      <w:rFonts w:hint="eastAsia" w:ascii="Times New Roman" w:hAnsi="Times New Roman" w:cs="Times New Roman"/>
                      <w:color w:val="auto"/>
                      <w:kern w:val="0"/>
                      <w:sz w:val="21"/>
                      <w:szCs w:val="21"/>
                    </w:rPr>
                    <w:t>。</w:t>
                  </w:r>
                </w:p>
              </w:tc>
              <w:tc>
                <w:tcPr>
                  <w:tcW w:w="1157"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eastAsia" w:ascii="Times New Roman" w:hAnsi="Times New Roman" w:eastAsia="宋体" w:cs="Times New Roman"/>
                      <w:color w:val="auto"/>
                      <w:kern w:val="0"/>
                      <w:sz w:val="21"/>
                      <w:szCs w:val="21"/>
                      <w:lang w:eastAsia="zh-CN"/>
                    </w:rPr>
                  </w:pPr>
                  <w:r>
                    <w:rPr>
                      <w:rFonts w:hint="eastAsia" w:ascii="Times New Roman" w:hAnsi="Times New Roman" w:cs="Times New Roman"/>
                      <w:color w:val="auto"/>
                      <w:kern w:val="0"/>
                      <w:sz w:val="21"/>
                      <w:szCs w:val="21"/>
                      <w:lang w:eastAsia="zh-CN"/>
                    </w:rPr>
                    <w:t>相符</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jc w:val="center"/>
              </w:trPr>
              <w:tc>
                <w:tcPr>
                  <w:tcW w:w="597" w:type="dxa"/>
                  <w:vMerge w:val="continue"/>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auto"/>
                      <w:kern w:val="0"/>
                      <w:sz w:val="21"/>
                      <w:szCs w:val="21"/>
                    </w:rPr>
                  </w:pPr>
                </w:p>
              </w:tc>
              <w:tc>
                <w:tcPr>
                  <w:tcW w:w="3311"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禁止入驻《市场准入负面清单（2018年版）》所列的市场主体。</w:t>
                  </w:r>
                </w:p>
              </w:tc>
              <w:tc>
                <w:tcPr>
                  <w:tcW w:w="3048"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本项目未在《市场准入负面清单（20</w:t>
                  </w:r>
                  <w:r>
                    <w:rPr>
                      <w:rFonts w:hint="eastAsia" w:ascii="Times New Roman" w:hAnsi="Times New Roman" w:cs="Times New Roman"/>
                      <w:color w:val="auto"/>
                      <w:kern w:val="0"/>
                      <w:sz w:val="21"/>
                      <w:szCs w:val="21"/>
                      <w:lang w:val="en-US" w:eastAsia="zh-CN"/>
                    </w:rPr>
                    <w:t>22</w:t>
                  </w:r>
                  <w:r>
                    <w:rPr>
                      <w:rFonts w:hint="eastAsia" w:ascii="Times New Roman" w:hAnsi="Times New Roman" w:cs="Times New Roman"/>
                      <w:color w:val="auto"/>
                      <w:kern w:val="0"/>
                      <w:sz w:val="21"/>
                      <w:szCs w:val="21"/>
                    </w:rPr>
                    <w:t>年版）》所列的市场主体范围内。</w:t>
                  </w:r>
                </w:p>
              </w:tc>
              <w:tc>
                <w:tcPr>
                  <w:tcW w:w="1157"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eastAsia" w:ascii="Times New Roman" w:hAnsi="Times New Roman" w:eastAsia="宋体" w:cs="Times New Roman"/>
                      <w:color w:val="auto"/>
                      <w:kern w:val="0"/>
                      <w:sz w:val="21"/>
                      <w:szCs w:val="21"/>
                      <w:lang w:eastAsia="zh-CN"/>
                    </w:rPr>
                  </w:pPr>
                  <w:r>
                    <w:rPr>
                      <w:rFonts w:hint="eastAsia" w:ascii="Times New Roman" w:hAnsi="Times New Roman" w:cs="Times New Roman"/>
                      <w:color w:val="auto"/>
                      <w:kern w:val="0"/>
                      <w:sz w:val="21"/>
                      <w:szCs w:val="21"/>
                      <w:lang w:eastAsia="zh-CN"/>
                    </w:rPr>
                    <w:t>相符</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823" w:hRule="atLeast"/>
                <w:jc w:val="center"/>
              </w:trPr>
              <w:tc>
                <w:tcPr>
                  <w:tcW w:w="597" w:type="dxa"/>
                  <w:vMerge w:val="continue"/>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auto"/>
                      <w:kern w:val="0"/>
                      <w:sz w:val="21"/>
                      <w:szCs w:val="21"/>
                    </w:rPr>
                  </w:pPr>
                </w:p>
              </w:tc>
              <w:tc>
                <w:tcPr>
                  <w:tcW w:w="3311"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禁止投资建设列入禁止用地目录、限制用地目录的项目。</w:t>
                  </w:r>
                </w:p>
              </w:tc>
              <w:tc>
                <w:tcPr>
                  <w:tcW w:w="3048"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本项目占地未在禁止用地目录和限制用地目录中。</w:t>
                  </w:r>
                </w:p>
              </w:tc>
              <w:tc>
                <w:tcPr>
                  <w:tcW w:w="1157"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eastAsia" w:ascii="Times New Roman" w:hAnsi="Times New Roman" w:eastAsia="宋体" w:cs="Times New Roman"/>
                      <w:color w:val="auto"/>
                      <w:kern w:val="0"/>
                      <w:sz w:val="21"/>
                      <w:szCs w:val="21"/>
                      <w:lang w:eastAsia="zh-CN"/>
                    </w:rPr>
                  </w:pPr>
                  <w:r>
                    <w:rPr>
                      <w:rFonts w:hint="eastAsia" w:ascii="Times New Roman" w:hAnsi="Times New Roman" w:cs="Times New Roman"/>
                      <w:color w:val="auto"/>
                      <w:kern w:val="0"/>
                      <w:sz w:val="21"/>
                      <w:szCs w:val="21"/>
                      <w:lang w:eastAsia="zh-CN"/>
                    </w:rPr>
                    <w:t>相符</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57" w:hRule="atLeast"/>
                <w:jc w:val="center"/>
              </w:trPr>
              <w:tc>
                <w:tcPr>
                  <w:tcW w:w="597" w:type="dxa"/>
                  <w:vMerge w:val="continue"/>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auto"/>
                      <w:kern w:val="0"/>
                      <w:sz w:val="21"/>
                      <w:szCs w:val="21"/>
                    </w:rPr>
                  </w:pPr>
                </w:p>
              </w:tc>
              <w:tc>
                <w:tcPr>
                  <w:tcW w:w="3311"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禁止建设《国务院关于化解产能严重过剩矛盾的指导意见》（国发〔2013〕41号）明确产能严重过剩行业的新增产能项目。</w:t>
                  </w:r>
                </w:p>
              </w:tc>
              <w:tc>
                <w:tcPr>
                  <w:tcW w:w="3048"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本项目不属于《国务院关于化解产能严重过剩矛盾的指导意见》（国发〔2013〕41号）明确产能严重过剩行业。</w:t>
                  </w:r>
                </w:p>
              </w:tc>
              <w:tc>
                <w:tcPr>
                  <w:tcW w:w="1157"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eastAsia" w:ascii="Times New Roman" w:hAnsi="Times New Roman" w:eastAsia="宋体" w:cs="Times New Roman"/>
                      <w:color w:val="auto"/>
                      <w:kern w:val="0"/>
                      <w:sz w:val="21"/>
                      <w:szCs w:val="21"/>
                      <w:lang w:eastAsia="zh-CN"/>
                    </w:rPr>
                  </w:pPr>
                  <w:r>
                    <w:rPr>
                      <w:rFonts w:hint="eastAsia" w:ascii="Times New Roman" w:hAnsi="Times New Roman" w:cs="Times New Roman"/>
                      <w:color w:val="auto"/>
                      <w:kern w:val="0"/>
                      <w:sz w:val="21"/>
                      <w:szCs w:val="21"/>
                      <w:lang w:eastAsia="zh-CN"/>
                    </w:rPr>
                    <w:t>相符</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57" w:hRule="atLeast"/>
                <w:jc w:val="center"/>
              </w:trPr>
              <w:tc>
                <w:tcPr>
                  <w:tcW w:w="597" w:type="dxa"/>
                  <w:vMerge w:val="continue"/>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auto"/>
                      <w:kern w:val="0"/>
                      <w:sz w:val="21"/>
                      <w:szCs w:val="21"/>
                    </w:rPr>
                  </w:pPr>
                </w:p>
              </w:tc>
              <w:tc>
                <w:tcPr>
                  <w:tcW w:w="3311"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禁止入驻投资强度较小，不能满足《河南省人民政府关于进一步加强节约集约用地的意见》（豫政</w:t>
                  </w:r>
                  <w:r>
                    <w:rPr>
                      <w:rFonts w:hint="eastAsia" w:ascii="Times New Roman" w:hAnsi="Times New Roman" w:cs="Times New Roman"/>
                      <w:color w:val="auto"/>
                      <w:kern w:val="0"/>
                      <w:sz w:val="21"/>
                      <w:szCs w:val="21"/>
                      <w:lang w:eastAsia="zh-CN"/>
                    </w:rPr>
                    <w:t>〔</w:t>
                  </w:r>
                  <w:r>
                    <w:rPr>
                      <w:rFonts w:hint="eastAsia" w:ascii="Times New Roman" w:hAnsi="Times New Roman" w:cs="Times New Roman"/>
                      <w:color w:val="auto"/>
                      <w:kern w:val="0"/>
                      <w:sz w:val="21"/>
                      <w:szCs w:val="21"/>
                    </w:rPr>
                    <w:t>2015</w:t>
                  </w:r>
                  <w:r>
                    <w:rPr>
                      <w:rFonts w:hint="eastAsia" w:ascii="Times New Roman" w:hAnsi="Times New Roman" w:cs="Times New Roman"/>
                      <w:color w:val="auto"/>
                      <w:kern w:val="0"/>
                      <w:sz w:val="21"/>
                      <w:szCs w:val="21"/>
                      <w:lang w:eastAsia="zh-CN"/>
                    </w:rPr>
                    <w:t>〕</w:t>
                  </w:r>
                  <w:r>
                    <w:rPr>
                      <w:rFonts w:hint="eastAsia" w:ascii="Times New Roman" w:hAnsi="Times New Roman" w:cs="Times New Roman"/>
                      <w:color w:val="auto"/>
                      <w:kern w:val="0"/>
                      <w:sz w:val="21"/>
                      <w:szCs w:val="21"/>
                    </w:rPr>
                    <w:t>66号）文件要求的建设项目。</w:t>
                  </w:r>
                </w:p>
              </w:tc>
              <w:tc>
                <w:tcPr>
                  <w:tcW w:w="3048"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本项目在</w:t>
                  </w:r>
                  <w:r>
                    <w:rPr>
                      <w:rFonts w:hint="eastAsia" w:ascii="Times New Roman" w:hAnsi="Times New Roman" w:cs="Times New Roman"/>
                      <w:color w:val="auto"/>
                      <w:kern w:val="0"/>
                      <w:sz w:val="21"/>
                      <w:szCs w:val="21"/>
                      <w:lang w:val="en-US" w:eastAsia="zh-CN"/>
                    </w:rPr>
                    <w:t>现有</w:t>
                  </w:r>
                  <w:r>
                    <w:rPr>
                      <w:rFonts w:hint="eastAsia" w:ascii="Times New Roman" w:hAnsi="Times New Roman" w:cs="Times New Roman"/>
                      <w:color w:val="auto"/>
                      <w:kern w:val="0"/>
                      <w:sz w:val="21"/>
                      <w:szCs w:val="21"/>
                    </w:rPr>
                    <w:t>厂区</w:t>
                  </w:r>
                  <w:r>
                    <w:rPr>
                      <w:rFonts w:hint="eastAsia" w:ascii="Times New Roman" w:hAnsi="Times New Roman" w:cs="Times New Roman"/>
                      <w:color w:val="auto"/>
                      <w:kern w:val="0"/>
                      <w:sz w:val="21"/>
                      <w:szCs w:val="21"/>
                      <w:lang w:val="en-US" w:eastAsia="zh-CN"/>
                    </w:rPr>
                    <w:t>建设</w:t>
                  </w:r>
                  <w:r>
                    <w:rPr>
                      <w:rFonts w:hint="eastAsia" w:ascii="Times New Roman" w:hAnsi="Times New Roman" w:cs="Times New Roman"/>
                      <w:color w:val="auto"/>
                      <w:kern w:val="0"/>
                      <w:sz w:val="21"/>
                      <w:szCs w:val="21"/>
                    </w:rPr>
                    <w:t>，</w:t>
                  </w:r>
                  <w:r>
                    <w:rPr>
                      <w:rFonts w:hint="eastAsia" w:ascii="Times New Roman" w:hAnsi="Times New Roman" w:cs="Times New Roman"/>
                      <w:color w:val="auto"/>
                      <w:kern w:val="0"/>
                      <w:sz w:val="21"/>
                      <w:szCs w:val="21"/>
                      <w:lang w:eastAsia="zh-CN"/>
                    </w:rPr>
                    <w:t>投资仅为危废回收利用设施的购置</w:t>
                  </w:r>
                  <w:r>
                    <w:rPr>
                      <w:rFonts w:hint="eastAsia" w:ascii="Times New Roman" w:hAnsi="Times New Roman" w:cs="Times New Roman"/>
                      <w:color w:val="auto"/>
                      <w:kern w:val="0"/>
                      <w:sz w:val="21"/>
                      <w:szCs w:val="21"/>
                    </w:rPr>
                    <w:t>，不新增用地，满足《河南省人民政府关于进一步加强节约集约用地的意见》（豫政</w:t>
                  </w:r>
                  <w:r>
                    <w:rPr>
                      <w:rFonts w:hint="eastAsia" w:ascii="Times New Roman" w:hAnsi="Times New Roman" w:cs="Times New Roman"/>
                      <w:color w:val="auto"/>
                      <w:kern w:val="0"/>
                      <w:sz w:val="21"/>
                      <w:szCs w:val="21"/>
                      <w:lang w:eastAsia="zh-CN"/>
                    </w:rPr>
                    <w:t>〔</w:t>
                  </w:r>
                  <w:r>
                    <w:rPr>
                      <w:rFonts w:hint="eastAsia" w:ascii="Times New Roman" w:hAnsi="Times New Roman" w:cs="Times New Roman"/>
                      <w:color w:val="auto"/>
                      <w:kern w:val="0"/>
                      <w:sz w:val="21"/>
                      <w:szCs w:val="21"/>
                    </w:rPr>
                    <w:t>2015</w:t>
                  </w:r>
                  <w:r>
                    <w:rPr>
                      <w:rFonts w:hint="eastAsia" w:ascii="Times New Roman" w:hAnsi="Times New Roman" w:cs="Times New Roman"/>
                      <w:color w:val="auto"/>
                      <w:kern w:val="0"/>
                      <w:sz w:val="21"/>
                      <w:szCs w:val="21"/>
                      <w:lang w:eastAsia="zh-CN"/>
                    </w:rPr>
                    <w:t>〕</w:t>
                  </w:r>
                  <w:r>
                    <w:rPr>
                      <w:rFonts w:hint="eastAsia" w:ascii="Times New Roman" w:hAnsi="Times New Roman" w:cs="Times New Roman"/>
                      <w:color w:val="auto"/>
                      <w:kern w:val="0"/>
                      <w:sz w:val="21"/>
                      <w:szCs w:val="21"/>
                    </w:rPr>
                    <w:t>66号）文件中相关要求。</w:t>
                  </w:r>
                </w:p>
              </w:tc>
              <w:tc>
                <w:tcPr>
                  <w:tcW w:w="1157"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eastAsia" w:ascii="Times New Roman" w:hAnsi="Times New Roman" w:eastAsia="宋体" w:cs="Times New Roman"/>
                      <w:color w:val="auto"/>
                      <w:kern w:val="0"/>
                      <w:sz w:val="21"/>
                      <w:szCs w:val="21"/>
                      <w:lang w:eastAsia="zh-CN"/>
                    </w:rPr>
                  </w:pPr>
                  <w:r>
                    <w:rPr>
                      <w:rFonts w:hint="eastAsia" w:ascii="Times New Roman" w:hAnsi="Times New Roman" w:cs="Times New Roman"/>
                      <w:color w:val="auto"/>
                      <w:kern w:val="0"/>
                      <w:sz w:val="21"/>
                      <w:szCs w:val="21"/>
                      <w:lang w:eastAsia="zh-CN"/>
                    </w:rPr>
                    <w:t>相符</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57" w:hRule="atLeast"/>
                <w:jc w:val="center"/>
              </w:trPr>
              <w:tc>
                <w:tcPr>
                  <w:tcW w:w="597" w:type="dxa"/>
                  <w:vMerge w:val="continue"/>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auto"/>
                      <w:kern w:val="0"/>
                      <w:sz w:val="21"/>
                      <w:szCs w:val="21"/>
                    </w:rPr>
                  </w:pPr>
                </w:p>
              </w:tc>
              <w:tc>
                <w:tcPr>
                  <w:tcW w:w="3311"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禁止引进不符合我国环境保护规定的技术、设备、材料和产品。</w:t>
                  </w:r>
                </w:p>
              </w:tc>
              <w:tc>
                <w:tcPr>
                  <w:tcW w:w="3048"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本项目技术、设备、材料和产品符合我国环境保护相关规定。</w:t>
                  </w:r>
                </w:p>
              </w:tc>
              <w:tc>
                <w:tcPr>
                  <w:tcW w:w="1157"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eastAsia" w:ascii="Times New Roman" w:hAnsi="Times New Roman" w:eastAsia="宋体" w:cs="Times New Roman"/>
                      <w:color w:val="auto"/>
                      <w:kern w:val="0"/>
                      <w:sz w:val="21"/>
                      <w:szCs w:val="21"/>
                      <w:lang w:eastAsia="zh-CN"/>
                    </w:rPr>
                  </w:pPr>
                  <w:r>
                    <w:rPr>
                      <w:rFonts w:hint="eastAsia" w:ascii="Times New Roman" w:hAnsi="Times New Roman" w:cs="Times New Roman"/>
                      <w:color w:val="auto"/>
                      <w:kern w:val="0"/>
                      <w:sz w:val="21"/>
                      <w:szCs w:val="21"/>
                      <w:lang w:eastAsia="zh-CN"/>
                    </w:rPr>
                    <w:t>相符</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823" w:hRule="atLeast"/>
                <w:jc w:val="center"/>
              </w:trPr>
              <w:tc>
                <w:tcPr>
                  <w:tcW w:w="597" w:type="dxa"/>
                  <w:vMerge w:val="continue"/>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auto"/>
                      <w:kern w:val="0"/>
                      <w:sz w:val="21"/>
                      <w:szCs w:val="21"/>
                    </w:rPr>
                  </w:pPr>
                </w:p>
              </w:tc>
              <w:tc>
                <w:tcPr>
                  <w:tcW w:w="3311"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禁止入驻低于国家二级清洁生产标准要求的建设项目。</w:t>
                  </w:r>
                </w:p>
              </w:tc>
              <w:tc>
                <w:tcPr>
                  <w:tcW w:w="3048"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本项目</w:t>
                  </w:r>
                  <w:r>
                    <w:rPr>
                      <w:rFonts w:hint="eastAsia" w:ascii="Times New Roman" w:hAnsi="Times New Roman" w:cs="Times New Roman"/>
                      <w:color w:val="auto"/>
                      <w:kern w:val="0"/>
                      <w:sz w:val="21"/>
                      <w:szCs w:val="21"/>
                      <w:lang w:eastAsia="zh-CN"/>
                    </w:rPr>
                    <w:t>无行业清洁生产标准，</w:t>
                  </w:r>
                  <w:r>
                    <w:rPr>
                      <w:rFonts w:hint="eastAsia" w:ascii="Times New Roman" w:hAnsi="Times New Roman" w:cs="Times New Roman"/>
                      <w:color w:val="auto"/>
                      <w:kern w:val="0"/>
                      <w:sz w:val="21"/>
                      <w:szCs w:val="21"/>
                      <w:lang w:val="en-US" w:eastAsia="zh-CN"/>
                    </w:rPr>
                    <w:t>建设项目清洁生产水平可以达到国内同行业领先水平</w:t>
                  </w:r>
                  <w:r>
                    <w:rPr>
                      <w:rFonts w:hint="eastAsia" w:ascii="Times New Roman" w:hAnsi="Times New Roman" w:cs="Times New Roman"/>
                      <w:color w:val="auto"/>
                      <w:kern w:val="0"/>
                      <w:sz w:val="21"/>
                      <w:szCs w:val="21"/>
                    </w:rPr>
                    <w:t>。</w:t>
                  </w:r>
                </w:p>
              </w:tc>
              <w:tc>
                <w:tcPr>
                  <w:tcW w:w="1157"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eastAsia" w:ascii="Times New Roman" w:hAnsi="Times New Roman" w:eastAsia="宋体" w:cs="Times New Roman"/>
                      <w:color w:val="auto"/>
                      <w:kern w:val="0"/>
                      <w:sz w:val="21"/>
                      <w:szCs w:val="21"/>
                      <w:lang w:eastAsia="zh-CN"/>
                    </w:rPr>
                  </w:pPr>
                  <w:r>
                    <w:rPr>
                      <w:rFonts w:hint="eastAsia" w:ascii="Times New Roman" w:hAnsi="Times New Roman" w:cs="Times New Roman"/>
                      <w:color w:val="auto"/>
                      <w:kern w:val="0"/>
                      <w:sz w:val="21"/>
                      <w:szCs w:val="21"/>
                      <w:lang w:eastAsia="zh-CN"/>
                    </w:rPr>
                    <w:t>相符</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1093" w:hRule="atLeast"/>
                <w:jc w:val="center"/>
              </w:trPr>
              <w:tc>
                <w:tcPr>
                  <w:tcW w:w="597" w:type="dxa"/>
                  <w:vMerge w:val="continue"/>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auto"/>
                      <w:kern w:val="0"/>
                      <w:sz w:val="21"/>
                      <w:szCs w:val="21"/>
                    </w:rPr>
                  </w:pPr>
                </w:p>
              </w:tc>
              <w:tc>
                <w:tcPr>
                  <w:tcW w:w="3311"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禁止建设列入《环境保护综合目录》（2017年版）的高污染、高风险产品生产项目。</w:t>
                  </w:r>
                </w:p>
              </w:tc>
              <w:tc>
                <w:tcPr>
                  <w:tcW w:w="3048"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本项目未列入《环境保护综合目录》（</w:t>
                  </w:r>
                  <w:r>
                    <w:rPr>
                      <w:rFonts w:hint="eastAsia" w:ascii="Times New Roman" w:hAnsi="Times New Roman" w:cs="Times New Roman"/>
                      <w:color w:val="auto"/>
                      <w:kern w:val="0"/>
                      <w:sz w:val="21"/>
                      <w:szCs w:val="21"/>
                      <w:lang w:val="en-US" w:eastAsia="zh-CN"/>
                    </w:rPr>
                    <w:t>2021</w:t>
                  </w:r>
                  <w:r>
                    <w:rPr>
                      <w:rFonts w:hint="eastAsia" w:ascii="Times New Roman" w:hAnsi="Times New Roman" w:cs="Times New Roman"/>
                      <w:color w:val="auto"/>
                      <w:kern w:val="0"/>
                      <w:sz w:val="21"/>
                      <w:szCs w:val="21"/>
                    </w:rPr>
                    <w:t>年版），不属于高污染、高风险产品生产项目。</w:t>
                  </w:r>
                </w:p>
              </w:tc>
              <w:tc>
                <w:tcPr>
                  <w:tcW w:w="1157"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eastAsia" w:ascii="Times New Roman" w:hAnsi="Times New Roman" w:eastAsia="宋体" w:cs="Times New Roman"/>
                      <w:color w:val="auto"/>
                      <w:kern w:val="0"/>
                      <w:sz w:val="21"/>
                      <w:szCs w:val="21"/>
                      <w:lang w:eastAsia="zh-CN"/>
                    </w:rPr>
                  </w:pPr>
                  <w:r>
                    <w:rPr>
                      <w:rFonts w:hint="eastAsia" w:ascii="Times New Roman" w:hAnsi="Times New Roman" w:cs="Times New Roman"/>
                      <w:color w:val="auto"/>
                      <w:kern w:val="0"/>
                      <w:sz w:val="21"/>
                      <w:szCs w:val="21"/>
                      <w:lang w:eastAsia="zh-CN"/>
                    </w:rPr>
                    <w:t>相符</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823" w:hRule="atLeast"/>
                <w:jc w:val="center"/>
              </w:trPr>
              <w:tc>
                <w:tcPr>
                  <w:tcW w:w="597" w:type="dxa"/>
                  <w:tcBorders>
                    <w:tl2br w:val="nil"/>
                    <w:tr2bl w:val="nil"/>
                  </w:tcBorders>
                  <w:vAlign w:val="center"/>
                </w:tcPr>
                <w:p>
                  <w:pPr>
                    <w:pStyle w:val="57"/>
                    <w:keepNext w:val="0"/>
                    <w:keepLines w:val="0"/>
                    <w:suppressLineNumbers w:val="0"/>
                    <w:spacing w:before="0" w:beforeAutospacing="0" w:after="0" w:afterAutospacing="0" w:line="240" w:lineRule="auto"/>
                    <w:ind w:left="0" w:right="0"/>
                    <w:rPr>
                      <w:rFonts w:hint="default" w:ascii="Times New Roman" w:hAnsi="Times New Roman"/>
                      <w:color w:val="auto"/>
                      <w:sz w:val="21"/>
                      <w:szCs w:val="21"/>
                    </w:rPr>
                  </w:pPr>
                  <w:r>
                    <w:rPr>
                      <w:rFonts w:hint="default" w:ascii="Times New Roman" w:hAnsi="Times New Roman"/>
                      <w:color w:val="auto"/>
                      <w:sz w:val="21"/>
                      <w:szCs w:val="21"/>
                    </w:rPr>
                    <w:t>燃料控制</w:t>
                  </w:r>
                </w:p>
              </w:tc>
              <w:tc>
                <w:tcPr>
                  <w:tcW w:w="3311" w:type="dxa"/>
                  <w:tcBorders>
                    <w:tl2br w:val="nil"/>
                    <w:tr2bl w:val="nil"/>
                  </w:tcBorders>
                  <w:vAlign w:val="center"/>
                </w:tcPr>
                <w:p>
                  <w:pPr>
                    <w:pStyle w:val="57"/>
                    <w:keepNext w:val="0"/>
                    <w:keepLines w:val="0"/>
                    <w:suppressLineNumbers w:val="0"/>
                    <w:spacing w:before="0" w:beforeAutospacing="0" w:after="0" w:afterAutospacing="0" w:line="240" w:lineRule="auto"/>
                    <w:ind w:left="0" w:right="0"/>
                    <w:jc w:val="both"/>
                    <w:rPr>
                      <w:rFonts w:hint="default" w:ascii="Times New Roman" w:hAnsi="Times New Roman"/>
                      <w:color w:val="auto"/>
                      <w:sz w:val="21"/>
                      <w:szCs w:val="21"/>
                    </w:rPr>
                  </w:pPr>
                  <w:r>
                    <w:rPr>
                      <w:rFonts w:hint="default" w:ascii="Times New Roman" w:hAnsi="Times New Roman"/>
                      <w:color w:val="auto"/>
                      <w:sz w:val="21"/>
                      <w:szCs w:val="21"/>
                    </w:rPr>
                    <w:t>禁止</w:t>
                  </w:r>
                  <w:r>
                    <w:rPr>
                      <w:rFonts w:hint="default" w:ascii="Times New Roman" w:hAnsi="Times New Roman"/>
                      <w:color w:val="auto"/>
                      <w:kern w:val="0"/>
                      <w:sz w:val="21"/>
                      <w:szCs w:val="21"/>
                    </w:rPr>
                    <w:t>使用燃煤、重油、生物质燃料等高污染燃料设施</w:t>
                  </w:r>
                  <w:r>
                    <w:rPr>
                      <w:rFonts w:hint="default" w:ascii="Times New Roman" w:hAnsi="Times New Roman"/>
                      <w:color w:val="auto"/>
                      <w:sz w:val="21"/>
                      <w:szCs w:val="21"/>
                    </w:rPr>
                    <w:t>。</w:t>
                  </w:r>
                </w:p>
              </w:tc>
              <w:tc>
                <w:tcPr>
                  <w:tcW w:w="3048"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本项目不使用</w:t>
                  </w:r>
                  <w:r>
                    <w:rPr>
                      <w:rFonts w:hint="default" w:ascii="Times New Roman" w:hAnsi="Times New Roman" w:cs="Times New Roman"/>
                      <w:color w:val="auto"/>
                      <w:kern w:val="0"/>
                      <w:sz w:val="21"/>
                      <w:szCs w:val="21"/>
                    </w:rPr>
                    <w:t>燃煤、重油、生物质燃料等高污染燃料设施</w:t>
                  </w:r>
                  <w:r>
                    <w:rPr>
                      <w:rFonts w:hint="eastAsia" w:ascii="Times New Roman" w:hAnsi="Times New Roman" w:cs="Times New Roman"/>
                      <w:color w:val="auto"/>
                      <w:kern w:val="0"/>
                      <w:sz w:val="21"/>
                      <w:szCs w:val="21"/>
                    </w:rPr>
                    <w:t>。</w:t>
                  </w:r>
                </w:p>
              </w:tc>
              <w:tc>
                <w:tcPr>
                  <w:tcW w:w="1157"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eastAsia" w:ascii="Times New Roman" w:hAnsi="Times New Roman" w:eastAsia="宋体" w:cs="Times New Roman"/>
                      <w:color w:val="auto"/>
                      <w:kern w:val="0"/>
                      <w:sz w:val="21"/>
                      <w:szCs w:val="21"/>
                      <w:lang w:eastAsia="zh-CN"/>
                    </w:rPr>
                  </w:pPr>
                  <w:r>
                    <w:rPr>
                      <w:rFonts w:hint="eastAsia" w:ascii="Times New Roman" w:hAnsi="Times New Roman" w:cs="Times New Roman"/>
                      <w:color w:val="auto"/>
                      <w:kern w:val="0"/>
                      <w:sz w:val="21"/>
                      <w:szCs w:val="21"/>
                      <w:lang w:eastAsia="zh-CN"/>
                    </w:rPr>
                    <w:t>相符</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jc w:val="center"/>
              </w:trPr>
              <w:tc>
                <w:tcPr>
                  <w:tcW w:w="597" w:type="dxa"/>
                  <w:vMerge w:val="restart"/>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行业限制</w:t>
                  </w:r>
                </w:p>
              </w:tc>
              <w:tc>
                <w:tcPr>
                  <w:tcW w:w="3311"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禁止建设生产和使用高VOCs含量的溶剂型涂料、油墨、胶粘剂等项目；禁止入驻露天喷涂项目。</w:t>
                  </w:r>
                </w:p>
              </w:tc>
              <w:tc>
                <w:tcPr>
                  <w:tcW w:w="3048"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本项目为</w:t>
                  </w:r>
                  <w:r>
                    <w:rPr>
                      <w:rFonts w:hint="eastAsia" w:ascii="Times New Roman" w:hAnsi="Times New Roman" w:cs="Times New Roman"/>
                      <w:color w:val="auto"/>
                      <w:kern w:val="0"/>
                      <w:sz w:val="21"/>
                      <w:szCs w:val="21"/>
                      <w:lang w:eastAsia="zh-CN"/>
                    </w:rPr>
                    <w:t>危险废物治理项目</w:t>
                  </w:r>
                  <w:r>
                    <w:rPr>
                      <w:rFonts w:hint="eastAsia" w:ascii="Times New Roman" w:hAnsi="Times New Roman" w:cs="Times New Roman"/>
                      <w:color w:val="auto"/>
                      <w:kern w:val="0"/>
                      <w:sz w:val="21"/>
                      <w:szCs w:val="21"/>
                    </w:rPr>
                    <w:t>，不涉及生产和使用高VOCs含量的溶剂型涂料、油墨、胶粘剂等；不涉及露天喷涂。</w:t>
                  </w:r>
                </w:p>
              </w:tc>
              <w:tc>
                <w:tcPr>
                  <w:tcW w:w="1157"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eastAsia" w:ascii="Times New Roman" w:hAnsi="Times New Roman" w:eastAsia="宋体" w:cs="Times New Roman"/>
                      <w:color w:val="auto"/>
                      <w:kern w:val="0"/>
                      <w:sz w:val="21"/>
                      <w:szCs w:val="21"/>
                      <w:lang w:eastAsia="zh-CN"/>
                    </w:rPr>
                  </w:pPr>
                  <w:r>
                    <w:rPr>
                      <w:rFonts w:hint="eastAsia" w:ascii="Times New Roman" w:hAnsi="Times New Roman" w:cs="Times New Roman"/>
                      <w:color w:val="auto"/>
                      <w:kern w:val="0"/>
                      <w:sz w:val="21"/>
                      <w:szCs w:val="21"/>
                      <w:lang w:eastAsia="zh-CN"/>
                    </w:rPr>
                    <w:t>相符</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jc w:val="center"/>
              </w:trPr>
              <w:tc>
                <w:tcPr>
                  <w:tcW w:w="597" w:type="dxa"/>
                  <w:vMerge w:val="continue"/>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auto"/>
                      <w:kern w:val="0"/>
                      <w:sz w:val="21"/>
                      <w:szCs w:val="21"/>
                    </w:rPr>
                  </w:pPr>
                </w:p>
              </w:tc>
              <w:tc>
                <w:tcPr>
                  <w:tcW w:w="3311"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禁止新建煤化工、冶金、钢铁、铁合金等行业项目</w:t>
                  </w:r>
                </w:p>
              </w:tc>
              <w:tc>
                <w:tcPr>
                  <w:tcW w:w="3048"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本项目为</w:t>
                  </w:r>
                  <w:r>
                    <w:rPr>
                      <w:rFonts w:hint="eastAsia" w:ascii="Times New Roman" w:hAnsi="Times New Roman" w:cs="Times New Roman"/>
                      <w:color w:val="auto"/>
                      <w:kern w:val="0"/>
                      <w:sz w:val="21"/>
                      <w:szCs w:val="21"/>
                      <w:lang w:eastAsia="zh-CN"/>
                    </w:rPr>
                    <w:t>危险废物治理项目</w:t>
                  </w:r>
                  <w:r>
                    <w:rPr>
                      <w:rFonts w:hint="eastAsia" w:ascii="Times New Roman" w:hAnsi="Times New Roman" w:cs="Times New Roman"/>
                      <w:color w:val="auto"/>
                      <w:kern w:val="0"/>
                      <w:sz w:val="21"/>
                      <w:szCs w:val="21"/>
                    </w:rPr>
                    <w:t>，不涉及煤化工、冶金、钢铁、铁合金等行业项目。</w:t>
                  </w:r>
                </w:p>
              </w:tc>
              <w:tc>
                <w:tcPr>
                  <w:tcW w:w="1157"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eastAsia" w:ascii="Times New Roman" w:hAnsi="Times New Roman" w:eastAsia="宋体" w:cs="Times New Roman"/>
                      <w:color w:val="auto"/>
                      <w:kern w:val="0"/>
                      <w:sz w:val="21"/>
                      <w:szCs w:val="21"/>
                      <w:lang w:eastAsia="zh-CN"/>
                    </w:rPr>
                  </w:pPr>
                  <w:r>
                    <w:rPr>
                      <w:rFonts w:hint="eastAsia" w:ascii="Times New Roman" w:hAnsi="Times New Roman" w:cs="Times New Roman"/>
                      <w:color w:val="auto"/>
                      <w:kern w:val="0"/>
                      <w:sz w:val="21"/>
                      <w:szCs w:val="21"/>
                      <w:lang w:eastAsia="zh-CN"/>
                    </w:rPr>
                    <w:t>相符</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1350" w:hRule="atLeast"/>
                <w:jc w:val="center"/>
              </w:trPr>
              <w:tc>
                <w:tcPr>
                  <w:tcW w:w="597" w:type="dxa"/>
                  <w:vMerge w:val="continue"/>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auto"/>
                      <w:kern w:val="0"/>
                      <w:sz w:val="21"/>
                      <w:szCs w:val="21"/>
                    </w:rPr>
                  </w:pPr>
                </w:p>
              </w:tc>
              <w:tc>
                <w:tcPr>
                  <w:tcW w:w="3311"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禁止新建水泥、焦炭、有色冶炼、工业硅、金刚砂等高耗能、高污染项目；</w:t>
                  </w:r>
                </w:p>
              </w:tc>
              <w:tc>
                <w:tcPr>
                  <w:tcW w:w="3048"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本项目为</w:t>
                  </w:r>
                  <w:r>
                    <w:rPr>
                      <w:rFonts w:hint="eastAsia" w:ascii="Times New Roman" w:hAnsi="Times New Roman" w:cs="Times New Roman"/>
                      <w:color w:val="auto"/>
                      <w:kern w:val="0"/>
                      <w:sz w:val="21"/>
                      <w:szCs w:val="21"/>
                      <w:lang w:eastAsia="zh-CN"/>
                    </w:rPr>
                    <w:t>危险废物治理项目</w:t>
                  </w:r>
                  <w:r>
                    <w:rPr>
                      <w:rFonts w:hint="eastAsia" w:ascii="Times New Roman" w:hAnsi="Times New Roman" w:cs="Times New Roman"/>
                      <w:color w:val="auto"/>
                      <w:kern w:val="0"/>
                      <w:sz w:val="21"/>
                      <w:szCs w:val="21"/>
                    </w:rPr>
                    <w:t>，不涉及水泥、焦炭、有色冶炼、工业硅、金刚砂等高耗能、高污染项目。</w:t>
                  </w:r>
                </w:p>
              </w:tc>
              <w:tc>
                <w:tcPr>
                  <w:tcW w:w="1157"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eastAsia" w:ascii="Times New Roman" w:hAnsi="Times New Roman" w:eastAsia="宋体" w:cs="Times New Roman"/>
                      <w:color w:val="auto"/>
                      <w:kern w:val="0"/>
                      <w:sz w:val="21"/>
                      <w:szCs w:val="21"/>
                      <w:lang w:eastAsia="zh-CN"/>
                    </w:rPr>
                  </w:pPr>
                  <w:r>
                    <w:rPr>
                      <w:rFonts w:hint="eastAsia" w:ascii="Times New Roman" w:hAnsi="Times New Roman" w:cs="Times New Roman"/>
                      <w:color w:val="auto"/>
                      <w:kern w:val="0"/>
                      <w:sz w:val="21"/>
                      <w:szCs w:val="21"/>
                      <w:lang w:eastAsia="zh-CN"/>
                    </w:rPr>
                    <w:t>相符</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57" w:hRule="atLeast"/>
                <w:jc w:val="center"/>
              </w:trPr>
              <w:tc>
                <w:tcPr>
                  <w:tcW w:w="597" w:type="dxa"/>
                  <w:vMerge w:val="continue"/>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auto"/>
                      <w:kern w:val="0"/>
                      <w:sz w:val="21"/>
                      <w:szCs w:val="21"/>
                    </w:rPr>
                  </w:pPr>
                </w:p>
              </w:tc>
              <w:tc>
                <w:tcPr>
                  <w:tcW w:w="3311"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禁止建设电镀、皮革加工、造纸、印染、生物发酵、选矿、和规模化禽畜养殖等项目，涉及铅、铬、镉、汞、砷等重金属污染物排放的相关项目</w:t>
                  </w:r>
                </w:p>
              </w:tc>
              <w:tc>
                <w:tcPr>
                  <w:tcW w:w="3048"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本项目为</w:t>
                  </w:r>
                  <w:r>
                    <w:rPr>
                      <w:rFonts w:hint="eastAsia" w:ascii="Times New Roman" w:hAnsi="Times New Roman" w:cs="Times New Roman"/>
                      <w:color w:val="auto"/>
                      <w:kern w:val="0"/>
                      <w:sz w:val="21"/>
                      <w:szCs w:val="21"/>
                      <w:lang w:eastAsia="zh-CN"/>
                    </w:rPr>
                    <w:t>危险废物治理项目</w:t>
                  </w:r>
                  <w:r>
                    <w:rPr>
                      <w:rFonts w:hint="eastAsia" w:ascii="Times New Roman" w:hAnsi="Times New Roman" w:cs="Times New Roman"/>
                      <w:color w:val="auto"/>
                      <w:kern w:val="0"/>
                      <w:sz w:val="21"/>
                      <w:szCs w:val="21"/>
                    </w:rPr>
                    <w:t>，不涉及电镀、皮革加工、造纸、印染、生物发酵、选矿、和规模化禽畜养殖等项目，本项目不涉及铅、铬、镉、汞、砷等重金属污染物排放。</w:t>
                  </w:r>
                </w:p>
              </w:tc>
              <w:tc>
                <w:tcPr>
                  <w:tcW w:w="1157"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eastAsia" w:ascii="Times New Roman" w:hAnsi="Times New Roman" w:eastAsia="宋体" w:cs="Times New Roman"/>
                      <w:color w:val="auto"/>
                      <w:kern w:val="0"/>
                      <w:sz w:val="21"/>
                      <w:szCs w:val="21"/>
                      <w:lang w:eastAsia="zh-CN"/>
                    </w:rPr>
                  </w:pPr>
                  <w:r>
                    <w:rPr>
                      <w:rFonts w:hint="eastAsia" w:ascii="Times New Roman" w:hAnsi="Times New Roman" w:cs="Times New Roman"/>
                      <w:color w:val="auto"/>
                      <w:kern w:val="0"/>
                      <w:sz w:val="21"/>
                      <w:szCs w:val="21"/>
                      <w:lang w:eastAsia="zh-CN"/>
                    </w:rPr>
                    <w:t>相符</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57" w:hRule="atLeast"/>
                <w:jc w:val="center"/>
              </w:trPr>
              <w:tc>
                <w:tcPr>
                  <w:tcW w:w="597" w:type="dxa"/>
                  <w:vMerge w:val="continue"/>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color w:val="auto"/>
                      <w:kern w:val="0"/>
                      <w:sz w:val="21"/>
                      <w:szCs w:val="21"/>
                    </w:rPr>
                  </w:pPr>
                </w:p>
              </w:tc>
              <w:tc>
                <w:tcPr>
                  <w:tcW w:w="3311"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①限制用水效益低、耗水高的产业发展。</w:t>
                  </w:r>
                </w:p>
                <w:p>
                  <w:pPr>
                    <w:keepNext w:val="0"/>
                    <w:keepLines w:val="0"/>
                    <w:suppressLineNumbers w:val="0"/>
                    <w:autoSpaceDE w:val="0"/>
                    <w:autoSpaceDN w:val="0"/>
                    <w:spacing w:before="0" w:beforeAutospacing="0" w:after="0" w:afterAutospacing="0"/>
                    <w:ind w:left="0" w:right="0"/>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②污染较重，对大气环境造成较大影响的项目。</w:t>
                  </w:r>
                </w:p>
              </w:tc>
              <w:tc>
                <w:tcPr>
                  <w:tcW w:w="3048"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both"/>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本项目生产用水主要为冷却用水，冷却循环水循环利用</w:t>
                  </w:r>
                  <w:r>
                    <w:rPr>
                      <w:rFonts w:hint="eastAsia" w:ascii="Times New Roman" w:hAnsi="Times New Roman" w:cs="Times New Roman"/>
                      <w:color w:val="auto"/>
                      <w:kern w:val="0"/>
                      <w:sz w:val="21"/>
                      <w:szCs w:val="21"/>
                      <w:lang w:eastAsia="zh-CN"/>
                    </w:rPr>
                    <w:t>，定期补充不外排</w:t>
                  </w:r>
                  <w:r>
                    <w:rPr>
                      <w:rFonts w:hint="eastAsia" w:ascii="Times New Roman" w:hAnsi="Times New Roman" w:cs="Times New Roman"/>
                      <w:color w:val="auto"/>
                      <w:kern w:val="0"/>
                      <w:sz w:val="21"/>
                      <w:szCs w:val="21"/>
                    </w:rPr>
                    <w:t>。本项目废气污染物主要为颗粒物，达标排放，对周围大气环境的影响较小。</w:t>
                  </w:r>
                </w:p>
              </w:tc>
              <w:tc>
                <w:tcPr>
                  <w:tcW w:w="1157"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eastAsia" w:ascii="Times New Roman" w:hAnsi="Times New Roman" w:eastAsia="宋体" w:cs="Times New Roman"/>
                      <w:color w:val="auto"/>
                      <w:kern w:val="0"/>
                      <w:sz w:val="21"/>
                      <w:szCs w:val="21"/>
                      <w:lang w:eastAsia="zh-CN"/>
                    </w:rPr>
                  </w:pPr>
                  <w:r>
                    <w:rPr>
                      <w:rFonts w:hint="eastAsia" w:ascii="Times New Roman" w:hAnsi="Times New Roman" w:cs="Times New Roman"/>
                      <w:color w:val="auto"/>
                      <w:kern w:val="0"/>
                      <w:sz w:val="21"/>
                      <w:szCs w:val="21"/>
                      <w:lang w:eastAsia="zh-CN"/>
                    </w:rPr>
                    <w:t>相符</w:t>
                  </w:r>
                </w:p>
              </w:tc>
            </w:tr>
          </w:tbl>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b w:val="0"/>
                <w:bCs w:val="0"/>
                <w:color w:val="auto"/>
                <w:sz w:val="24"/>
                <w:szCs w:val="24"/>
                <w:highlight w:val="none"/>
                <w:u w:val="none" w:color="auto"/>
                <w:lang w:val="en-US" w:eastAsia="zh-CN"/>
              </w:rPr>
            </w:pPr>
            <w:r>
              <w:rPr>
                <w:rFonts w:hint="eastAsia" w:ascii="Times New Roman" w:hAnsi="Times New Roman" w:eastAsia="宋体" w:cs="Times New Roman"/>
                <w:b w:val="0"/>
                <w:bCs w:val="0"/>
                <w:color w:val="auto"/>
                <w:sz w:val="24"/>
                <w:szCs w:val="24"/>
                <w:highlight w:val="none"/>
                <w:u w:val="none" w:color="auto"/>
                <w:lang w:val="en-US" w:eastAsia="zh-CN"/>
              </w:rPr>
              <w:t>由上表对比分析可知，本项目不在规划环评产业发展负面清单内。</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4.与跟踪评价报告书审核意见相符性分析</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b w:val="0"/>
                <w:bCs w:val="0"/>
                <w:color w:val="auto"/>
                <w:sz w:val="24"/>
                <w:szCs w:val="24"/>
                <w:highlight w:val="none"/>
                <w:u w:val="none" w:color="auto"/>
                <w:lang w:val="en-US" w:eastAsia="zh-CN"/>
              </w:rPr>
            </w:pPr>
            <w:r>
              <w:rPr>
                <w:rFonts w:hint="eastAsia" w:ascii="Times New Roman" w:hAnsi="Times New Roman" w:eastAsia="宋体" w:cs="Times New Roman"/>
                <w:b w:val="0"/>
                <w:bCs w:val="0"/>
                <w:color w:val="auto"/>
                <w:sz w:val="24"/>
                <w:szCs w:val="24"/>
                <w:highlight w:val="none"/>
                <w:u w:val="none" w:color="auto"/>
                <w:lang w:val="en-US" w:eastAsia="zh-CN"/>
              </w:rPr>
              <w:t>本项目与《安阳市生态环境局关于安阳市新型制造产业园区总体发展规划（2010-2020）环境影响跟踪评价报告书的审核意见》（安环函〔2019〕73号）相符性分析见下表。</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本项目与审核意见（安环函〔2019〕73号）相符性分析一栏表</w:t>
            </w:r>
          </w:p>
          <w:tbl>
            <w:tblPr>
              <w:tblStyle w:val="28"/>
              <w:tblW w:w="8115" w:type="dxa"/>
              <w:jc w:val="center"/>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40"/>
              <w:gridCol w:w="4041"/>
              <w:gridCol w:w="2198"/>
              <w:gridCol w:w="93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jc w:val="center"/>
              </w:trPr>
              <w:tc>
                <w:tcPr>
                  <w:tcW w:w="4981" w:type="dxa"/>
                  <w:gridSpan w:val="2"/>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b/>
                      <w:color w:val="auto"/>
                      <w:kern w:val="0"/>
                      <w:sz w:val="21"/>
                      <w:szCs w:val="21"/>
                      <w:lang w:val="en-US" w:eastAsia="zh-CN"/>
                    </w:rPr>
                  </w:pPr>
                  <w:r>
                    <w:rPr>
                      <w:rFonts w:hint="default" w:ascii="Times New Roman" w:hAnsi="Times New Roman" w:eastAsia="宋体" w:cs="Times New Roman"/>
                      <w:b/>
                      <w:color w:val="auto"/>
                      <w:kern w:val="0"/>
                      <w:sz w:val="21"/>
                      <w:szCs w:val="21"/>
                    </w:rPr>
                    <w:t>审核意见具体内容</w:t>
                  </w:r>
                </w:p>
              </w:tc>
              <w:tc>
                <w:tcPr>
                  <w:tcW w:w="2198"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b/>
                      <w:color w:val="auto"/>
                      <w:kern w:val="0"/>
                      <w:sz w:val="21"/>
                      <w:szCs w:val="21"/>
                    </w:rPr>
                  </w:pPr>
                  <w:r>
                    <w:rPr>
                      <w:rFonts w:hint="default" w:ascii="Times New Roman" w:hAnsi="Times New Roman" w:eastAsia="宋体" w:cs="Times New Roman"/>
                      <w:b/>
                      <w:color w:val="auto"/>
                      <w:kern w:val="0"/>
                      <w:sz w:val="21"/>
                      <w:szCs w:val="21"/>
                    </w:rPr>
                    <w:t>本项目拟建设情况</w:t>
                  </w:r>
                </w:p>
              </w:tc>
              <w:tc>
                <w:tcPr>
                  <w:tcW w:w="936"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b/>
                      <w:color w:val="auto"/>
                      <w:kern w:val="0"/>
                      <w:sz w:val="21"/>
                      <w:szCs w:val="21"/>
                    </w:rPr>
                  </w:pPr>
                  <w:r>
                    <w:rPr>
                      <w:rFonts w:hint="default" w:ascii="Times New Roman" w:hAnsi="Times New Roman" w:eastAsia="宋体" w:cs="Times New Roman"/>
                      <w:b/>
                      <w:color w:val="auto"/>
                      <w:kern w:val="0"/>
                      <w:sz w:val="21"/>
                      <w:szCs w:val="21"/>
                    </w:rPr>
                    <w:t>相符性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940"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合理用地布局</w:t>
                  </w:r>
                </w:p>
              </w:tc>
              <w:tc>
                <w:tcPr>
                  <w:tcW w:w="4041"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both"/>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进一步加强与宜沟镇总体规划的衔接，优化调整用地布局，在开发过程中不应随意改变各用地功能区的使用功能，对于目前园区与汤阴县产业集聚区部分规划区域重叠，建议园区规划将重叠区域调整出规划范围；园区内部分已建企业用地性质与规划用地性质不符，建议规划进行优化调整；按照最新南水北调保护区范围对园区限制建设区进行调整，位于保护区范围内的企业限期进行搬迁；按照《报告书》要求，加强环境准入和产业负面清单管理，落实规划环评及本次跟踪评价提出的各项要求；工业区与生活居住区之间设置绿化隔离带，根据建设开发时序，适时做好居民搬迁安置工作。</w:t>
                  </w:r>
                </w:p>
              </w:tc>
              <w:tc>
                <w:tcPr>
                  <w:tcW w:w="2198"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both"/>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本项目在现有厂区</w:t>
                  </w:r>
                  <w:r>
                    <w:rPr>
                      <w:rFonts w:hint="eastAsia" w:ascii="Times New Roman" w:hAnsi="Times New Roman" w:eastAsia="宋体" w:cs="Times New Roman"/>
                      <w:color w:val="auto"/>
                      <w:kern w:val="0"/>
                      <w:sz w:val="21"/>
                      <w:szCs w:val="21"/>
                      <w:lang w:val="en-US" w:eastAsia="zh-CN"/>
                    </w:rPr>
                    <w:t>建设</w:t>
                  </w:r>
                  <w:r>
                    <w:rPr>
                      <w:rFonts w:hint="default" w:ascii="Times New Roman" w:hAnsi="Times New Roman" w:eastAsia="宋体" w:cs="Times New Roman"/>
                      <w:color w:val="auto"/>
                      <w:kern w:val="0"/>
                      <w:sz w:val="21"/>
                      <w:szCs w:val="21"/>
                    </w:rPr>
                    <w:t>，</w:t>
                  </w:r>
                  <w:r>
                    <w:rPr>
                      <w:rFonts w:hint="eastAsia" w:ascii="Times New Roman" w:hAnsi="Times New Roman" w:eastAsia="宋体" w:cs="Times New Roman"/>
                      <w:color w:val="auto"/>
                      <w:kern w:val="0"/>
                      <w:sz w:val="21"/>
                      <w:szCs w:val="21"/>
                      <w:lang w:eastAsia="zh-CN"/>
                    </w:rPr>
                    <w:t>项目</w:t>
                  </w:r>
                  <w:r>
                    <w:rPr>
                      <w:rFonts w:hint="default" w:ascii="Times New Roman" w:hAnsi="Times New Roman" w:eastAsia="宋体" w:cs="Times New Roman"/>
                      <w:color w:val="auto"/>
                      <w:kern w:val="0"/>
                      <w:sz w:val="21"/>
                      <w:szCs w:val="21"/>
                    </w:rPr>
                    <w:t>用地性质与规划用地性质相符。</w:t>
                  </w:r>
                  <w:r>
                    <w:rPr>
                      <w:rFonts w:hint="default" w:ascii="Times New Roman" w:hAnsi="Times New Roman" w:eastAsia="宋体" w:cs="Times New Roman"/>
                      <w:color w:val="auto"/>
                      <w:kern w:val="0"/>
                      <w:sz w:val="21"/>
                      <w:szCs w:val="21"/>
                      <w:lang w:bidi="en-US"/>
                    </w:rPr>
                    <w:t>本项目厂界西</w:t>
                  </w:r>
                  <w:r>
                    <w:rPr>
                      <w:rFonts w:hint="eastAsia" w:ascii="Times New Roman" w:hAnsi="Times New Roman" w:eastAsia="宋体" w:cs="Times New Roman"/>
                      <w:color w:val="auto"/>
                      <w:kern w:val="0"/>
                      <w:sz w:val="21"/>
                      <w:szCs w:val="21"/>
                      <w:lang w:eastAsia="zh-CN" w:bidi="en-US"/>
                    </w:rPr>
                    <w:t>侧</w:t>
                  </w:r>
                  <w:r>
                    <w:rPr>
                      <w:rFonts w:hint="default" w:ascii="Times New Roman" w:hAnsi="Times New Roman" w:eastAsia="宋体" w:cs="Times New Roman"/>
                      <w:color w:val="auto"/>
                      <w:kern w:val="0"/>
                      <w:sz w:val="21"/>
                      <w:szCs w:val="21"/>
                      <w:lang w:bidi="en-US"/>
                    </w:rPr>
                    <w:t>距南水北调中线总干渠两侧二级保护区</w:t>
                  </w:r>
                  <w:r>
                    <w:rPr>
                      <w:rFonts w:hint="eastAsia" w:cs="Times New Roman"/>
                      <w:color w:val="auto"/>
                      <w:kern w:val="0"/>
                      <w:sz w:val="21"/>
                      <w:szCs w:val="21"/>
                      <w:lang w:eastAsia="zh-CN" w:bidi="en-US"/>
                    </w:rPr>
                    <w:t>850</w:t>
                  </w:r>
                  <w:r>
                    <w:rPr>
                      <w:rFonts w:hint="default" w:ascii="Times New Roman" w:hAnsi="Times New Roman" w:eastAsia="宋体" w:cs="Times New Roman"/>
                      <w:color w:val="auto"/>
                      <w:kern w:val="0"/>
                      <w:sz w:val="21"/>
                      <w:szCs w:val="21"/>
                      <w:lang w:bidi="en-US"/>
                    </w:rPr>
                    <w:t>m，</w:t>
                  </w:r>
                  <w:r>
                    <w:rPr>
                      <w:rFonts w:hint="default" w:ascii="Times New Roman" w:hAnsi="Times New Roman" w:eastAsia="宋体" w:cs="Times New Roman"/>
                      <w:color w:val="auto"/>
                      <w:kern w:val="0"/>
                      <w:sz w:val="21"/>
                      <w:szCs w:val="21"/>
                    </w:rPr>
                    <w:t>不在南水北调二级保护范围内。本项目符合环境准入要求，未在产业负面清单内。</w:t>
                  </w:r>
                </w:p>
              </w:tc>
              <w:tc>
                <w:tcPr>
                  <w:tcW w:w="936"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eastAsia" w:ascii="Times New Roman" w:hAnsi="Times New Roman" w:eastAsia="宋体" w:cs="Times New Roman"/>
                      <w:color w:val="auto"/>
                      <w:kern w:val="0"/>
                      <w:sz w:val="21"/>
                      <w:szCs w:val="21"/>
                      <w:lang w:eastAsia="zh-CN"/>
                    </w:rPr>
                  </w:pPr>
                  <w:r>
                    <w:rPr>
                      <w:rFonts w:hint="eastAsia" w:ascii="Times New Roman" w:hAnsi="Times New Roman" w:eastAsia="宋体" w:cs="Times New Roman"/>
                      <w:color w:val="auto"/>
                      <w:kern w:val="0"/>
                      <w:sz w:val="21"/>
                      <w:szCs w:val="21"/>
                      <w:lang w:eastAsia="zh-CN"/>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40"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进一步优化产业定位和结构</w:t>
                  </w:r>
                </w:p>
              </w:tc>
              <w:tc>
                <w:tcPr>
                  <w:tcW w:w="4041"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结合《报告书》分析，园区发展主导产业优势不明显，建议规划对主导产业进行优化调整，着力发展绿色、循环和低碳经济；企业入驻时要严格按照规划布局布设；禁止建设生产和使用高VOCs含量的溶剂型涂料、油墨、胶粘剂等项目；禁止入驻露天喷涂项目；禁止新建煤化工、冶金、钢铁、铁合金、水泥、焦炭、有色冶炼、工业硅、金刚砂等高耗能、高污染项目；禁止建设电镀、皮革加工、造纸、印染、生物发酵、选矿、规模化禽畜养殖等项目和涉及铅、铬、镉、汞、砷等重金属污染物排放的相关项目。</w:t>
                  </w:r>
                </w:p>
              </w:tc>
              <w:tc>
                <w:tcPr>
                  <w:tcW w:w="2198"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both"/>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eastAsia="zh-CN"/>
                    </w:rPr>
                    <w:t>项目</w:t>
                  </w:r>
                  <w:r>
                    <w:rPr>
                      <w:rFonts w:hint="default" w:ascii="Times New Roman" w:hAnsi="Times New Roman" w:eastAsia="宋体" w:cs="Times New Roman"/>
                      <w:color w:val="auto"/>
                      <w:kern w:val="0"/>
                      <w:sz w:val="21"/>
                      <w:szCs w:val="21"/>
                    </w:rPr>
                    <w:t>严格按照规划布局布设；</w:t>
                  </w:r>
                  <w:r>
                    <w:rPr>
                      <w:rFonts w:hint="eastAsia" w:ascii="Times New Roman" w:hAnsi="Times New Roman" w:eastAsia="宋体" w:cs="Times New Roman"/>
                      <w:color w:val="auto"/>
                      <w:kern w:val="0"/>
                      <w:sz w:val="21"/>
                      <w:szCs w:val="21"/>
                      <w:lang w:eastAsia="zh-CN"/>
                    </w:rPr>
                    <w:t>项目</w:t>
                  </w:r>
                  <w:r>
                    <w:rPr>
                      <w:rFonts w:hint="default" w:ascii="Times New Roman" w:hAnsi="Times New Roman" w:eastAsia="宋体" w:cs="Times New Roman"/>
                      <w:color w:val="auto"/>
                      <w:kern w:val="0"/>
                      <w:sz w:val="21"/>
                      <w:szCs w:val="21"/>
                    </w:rPr>
                    <w:t>不生产和使用高VOCs含量的溶剂型涂料、油墨、胶粘剂；</w:t>
                  </w:r>
                  <w:r>
                    <w:rPr>
                      <w:rFonts w:hint="eastAsia" w:ascii="Times New Roman" w:hAnsi="Times New Roman" w:eastAsia="宋体" w:cs="Times New Roman"/>
                      <w:color w:val="auto"/>
                      <w:kern w:val="0"/>
                      <w:sz w:val="21"/>
                      <w:szCs w:val="21"/>
                      <w:lang w:eastAsia="zh-CN"/>
                    </w:rPr>
                    <w:t>项目</w:t>
                  </w:r>
                  <w:r>
                    <w:rPr>
                      <w:rFonts w:hint="default" w:ascii="Times New Roman" w:hAnsi="Times New Roman" w:eastAsia="宋体" w:cs="Times New Roman"/>
                      <w:color w:val="auto"/>
                      <w:kern w:val="0"/>
                      <w:sz w:val="21"/>
                      <w:szCs w:val="21"/>
                    </w:rPr>
                    <w:t>不涉及露天喷涂；</w:t>
                  </w:r>
                  <w:r>
                    <w:rPr>
                      <w:rFonts w:hint="eastAsia" w:ascii="Times New Roman" w:hAnsi="Times New Roman" w:eastAsia="宋体" w:cs="Times New Roman"/>
                      <w:color w:val="auto"/>
                      <w:kern w:val="0"/>
                      <w:sz w:val="21"/>
                      <w:szCs w:val="21"/>
                      <w:lang w:eastAsia="zh-CN"/>
                    </w:rPr>
                    <w:t>项目</w:t>
                  </w:r>
                  <w:r>
                    <w:rPr>
                      <w:rFonts w:hint="default" w:ascii="Times New Roman" w:hAnsi="Times New Roman" w:eastAsia="宋体" w:cs="Times New Roman"/>
                      <w:color w:val="auto"/>
                      <w:kern w:val="0"/>
                      <w:sz w:val="21"/>
                      <w:szCs w:val="21"/>
                    </w:rPr>
                    <w:t>不涉及煤化工、冶金、钢铁、铁合金、水泥、焦炭、有色冶炼、工业硅、金刚砂等高耗能、高污染项目；</w:t>
                  </w:r>
                  <w:r>
                    <w:rPr>
                      <w:rFonts w:hint="eastAsia" w:ascii="Times New Roman" w:hAnsi="Times New Roman" w:eastAsia="宋体" w:cs="Times New Roman"/>
                      <w:color w:val="auto"/>
                      <w:kern w:val="0"/>
                      <w:sz w:val="21"/>
                      <w:szCs w:val="21"/>
                      <w:lang w:eastAsia="zh-CN"/>
                    </w:rPr>
                    <w:t>项目</w:t>
                  </w:r>
                  <w:r>
                    <w:rPr>
                      <w:rFonts w:hint="default" w:ascii="Times New Roman" w:hAnsi="Times New Roman" w:eastAsia="宋体" w:cs="Times New Roman"/>
                      <w:color w:val="auto"/>
                      <w:kern w:val="0"/>
                      <w:sz w:val="21"/>
                      <w:szCs w:val="21"/>
                    </w:rPr>
                    <w:t>不涉及电镀、皮革加工、造纸、印染、生物发酵、选矿、规模化禽畜养殖等项目；</w:t>
                  </w:r>
                  <w:r>
                    <w:rPr>
                      <w:rFonts w:hint="eastAsia" w:ascii="Times New Roman" w:hAnsi="Times New Roman" w:eastAsia="宋体" w:cs="Times New Roman"/>
                      <w:color w:val="auto"/>
                      <w:kern w:val="0"/>
                      <w:sz w:val="21"/>
                      <w:szCs w:val="21"/>
                      <w:lang w:eastAsia="zh-CN"/>
                    </w:rPr>
                    <w:t>项目</w:t>
                  </w:r>
                  <w:r>
                    <w:rPr>
                      <w:rFonts w:hint="default" w:ascii="Times New Roman" w:hAnsi="Times New Roman" w:eastAsia="宋体" w:cs="Times New Roman"/>
                      <w:color w:val="auto"/>
                      <w:kern w:val="0"/>
                      <w:sz w:val="21"/>
                      <w:szCs w:val="21"/>
                    </w:rPr>
                    <w:t>不</w:t>
                  </w:r>
                  <w:r>
                    <w:rPr>
                      <w:rFonts w:hint="eastAsia" w:ascii="Times New Roman" w:hAnsi="Times New Roman" w:eastAsia="宋体" w:cs="Times New Roman"/>
                      <w:color w:val="auto"/>
                      <w:kern w:val="0"/>
                      <w:sz w:val="21"/>
                      <w:szCs w:val="21"/>
                      <w:lang w:eastAsia="zh-CN"/>
                    </w:rPr>
                    <w:t>属于</w:t>
                  </w:r>
                  <w:r>
                    <w:rPr>
                      <w:rFonts w:hint="default" w:ascii="Times New Roman" w:hAnsi="Times New Roman" w:eastAsia="宋体" w:cs="Times New Roman"/>
                      <w:color w:val="auto"/>
                      <w:kern w:val="0"/>
                      <w:sz w:val="21"/>
                      <w:szCs w:val="21"/>
                    </w:rPr>
                    <w:t>铅、铬、镉、汞、砷等重金属污染物排放的相关项目。</w:t>
                  </w:r>
                </w:p>
              </w:tc>
              <w:tc>
                <w:tcPr>
                  <w:tcW w:w="936"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eastAsia" w:ascii="Times New Roman" w:hAnsi="Times New Roman" w:eastAsia="宋体" w:cs="Times New Roman"/>
                      <w:color w:val="auto"/>
                      <w:kern w:val="0"/>
                      <w:sz w:val="21"/>
                      <w:szCs w:val="21"/>
                      <w:lang w:eastAsia="zh-CN"/>
                    </w:rPr>
                  </w:pPr>
                  <w:r>
                    <w:rPr>
                      <w:rFonts w:hint="eastAsia" w:ascii="Times New Roman" w:hAnsi="Times New Roman" w:eastAsia="宋体" w:cs="Times New Roman"/>
                      <w:color w:val="auto"/>
                      <w:kern w:val="0"/>
                      <w:sz w:val="21"/>
                      <w:szCs w:val="21"/>
                      <w:lang w:eastAsia="zh-CN"/>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40"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尽快完善环保基础设施</w:t>
                  </w:r>
                </w:p>
              </w:tc>
              <w:tc>
                <w:tcPr>
                  <w:tcW w:w="4041"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both"/>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按照</w:t>
                  </w:r>
                  <w:r>
                    <w:rPr>
                      <w:rFonts w:hint="eastAsia" w:ascii="Times New Roman" w:hAnsi="Times New Roman" w:eastAsia="宋体" w:cs="Times New Roman"/>
                      <w:color w:val="auto"/>
                      <w:kern w:val="0"/>
                      <w:sz w:val="21"/>
                      <w:szCs w:val="21"/>
                      <w:lang w:eastAsia="zh-CN"/>
                    </w:rPr>
                    <w:t>“</w:t>
                  </w:r>
                  <w:r>
                    <w:rPr>
                      <w:rFonts w:hint="default" w:ascii="Times New Roman" w:hAnsi="Times New Roman" w:eastAsia="宋体" w:cs="Times New Roman"/>
                      <w:color w:val="auto"/>
                      <w:kern w:val="0"/>
                      <w:sz w:val="21"/>
                      <w:szCs w:val="21"/>
                    </w:rPr>
                    <w:t>清污分流、雨污分流</w:t>
                  </w:r>
                  <w:r>
                    <w:rPr>
                      <w:rFonts w:hint="eastAsia" w:ascii="Times New Roman" w:hAnsi="Times New Roman" w:eastAsia="宋体" w:cs="Times New Roman"/>
                      <w:color w:val="auto"/>
                      <w:kern w:val="0"/>
                      <w:sz w:val="21"/>
                      <w:szCs w:val="21"/>
                      <w:lang w:eastAsia="zh-CN"/>
                    </w:rPr>
                    <w:t>”</w:t>
                  </w:r>
                  <w:r>
                    <w:rPr>
                      <w:rFonts w:hint="default" w:ascii="Times New Roman" w:hAnsi="Times New Roman" w:eastAsia="宋体" w:cs="Times New Roman"/>
                      <w:color w:val="auto"/>
                      <w:kern w:val="0"/>
                      <w:sz w:val="21"/>
                      <w:szCs w:val="21"/>
                    </w:rPr>
                    <w:t>的要求，完善配套污水管网，确保入区企业外排废水全部经管网收集后进入污水处理厂处理。进一步优化能源结构，建议本规划的南北两个区域锅炉房可暂不建设，在下一个规划周期根据新的规划内容重新考虑。</w:t>
                  </w:r>
                </w:p>
              </w:tc>
              <w:tc>
                <w:tcPr>
                  <w:tcW w:w="2198"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both"/>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企业</w:t>
                  </w:r>
                  <w:r>
                    <w:rPr>
                      <w:rFonts w:hint="eastAsia" w:ascii="Times New Roman" w:hAnsi="Times New Roman" w:eastAsia="宋体" w:cs="Times New Roman"/>
                      <w:color w:val="auto"/>
                      <w:kern w:val="0"/>
                      <w:sz w:val="21"/>
                      <w:szCs w:val="21"/>
                      <w:lang w:eastAsia="zh-CN"/>
                    </w:rPr>
                    <w:t>实施“</w:t>
                  </w:r>
                  <w:r>
                    <w:rPr>
                      <w:rFonts w:hint="default" w:ascii="Times New Roman" w:hAnsi="Times New Roman" w:eastAsia="宋体" w:cs="Times New Roman"/>
                      <w:color w:val="auto"/>
                      <w:kern w:val="0"/>
                      <w:sz w:val="21"/>
                      <w:szCs w:val="21"/>
                    </w:rPr>
                    <w:t>清污分流、雨污分流</w:t>
                  </w:r>
                  <w:r>
                    <w:rPr>
                      <w:rFonts w:hint="eastAsia" w:ascii="Times New Roman" w:hAnsi="Times New Roman" w:eastAsia="宋体" w:cs="Times New Roman"/>
                      <w:color w:val="auto"/>
                      <w:kern w:val="0"/>
                      <w:sz w:val="21"/>
                      <w:szCs w:val="21"/>
                      <w:lang w:eastAsia="zh-CN"/>
                    </w:rPr>
                    <w:t>”</w:t>
                  </w:r>
                  <w:r>
                    <w:rPr>
                      <w:rFonts w:hint="default" w:ascii="Times New Roman" w:hAnsi="Times New Roman" w:eastAsia="宋体" w:cs="Times New Roman"/>
                      <w:color w:val="auto"/>
                      <w:kern w:val="0"/>
                      <w:sz w:val="21"/>
                      <w:szCs w:val="21"/>
                    </w:rPr>
                    <w:t>，厂区</w:t>
                  </w:r>
                  <w:r>
                    <w:rPr>
                      <w:rFonts w:hint="eastAsia" w:ascii="Times New Roman" w:hAnsi="Times New Roman" w:eastAsia="宋体" w:cs="Times New Roman"/>
                      <w:color w:val="auto"/>
                      <w:kern w:val="0"/>
                      <w:sz w:val="21"/>
                      <w:szCs w:val="21"/>
                      <w:lang w:eastAsia="zh-CN"/>
                    </w:rPr>
                    <w:t>建有完善的</w:t>
                  </w:r>
                  <w:r>
                    <w:rPr>
                      <w:rFonts w:hint="default" w:ascii="Times New Roman" w:hAnsi="Times New Roman" w:eastAsia="宋体" w:cs="Times New Roman"/>
                      <w:color w:val="auto"/>
                      <w:kern w:val="0"/>
                      <w:sz w:val="21"/>
                      <w:szCs w:val="21"/>
                    </w:rPr>
                    <w:t>配套污水管网，企业现有工程职工生活污水经现有化粪池处理后，经</w:t>
                  </w:r>
                  <w:r>
                    <w:rPr>
                      <w:rFonts w:hint="eastAsia" w:ascii="Times New Roman" w:hAnsi="Times New Roman" w:eastAsia="宋体" w:cs="Times New Roman"/>
                      <w:color w:val="auto"/>
                      <w:kern w:val="0"/>
                      <w:sz w:val="21"/>
                      <w:szCs w:val="21"/>
                      <w:lang w:eastAsia="zh-CN"/>
                    </w:rPr>
                    <w:t>污水</w:t>
                  </w:r>
                  <w:r>
                    <w:rPr>
                      <w:rFonts w:hint="default" w:ascii="Times New Roman" w:hAnsi="Times New Roman" w:eastAsia="宋体" w:cs="Times New Roman"/>
                      <w:color w:val="auto"/>
                      <w:kern w:val="0"/>
                      <w:sz w:val="21"/>
                      <w:szCs w:val="21"/>
                    </w:rPr>
                    <w:t>管网进入汤阴东方环宇污水处理有限公司。</w:t>
                  </w:r>
                </w:p>
              </w:tc>
              <w:tc>
                <w:tcPr>
                  <w:tcW w:w="936"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eastAsia" w:ascii="Times New Roman" w:hAnsi="Times New Roman" w:eastAsia="宋体" w:cs="Times New Roman"/>
                      <w:color w:val="auto"/>
                      <w:kern w:val="0"/>
                      <w:sz w:val="21"/>
                      <w:szCs w:val="21"/>
                      <w:lang w:eastAsia="zh-CN"/>
                    </w:rPr>
                  </w:pPr>
                  <w:r>
                    <w:rPr>
                      <w:rFonts w:hint="eastAsia" w:ascii="Times New Roman" w:hAnsi="Times New Roman" w:eastAsia="宋体" w:cs="Times New Roman"/>
                      <w:color w:val="auto"/>
                      <w:kern w:val="0"/>
                      <w:sz w:val="21"/>
                      <w:szCs w:val="21"/>
                      <w:lang w:eastAsia="zh-CN"/>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09" w:hRule="atLeast"/>
                <w:jc w:val="center"/>
              </w:trPr>
              <w:tc>
                <w:tcPr>
                  <w:tcW w:w="940"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严格控制污染物排放</w:t>
                  </w:r>
                </w:p>
              </w:tc>
              <w:tc>
                <w:tcPr>
                  <w:tcW w:w="4041"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both"/>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严格执行污染物排放总量控制制度，采取调整能源结构、加强污染治理、区域综合整治等措施，严格控制烟粉尘、二氧化硫、氮氧化物、VOCs等大气污染物的排放。加强对现有涉及VOCs特征污染物企业的升级改造，从源头减少污染物排放；加快汤阴县东方环宇污水处理厂的扩建工程建设，保证污水处理设施的正常运行，确保污水处理厂达标排放。</w:t>
                  </w:r>
                </w:p>
              </w:tc>
              <w:tc>
                <w:tcPr>
                  <w:tcW w:w="2198"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both"/>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企业严格执行污染物排放总量控制制度。</w:t>
                  </w:r>
                  <w:r>
                    <w:rPr>
                      <w:rFonts w:hint="eastAsia" w:ascii="Times New Roman" w:hAnsi="Times New Roman" w:eastAsia="宋体" w:cs="Times New Roman"/>
                      <w:color w:val="auto"/>
                      <w:kern w:val="0"/>
                      <w:sz w:val="21"/>
                      <w:szCs w:val="21"/>
                      <w:lang w:eastAsia="zh-CN"/>
                    </w:rPr>
                    <w:t>生产产生的废气</w:t>
                  </w:r>
                  <w:r>
                    <w:rPr>
                      <w:rFonts w:hint="eastAsia" w:ascii="Times New Roman" w:hAnsi="Times New Roman" w:eastAsia="宋体" w:cs="Times New Roman"/>
                      <w:color w:val="auto"/>
                      <w:kern w:val="0"/>
                      <w:sz w:val="21"/>
                      <w:szCs w:val="21"/>
                      <w:lang w:val="en-US" w:eastAsia="zh-CN"/>
                    </w:rPr>
                    <w:t>颗粒物由集气罩收集，通过1套覆膜袋式除尘器处理后经一根18m高排气筒排放，项目生产废水主要为冷灰桶冷却用水及车间冲洗废水。冷灰桶冷却用水经闭式冷却水循环系统收集、处理后循环使用，不外排；车间</w:t>
                  </w:r>
                  <w:r>
                    <w:rPr>
                      <w:rFonts w:hint="eastAsia" w:cs="Times New Roman"/>
                      <w:color w:val="auto"/>
                      <w:kern w:val="0"/>
                      <w:sz w:val="21"/>
                      <w:szCs w:val="21"/>
                      <w:lang w:val="en-US" w:eastAsia="zh-CN"/>
                    </w:rPr>
                    <w:t>洒扫</w:t>
                  </w:r>
                  <w:r>
                    <w:rPr>
                      <w:rFonts w:hint="eastAsia" w:ascii="Times New Roman" w:hAnsi="Times New Roman" w:eastAsia="宋体" w:cs="Times New Roman"/>
                      <w:color w:val="auto"/>
                      <w:kern w:val="0"/>
                      <w:sz w:val="21"/>
                      <w:szCs w:val="21"/>
                      <w:lang w:val="en-US" w:eastAsia="zh-CN"/>
                    </w:rPr>
                    <w:t>废水</w:t>
                  </w:r>
                  <w:r>
                    <w:rPr>
                      <w:rFonts w:hint="eastAsia" w:cs="Times New Roman"/>
                      <w:color w:val="auto"/>
                      <w:kern w:val="0"/>
                      <w:sz w:val="21"/>
                      <w:szCs w:val="21"/>
                      <w:lang w:val="en-US" w:eastAsia="zh-CN"/>
                    </w:rPr>
                    <w:t>全部蒸发损耗，不外排</w:t>
                  </w:r>
                  <w:r>
                    <w:rPr>
                      <w:rFonts w:hint="eastAsia" w:ascii="Times New Roman" w:hAnsi="Times New Roman" w:eastAsia="宋体" w:cs="Times New Roman"/>
                      <w:color w:val="auto"/>
                      <w:kern w:val="0"/>
                      <w:sz w:val="21"/>
                      <w:szCs w:val="21"/>
                      <w:lang w:val="en-US" w:eastAsia="zh-CN"/>
                    </w:rPr>
                    <w:t>。</w:t>
                  </w:r>
                </w:p>
              </w:tc>
              <w:tc>
                <w:tcPr>
                  <w:tcW w:w="936"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eastAsia" w:ascii="Times New Roman" w:hAnsi="Times New Roman" w:eastAsia="宋体" w:cs="Times New Roman"/>
                      <w:color w:val="auto"/>
                      <w:kern w:val="0"/>
                      <w:sz w:val="21"/>
                      <w:szCs w:val="21"/>
                      <w:lang w:eastAsia="zh-CN"/>
                    </w:rPr>
                  </w:pPr>
                  <w:r>
                    <w:rPr>
                      <w:rFonts w:hint="eastAsia" w:ascii="Times New Roman" w:hAnsi="Times New Roman" w:eastAsia="宋体" w:cs="Times New Roman"/>
                      <w:color w:val="auto"/>
                      <w:kern w:val="0"/>
                      <w:sz w:val="21"/>
                      <w:szCs w:val="21"/>
                      <w:lang w:eastAsia="zh-CN"/>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379" w:hRule="atLeast"/>
                <w:jc w:val="center"/>
              </w:trPr>
              <w:tc>
                <w:tcPr>
                  <w:tcW w:w="940"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建立健全园区环境风险管理体系</w:t>
                  </w:r>
                </w:p>
              </w:tc>
              <w:tc>
                <w:tcPr>
                  <w:tcW w:w="4041"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both"/>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园区应制定有效的园区级综合环境应急预案，有计划地组织应急培训和演练，全面提升园区风险防控和事故应急处置能力。</w:t>
                  </w:r>
                </w:p>
              </w:tc>
              <w:tc>
                <w:tcPr>
                  <w:tcW w:w="2198"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both"/>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配合园区完善风险管理体系</w:t>
                  </w:r>
                </w:p>
              </w:tc>
              <w:tc>
                <w:tcPr>
                  <w:tcW w:w="936" w:type="dxa"/>
                  <w:tcBorders>
                    <w:tl2br w:val="nil"/>
                    <w:tr2bl w:val="nil"/>
                  </w:tcBorders>
                  <w:vAlign w:val="center"/>
                </w:tcPr>
                <w:p>
                  <w:pPr>
                    <w:keepNext w:val="0"/>
                    <w:keepLines w:val="0"/>
                    <w:suppressLineNumbers w:val="0"/>
                    <w:autoSpaceDE w:val="0"/>
                    <w:autoSpaceDN w:val="0"/>
                    <w:spacing w:before="0" w:beforeAutospacing="0" w:after="0" w:afterAutospacing="0"/>
                    <w:ind w:left="0" w:right="0"/>
                    <w:jc w:val="center"/>
                    <w:rPr>
                      <w:rFonts w:hint="eastAsia" w:ascii="Times New Roman" w:hAnsi="Times New Roman" w:eastAsia="宋体" w:cs="Times New Roman"/>
                      <w:color w:val="auto"/>
                      <w:kern w:val="0"/>
                      <w:sz w:val="21"/>
                      <w:szCs w:val="21"/>
                      <w:lang w:eastAsia="zh-CN"/>
                    </w:rPr>
                  </w:pPr>
                  <w:r>
                    <w:rPr>
                      <w:rFonts w:hint="eastAsia" w:ascii="Times New Roman" w:hAnsi="Times New Roman" w:eastAsia="宋体" w:cs="Times New Roman"/>
                      <w:color w:val="auto"/>
                      <w:kern w:val="0"/>
                      <w:sz w:val="21"/>
                      <w:szCs w:val="21"/>
                      <w:lang w:eastAsia="zh-CN"/>
                    </w:rPr>
                    <w:t>相符</w:t>
                  </w:r>
                </w:p>
              </w:tc>
            </w:tr>
          </w:tbl>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color w:val="auto"/>
                <w:sz w:val="24"/>
                <w:szCs w:val="24"/>
                <w:lang w:eastAsia="zh-CN"/>
              </w:rPr>
            </w:pPr>
            <w:r>
              <w:rPr>
                <w:rFonts w:hint="eastAsia" w:ascii="Times New Roman" w:hAnsi="Times New Roman" w:eastAsia="宋体" w:cs="Times New Roman"/>
                <w:b w:val="0"/>
                <w:bCs w:val="0"/>
                <w:color w:val="auto"/>
                <w:sz w:val="24"/>
                <w:szCs w:val="24"/>
                <w:highlight w:val="none"/>
                <w:u w:val="none" w:color="auto"/>
                <w:lang w:val="en-US" w:eastAsia="zh-CN"/>
              </w:rPr>
              <w:t>由上表可知，本项目符合《安阳市新型制造业产业园区总体发展规划（2010-2020）》及其规划环评要求。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33" w:type="dxa"/>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其他符合性分析</w:t>
            </w:r>
          </w:p>
        </w:tc>
        <w:tc>
          <w:tcPr>
            <w:tcW w:w="8337" w:type="dxa"/>
            <w:gridSpan w:val="4"/>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default" w:ascii="Times New Roman" w:hAnsi="Times New Roman" w:eastAsia="宋体" w:cs="Times New Roman"/>
                <w:b/>
                <w:bCs/>
                <w:color w:val="auto"/>
                <w:sz w:val="24"/>
                <w:szCs w:val="24"/>
                <w:highlight w:val="none"/>
                <w:u w:val="none" w:color="auto"/>
                <w:lang w:val="en-US" w:eastAsia="zh-CN"/>
              </w:rPr>
              <w:t>1</w:t>
            </w:r>
            <w:r>
              <w:rPr>
                <w:rFonts w:hint="eastAsia" w:ascii="Times New Roman" w:hAnsi="Times New Roman" w:eastAsia="宋体" w:cs="Times New Roman"/>
                <w:b/>
                <w:bCs/>
                <w:color w:val="auto"/>
                <w:sz w:val="24"/>
                <w:szCs w:val="24"/>
                <w:highlight w:val="none"/>
                <w:u w:val="none" w:color="auto"/>
                <w:lang w:val="en-US" w:eastAsia="zh-CN"/>
              </w:rPr>
              <w:t>.</w:t>
            </w:r>
            <w:r>
              <w:rPr>
                <w:rFonts w:hint="default" w:ascii="Times New Roman" w:hAnsi="Times New Roman" w:eastAsia="宋体" w:cs="Times New Roman"/>
                <w:b/>
                <w:bCs/>
                <w:color w:val="auto"/>
                <w:sz w:val="24"/>
                <w:szCs w:val="24"/>
                <w:highlight w:val="none"/>
                <w:u w:val="none" w:color="auto"/>
                <w:lang w:val="en-US" w:eastAsia="zh-CN"/>
              </w:rPr>
              <w:t>产业政策相符性分析</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kern w:val="0"/>
                <w:sz w:val="24"/>
                <w:szCs w:val="24"/>
                <w:lang w:eastAsia="zh-CN"/>
              </w:rPr>
            </w:pPr>
            <w:r>
              <w:rPr>
                <w:rFonts w:hint="eastAsia" w:ascii="Times New Roman" w:hAnsi="Times New Roman" w:eastAsia="宋体" w:cs="Times New Roman"/>
                <w:b w:val="0"/>
                <w:bCs w:val="0"/>
                <w:color w:val="auto"/>
                <w:sz w:val="24"/>
                <w:szCs w:val="24"/>
                <w:highlight w:val="none"/>
                <w:u w:val="none" w:color="auto"/>
                <w:lang w:val="en-US" w:eastAsia="zh-CN"/>
              </w:rPr>
              <w:t>根据《产业结构调整指导目录（2024年本）》，</w:t>
            </w:r>
            <w:r>
              <w:rPr>
                <w:rFonts w:hint="default" w:ascii="Times New Roman" w:hAnsi="Times New Roman" w:cs="Times New Roman"/>
                <w:color w:val="auto"/>
                <w:kern w:val="0"/>
                <w:sz w:val="24"/>
                <w:szCs w:val="24"/>
              </w:rPr>
              <w:t>本项目属于</w:t>
            </w:r>
            <w:r>
              <w:rPr>
                <w:rFonts w:hint="eastAsia" w:ascii="Times New Roman" w:hAnsi="Times New Roman" w:cs="Times New Roman"/>
                <w:color w:val="auto"/>
                <w:kern w:val="0"/>
                <w:sz w:val="24"/>
                <w:szCs w:val="24"/>
                <w:lang w:eastAsia="zh-CN"/>
              </w:rPr>
              <w:t>鼓励类中第四十二条“环境保护与资源节约综合利用”，第八款中“煤矸石、粉煤灰、尾矿（共伴生矿）、冶炼渣、工业副产石膏、赤泥、建筑垃圾等工业废弃物循环利用”。</w:t>
            </w:r>
            <w:r>
              <w:rPr>
                <w:rFonts w:hint="eastAsia" w:ascii="Times New Roman" w:hAnsi="Times New Roman" w:cs="Times New Roman"/>
                <w:color w:val="auto"/>
                <w:kern w:val="0"/>
                <w:sz w:val="24"/>
                <w:szCs w:val="24"/>
              </w:rPr>
              <w:t>项目工艺、产品及生产设备未列入《淘汰落后生产能力、工艺和产品的目录（全四批）》，项目所用设备均不在淘汰类之列，项目符合当前国家产业政策</w:t>
            </w:r>
            <w:r>
              <w:rPr>
                <w:rFonts w:hint="default" w:ascii="Times New Roman" w:hAnsi="Times New Roman" w:cs="Times New Roman"/>
                <w:color w:val="auto"/>
                <w:kern w:val="0"/>
                <w:sz w:val="24"/>
                <w:szCs w:val="24"/>
              </w:rPr>
              <w:t>。</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textAlignment w:val="auto"/>
              <w:rPr>
                <w:rFonts w:hint="eastAsia" w:ascii="Times New Roman" w:hAnsi="Times New Roman" w:eastAsia="宋体" w:cs="Times New Roman"/>
                <w:b/>
                <w:bCs/>
                <w:color w:val="auto"/>
                <w:sz w:val="24"/>
                <w:szCs w:val="24"/>
                <w:highlight w:val="none"/>
                <w:u w:val="none" w:color="auto"/>
                <w:lang w:val="en-US" w:eastAsia="zh-CN"/>
              </w:rPr>
            </w:pPr>
            <w:r>
              <w:rPr>
                <w:rFonts w:hint="default" w:ascii="Times New Roman" w:hAnsi="Times New Roman" w:eastAsia="宋体" w:cs="Times New Roman"/>
                <w:b/>
                <w:bCs/>
                <w:color w:val="auto"/>
                <w:sz w:val="24"/>
                <w:szCs w:val="24"/>
                <w:highlight w:val="none"/>
                <w:u w:val="none" w:color="auto"/>
                <w:lang w:val="en-US" w:eastAsia="zh-CN"/>
              </w:rPr>
              <w:t>2</w:t>
            </w:r>
            <w:r>
              <w:rPr>
                <w:rFonts w:hint="eastAsia" w:ascii="Times New Roman" w:hAnsi="Times New Roman" w:eastAsia="宋体" w:cs="Times New Roman"/>
                <w:b/>
                <w:bCs/>
                <w:color w:val="auto"/>
                <w:sz w:val="24"/>
                <w:szCs w:val="24"/>
                <w:highlight w:val="none"/>
                <w:u w:val="none" w:color="auto"/>
                <w:lang w:val="en-US" w:eastAsia="zh-CN"/>
              </w:rPr>
              <w:t>.土地、规划手续</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val="0"/>
                <w:bCs w:val="0"/>
                <w:color w:val="auto"/>
                <w:sz w:val="24"/>
                <w:szCs w:val="24"/>
                <w:highlight w:val="none"/>
                <w:u w:val="none" w:color="auto"/>
                <w:lang w:val="en-US" w:eastAsia="zh-CN"/>
              </w:rPr>
              <w:t>项目位于安阳市汤阴县中原路与宜兴大道交叉口东北方位现有厂区内，根据现有土地证豫（2020）汤阴县不动产权第0002769号及豫（2021）汤阴县不动产权第0000986号，厂区所占土地性质为工业用地。该项目已通过汤阴县发展和改革委员会备案，项目代码为</w:t>
            </w:r>
            <w:r>
              <w:rPr>
                <w:rFonts w:hint="eastAsia" w:ascii="Times New Roman" w:hAnsi="Times New Roman" w:cs="Times New Roman"/>
                <w:color w:val="auto"/>
                <w:sz w:val="24"/>
                <w:szCs w:val="24"/>
                <w:lang w:val="en-US" w:eastAsia="zh-CN"/>
              </w:rPr>
              <w:t>2504-410523-04-02-961284</w:t>
            </w:r>
            <w:r>
              <w:rPr>
                <w:rFonts w:hint="eastAsia" w:ascii="Times New Roman" w:hAnsi="Times New Roman" w:eastAsia="宋体" w:cs="Times New Roman"/>
                <w:b w:val="0"/>
                <w:bCs w:val="0"/>
                <w:color w:val="auto"/>
                <w:sz w:val="24"/>
                <w:szCs w:val="24"/>
                <w:highlight w:val="none"/>
                <w:u w:val="none" w:color="auto"/>
                <w:lang w:val="en-US" w:eastAsia="zh-CN"/>
              </w:rPr>
              <w:t>（见附件）。</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3.“</w:t>
            </w:r>
            <w:r>
              <w:rPr>
                <w:rFonts w:hint="default" w:ascii="Times New Roman" w:hAnsi="Times New Roman" w:eastAsia="宋体" w:cs="Times New Roman"/>
                <w:b/>
                <w:bCs/>
                <w:color w:val="auto"/>
                <w:sz w:val="24"/>
                <w:szCs w:val="24"/>
                <w:highlight w:val="none"/>
                <w:u w:val="none" w:color="auto"/>
                <w:lang w:val="en-US" w:eastAsia="zh-CN"/>
              </w:rPr>
              <w:t>三线一单</w:t>
            </w:r>
            <w:r>
              <w:rPr>
                <w:rFonts w:hint="eastAsia" w:ascii="Times New Roman" w:hAnsi="Times New Roman" w:eastAsia="宋体" w:cs="Times New Roman"/>
                <w:b/>
                <w:bCs/>
                <w:color w:val="auto"/>
                <w:sz w:val="24"/>
                <w:szCs w:val="24"/>
                <w:highlight w:val="none"/>
                <w:u w:val="none" w:color="auto"/>
                <w:lang w:val="en-US" w:eastAsia="zh-CN"/>
              </w:rPr>
              <w:t>”</w:t>
            </w:r>
            <w:r>
              <w:rPr>
                <w:rFonts w:hint="default" w:ascii="Times New Roman" w:hAnsi="Times New Roman" w:eastAsia="宋体" w:cs="Times New Roman"/>
                <w:b/>
                <w:bCs/>
                <w:color w:val="auto"/>
                <w:sz w:val="24"/>
                <w:szCs w:val="24"/>
                <w:highlight w:val="none"/>
                <w:u w:val="none" w:color="auto"/>
                <w:lang w:val="en-US" w:eastAsia="zh-CN"/>
              </w:rPr>
              <w:t>符合性分析</w:t>
            </w:r>
          </w:p>
          <w:p>
            <w:pPr>
              <w:pStyle w:val="29"/>
              <w:keepNext w:val="0"/>
              <w:keepLines w:val="0"/>
              <w:suppressLineNumbers w:val="0"/>
              <w:spacing w:before="0" w:beforeAutospacing="0" w:after="0" w:afterAutospacing="0" w:line="360" w:lineRule="auto"/>
              <w:ind w:left="0" w:right="0" w:firstLine="241" w:firstLineChars="100"/>
              <w:rPr>
                <w:rFonts w:hint="default" w:ascii="Times New Roman" w:hAnsi="Times New Roman" w:eastAsia="宋体" w:cs="Times New Roman"/>
                <w:b w:val="0"/>
                <w:bCs w:val="0"/>
                <w:color w:val="auto"/>
                <w:kern w:val="2"/>
                <w:sz w:val="24"/>
                <w:szCs w:val="24"/>
                <w:highlight w:val="none"/>
                <w:u w:val="none" w:color="auto"/>
                <w:lang w:val="en-US" w:eastAsia="zh-CN" w:bidi="ar-SA"/>
              </w:rPr>
            </w:pPr>
            <w:r>
              <w:rPr>
                <w:rFonts w:hint="eastAsia" w:ascii="Times New Roman" w:hAnsi="Times New Roman" w:eastAsia="宋体" w:cs="Times New Roman"/>
                <w:b/>
                <w:bCs/>
                <w:color w:val="auto"/>
                <w:kern w:val="2"/>
                <w:sz w:val="24"/>
                <w:szCs w:val="24"/>
                <w:highlight w:val="none"/>
                <w:u w:val="none" w:color="auto"/>
                <w:lang w:val="en-US" w:eastAsia="zh-CN" w:bidi="ar-SA"/>
              </w:rPr>
              <w:t>3.1生态红线</w:t>
            </w:r>
          </w:p>
          <w:p>
            <w:pPr>
              <w:pStyle w:val="29"/>
              <w:keepNext w:val="0"/>
              <w:keepLines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b w:val="0"/>
                <w:bCs w:val="0"/>
                <w:color w:val="auto"/>
                <w:kern w:val="2"/>
                <w:sz w:val="24"/>
                <w:szCs w:val="24"/>
                <w:highlight w:val="none"/>
                <w:u w:val="none" w:color="auto"/>
                <w:lang w:val="en-US" w:eastAsia="zh-CN" w:bidi="ar-SA"/>
              </w:rPr>
            </w:pPr>
            <w:r>
              <w:rPr>
                <w:rFonts w:hint="eastAsia" w:ascii="Times New Roman" w:hAnsi="Times New Roman" w:eastAsia="宋体" w:cs="Times New Roman"/>
                <w:b w:val="0"/>
                <w:bCs w:val="0"/>
                <w:color w:val="auto"/>
                <w:kern w:val="2"/>
                <w:sz w:val="24"/>
                <w:szCs w:val="24"/>
                <w:highlight w:val="none"/>
                <w:u w:val="none" w:color="auto"/>
                <w:lang w:val="en-US" w:eastAsia="zh-CN" w:bidi="ar-SA"/>
              </w:rPr>
              <w:t>根据安阳市生态环境局关于调整《安阳市“三线一单”生态环境分区管控准入清单（2023年版）》的函（安环函〔2023〕60号），本项目位于</w:t>
            </w:r>
            <w:r>
              <w:rPr>
                <w:rFonts w:hint="eastAsia" w:ascii="Times New Roman" w:eastAsia="宋体" w:cs="Times New Roman"/>
                <w:b w:val="0"/>
                <w:bCs w:val="0"/>
                <w:color w:val="auto"/>
                <w:kern w:val="2"/>
                <w:sz w:val="24"/>
                <w:szCs w:val="24"/>
                <w:highlight w:val="none"/>
                <w:u w:val="none" w:color="auto"/>
                <w:lang w:val="en-US" w:eastAsia="zh-CN" w:bidi="ar-SA"/>
              </w:rPr>
              <w:t>安阳市汤阴县中原路与宜兴大道交叉口东北方位</w:t>
            </w:r>
            <w:r>
              <w:rPr>
                <w:rFonts w:hint="eastAsia" w:ascii="Times New Roman" w:hAnsi="Times New Roman" w:eastAsia="宋体" w:cs="Times New Roman"/>
                <w:b w:val="0"/>
                <w:bCs w:val="0"/>
                <w:color w:val="auto"/>
                <w:kern w:val="2"/>
                <w:sz w:val="24"/>
                <w:szCs w:val="24"/>
                <w:highlight w:val="none"/>
                <w:u w:val="none" w:color="auto"/>
                <w:lang w:val="en-US" w:eastAsia="zh-CN" w:bidi="ar-SA"/>
              </w:rPr>
              <w:t>现有厂区内，涉及安阳市汤阴县重点管控单元汤阴县高新技术产业开发区（ZH41052320001），未在生态保护红线范围内。</w:t>
            </w:r>
          </w:p>
          <w:p>
            <w:pPr>
              <w:pStyle w:val="29"/>
              <w:keepNext w:val="0"/>
              <w:keepLines w:val="0"/>
              <w:suppressLineNumbers w:val="0"/>
              <w:spacing w:before="0" w:beforeAutospacing="0" w:after="0" w:afterAutospacing="0" w:line="360" w:lineRule="auto"/>
              <w:ind w:left="0" w:right="0" w:firstLine="241" w:firstLineChars="100"/>
              <w:rPr>
                <w:rFonts w:hint="default" w:ascii="Times New Roman" w:hAnsi="Times New Roman" w:eastAsia="宋体" w:cs="Times New Roman"/>
                <w:b w:val="0"/>
                <w:bCs w:val="0"/>
                <w:color w:val="auto"/>
                <w:kern w:val="2"/>
                <w:sz w:val="24"/>
                <w:szCs w:val="24"/>
                <w:highlight w:val="none"/>
                <w:u w:val="none" w:color="auto"/>
                <w:lang w:val="en-US" w:eastAsia="zh-CN" w:bidi="ar-SA"/>
              </w:rPr>
            </w:pPr>
            <w:r>
              <w:rPr>
                <w:rFonts w:hint="eastAsia" w:ascii="Times New Roman" w:hAnsi="Times New Roman" w:eastAsia="宋体" w:cs="Times New Roman"/>
                <w:b/>
                <w:bCs/>
                <w:color w:val="auto"/>
                <w:kern w:val="2"/>
                <w:sz w:val="24"/>
                <w:szCs w:val="24"/>
                <w:highlight w:val="none"/>
                <w:u w:val="none" w:color="auto"/>
                <w:lang w:val="en-US" w:eastAsia="zh-CN" w:bidi="ar-SA"/>
              </w:rPr>
              <w:t>3.2环境质量底线</w:t>
            </w:r>
          </w:p>
          <w:p>
            <w:pPr>
              <w:pStyle w:val="29"/>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b w:val="0"/>
                <w:bCs w:val="0"/>
                <w:color w:val="auto"/>
                <w:kern w:val="2"/>
                <w:sz w:val="24"/>
                <w:szCs w:val="24"/>
                <w:highlight w:val="none"/>
                <w:u w:val="none" w:color="auto"/>
                <w:lang w:val="en-US" w:eastAsia="zh-CN" w:bidi="ar-SA"/>
              </w:rPr>
            </w:pPr>
            <w:r>
              <w:rPr>
                <w:rFonts w:hint="eastAsia" w:ascii="Times New Roman" w:hAnsi="Times New Roman" w:eastAsia="宋体" w:cs="Times New Roman"/>
                <w:b w:val="0"/>
                <w:bCs w:val="0"/>
                <w:color w:val="auto"/>
                <w:kern w:val="2"/>
                <w:sz w:val="24"/>
                <w:szCs w:val="24"/>
                <w:highlight w:val="none"/>
                <w:u w:val="none" w:color="auto"/>
                <w:lang w:val="en-US" w:eastAsia="zh-CN" w:bidi="ar-SA"/>
              </w:rPr>
              <w:t>本项目在“三线一单”划定的安阳市重点管控单元汤阴县高新技术产业开发区（ZH41052320001）。</w:t>
            </w:r>
          </w:p>
          <w:p>
            <w:pPr>
              <w:pStyle w:val="29"/>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b w:val="0"/>
                <w:bCs w:val="0"/>
                <w:color w:val="auto"/>
                <w:kern w:val="2"/>
                <w:sz w:val="24"/>
                <w:szCs w:val="24"/>
                <w:highlight w:val="none"/>
                <w:u w:val="none" w:color="auto"/>
                <w:lang w:val="en-US" w:eastAsia="zh-CN" w:bidi="ar-SA"/>
              </w:rPr>
            </w:pPr>
            <w:r>
              <w:rPr>
                <w:rFonts w:hint="eastAsia" w:ascii="Times New Roman" w:hAnsi="Times New Roman" w:eastAsia="宋体" w:cs="Times New Roman"/>
                <w:b w:val="0"/>
                <w:bCs w:val="0"/>
                <w:color w:val="auto"/>
                <w:kern w:val="2"/>
                <w:sz w:val="24"/>
                <w:szCs w:val="24"/>
                <w:highlight w:val="none"/>
                <w:u w:val="none" w:color="auto"/>
                <w:lang w:val="en-US" w:eastAsia="zh-CN" w:bidi="ar-SA"/>
              </w:rPr>
              <w:t>环境质量底线是按照环境质量不断优化的基本原则，以改善环境质量为目标，衔接大气、水、土壤环境质量管理要求，确定分区域、分流域、分阶段的环境质量底线目标要求。以环境质量底线目标为约束，测算环境容量，评估环境质量改善潜力，综合确定区域大气、水环境污染物允许排放量和管控要求。</w:t>
            </w:r>
          </w:p>
          <w:p>
            <w:pPr>
              <w:pStyle w:val="29"/>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b w:val="0"/>
                <w:bCs w:val="0"/>
                <w:color w:val="auto"/>
                <w:kern w:val="2"/>
                <w:sz w:val="24"/>
                <w:szCs w:val="24"/>
                <w:highlight w:val="none"/>
                <w:u w:val="none" w:color="auto"/>
                <w:lang w:val="en-US" w:eastAsia="zh-CN" w:bidi="ar-SA"/>
              </w:rPr>
            </w:pPr>
            <w:r>
              <w:rPr>
                <w:rFonts w:hint="eastAsia" w:ascii="Times New Roman" w:hAnsi="Times New Roman" w:eastAsia="宋体" w:cs="Times New Roman"/>
                <w:b w:val="0"/>
                <w:bCs w:val="0"/>
                <w:color w:val="auto"/>
                <w:kern w:val="2"/>
                <w:sz w:val="24"/>
                <w:szCs w:val="24"/>
                <w:highlight w:val="none"/>
                <w:u w:val="none" w:color="auto"/>
                <w:lang w:val="en-US" w:eastAsia="zh-CN" w:bidi="ar-SA"/>
              </w:rPr>
              <w:t>根据2023年汤阴一中常规监测点监测数据可知，2023年汤阴县可吸入颗粒物（PM</w:t>
            </w:r>
            <w:r>
              <w:rPr>
                <w:rFonts w:hint="eastAsia" w:ascii="Times New Roman" w:hAnsi="Times New Roman" w:eastAsia="宋体" w:cs="Times New Roman"/>
                <w:b w:val="0"/>
                <w:bCs w:val="0"/>
                <w:color w:val="auto"/>
                <w:kern w:val="2"/>
                <w:sz w:val="24"/>
                <w:szCs w:val="24"/>
                <w:highlight w:val="none"/>
                <w:u w:val="none" w:color="auto"/>
                <w:vertAlign w:val="subscript"/>
                <w:lang w:val="en-US" w:eastAsia="zh-CN" w:bidi="ar-SA"/>
              </w:rPr>
              <w:t>10</w:t>
            </w:r>
            <w:r>
              <w:rPr>
                <w:rFonts w:hint="eastAsia" w:ascii="Times New Roman" w:hAnsi="Times New Roman" w:eastAsia="宋体" w:cs="Times New Roman"/>
                <w:b w:val="0"/>
                <w:bCs w:val="0"/>
                <w:color w:val="auto"/>
                <w:kern w:val="2"/>
                <w:sz w:val="24"/>
                <w:szCs w:val="24"/>
                <w:highlight w:val="none"/>
                <w:u w:val="none" w:color="auto"/>
                <w:lang w:val="en-US" w:eastAsia="zh-CN" w:bidi="ar-SA"/>
              </w:rPr>
              <w:t>）、细颗粒物（PM</w:t>
            </w:r>
            <w:r>
              <w:rPr>
                <w:rFonts w:hint="eastAsia" w:ascii="Times New Roman" w:hAnsi="Times New Roman" w:eastAsia="宋体" w:cs="Times New Roman"/>
                <w:b w:val="0"/>
                <w:bCs w:val="0"/>
                <w:color w:val="auto"/>
                <w:kern w:val="2"/>
                <w:sz w:val="24"/>
                <w:szCs w:val="24"/>
                <w:highlight w:val="none"/>
                <w:u w:val="none" w:color="auto"/>
                <w:vertAlign w:val="subscript"/>
                <w:lang w:val="en-US" w:eastAsia="zh-CN" w:bidi="ar-SA"/>
              </w:rPr>
              <w:t>2.5</w:t>
            </w:r>
            <w:r>
              <w:rPr>
                <w:rFonts w:hint="eastAsia" w:ascii="Times New Roman" w:hAnsi="Times New Roman" w:eastAsia="宋体" w:cs="Times New Roman"/>
                <w:b w:val="0"/>
                <w:bCs w:val="0"/>
                <w:color w:val="auto"/>
                <w:kern w:val="2"/>
                <w:sz w:val="24"/>
                <w:szCs w:val="24"/>
                <w:highlight w:val="none"/>
                <w:u w:val="none" w:color="auto"/>
                <w:lang w:val="en-US" w:eastAsia="zh-CN" w:bidi="ar-SA"/>
              </w:rPr>
              <w:t>）、二氧化硫、二氧化氮、一氧化碳、臭氧分别为84微克/立方米、50微克/立方米、10微克/立方米、31微克/立方米、1.4毫克/立方米、178微克/立方米，项目所在区域属于不达标区。本项目废气污染物经治理后能够达标排放，本项目废气排放仅为炒灰上料废气、炒灰废气，产生量较小，污染物实行区域内倍量替代，不会突破各类环境质量底线。</w:t>
            </w:r>
          </w:p>
          <w:p>
            <w:pPr>
              <w:pStyle w:val="29"/>
              <w:keepNext w:val="0"/>
              <w:keepLines w:val="0"/>
              <w:suppressLineNumbers w:val="0"/>
              <w:spacing w:before="0" w:beforeAutospacing="0" w:after="0" w:afterAutospacing="0" w:line="360" w:lineRule="auto"/>
              <w:ind w:left="0" w:right="0" w:firstLine="241" w:firstLineChars="100"/>
              <w:rPr>
                <w:rFonts w:hint="default" w:ascii="Times New Roman" w:hAnsi="Times New Roman" w:eastAsia="宋体" w:cs="Times New Roman"/>
                <w:b/>
                <w:bCs/>
                <w:color w:val="auto"/>
                <w:kern w:val="2"/>
                <w:sz w:val="24"/>
                <w:szCs w:val="24"/>
                <w:highlight w:val="none"/>
                <w:u w:val="none" w:color="auto"/>
                <w:lang w:val="en-US" w:eastAsia="zh-CN" w:bidi="ar-SA"/>
              </w:rPr>
            </w:pPr>
            <w:r>
              <w:rPr>
                <w:rFonts w:hint="eastAsia" w:ascii="Times New Roman" w:hAnsi="Times New Roman" w:eastAsia="宋体" w:cs="Times New Roman"/>
                <w:b/>
                <w:bCs/>
                <w:color w:val="auto"/>
                <w:kern w:val="2"/>
                <w:sz w:val="24"/>
                <w:szCs w:val="24"/>
                <w:highlight w:val="none"/>
                <w:u w:val="none" w:color="auto"/>
                <w:lang w:val="en-US" w:eastAsia="zh-CN" w:bidi="ar-SA"/>
              </w:rPr>
              <w:t>3.3资源利用上线</w:t>
            </w:r>
          </w:p>
          <w:p>
            <w:pPr>
              <w:pStyle w:val="29"/>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b/>
                <w:bCs/>
                <w:color w:val="auto"/>
                <w:kern w:val="2"/>
                <w:sz w:val="24"/>
                <w:szCs w:val="24"/>
                <w:highlight w:val="none"/>
                <w:u w:val="none" w:color="auto"/>
                <w:lang w:val="en-US" w:eastAsia="zh-CN" w:bidi="ar-SA"/>
              </w:rPr>
            </w:pPr>
            <w:r>
              <w:rPr>
                <w:rFonts w:hint="default" w:ascii="Times New Roman" w:hAnsi="Times New Roman" w:eastAsia="宋体" w:cs="Times New Roman"/>
                <w:b w:val="0"/>
                <w:bCs/>
                <w:color w:val="auto"/>
                <w:kern w:val="0"/>
                <w:sz w:val="24"/>
                <w:szCs w:val="24"/>
              </w:rPr>
              <w:t>根据《河南省</w:t>
            </w:r>
            <w:r>
              <w:rPr>
                <w:rFonts w:hint="eastAsia" w:ascii="Times New Roman" w:hAnsi="Times New Roman" w:eastAsia="宋体" w:cs="Times New Roman"/>
                <w:b w:val="0"/>
                <w:bCs/>
                <w:color w:val="auto"/>
                <w:kern w:val="0"/>
                <w:sz w:val="24"/>
                <w:szCs w:val="24"/>
                <w:lang w:eastAsia="zh-CN"/>
              </w:rPr>
              <w:t>“</w:t>
            </w:r>
            <w:r>
              <w:rPr>
                <w:rFonts w:hint="default" w:ascii="Times New Roman" w:hAnsi="Times New Roman" w:eastAsia="宋体" w:cs="Times New Roman"/>
                <w:b w:val="0"/>
                <w:bCs/>
                <w:color w:val="auto"/>
                <w:kern w:val="0"/>
                <w:sz w:val="24"/>
                <w:szCs w:val="24"/>
              </w:rPr>
              <w:t>三线一单</w:t>
            </w:r>
            <w:r>
              <w:rPr>
                <w:rFonts w:hint="eastAsia" w:ascii="Times New Roman" w:hAnsi="Times New Roman" w:eastAsia="宋体" w:cs="Times New Roman"/>
                <w:b w:val="0"/>
                <w:bCs/>
                <w:color w:val="auto"/>
                <w:kern w:val="0"/>
                <w:sz w:val="24"/>
                <w:szCs w:val="24"/>
                <w:lang w:eastAsia="zh-CN"/>
              </w:rPr>
              <w:t>”</w:t>
            </w:r>
            <w:r>
              <w:rPr>
                <w:rFonts w:hint="default" w:ascii="Times New Roman" w:hAnsi="Times New Roman" w:eastAsia="宋体" w:cs="Times New Roman"/>
                <w:b w:val="0"/>
                <w:bCs/>
                <w:color w:val="auto"/>
                <w:kern w:val="0"/>
                <w:sz w:val="24"/>
                <w:szCs w:val="24"/>
              </w:rPr>
              <w:t>研究报告》，2025年安阳市用水总量目标是18.09亿m</w:t>
            </w:r>
            <w:r>
              <w:rPr>
                <w:rFonts w:hint="default" w:ascii="Times New Roman" w:hAnsi="Times New Roman" w:eastAsia="宋体" w:cs="Times New Roman"/>
                <w:b w:val="0"/>
                <w:bCs/>
                <w:color w:val="auto"/>
                <w:kern w:val="0"/>
                <w:sz w:val="24"/>
                <w:szCs w:val="24"/>
                <w:vertAlign w:val="superscript"/>
              </w:rPr>
              <w:t>3</w:t>
            </w:r>
            <w:r>
              <w:rPr>
                <w:rFonts w:hint="default" w:ascii="Times New Roman" w:hAnsi="Times New Roman" w:eastAsia="宋体" w:cs="Times New Roman"/>
                <w:b w:val="0"/>
                <w:bCs/>
                <w:color w:val="auto"/>
                <w:kern w:val="0"/>
                <w:sz w:val="24"/>
                <w:szCs w:val="24"/>
              </w:rPr>
              <w:t>，根据企业提供资料，本项目主要利用资源为电。用电由</w:t>
            </w:r>
            <w:r>
              <w:rPr>
                <w:rFonts w:hint="default" w:ascii="Times New Roman" w:hAnsi="Times New Roman" w:eastAsia="宋体" w:cs="Times New Roman"/>
                <w:b w:val="0"/>
                <w:bCs/>
                <w:color w:val="auto"/>
                <w:kern w:val="0"/>
                <w:sz w:val="24"/>
                <w:szCs w:val="24"/>
                <w:lang w:eastAsia="zh-CN"/>
              </w:rPr>
              <w:t>园区</w:t>
            </w:r>
            <w:r>
              <w:rPr>
                <w:rFonts w:hint="default" w:ascii="Times New Roman" w:hAnsi="Times New Roman" w:eastAsia="宋体" w:cs="Times New Roman"/>
                <w:b w:val="0"/>
                <w:bCs/>
                <w:color w:val="auto"/>
                <w:kern w:val="0"/>
                <w:sz w:val="24"/>
                <w:szCs w:val="24"/>
              </w:rPr>
              <w:t>提供，总体来讲，本项目不会突破资源利用上线要求。</w:t>
            </w:r>
          </w:p>
          <w:p>
            <w:pPr>
              <w:pStyle w:val="29"/>
              <w:keepNext w:val="0"/>
              <w:keepLines w:val="0"/>
              <w:suppressLineNumbers w:val="0"/>
              <w:spacing w:before="0" w:beforeAutospacing="0" w:after="0" w:afterAutospacing="0" w:line="360" w:lineRule="auto"/>
              <w:ind w:left="0" w:right="0" w:firstLine="241" w:firstLineChars="100"/>
              <w:rPr>
                <w:rFonts w:hint="default" w:ascii="Times New Roman" w:hAnsi="Times New Roman" w:eastAsia="宋体" w:cs="Times New Roman"/>
                <w:b w:val="0"/>
                <w:bCs w:val="0"/>
                <w:color w:val="auto"/>
                <w:kern w:val="2"/>
                <w:sz w:val="24"/>
                <w:szCs w:val="24"/>
                <w:highlight w:val="none"/>
                <w:u w:val="none" w:color="auto"/>
                <w:lang w:val="en-US" w:eastAsia="zh-CN" w:bidi="ar-SA"/>
              </w:rPr>
            </w:pPr>
            <w:r>
              <w:rPr>
                <w:rFonts w:hint="eastAsia" w:ascii="Times New Roman" w:hAnsi="Times New Roman" w:eastAsia="宋体" w:cs="Times New Roman"/>
                <w:b/>
                <w:bCs/>
                <w:color w:val="auto"/>
                <w:kern w:val="2"/>
                <w:sz w:val="24"/>
                <w:szCs w:val="24"/>
                <w:highlight w:val="none"/>
                <w:u w:val="none" w:color="auto"/>
                <w:lang w:val="en-US" w:eastAsia="zh-CN" w:bidi="ar-SA"/>
              </w:rPr>
              <w:t>3.4环境准入清单</w:t>
            </w:r>
          </w:p>
          <w:p>
            <w:pPr>
              <w:pStyle w:val="29"/>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b w:val="0"/>
                <w:bCs w:val="0"/>
                <w:color w:val="auto"/>
                <w:kern w:val="2"/>
                <w:sz w:val="24"/>
                <w:szCs w:val="24"/>
                <w:highlight w:val="none"/>
                <w:u w:val="none" w:color="auto"/>
                <w:lang w:val="en-US" w:eastAsia="zh-CN" w:bidi="ar-SA"/>
              </w:rPr>
            </w:pPr>
            <w:r>
              <w:rPr>
                <w:rFonts w:hint="eastAsia" w:ascii="Times New Roman" w:hAnsi="Times New Roman" w:eastAsia="宋体" w:cs="Times New Roman"/>
                <w:b w:val="0"/>
                <w:bCs w:val="0"/>
                <w:color w:val="auto"/>
                <w:kern w:val="2"/>
                <w:sz w:val="24"/>
                <w:szCs w:val="24"/>
                <w:highlight w:val="none"/>
                <w:u w:val="none" w:color="auto"/>
                <w:lang w:val="en-US" w:eastAsia="zh-CN" w:bidi="ar-SA"/>
              </w:rPr>
              <w:t>根据河南省三线一单管控要求，从安阳市生态环境总体准入要求和各县区分区管控单元生态环境准入清单分别对项目符合性进行分析。</w:t>
            </w:r>
          </w:p>
          <w:p>
            <w:pPr>
              <w:pStyle w:val="74"/>
              <w:keepNext w:val="0"/>
              <w:keepLines w:val="0"/>
              <w:pageBreakBefore w:val="0"/>
              <w:widowControl w:val="0"/>
              <w:suppressLineNumbers w:val="0"/>
              <w:kinsoku/>
              <w:wordWrap/>
              <w:overflowPunct w:val="0"/>
              <w:topLinePunct w:val="0"/>
              <w:bidi w:val="0"/>
              <w:adjustRightInd w:val="0"/>
              <w:snapToGrid w:val="0"/>
              <w:spacing w:before="0" w:beforeAutospacing="0" w:after="0" w:afterAutospacing="0"/>
              <w:ind w:left="0" w:leftChars="0"/>
              <w:jc w:val="center"/>
              <w:textAlignment w:val="auto"/>
              <w:rPr>
                <w:rFonts w:hint="default" w:ascii="Times New Roman" w:hAnsi="Times New Roman" w:eastAsia="宋体" w:cs="Times New Roman"/>
                <w:b w:val="0"/>
                <w:color w:val="auto"/>
                <w:kern w:val="2"/>
                <w:sz w:val="24"/>
                <w:szCs w:val="24"/>
              </w:rPr>
            </w:pPr>
            <w:r>
              <w:rPr>
                <w:rFonts w:hint="eastAsia" w:ascii="宋体" w:hAnsi="宋体" w:eastAsia="宋体" w:cs="宋体"/>
                <w:b/>
                <w:bCs/>
                <w:color w:val="auto"/>
                <w:kern w:val="2"/>
                <w:sz w:val="24"/>
                <w:szCs w:val="24"/>
              </w:rPr>
              <w:t>本项目与安阳市生态环境总体准入要求相符性分析</w:t>
            </w:r>
          </w:p>
          <w:tbl>
            <w:tblPr>
              <w:tblStyle w:val="28"/>
              <w:tblW w:w="8118" w:type="dxa"/>
              <w:jc w:val="center"/>
              <w:tblInd w:w="0" w:type="dxa"/>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9"/>
              <w:gridCol w:w="4198"/>
              <w:gridCol w:w="2302"/>
              <w:gridCol w:w="879"/>
            </w:tblGrid>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739"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overflowPunct w:val="0"/>
                    <w:autoSpaceDE w:val="0"/>
                    <w:autoSpaceDN/>
                    <w:adjustRightInd w:val="0"/>
                    <w:snapToGrid w:val="0"/>
                    <w:spacing w:before="0" w:beforeAutospacing="0" w:after="0" w:afterAutospacing="0"/>
                    <w:ind w:left="0" w:leftChars="0" w:right="0"/>
                    <w:jc w:val="center"/>
                    <w:rPr>
                      <w:rFonts w:hint="default" w:ascii="Times New Roman" w:hAnsi="Times New Roman" w:eastAsia="宋体" w:cs="Times New Roman"/>
                      <w:b/>
                      <w:bCs w:val="0"/>
                      <w:color w:val="auto"/>
                      <w:kern w:val="2"/>
                      <w:sz w:val="21"/>
                      <w:szCs w:val="21"/>
                      <w:lang w:val="en-US" w:eastAsia="zh-CN"/>
                    </w:rPr>
                  </w:pPr>
                  <w:r>
                    <w:rPr>
                      <w:rFonts w:hint="eastAsia" w:ascii="宋体" w:hAnsi="宋体" w:eastAsia="宋体" w:cs="宋体"/>
                      <w:b/>
                      <w:bCs w:val="0"/>
                      <w:color w:val="auto"/>
                      <w:kern w:val="2"/>
                      <w:sz w:val="21"/>
                      <w:szCs w:val="21"/>
                      <w:lang w:val="en-US" w:eastAsia="zh-CN" w:bidi="ar"/>
                    </w:rPr>
                    <w:t>维度</w:t>
                  </w:r>
                </w:p>
              </w:tc>
              <w:tc>
                <w:tcPr>
                  <w:tcW w:w="4198"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overflowPunct w:val="0"/>
                    <w:autoSpaceDE w:val="0"/>
                    <w:autoSpaceDN/>
                    <w:adjustRightInd w:val="0"/>
                    <w:snapToGrid w:val="0"/>
                    <w:spacing w:before="0" w:beforeAutospacing="0" w:after="0" w:afterAutospacing="0"/>
                    <w:ind w:left="0" w:leftChars="0" w:right="0"/>
                    <w:jc w:val="center"/>
                    <w:rPr>
                      <w:rFonts w:hint="default" w:ascii="Times New Roman" w:hAnsi="Times New Roman" w:eastAsia="宋体" w:cs="Times New Roman"/>
                      <w:b/>
                      <w:bCs w:val="0"/>
                      <w:color w:val="auto"/>
                      <w:kern w:val="2"/>
                      <w:sz w:val="21"/>
                      <w:szCs w:val="21"/>
                      <w:lang w:val="en-US" w:eastAsia="zh-CN"/>
                    </w:rPr>
                  </w:pPr>
                  <w:r>
                    <w:rPr>
                      <w:rFonts w:hint="eastAsia" w:ascii="宋体" w:hAnsi="宋体" w:eastAsia="宋体" w:cs="宋体"/>
                      <w:b/>
                      <w:bCs w:val="0"/>
                      <w:color w:val="auto"/>
                      <w:kern w:val="2"/>
                      <w:sz w:val="21"/>
                      <w:szCs w:val="21"/>
                      <w:lang w:val="en-US" w:eastAsia="zh-CN" w:bidi="ar"/>
                    </w:rPr>
                    <w:t>管控要求</w:t>
                  </w:r>
                </w:p>
              </w:tc>
              <w:tc>
                <w:tcPr>
                  <w:tcW w:w="2302"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overflowPunct w:val="0"/>
                    <w:autoSpaceDE w:val="0"/>
                    <w:autoSpaceDN/>
                    <w:adjustRightInd w:val="0"/>
                    <w:snapToGrid w:val="0"/>
                    <w:spacing w:before="0" w:beforeAutospacing="0" w:after="0" w:afterAutospacing="0"/>
                    <w:ind w:left="0" w:leftChars="0" w:right="0"/>
                    <w:jc w:val="center"/>
                    <w:rPr>
                      <w:rFonts w:hint="default" w:ascii="Times New Roman" w:hAnsi="Times New Roman" w:eastAsia="宋体" w:cs="Times New Roman"/>
                      <w:b/>
                      <w:bCs w:val="0"/>
                      <w:color w:val="auto"/>
                      <w:kern w:val="2"/>
                      <w:sz w:val="21"/>
                      <w:szCs w:val="21"/>
                      <w:lang w:val="en-US" w:eastAsia="zh-CN"/>
                    </w:rPr>
                  </w:pPr>
                  <w:r>
                    <w:rPr>
                      <w:rFonts w:hint="eastAsia" w:ascii="宋体" w:hAnsi="宋体" w:eastAsia="宋体" w:cs="宋体"/>
                      <w:b/>
                      <w:bCs w:val="0"/>
                      <w:color w:val="auto"/>
                      <w:kern w:val="2"/>
                      <w:sz w:val="21"/>
                      <w:szCs w:val="21"/>
                      <w:lang w:val="en-US" w:eastAsia="zh-CN" w:bidi="ar"/>
                    </w:rPr>
                    <w:t>本项目情况</w:t>
                  </w:r>
                </w:p>
              </w:tc>
              <w:tc>
                <w:tcPr>
                  <w:tcW w:w="879" w:type="dxa"/>
                  <w:tcBorders>
                    <w:top w:val="single" w:color="auto" w:sz="4" w:space="0"/>
                    <w:left w:val="nil"/>
                    <w:bottom w:val="single" w:color="auto" w:sz="4" w:space="0"/>
                    <w:right w:val="nil"/>
                  </w:tcBorders>
                  <w:vAlign w:val="center"/>
                </w:tcPr>
                <w:p>
                  <w:pPr>
                    <w:keepNext w:val="0"/>
                    <w:keepLines w:val="0"/>
                    <w:widowControl w:val="0"/>
                    <w:suppressLineNumbers w:val="0"/>
                    <w:overflowPunct w:val="0"/>
                    <w:autoSpaceDE w:val="0"/>
                    <w:autoSpaceDN/>
                    <w:adjustRightInd w:val="0"/>
                    <w:snapToGrid w:val="0"/>
                    <w:spacing w:before="0" w:beforeAutospacing="0" w:after="0" w:afterAutospacing="0"/>
                    <w:ind w:left="0" w:leftChars="0" w:right="0"/>
                    <w:jc w:val="center"/>
                    <w:rPr>
                      <w:rFonts w:hint="default" w:ascii="Times New Roman" w:hAnsi="Times New Roman" w:eastAsia="宋体" w:cs="Times New Roman"/>
                      <w:b/>
                      <w:bCs w:val="0"/>
                      <w:color w:val="auto"/>
                      <w:kern w:val="2"/>
                      <w:sz w:val="21"/>
                      <w:szCs w:val="21"/>
                      <w:lang w:val="en-US" w:eastAsia="zh-CN"/>
                    </w:rPr>
                  </w:pPr>
                  <w:r>
                    <w:rPr>
                      <w:rFonts w:hint="eastAsia" w:ascii="宋体" w:hAnsi="宋体" w:eastAsia="宋体" w:cs="宋体"/>
                      <w:b/>
                      <w:bCs w:val="0"/>
                      <w:color w:val="auto"/>
                      <w:kern w:val="2"/>
                      <w:sz w:val="21"/>
                      <w:szCs w:val="21"/>
                      <w:lang w:val="en-US" w:eastAsia="zh-CN" w:bidi="ar"/>
                    </w:rPr>
                    <w:t>相符性</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Merge w:val="restart"/>
                  <w:tcBorders>
                    <w:top w:val="nil"/>
                    <w:left w:val="nil"/>
                    <w:bottom w:val="single" w:color="auto" w:sz="4" w:space="0"/>
                    <w:right w:val="single" w:color="auto" w:sz="4" w:space="0"/>
                  </w:tcBorders>
                  <w:vAlign w:val="center"/>
                </w:tcPr>
                <w:p>
                  <w:pPr>
                    <w:keepNext w:val="0"/>
                    <w:keepLines w:val="0"/>
                    <w:widowControl w:val="0"/>
                    <w:suppressLineNumbers w:val="0"/>
                    <w:overflowPunct w:val="0"/>
                    <w:autoSpaceDE w:val="0"/>
                    <w:autoSpaceDN/>
                    <w:adjustRightInd w:val="0"/>
                    <w:snapToGrid w:val="0"/>
                    <w:spacing w:before="0" w:beforeAutospacing="0" w:after="0" w:afterAutospacing="0"/>
                    <w:ind w:left="0" w:leftChars="0" w:right="0"/>
                    <w:jc w:val="center"/>
                    <w:rPr>
                      <w:rFonts w:hint="default" w:ascii="Times New Roman" w:hAnsi="Times New Roman" w:eastAsia="宋体" w:cs="Times New Roman"/>
                      <w:b w:val="0"/>
                      <w:bCs/>
                      <w:color w:val="auto"/>
                      <w:kern w:val="2"/>
                      <w:sz w:val="21"/>
                      <w:szCs w:val="21"/>
                      <w:highlight w:val="green"/>
                      <w:lang w:val="en-US" w:eastAsia="zh-CN"/>
                    </w:rPr>
                  </w:pPr>
                  <w:r>
                    <w:rPr>
                      <w:rFonts w:hint="eastAsia" w:ascii="宋体" w:hAnsi="宋体" w:eastAsia="宋体" w:cs="宋体"/>
                      <w:b w:val="0"/>
                      <w:bCs/>
                      <w:color w:val="auto"/>
                      <w:kern w:val="2"/>
                      <w:sz w:val="21"/>
                      <w:szCs w:val="21"/>
                      <w:lang w:val="en-US" w:eastAsia="zh-CN" w:bidi="ar"/>
                    </w:rPr>
                    <w:t>空间布局约束</w:t>
                  </w:r>
                </w:p>
              </w:tc>
              <w:tc>
                <w:tcPr>
                  <w:tcW w:w="4198"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highlight w:val="green"/>
                      <w:lang w:val="en-US" w:eastAsia="zh-CN"/>
                    </w:rPr>
                  </w:pPr>
                  <w:r>
                    <w:rPr>
                      <w:rFonts w:hint="default" w:ascii="Times New Roman" w:hAnsi="Times New Roman" w:eastAsia="宋体" w:cs="Times New Roman"/>
                      <w:b w:val="0"/>
                      <w:bCs/>
                      <w:color w:val="auto"/>
                      <w:kern w:val="0"/>
                      <w:sz w:val="21"/>
                      <w:szCs w:val="21"/>
                      <w:lang w:val="en-US" w:eastAsia="zh-CN" w:bidi="ar"/>
                    </w:rPr>
                    <w:t>1</w:t>
                  </w:r>
                  <w:r>
                    <w:rPr>
                      <w:rFonts w:hint="eastAsia" w:ascii="宋体" w:hAnsi="宋体" w:eastAsia="宋体" w:cs="宋体"/>
                      <w:b w:val="0"/>
                      <w:bCs/>
                      <w:color w:val="auto"/>
                      <w:kern w:val="0"/>
                      <w:sz w:val="21"/>
                      <w:szCs w:val="21"/>
                      <w:lang w:val="en-US" w:eastAsia="zh-CN" w:bidi="ar"/>
                    </w:rPr>
                    <w:t>、严格控制高耗能、高排放项目准入，新建、改建、扩建</w:t>
                  </w:r>
                  <w:r>
                    <w:rPr>
                      <w:rFonts w:hint="eastAsia" w:ascii="Times New Roman" w:hAnsi="Times New Roman" w:eastAsia="宋体" w:cs="Times New Roman"/>
                      <w:b w:val="0"/>
                      <w:bCs/>
                      <w:color w:val="auto"/>
                      <w:kern w:val="0"/>
                      <w:sz w:val="21"/>
                      <w:szCs w:val="21"/>
                      <w:lang w:val="en-US" w:eastAsia="zh-CN" w:bidi="ar"/>
                    </w:rPr>
                    <w:t>“</w:t>
                  </w:r>
                  <w:r>
                    <w:rPr>
                      <w:rFonts w:hint="eastAsia" w:ascii="宋体" w:hAnsi="宋体" w:eastAsia="宋体" w:cs="宋体"/>
                      <w:b w:val="0"/>
                      <w:bCs/>
                      <w:color w:val="auto"/>
                      <w:kern w:val="0"/>
                      <w:sz w:val="21"/>
                      <w:szCs w:val="21"/>
                      <w:lang w:val="en-US" w:eastAsia="zh-CN" w:bidi="ar"/>
                    </w:rPr>
                    <w:t>两高</w:t>
                  </w:r>
                  <w:r>
                    <w:rPr>
                      <w:rFonts w:hint="eastAsia" w:ascii="Times New Roman" w:hAnsi="Times New Roman" w:eastAsia="宋体" w:cs="Times New Roman"/>
                      <w:b w:val="0"/>
                      <w:bCs/>
                      <w:color w:val="auto"/>
                      <w:kern w:val="0"/>
                      <w:sz w:val="21"/>
                      <w:szCs w:val="21"/>
                      <w:lang w:val="en-US" w:eastAsia="zh-CN" w:bidi="ar"/>
                    </w:rPr>
                    <w:t>”</w:t>
                  </w:r>
                  <w:r>
                    <w:rPr>
                      <w:rFonts w:hint="eastAsia" w:ascii="宋体" w:hAnsi="宋体" w:eastAsia="宋体" w:cs="宋体"/>
                      <w:b w:val="0"/>
                      <w:bCs/>
                      <w:color w:val="auto"/>
                      <w:kern w:val="0"/>
                      <w:sz w:val="21"/>
                      <w:szCs w:val="21"/>
                      <w:lang w:val="en-US" w:eastAsia="zh-CN" w:bidi="ar"/>
                    </w:rPr>
                    <w:t>项目须符合生态环境保护法律法规和相关法定规划，满足重点污染物排放总量控制、碳排放达峰目标、相关规划环评和相应行业建设项目环境准入条件、环评文件审批原则要求。</w:t>
                  </w:r>
                </w:p>
              </w:tc>
              <w:tc>
                <w:tcPr>
                  <w:tcW w:w="2302"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highlight w:val="green"/>
                      <w:lang w:val="en-US" w:eastAsia="zh-CN"/>
                    </w:rPr>
                  </w:pPr>
                  <w:r>
                    <w:rPr>
                      <w:rFonts w:hint="eastAsia" w:ascii="宋体" w:hAnsi="宋体" w:eastAsia="宋体" w:cs="宋体"/>
                      <w:b w:val="0"/>
                      <w:bCs/>
                      <w:color w:val="auto"/>
                      <w:kern w:val="0"/>
                      <w:sz w:val="21"/>
                      <w:szCs w:val="21"/>
                      <w:lang w:val="en-US" w:eastAsia="zh-CN" w:bidi="ar"/>
                    </w:rPr>
                    <w:t>本项目不属于</w:t>
                  </w:r>
                  <w:r>
                    <w:rPr>
                      <w:rFonts w:hint="eastAsia" w:ascii="Times New Roman" w:hAnsi="Times New Roman" w:eastAsia="宋体" w:cs="Times New Roman"/>
                      <w:b w:val="0"/>
                      <w:bCs/>
                      <w:color w:val="auto"/>
                      <w:kern w:val="0"/>
                      <w:sz w:val="21"/>
                      <w:szCs w:val="21"/>
                      <w:lang w:val="en-US" w:eastAsia="zh-CN" w:bidi="ar"/>
                    </w:rPr>
                    <w:t>“</w:t>
                  </w:r>
                  <w:r>
                    <w:rPr>
                      <w:rFonts w:hint="eastAsia" w:ascii="宋体" w:hAnsi="宋体" w:eastAsia="宋体" w:cs="宋体"/>
                      <w:b w:val="0"/>
                      <w:bCs/>
                      <w:color w:val="auto"/>
                      <w:kern w:val="0"/>
                      <w:sz w:val="21"/>
                      <w:szCs w:val="21"/>
                      <w:lang w:val="en-US" w:eastAsia="zh-CN" w:bidi="ar"/>
                    </w:rPr>
                    <w:t>两高</w:t>
                  </w:r>
                  <w:r>
                    <w:rPr>
                      <w:rFonts w:hint="eastAsia" w:ascii="Times New Roman" w:hAnsi="Times New Roman" w:eastAsia="宋体" w:cs="Times New Roman"/>
                      <w:b w:val="0"/>
                      <w:bCs/>
                      <w:color w:val="auto"/>
                      <w:kern w:val="0"/>
                      <w:sz w:val="21"/>
                      <w:szCs w:val="21"/>
                      <w:lang w:val="en-US" w:eastAsia="zh-CN" w:bidi="ar"/>
                    </w:rPr>
                    <w:t>”</w:t>
                  </w:r>
                  <w:r>
                    <w:rPr>
                      <w:rFonts w:hint="eastAsia" w:ascii="宋体" w:hAnsi="宋体" w:eastAsia="宋体" w:cs="宋体"/>
                      <w:b w:val="0"/>
                      <w:bCs/>
                      <w:color w:val="auto"/>
                      <w:kern w:val="0"/>
                      <w:sz w:val="21"/>
                      <w:szCs w:val="21"/>
                      <w:lang w:val="en-US" w:eastAsia="zh-CN" w:bidi="ar"/>
                    </w:rPr>
                    <w:t>项目。</w:t>
                  </w:r>
                </w:p>
              </w:tc>
              <w:tc>
                <w:tcPr>
                  <w:tcW w:w="879" w:type="dxa"/>
                  <w:tcBorders>
                    <w:top w:val="single" w:color="auto" w:sz="4" w:space="0"/>
                    <w:left w:val="nil"/>
                    <w:bottom w:val="single" w:color="auto" w:sz="4" w:space="0"/>
                    <w:right w:val="nil"/>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center"/>
                    <w:rPr>
                      <w:rFonts w:hint="default" w:ascii="Times New Roman" w:hAnsi="Times New Roman" w:eastAsia="宋体" w:cs="Times New Roman"/>
                      <w:b w:val="0"/>
                      <w:bCs/>
                      <w:color w:val="auto"/>
                      <w:kern w:val="0"/>
                      <w:sz w:val="21"/>
                      <w:szCs w:val="21"/>
                      <w:highlight w:val="green"/>
                      <w:lang w:val="en-US" w:eastAsia="zh-CN"/>
                    </w:rPr>
                  </w:pPr>
                  <w:r>
                    <w:rPr>
                      <w:rFonts w:hint="eastAsia" w:ascii="宋体" w:hAnsi="宋体" w:eastAsia="宋体" w:cs="宋体"/>
                      <w:b w:val="0"/>
                      <w:bCs/>
                      <w:color w:val="auto"/>
                      <w:kern w:val="0"/>
                      <w:sz w:val="21"/>
                      <w:szCs w:val="21"/>
                      <w:lang w:val="en-US" w:eastAsia="zh-CN" w:bidi="ar"/>
                    </w:rPr>
                    <w:t>相符</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0"/>
                      <w:szCs w:val="20"/>
                      <w:lang w:val="en-US" w:eastAsia="zh-CN"/>
                    </w:rPr>
                  </w:pPr>
                </w:p>
              </w:tc>
              <w:tc>
                <w:tcPr>
                  <w:tcW w:w="4198"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highlight w:val="green"/>
                      <w:lang w:val="en-US" w:eastAsia="zh-CN"/>
                    </w:rPr>
                  </w:pPr>
                  <w:r>
                    <w:rPr>
                      <w:rFonts w:hint="default" w:ascii="Times New Roman" w:hAnsi="Times New Roman" w:eastAsia="宋体" w:cs="Times New Roman"/>
                      <w:b w:val="0"/>
                      <w:bCs/>
                      <w:color w:val="auto"/>
                      <w:kern w:val="0"/>
                      <w:sz w:val="21"/>
                      <w:szCs w:val="21"/>
                      <w:lang w:val="en-US" w:eastAsia="zh-CN" w:bidi="ar"/>
                    </w:rPr>
                    <w:t>2</w:t>
                  </w:r>
                  <w:r>
                    <w:rPr>
                      <w:rFonts w:hint="eastAsia" w:ascii="宋体" w:hAnsi="宋体" w:eastAsia="宋体" w:cs="宋体"/>
                      <w:b w:val="0"/>
                      <w:bCs/>
                      <w:color w:val="auto"/>
                      <w:kern w:val="0"/>
                      <w:sz w:val="21"/>
                      <w:szCs w:val="21"/>
                      <w:lang w:val="en-US" w:eastAsia="zh-CN" w:bidi="ar"/>
                    </w:rPr>
                    <w:t>、新建、扩建、搬迁的化学原料药和生物生化制品建设项目应位于产业园区，并符合园区产业定位、园区规划、规划环评及审查意见要求。</w:t>
                  </w:r>
                </w:p>
              </w:tc>
              <w:tc>
                <w:tcPr>
                  <w:tcW w:w="2302"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highlight w:val="green"/>
                      <w:lang w:val="en-US" w:eastAsia="zh-CN"/>
                    </w:rPr>
                  </w:pPr>
                  <w:r>
                    <w:rPr>
                      <w:rFonts w:hint="eastAsia" w:ascii="宋体" w:hAnsi="宋体" w:eastAsia="宋体" w:cs="宋体"/>
                      <w:b w:val="0"/>
                      <w:bCs/>
                      <w:color w:val="auto"/>
                      <w:kern w:val="0"/>
                      <w:sz w:val="21"/>
                      <w:szCs w:val="21"/>
                      <w:lang w:val="en-US" w:eastAsia="zh-CN" w:bidi="ar"/>
                    </w:rPr>
                    <w:t>本项目不属于化学原料药和生物生化制品建设项目。</w:t>
                  </w:r>
                </w:p>
              </w:tc>
              <w:tc>
                <w:tcPr>
                  <w:tcW w:w="879" w:type="dxa"/>
                  <w:tcBorders>
                    <w:top w:val="single" w:color="auto" w:sz="4" w:space="0"/>
                    <w:left w:val="nil"/>
                    <w:bottom w:val="single" w:color="auto" w:sz="4" w:space="0"/>
                    <w:right w:val="nil"/>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center"/>
                    <w:rPr>
                      <w:rFonts w:hint="default" w:ascii="Times New Roman" w:hAnsi="Times New Roman" w:eastAsia="宋体" w:cs="Times New Roman"/>
                      <w:b w:val="0"/>
                      <w:bCs/>
                      <w:color w:val="auto"/>
                      <w:kern w:val="0"/>
                      <w:sz w:val="21"/>
                      <w:szCs w:val="21"/>
                      <w:highlight w:val="green"/>
                      <w:lang w:val="en-US" w:eastAsia="zh-CN"/>
                    </w:rPr>
                  </w:pPr>
                  <w:r>
                    <w:rPr>
                      <w:rFonts w:hint="eastAsia" w:ascii="宋体" w:hAnsi="宋体" w:eastAsia="宋体" w:cs="宋体"/>
                      <w:b w:val="0"/>
                      <w:bCs/>
                      <w:color w:val="auto"/>
                      <w:kern w:val="0"/>
                      <w:sz w:val="21"/>
                      <w:szCs w:val="21"/>
                      <w:lang w:val="en-US" w:eastAsia="zh-CN" w:bidi="ar"/>
                    </w:rPr>
                    <w:t>相符</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0"/>
                      <w:szCs w:val="20"/>
                      <w:lang w:val="en-US" w:eastAsia="zh-CN"/>
                    </w:rPr>
                  </w:pPr>
                </w:p>
              </w:tc>
              <w:tc>
                <w:tcPr>
                  <w:tcW w:w="4198"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highlight w:val="green"/>
                      <w:lang w:val="en-US" w:eastAsia="zh-CN"/>
                    </w:rPr>
                  </w:pPr>
                  <w:r>
                    <w:rPr>
                      <w:rFonts w:hint="default" w:ascii="Times New Roman" w:hAnsi="Times New Roman" w:eastAsia="宋体" w:cs="Times New Roman"/>
                      <w:b w:val="0"/>
                      <w:bCs/>
                      <w:color w:val="auto"/>
                      <w:kern w:val="0"/>
                      <w:sz w:val="21"/>
                      <w:szCs w:val="21"/>
                      <w:lang w:val="en-US" w:eastAsia="zh-CN" w:bidi="ar"/>
                    </w:rPr>
                    <w:t>3</w:t>
                  </w:r>
                  <w:r>
                    <w:rPr>
                      <w:rFonts w:hint="eastAsia" w:ascii="宋体" w:hAnsi="宋体" w:eastAsia="宋体" w:cs="宋体"/>
                      <w:b w:val="0"/>
                      <w:bCs/>
                      <w:color w:val="auto"/>
                      <w:kern w:val="0"/>
                      <w:sz w:val="21"/>
                      <w:szCs w:val="21"/>
                      <w:lang w:val="en-US" w:eastAsia="zh-CN" w:bidi="ar"/>
                    </w:rPr>
                    <w:t>、铸造企业不得采用无芯工频感应电炉、无磁轭（</w:t>
                  </w:r>
                  <w:r>
                    <w:rPr>
                      <w:rFonts w:hint="default" w:ascii="Times New Roman" w:hAnsi="Times New Roman" w:eastAsia="宋体" w:cs="Times New Roman"/>
                      <w:b w:val="0"/>
                      <w:bCs/>
                      <w:color w:val="auto"/>
                      <w:kern w:val="0"/>
                      <w:sz w:val="21"/>
                      <w:szCs w:val="21"/>
                      <w:lang w:val="en-US" w:eastAsia="zh-CN" w:bidi="ar"/>
                    </w:rPr>
                    <w:t>≥0.25</w:t>
                  </w:r>
                  <w:r>
                    <w:rPr>
                      <w:rFonts w:hint="eastAsia" w:ascii="宋体" w:hAnsi="宋体" w:eastAsia="宋体" w:cs="宋体"/>
                      <w:b w:val="0"/>
                      <w:bCs/>
                      <w:color w:val="auto"/>
                      <w:kern w:val="0"/>
                      <w:sz w:val="21"/>
                      <w:szCs w:val="21"/>
                      <w:lang w:val="en-US" w:eastAsia="zh-CN" w:bidi="ar"/>
                    </w:rPr>
                    <w:t>吨）铝壳中频感应电炉、水玻璃熔模精密铸造氯化铵硬化模壳、铝合金六氯乙烷精炼等淘汰类工艺和装备。严格区分锻压行业和钢铁行业生产工艺特征特点，避免锻压配套的炼钢判定为钢铁冶炼生产，也严禁以铸造和锻压名义违规新增钢铁产能、违规生产钢坯钢锭及上市销售。</w:t>
                  </w:r>
                </w:p>
              </w:tc>
              <w:tc>
                <w:tcPr>
                  <w:tcW w:w="2302"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highlight w:val="green"/>
                      <w:lang w:val="en-US" w:eastAsia="zh-CN"/>
                    </w:rPr>
                  </w:pPr>
                  <w:r>
                    <w:rPr>
                      <w:rFonts w:hint="eastAsia" w:ascii="宋体" w:hAnsi="宋体" w:eastAsia="宋体" w:cs="宋体"/>
                      <w:b w:val="0"/>
                      <w:bCs/>
                      <w:color w:val="auto"/>
                      <w:kern w:val="0"/>
                      <w:sz w:val="21"/>
                      <w:szCs w:val="21"/>
                      <w:lang w:val="en-US" w:eastAsia="zh-CN" w:bidi="ar"/>
                    </w:rPr>
                    <w:t>本项目不属于铸造企业。</w:t>
                  </w:r>
                </w:p>
              </w:tc>
              <w:tc>
                <w:tcPr>
                  <w:tcW w:w="879" w:type="dxa"/>
                  <w:tcBorders>
                    <w:top w:val="single" w:color="auto" w:sz="4" w:space="0"/>
                    <w:left w:val="nil"/>
                    <w:bottom w:val="single" w:color="auto" w:sz="4" w:space="0"/>
                    <w:right w:val="nil"/>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center"/>
                    <w:rPr>
                      <w:rFonts w:hint="default" w:ascii="Times New Roman" w:hAnsi="Times New Roman" w:eastAsia="宋体" w:cs="Times New Roman"/>
                      <w:b w:val="0"/>
                      <w:bCs/>
                      <w:color w:val="auto"/>
                      <w:kern w:val="0"/>
                      <w:sz w:val="21"/>
                      <w:szCs w:val="21"/>
                      <w:highlight w:val="green"/>
                      <w:lang w:val="en-US" w:eastAsia="zh-CN"/>
                    </w:rPr>
                  </w:pPr>
                  <w:r>
                    <w:rPr>
                      <w:rFonts w:hint="eastAsia" w:ascii="宋体" w:hAnsi="宋体" w:eastAsia="宋体" w:cs="宋体"/>
                      <w:b w:val="0"/>
                      <w:bCs/>
                      <w:color w:val="auto"/>
                      <w:kern w:val="0"/>
                      <w:sz w:val="21"/>
                      <w:szCs w:val="21"/>
                      <w:lang w:val="en-US" w:eastAsia="zh-CN" w:bidi="ar"/>
                    </w:rPr>
                    <w:t>相符</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0"/>
                      <w:szCs w:val="20"/>
                      <w:lang w:val="en-US" w:eastAsia="zh-CN"/>
                    </w:rPr>
                  </w:pPr>
                </w:p>
              </w:tc>
              <w:tc>
                <w:tcPr>
                  <w:tcW w:w="4198"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4</w:t>
                  </w:r>
                  <w:r>
                    <w:rPr>
                      <w:rFonts w:hint="eastAsia" w:ascii="宋体" w:hAnsi="宋体" w:eastAsia="宋体" w:cs="宋体"/>
                      <w:b w:val="0"/>
                      <w:bCs/>
                      <w:color w:val="auto"/>
                      <w:kern w:val="0"/>
                      <w:sz w:val="21"/>
                      <w:szCs w:val="21"/>
                      <w:lang w:val="en-US" w:eastAsia="zh-CN" w:bidi="ar"/>
                    </w:rPr>
                    <w:t>、严控磷铵、电石、黄磷等行业新增产能。</w:t>
                  </w:r>
                </w:p>
              </w:tc>
              <w:tc>
                <w:tcPr>
                  <w:tcW w:w="2302"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本项目不属于磷铵、电石、黄磷行业。</w:t>
                  </w:r>
                </w:p>
              </w:tc>
              <w:tc>
                <w:tcPr>
                  <w:tcW w:w="879" w:type="dxa"/>
                  <w:tcBorders>
                    <w:top w:val="single" w:color="auto" w:sz="4" w:space="0"/>
                    <w:left w:val="nil"/>
                    <w:bottom w:val="single" w:color="auto" w:sz="4" w:space="0"/>
                    <w:right w:val="nil"/>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center"/>
                    <w:rPr>
                      <w:rFonts w:hint="default" w:ascii="Times New Roman" w:hAnsi="Times New Roman" w:eastAsia="宋体" w:cs="Times New Roman"/>
                      <w:b w:val="0"/>
                      <w:bCs/>
                      <w:color w:val="auto"/>
                      <w:kern w:val="0"/>
                      <w:sz w:val="21"/>
                      <w:szCs w:val="21"/>
                      <w:highlight w:val="green"/>
                      <w:lang w:val="en-US" w:eastAsia="zh-CN"/>
                    </w:rPr>
                  </w:pPr>
                  <w:r>
                    <w:rPr>
                      <w:rFonts w:hint="eastAsia" w:ascii="宋体" w:hAnsi="宋体" w:eastAsia="宋体" w:cs="宋体"/>
                      <w:b w:val="0"/>
                      <w:bCs/>
                      <w:color w:val="auto"/>
                      <w:kern w:val="0"/>
                      <w:sz w:val="21"/>
                      <w:szCs w:val="21"/>
                      <w:lang w:val="en-US" w:eastAsia="zh-CN" w:bidi="ar"/>
                    </w:rPr>
                    <w:t>相符</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0"/>
                      <w:szCs w:val="20"/>
                      <w:lang w:val="en-US" w:eastAsia="zh-CN"/>
                    </w:rPr>
                  </w:pPr>
                </w:p>
              </w:tc>
              <w:tc>
                <w:tcPr>
                  <w:tcW w:w="4198"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5</w:t>
                  </w:r>
                  <w:r>
                    <w:rPr>
                      <w:rFonts w:hint="eastAsia" w:ascii="宋体" w:hAnsi="宋体" w:eastAsia="宋体" w:cs="宋体"/>
                      <w:b w:val="0"/>
                      <w:bCs/>
                      <w:color w:val="auto"/>
                      <w:kern w:val="0"/>
                      <w:sz w:val="21"/>
                      <w:szCs w:val="21"/>
                      <w:lang w:val="en-US" w:eastAsia="zh-CN" w:bidi="ar"/>
                    </w:rPr>
                    <w:t>、禁止在黄河干支流岸线管控范围内新建、扩建化工园区和化工项目。新建危险化学品生产项目必须进入通过认定的一般或较低安全风险的化工园区（与其他行业生产装置配套建设的项目除外，配套建设项目由工业和信息化部门会同应急管理部门认定），引导其他化工项目在化工园区发展。</w:t>
                  </w:r>
                </w:p>
              </w:tc>
              <w:tc>
                <w:tcPr>
                  <w:tcW w:w="2302"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本项目不涉及。</w:t>
                  </w:r>
                </w:p>
              </w:tc>
              <w:tc>
                <w:tcPr>
                  <w:tcW w:w="879" w:type="dxa"/>
                  <w:tcBorders>
                    <w:top w:val="single" w:color="auto" w:sz="4" w:space="0"/>
                    <w:left w:val="nil"/>
                    <w:bottom w:val="single" w:color="auto" w:sz="4" w:space="0"/>
                    <w:right w:val="nil"/>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center"/>
                    <w:rPr>
                      <w:rFonts w:hint="default" w:ascii="Times New Roman" w:hAnsi="Times New Roman" w:eastAsia="宋体" w:cs="Times New Roman"/>
                      <w:b w:val="0"/>
                      <w:bCs/>
                      <w:color w:val="auto"/>
                      <w:kern w:val="0"/>
                      <w:sz w:val="21"/>
                      <w:szCs w:val="21"/>
                      <w:highlight w:val="green"/>
                      <w:lang w:val="en-US" w:eastAsia="zh-CN"/>
                    </w:rPr>
                  </w:pPr>
                  <w:r>
                    <w:rPr>
                      <w:rFonts w:hint="eastAsia" w:ascii="宋体" w:hAnsi="宋体" w:eastAsia="宋体" w:cs="宋体"/>
                      <w:b w:val="0"/>
                      <w:bCs/>
                      <w:color w:val="auto"/>
                      <w:kern w:val="0"/>
                      <w:sz w:val="21"/>
                      <w:szCs w:val="21"/>
                      <w:lang w:val="en-US" w:eastAsia="zh-CN" w:bidi="ar"/>
                    </w:rPr>
                    <w:t>不涉及</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0"/>
                      <w:szCs w:val="20"/>
                      <w:lang w:val="en-US" w:eastAsia="zh-CN"/>
                    </w:rPr>
                  </w:pPr>
                </w:p>
              </w:tc>
              <w:tc>
                <w:tcPr>
                  <w:tcW w:w="4198"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6</w:t>
                  </w:r>
                  <w:r>
                    <w:rPr>
                      <w:rFonts w:hint="eastAsia" w:ascii="宋体" w:hAnsi="宋体" w:eastAsia="宋体" w:cs="宋体"/>
                      <w:b w:val="0"/>
                      <w:bCs/>
                      <w:color w:val="auto"/>
                      <w:kern w:val="0"/>
                      <w:sz w:val="21"/>
                      <w:szCs w:val="21"/>
                      <w:lang w:val="en-US" w:eastAsia="zh-CN" w:bidi="ar"/>
                    </w:rPr>
                    <w:t>、禁止承接不符合国家石化、现代煤化工等产业布局规划的项目。禁止承接包含《安阳市承接化工产业转移</w:t>
                  </w:r>
                  <w:r>
                    <w:rPr>
                      <w:rFonts w:hint="eastAsia" w:ascii="Times New Roman" w:hAnsi="Times New Roman" w:eastAsia="宋体" w:cs="Times New Roman"/>
                      <w:b w:val="0"/>
                      <w:bCs/>
                      <w:color w:val="auto"/>
                      <w:kern w:val="0"/>
                      <w:sz w:val="21"/>
                      <w:szCs w:val="21"/>
                      <w:lang w:val="en-US" w:eastAsia="zh-CN" w:bidi="ar"/>
                    </w:rPr>
                    <w:t>“</w:t>
                  </w:r>
                  <w:r>
                    <w:rPr>
                      <w:rFonts w:hint="eastAsia" w:ascii="宋体" w:hAnsi="宋体" w:eastAsia="宋体" w:cs="宋体"/>
                      <w:b w:val="0"/>
                      <w:bCs/>
                      <w:color w:val="auto"/>
                      <w:kern w:val="0"/>
                      <w:sz w:val="21"/>
                      <w:szCs w:val="21"/>
                      <w:lang w:val="en-US" w:eastAsia="zh-CN" w:bidi="ar"/>
                    </w:rPr>
                    <w:t>禁限控</w:t>
                  </w:r>
                  <w:r>
                    <w:rPr>
                      <w:rFonts w:hint="eastAsia" w:ascii="Times New Roman" w:hAnsi="Times New Roman" w:eastAsia="宋体" w:cs="Times New Roman"/>
                      <w:b w:val="0"/>
                      <w:bCs/>
                      <w:color w:val="auto"/>
                      <w:kern w:val="0"/>
                      <w:sz w:val="21"/>
                      <w:szCs w:val="21"/>
                      <w:lang w:val="en-US" w:eastAsia="zh-CN" w:bidi="ar"/>
                    </w:rPr>
                    <w:t>”</w:t>
                  </w:r>
                  <w:r>
                    <w:rPr>
                      <w:rFonts w:hint="eastAsia" w:ascii="宋体" w:hAnsi="宋体" w:eastAsia="宋体" w:cs="宋体"/>
                      <w:b w:val="0"/>
                      <w:bCs/>
                      <w:color w:val="auto"/>
                      <w:kern w:val="0"/>
                      <w:sz w:val="21"/>
                      <w:szCs w:val="21"/>
                      <w:lang w:val="en-US" w:eastAsia="zh-CN" w:bidi="ar"/>
                    </w:rPr>
                    <w:t>目录》中所列工艺装备或产品的项目。禁止承接煤化工产能。禁止承接一次性固定资产投资额低于</w:t>
                  </w:r>
                  <w:r>
                    <w:rPr>
                      <w:rFonts w:hint="default" w:ascii="Times New Roman" w:hAnsi="Times New Roman" w:eastAsia="宋体" w:cs="Times New Roman"/>
                      <w:b w:val="0"/>
                      <w:bCs/>
                      <w:color w:val="auto"/>
                      <w:kern w:val="0"/>
                      <w:sz w:val="21"/>
                      <w:szCs w:val="21"/>
                      <w:lang w:val="en-US" w:eastAsia="zh-CN" w:bidi="ar"/>
                    </w:rPr>
                    <w:t>3</w:t>
                  </w:r>
                  <w:r>
                    <w:rPr>
                      <w:rFonts w:hint="eastAsia" w:ascii="宋体" w:hAnsi="宋体" w:eastAsia="宋体" w:cs="宋体"/>
                      <w:b w:val="0"/>
                      <w:bCs/>
                      <w:color w:val="auto"/>
                      <w:kern w:val="0"/>
                      <w:sz w:val="21"/>
                      <w:szCs w:val="21"/>
                      <w:lang w:val="en-US" w:eastAsia="zh-CN" w:bidi="ar"/>
                    </w:rPr>
                    <w:t>亿元（不含土地费用）的危险化学品生产建设项目（列入国家战略性新兴产业重点产品和服务指导目录的项目除外）。禁止在化工园区外承接化工项目。</w:t>
                  </w:r>
                </w:p>
              </w:tc>
              <w:tc>
                <w:tcPr>
                  <w:tcW w:w="2302"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本项目不涉及。</w:t>
                  </w:r>
                </w:p>
              </w:tc>
              <w:tc>
                <w:tcPr>
                  <w:tcW w:w="879" w:type="dxa"/>
                  <w:tcBorders>
                    <w:top w:val="single" w:color="auto" w:sz="4" w:space="0"/>
                    <w:left w:val="nil"/>
                    <w:bottom w:val="single" w:color="auto" w:sz="4" w:space="0"/>
                    <w:right w:val="nil"/>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center"/>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不涉及</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0"/>
                      <w:szCs w:val="20"/>
                      <w:lang w:val="en-US" w:eastAsia="zh-CN"/>
                    </w:rPr>
                  </w:pPr>
                </w:p>
              </w:tc>
              <w:tc>
                <w:tcPr>
                  <w:tcW w:w="4198"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7</w:t>
                  </w:r>
                  <w:r>
                    <w:rPr>
                      <w:rFonts w:hint="eastAsia" w:ascii="宋体" w:hAnsi="宋体" w:eastAsia="宋体" w:cs="宋体"/>
                      <w:b w:val="0"/>
                      <w:bCs/>
                      <w:color w:val="auto"/>
                      <w:kern w:val="0"/>
                      <w:sz w:val="21"/>
                      <w:szCs w:val="21"/>
                      <w:lang w:val="en-US" w:eastAsia="zh-CN" w:bidi="ar"/>
                    </w:rPr>
                    <w:t>、从严从紧控制现代煤化工产能规模和新增煤炭消费量。确需新建的现代煤化工项目，应确保煤炭供应稳定，优先完成国家明确的发电供热用煤保供任务，不得通过减少保供煤用于现代煤化工项目建设，新建项目企业环保应达到绩效分级</w:t>
                  </w:r>
                  <w:r>
                    <w:rPr>
                      <w:rFonts w:hint="default" w:ascii="Times New Roman" w:hAnsi="Times New Roman" w:eastAsia="宋体" w:cs="Times New Roman"/>
                      <w:b w:val="0"/>
                      <w:bCs/>
                      <w:color w:val="auto"/>
                      <w:kern w:val="0"/>
                      <w:sz w:val="21"/>
                      <w:szCs w:val="21"/>
                      <w:lang w:val="en-US" w:eastAsia="zh-CN" w:bidi="ar"/>
                    </w:rPr>
                    <w:t>A</w:t>
                  </w:r>
                  <w:r>
                    <w:rPr>
                      <w:rFonts w:hint="eastAsia" w:ascii="宋体" w:hAnsi="宋体" w:eastAsia="宋体" w:cs="宋体"/>
                      <w:b w:val="0"/>
                      <w:bCs/>
                      <w:color w:val="auto"/>
                      <w:kern w:val="0"/>
                      <w:sz w:val="21"/>
                      <w:szCs w:val="21"/>
                      <w:lang w:val="en-US" w:eastAsia="zh-CN" w:bidi="ar"/>
                    </w:rPr>
                    <w:t>级指标要求。新建项目应优先依托园区集中供热供汽设施，原则上不再新增自备燃煤机组。大气污染防治重点区域严禁新增煤化工产能（不含煤制油、煤制燃料）。</w:t>
                  </w:r>
                </w:p>
              </w:tc>
              <w:tc>
                <w:tcPr>
                  <w:tcW w:w="2302"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本项目不涉及煤炭消耗，本项目</w:t>
                  </w:r>
                  <w:r>
                    <w:rPr>
                      <w:rFonts w:hint="eastAsia" w:eastAsia="宋体" w:cs="宋体"/>
                      <w:color w:val="auto"/>
                      <w:kern w:val="0"/>
                      <w:sz w:val="21"/>
                      <w:szCs w:val="21"/>
                      <w:lang w:val="en-US" w:eastAsia="zh-CN" w:bidi="ar"/>
                    </w:rPr>
                    <w:t>拟</w:t>
                  </w:r>
                  <w:r>
                    <w:rPr>
                      <w:rFonts w:hint="default" w:ascii="Times New Roman" w:hAnsi="Times New Roman" w:eastAsia="宋体" w:cs="Times New Roman"/>
                      <w:color w:val="auto"/>
                      <w:kern w:val="0"/>
                      <w:sz w:val="21"/>
                      <w:szCs w:val="21"/>
                      <w:lang w:val="en-US" w:eastAsia="zh-CN" w:bidi="ar"/>
                    </w:rPr>
                    <w:t>按照</w:t>
                  </w:r>
                  <w:r>
                    <w:rPr>
                      <w:rFonts w:hint="eastAsia" w:ascii="Times New Roman" w:hAnsi="Times New Roman" w:eastAsia="宋体" w:cs="Times New Roman"/>
                      <w:color w:val="auto"/>
                      <w:kern w:val="0"/>
                      <w:sz w:val="21"/>
                      <w:szCs w:val="21"/>
                      <w:lang w:val="en-US" w:eastAsia="zh-CN" w:bidi="ar"/>
                    </w:rPr>
                    <w:t>《河南省重污染天气通用行业应急减排措施制定技术指南》（2024年修订版）中涉PM企业引领性指标要求建设</w:t>
                  </w:r>
                  <w:r>
                    <w:rPr>
                      <w:rFonts w:hint="eastAsia" w:ascii="宋体" w:hAnsi="宋体" w:eastAsia="宋体" w:cs="宋体"/>
                      <w:b w:val="0"/>
                      <w:bCs/>
                      <w:color w:val="auto"/>
                      <w:kern w:val="0"/>
                      <w:sz w:val="21"/>
                      <w:szCs w:val="21"/>
                      <w:lang w:val="en-US" w:eastAsia="zh-CN" w:bidi="ar"/>
                    </w:rPr>
                    <w:t>。</w:t>
                  </w:r>
                </w:p>
              </w:tc>
              <w:tc>
                <w:tcPr>
                  <w:tcW w:w="879" w:type="dxa"/>
                  <w:tcBorders>
                    <w:top w:val="single" w:color="auto" w:sz="4" w:space="0"/>
                    <w:left w:val="nil"/>
                    <w:bottom w:val="single" w:color="auto" w:sz="4" w:space="0"/>
                    <w:right w:val="nil"/>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center"/>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相符</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0"/>
                      <w:szCs w:val="20"/>
                      <w:lang w:val="en-US" w:eastAsia="zh-CN"/>
                    </w:rPr>
                  </w:pPr>
                </w:p>
              </w:tc>
              <w:tc>
                <w:tcPr>
                  <w:tcW w:w="4198"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8</w:t>
                  </w:r>
                  <w:r>
                    <w:rPr>
                      <w:rFonts w:hint="eastAsia" w:ascii="宋体" w:hAnsi="宋体" w:eastAsia="宋体" w:cs="宋体"/>
                      <w:b w:val="0"/>
                      <w:bCs/>
                      <w:color w:val="auto"/>
                      <w:kern w:val="0"/>
                      <w:sz w:val="21"/>
                      <w:szCs w:val="21"/>
                      <w:lang w:val="en-US" w:eastAsia="zh-CN" w:bidi="ar"/>
                    </w:rPr>
                    <w:t>、推动涉重金属产业集中优化发展，禁止低端落后产能向我市转移。禁止新建用汞的电石法（聚）氯乙烯生产工艺。新建、扩建的重有色金属冶炼、电镀、制革企业应选择布设在依法合规设立并经规划环评的产业园区。</w:t>
                  </w:r>
                </w:p>
              </w:tc>
              <w:tc>
                <w:tcPr>
                  <w:tcW w:w="2302"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本项目不涉及。</w:t>
                  </w:r>
                </w:p>
              </w:tc>
              <w:tc>
                <w:tcPr>
                  <w:tcW w:w="879" w:type="dxa"/>
                  <w:tcBorders>
                    <w:top w:val="single" w:color="auto" w:sz="4" w:space="0"/>
                    <w:left w:val="nil"/>
                    <w:bottom w:val="single" w:color="auto" w:sz="4" w:space="0"/>
                    <w:right w:val="nil"/>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center"/>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不涉及</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0"/>
                      <w:szCs w:val="20"/>
                      <w:lang w:val="en-US" w:eastAsia="zh-CN"/>
                    </w:rPr>
                  </w:pPr>
                </w:p>
              </w:tc>
              <w:tc>
                <w:tcPr>
                  <w:tcW w:w="4198"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9</w:t>
                  </w:r>
                  <w:r>
                    <w:rPr>
                      <w:rFonts w:hint="eastAsia" w:ascii="宋体" w:hAnsi="宋体" w:eastAsia="宋体" w:cs="宋体"/>
                      <w:b w:val="0"/>
                      <w:bCs/>
                      <w:color w:val="auto"/>
                      <w:kern w:val="0"/>
                      <w:sz w:val="21"/>
                      <w:szCs w:val="21"/>
                      <w:lang w:val="en-US" w:eastAsia="zh-CN" w:bidi="ar"/>
                    </w:rPr>
                    <w:t>、禁止在水土流失严重区及重点预防区、水源保护区、生态脆弱区、自然保护地、野生动植物重要栖息地等区域，开展造成或者可能造成严重水土流失、破坏水生态环境和野生动植物栖息环境的生产建设活动。确因重大发展战略和重大公共利益需要建设的，应当经科学论证，并依法办理审批手续。严禁在黄河干流和主要支流临岸一定范围内新建</w:t>
                  </w:r>
                  <w:r>
                    <w:rPr>
                      <w:rFonts w:hint="eastAsia" w:ascii="Times New Roman" w:hAnsi="Times New Roman" w:eastAsia="宋体" w:cs="Times New Roman"/>
                      <w:b w:val="0"/>
                      <w:bCs/>
                      <w:color w:val="auto"/>
                      <w:kern w:val="0"/>
                      <w:sz w:val="21"/>
                      <w:szCs w:val="21"/>
                      <w:lang w:val="en-US" w:eastAsia="zh-CN" w:bidi="ar"/>
                    </w:rPr>
                    <w:t>“</w:t>
                  </w:r>
                  <w:r>
                    <w:rPr>
                      <w:rFonts w:hint="eastAsia" w:ascii="宋体" w:hAnsi="宋体" w:eastAsia="宋体" w:cs="宋体"/>
                      <w:b w:val="0"/>
                      <w:bCs/>
                      <w:color w:val="auto"/>
                      <w:kern w:val="0"/>
                      <w:sz w:val="21"/>
                      <w:szCs w:val="21"/>
                      <w:lang w:val="en-US" w:eastAsia="zh-CN" w:bidi="ar"/>
                    </w:rPr>
                    <w:t>两高一资</w:t>
                  </w:r>
                  <w:r>
                    <w:rPr>
                      <w:rFonts w:hint="eastAsia" w:ascii="Times New Roman" w:hAnsi="Times New Roman" w:eastAsia="宋体" w:cs="Times New Roman"/>
                      <w:b w:val="0"/>
                      <w:bCs/>
                      <w:color w:val="auto"/>
                      <w:kern w:val="0"/>
                      <w:sz w:val="21"/>
                      <w:szCs w:val="21"/>
                      <w:lang w:val="en-US" w:eastAsia="zh-CN" w:bidi="ar"/>
                    </w:rPr>
                    <w:t>”</w:t>
                  </w:r>
                  <w:r>
                    <w:rPr>
                      <w:rFonts w:hint="eastAsia" w:ascii="宋体" w:hAnsi="宋体" w:eastAsia="宋体" w:cs="宋体"/>
                      <w:b w:val="0"/>
                      <w:bCs/>
                      <w:color w:val="auto"/>
                      <w:kern w:val="0"/>
                      <w:sz w:val="21"/>
                      <w:szCs w:val="21"/>
                      <w:lang w:val="en-US" w:eastAsia="zh-CN" w:bidi="ar"/>
                    </w:rPr>
                    <w:t>（高耗能、高污染和资源性）项目及相关产业园区，具体范围由省人民政府制定。禁止在黄河干流岸线和重要支流岸线的管控范围内新建、改建、扩建尾矿库；但是以提升安全水平、生态环境保护水平为目的的改建除外。</w:t>
                  </w:r>
                </w:p>
              </w:tc>
              <w:tc>
                <w:tcPr>
                  <w:tcW w:w="2302"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本项目不涉及。距离</w:t>
                  </w:r>
                  <w:r>
                    <w:rPr>
                      <w:rFonts w:hint="eastAsia" w:eastAsia="宋体" w:cs="宋体"/>
                      <w:b w:val="0"/>
                      <w:bCs/>
                      <w:color w:val="auto"/>
                      <w:kern w:val="0"/>
                      <w:sz w:val="21"/>
                      <w:szCs w:val="21"/>
                      <w:lang w:val="en-US" w:eastAsia="zh-CN" w:bidi="ar"/>
                    </w:rPr>
                    <w:t>项目</w:t>
                  </w:r>
                  <w:r>
                    <w:rPr>
                      <w:rFonts w:hint="eastAsia" w:ascii="宋体" w:hAnsi="宋体" w:eastAsia="宋体" w:cs="宋体"/>
                      <w:b w:val="0"/>
                      <w:bCs/>
                      <w:color w:val="auto"/>
                      <w:kern w:val="0"/>
                      <w:sz w:val="21"/>
                      <w:szCs w:val="21"/>
                      <w:lang w:val="en-US" w:eastAsia="zh-CN" w:bidi="ar"/>
                    </w:rPr>
                    <w:t>最近的</w:t>
                  </w:r>
                  <w:r>
                    <w:rPr>
                      <w:rFonts w:hint="eastAsia" w:eastAsia="宋体" w:cs="宋体"/>
                      <w:b w:val="0"/>
                      <w:bCs/>
                      <w:color w:val="auto"/>
                      <w:kern w:val="0"/>
                      <w:sz w:val="21"/>
                      <w:szCs w:val="21"/>
                      <w:lang w:val="en-US" w:eastAsia="zh-CN" w:bidi="ar"/>
                    </w:rPr>
                    <w:t>乡镇饮用水</w:t>
                  </w:r>
                  <w:r>
                    <w:rPr>
                      <w:rFonts w:hint="eastAsia" w:ascii="宋体" w:hAnsi="宋体" w:eastAsia="宋体" w:cs="宋体"/>
                      <w:b w:val="0"/>
                      <w:bCs/>
                      <w:color w:val="auto"/>
                      <w:kern w:val="0"/>
                      <w:sz w:val="21"/>
                      <w:szCs w:val="21"/>
                      <w:lang w:val="en-US" w:eastAsia="zh-CN" w:bidi="ar"/>
                    </w:rPr>
                    <w:t>水源保护区为</w:t>
                  </w:r>
                  <w:r>
                    <w:rPr>
                      <w:rFonts w:hint="eastAsia" w:eastAsia="宋体" w:cs="宋体"/>
                      <w:b w:val="0"/>
                      <w:bCs/>
                      <w:color w:val="auto"/>
                      <w:kern w:val="0"/>
                      <w:sz w:val="21"/>
                      <w:szCs w:val="21"/>
                      <w:lang w:val="en-US" w:eastAsia="zh-CN" w:bidi="ar"/>
                    </w:rPr>
                    <w:t>西南方</w:t>
                  </w:r>
                  <w:r>
                    <w:rPr>
                      <w:rFonts w:hint="default" w:ascii="Times New Roman" w:hAnsi="Times New Roman" w:eastAsia="宋体" w:cs="Times New Roman"/>
                      <w:b w:val="0"/>
                      <w:bCs/>
                      <w:color w:val="auto"/>
                      <w:kern w:val="0"/>
                      <w:sz w:val="21"/>
                      <w:szCs w:val="21"/>
                      <w:lang w:val="en-US" w:eastAsia="zh-CN" w:bidi="ar"/>
                    </w:rPr>
                    <w:t>向3570m</w:t>
                  </w:r>
                  <w:r>
                    <w:rPr>
                      <w:rFonts w:hint="eastAsia" w:eastAsia="宋体" w:cs="宋体"/>
                      <w:b w:val="0"/>
                      <w:bCs/>
                      <w:color w:val="auto"/>
                      <w:kern w:val="0"/>
                      <w:sz w:val="21"/>
                      <w:szCs w:val="21"/>
                      <w:lang w:val="en-US" w:eastAsia="zh-CN" w:bidi="ar"/>
                    </w:rPr>
                    <w:t>的宜沟镇饮用水水源保护区</w:t>
                  </w:r>
                  <w:r>
                    <w:rPr>
                      <w:rFonts w:hint="eastAsia" w:ascii="宋体" w:hAnsi="宋体" w:eastAsia="宋体" w:cs="宋体"/>
                      <w:b w:val="0"/>
                      <w:bCs/>
                      <w:color w:val="auto"/>
                      <w:kern w:val="0"/>
                      <w:sz w:val="21"/>
                      <w:szCs w:val="21"/>
                      <w:lang w:val="en-US" w:eastAsia="zh-CN" w:bidi="ar"/>
                    </w:rPr>
                    <w:t>，本项目不在其保护区范围内；本项目距离</w:t>
                  </w:r>
                  <w:r>
                    <w:rPr>
                      <w:rFonts w:hint="default" w:ascii="Times New Roman" w:hAnsi="Times New Roman" w:eastAsia="宋体" w:cs="Times New Roman"/>
                      <w:b w:val="0"/>
                      <w:bCs/>
                      <w:color w:val="auto"/>
                      <w:kern w:val="0"/>
                      <w:sz w:val="21"/>
                      <w:szCs w:val="21"/>
                      <w:lang w:val="en-US" w:eastAsia="zh-CN" w:bidi="ar"/>
                    </w:rPr>
                    <w:t>南水北调中线工程干渠二级保护区约为</w:t>
                  </w:r>
                  <w:r>
                    <w:rPr>
                      <w:rFonts w:hint="eastAsia" w:ascii="Times New Roman" w:hAnsi="Times New Roman" w:cs="Times New Roman"/>
                      <w:b w:val="0"/>
                      <w:bCs/>
                      <w:color w:val="auto"/>
                      <w:kern w:val="0"/>
                      <w:sz w:val="21"/>
                      <w:szCs w:val="21"/>
                      <w:lang w:val="en-US" w:eastAsia="zh-CN" w:bidi="ar"/>
                    </w:rPr>
                    <w:t>850</w:t>
                  </w:r>
                  <w:r>
                    <w:rPr>
                      <w:rFonts w:hint="default" w:ascii="Times New Roman" w:hAnsi="Times New Roman" w:eastAsia="宋体" w:cs="Times New Roman"/>
                      <w:b w:val="0"/>
                      <w:bCs/>
                      <w:color w:val="auto"/>
                      <w:kern w:val="0"/>
                      <w:sz w:val="21"/>
                      <w:szCs w:val="21"/>
                      <w:lang w:val="en-US" w:eastAsia="zh-CN" w:bidi="ar"/>
                    </w:rPr>
                    <w:t>m，不在其保护区范围内。</w:t>
                  </w:r>
                </w:p>
              </w:tc>
              <w:tc>
                <w:tcPr>
                  <w:tcW w:w="879" w:type="dxa"/>
                  <w:tcBorders>
                    <w:top w:val="single" w:color="auto" w:sz="4" w:space="0"/>
                    <w:left w:val="nil"/>
                    <w:bottom w:val="single" w:color="auto" w:sz="4" w:space="0"/>
                    <w:right w:val="nil"/>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center"/>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不涉及</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0"/>
                      <w:szCs w:val="20"/>
                      <w:lang w:val="en-US" w:eastAsia="zh-CN"/>
                    </w:rPr>
                  </w:pPr>
                </w:p>
              </w:tc>
              <w:tc>
                <w:tcPr>
                  <w:tcW w:w="4198"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10</w:t>
                  </w:r>
                  <w:r>
                    <w:rPr>
                      <w:rFonts w:hint="eastAsia" w:ascii="宋体" w:hAnsi="宋体" w:eastAsia="宋体" w:cs="宋体"/>
                      <w:b w:val="0"/>
                      <w:bCs/>
                      <w:color w:val="auto"/>
                      <w:kern w:val="0"/>
                      <w:sz w:val="21"/>
                      <w:szCs w:val="21"/>
                      <w:lang w:val="en-US" w:eastAsia="zh-CN" w:bidi="ar"/>
                    </w:rPr>
                    <w:t>、原则上禁止曾用于生产、使用、贮存、回收、处置有毒有害物质的工矿用地复垦为种植食用农产品的耕地。</w:t>
                  </w:r>
                </w:p>
              </w:tc>
              <w:tc>
                <w:tcPr>
                  <w:tcW w:w="2302"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本项目不涉及。</w:t>
                  </w:r>
                </w:p>
              </w:tc>
              <w:tc>
                <w:tcPr>
                  <w:tcW w:w="879" w:type="dxa"/>
                  <w:tcBorders>
                    <w:top w:val="single" w:color="auto" w:sz="4" w:space="0"/>
                    <w:left w:val="nil"/>
                    <w:bottom w:val="single" w:color="auto" w:sz="4" w:space="0"/>
                    <w:right w:val="nil"/>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center"/>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不涉及</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0"/>
                      <w:szCs w:val="20"/>
                      <w:lang w:val="en-US" w:eastAsia="zh-CN"/>
                    </w:rPr>
                  </w:pPr>
                </w:p>
              </w:tc>
              <w:tc>
                <w:tcPr>
                  <w:tcW w:w="4198"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11</w:t>
                  </w:r>
                  <w:r>
                    <w:rPr>
                      <w:rFonts w:hint="eastAsia" w:ascii="宋体" w:hAnsi="宋体" w:eastAsia="宋体" w:cs="宋体"/>
                      <w:b w:val="0"/>
                      <w:bCs/>
                      <w:color w:val="auto"/>
                      <w:kern w:val="0"/>
                      <w:sz w:val="21"/>
                      <w:szCs w:val="21"/>
                      <w:lang w:val="en-US" w:eastAsia="zh-CN" w:bidi="ar"/>
                    </w:rPr>
                    <w:t>、工业企业选址应对符合国土空间规划和相关规划要求，建设项目严格执行声功能区环境准入要求，禁止在</w:t>
                  </w:r>
                  <w:r>
                    <w:rPr>
                      <w:rFonts w:hint="default" w:ascii="Times New Roman" w:hAnsi="Times New Roman" w:eastAsia="宋体" w:cs="Times New Roman"/>
                      <w:b w:val="0"/>
                      <w:bCs/>
                      <w:color w:val="auto"/>
                      <w:kern w:val="0"/>
                      <w:sz w:val="21"/>
                      <w:szCs w:val="21"/>
                      <w:lang w:val="en-US" w:eastAsia="zh-CN" w:bidi="ar"/>
                    </w:rPr>
                    <w:t>0</w:t>
                  </w:r>
                  <w:r>
                    <w:rPr>
                      <w:rFonts w:hint="eastAsia" w:ascii="宋体" w:hAnsi="宋体" w:eastAsia="宋体" w:cs="宋体"/>
                      <w:b w:val="0"/>
                      <w:bCs/>
                      <w:color w:val="auto"/>
                      <w:kern w:val="0"/>
                      <w:sz w:val="21"/>
                      <w:szCs w:val="21"/>
                      <w:lang w:val="en-US" w:eastAsia="zh-CN" w:bidi="ar"/>
                    </w:rPr>
                    <w:t>、</w:t>
                  </w:r>
                  <w:r>
                    <w:rPr>
                      <w:rFonts w:hint="default" w:ascii="Times New Roman" w:hAnsi="Times New Roman" w:eastAsia="宋体" w:cs="Times New Roman"/>
                      <w:b w:val="0"/>
                      <w:bCs/>
                      <w:color w:val="auto"/>
                      <w:kern w:val="0"/>
                      <w:sz w:val="21"/>
                      <w:szCs w:val="21"/>
                      <w:lang w:val="en-US" w:eastAsia="zh-CN" w:bidi="ar"/>
                    </w:rPr>
                    <w:t>1</w:t>
                  </w:r>
                  <w:r>
                    <w:rPr>
                      <w:rFonts w:hint="eastAsia" w:ascii="宋体" w:hAnsi="宋体" w:eastAsia="宋体" w:cs="宋体"/>
                      <w:b w:val="0"/>
                      <w:bCs/>
                      <w:color w:val="auto"/>
                      <w:kern w:val="0"/>
                      <w:sz w:val="21"/>
                      <w:szCs w:val="21"/>
                      <w:lang w:val="en-US" w:eastAsia="zh-CN" w:bidi="ar"/>
                    </w:rPr>
                    <w:t>类声环境功能区、严格限制在城市建成区内</w:t>
                  </w:r>
                  <w:r>
                    <w:rPr>
                      <w:rFonts w:hint="default" w:ascii="Times New Roman" w:hAnsi="Times New Roman" w:eastAsia="宋体" w:cs="Times New Roman"/>
                      <w:b w:val="0"/>
                      <w:bCs/>
                      <w:color w:val="auto"/>
                      <w:kern w:val="0"/>
                      <w:sz w:val="21"/>
                      <w:szCs w:val="21"/>
                      <w:lang w:val="en-US" w:eastAsia="zh-CN" w:bidi="ar"/>
                    </w:rPr>
                    <w:t>2</w:t>
                  </w:r>
                  <w:r>
                    <w:rPr>
                      <w:rFonts w:hint="eastAsia" w:ascii="宋体" w:hAnsi="宋体" w:eastAsia="宋体" w:cs="宋体"/>
                      <w:b w:val="0"/>
                      <w:bCs/>
                      <w:color w:val="auto"/>
                      <w:kern w:val="0"/>
                      <w:sz w:val="21"/>
                      <w:szCs w:val="21"/>
                      <w:lang w:val="en-US" w:eastAsia="zh-CN" w:bidi="ar"/>
                    </w:rPr>
                    <w:t>类声环境功能区（工业园区外）建设产生噪声污染的工业项目。严控噪声污染严重的工业企业向乡村居民区域转移。</w:t>
                  </w:r>
                </w:p>
              </w:tc>
              <w:tc>
                <w:tcPr>
                  <w:tcW w:w="2302"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本项目位于安阳市新型制造业产业园区，执行《声环境质量标准》</w:t>
                  </w:r>
                  <w:r>
                    <w:rPr>
                      <w:rFonts w:hint="default" w:ascii="Times New Roman" w:hAnsi="Times New Roman" w:eastAsia="宋体" w:cs="Times New Roman"/>
                      <w:b w:val="0"/>
                      <w:bCs/>
                      <w:color w:val="auto"/>
                      <w:kern w:val="0"/>
                      <w:sz w:val="21"/>
                      <w:szCs w:val="21"/>
                      <w:lang w:val="en-US" w:eastAsia="zh-CN" w:bidi="ar"/>
                    </w:rPr>
                    <w:t>(GB3096-2008)3</w:t>
                  </w:r>
                  <w:r>
                    <w:rPr>
                      <w:rFonts w:hint="eastAsia" w:ascii="宋体" w:hAnsi="宋体" w:eastAsia="宋体" w:cs="宋体"/>
                      <w:b w:val="0"/>
                      <w:bCs/>
                      <w:color w:val="auto"/>
                      <w:kern w:val="0"/>
                      <w:sz w:val="21"/>
                      <w:szCs w:val="21"/>
                      <w:lang w:val="en-US" w:eastAsia="zh-CN" w:bidi="ar"/>
                    </w:rPr>
                    <w:t>类标准。</w:t>
                  </w:r>
                </w:p>
              </w:tc>
              <w:tc>
                <w:tcPr>
                  <w:tcW w:w="879" w:type="dxa"/>
                  <w:tcBorders>
                    <w:top w:val="single" w:color="auto" w:sz="4" w:space="0"/>
                    <w:left w:val="nil"/>
                    <w:bottom w:val="single" w:color="auto" w:sz="4" w:space="0"/>
                    <w:right w:val="nil"/>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center"/>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相符</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0"/>
                      <w:szCs w:val="20"/>
                      <w:lang w:val="en-US" w:eastAsia="zh-CN"/>
                    </w:rPr>
                  </w:pPr>
                </w:p>
              </w:tc>
              <w:tc>
                <w:tcPr>
                  <w:tcW w:w="4198"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12</w:t>
                  </w:r>
                  <w:r>
                    <w:rPr>
                      <w:rFonts w:hint="eastAsia" w:ascii="宋体" w:hAnsi="宋体" w:eastAsia="宋体" w:cs="宋体"/>
                      <w:b w:val="0"/>
                      <w:bCs/>
                      <w:color w:val="auto"/>
                      <w:kern w:val="0"/>
                      <w:sz w:val="21"/>
                      <w:szCs w:val="21"/>
                      <w:lang w:val="en-US" w:eastAsia="zh-CN" w:bidi="ar"/>
                    </w:rPr>
                    <w:t>、禁止在饮用水水源一级保护区内新建、改建、扩建与供水设施和保护水源无关的建设项目，且不得新建排污口。禁止在饮用水水源二级保护区内新建、改建、扩建排放污染物的建设项目，且不得新建排污口。禁止在饮用水水源准保护区内新建、扩建对水体污染严重的建设项目，改建建设项目不得增加排污量。</w:t>
                  </w:r>
                </w:p>
              </w:tc>
              <w:tc>
                <w:tcPr>
                  <w:tcW w:w="2302"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本项目距离最近的</w:t>
                  </w:r>
                  <w:r>
                    <w:rPr>
                      <w:rFonts w:hint="eastAsia" w:eastAsia="宋体" w:cs="宋体"/>
                      <w:b w:val="0"/>
                      <w:bCs/>
                      <w:color w:val="auto"/>
                      <w:kern w:val="0"/>
                      <w:sz w:val="21"/>
                      <w:szCs w:val="21"/>
                      <w:lang w:val="en-US" w:eastAsia="zh-CN" w:bidi="ar"/>
                    </w:rPr>
                    <w:t>乡镇饮用水</w:t>
                  </w:r>
                  <w:r>
                    <w:rPr>
                      <w:rFonts w:hint="eastAsia" w:ascii="宋体" w:hAnsi="宋体" w:eastAsia="宋体" w:cs="宋体"/>
                      <w:b w:val="0"/>
                      <w:bCs/>
                      <w:color w:val="auto"/>
                      <w:kern w:val="0"/>
                      <w:sz w:val="21"/>
                      <w:szCs w:val="21"/>
                      <w:lang w:val="en-US" w:eastAsia="zh-CN" w:bidi="ar"/>
                    </w:rPr>
                    <w:t>水源保护区为</w:t>
                  </w:r>
                  <w:r>
                    <w:rPr>
                      <w:rFonts w:hint="eastAsia" w:eastAsia="宋体" w:cs="宋体"/>
                      <w:b w:val="0"/>
                      <w:bCs/>
                      <w:color w:val="auto"/>
                      <w:kern w:val="0"/>
                      <w:sz w:val="21"/>
                      <w:szCs w:val="21"/>
                      <w:lang w:val="en-US" w:eastAsia="zh-CN" w:bidi="ar"/>
                    </w:rPr>
                    <w:t>西南方</w:t>
                  </w:r>
                  <w:r>
                    <w:rPr>
                      <w:rFonts w:hint="default" w:ascii="Times New Roman" w:hAnsi="Times New Roman" w:eastAsia="宋体" w:cs="Times New Roman"/>
                      <w:b w:val="0"/>
                      <w:bCs/>
                      <w:color w:val="auto"/>
                      <w:kern w:val="0"/>
                      <w:sz w:val="21"/>
                      <w:szCs w:val="21"/>
                      <w:lang w:val="en-US" w:eastAsia="zh-CN" w:bidi="ar"/>
                    </w:rPr>
                    <w:t>向3570m</w:t>
                  </w:r>
                  <w:r>
                    <w:rPr>
                      <w:rFonts w:hint="eastAsia" w:eastAsia="宋体" w:cs="宋体"/>
                      <w:b w:val="0"/>
                      <w:bCs/>
                      <w:color w:val="auto"/>
                      <w:kern w:val="0"/>
                      <w:sz w:val="21"/>
                      <w:szCs w:val="21"/>
                      <w:lang w:val="en-US" w:eastAsia="zh-CN" w:bidi="ar"/>
                    </w:rPr>
                    <w:t>的宜沟镇饮用水水源保护区</w:t>
                  </w:r>
                  <w:r>
                    <w:rPr>
                      <w:rFonts w:hint="eastAsia" w:ascii="宋体" w:hAnsi="宋体" w:eastAsia="宋体" w:cs="宋体"/>
                      <w:b w:val="0"/>
                      <w:bCs/>
                      <w:color w:val="auto"/>
                      <w:kern w:val="0"/>
                      <w:sz w:val="21"/>
                      <w:szCs w:val="21"/>
                      <w:lang w:val="en-US" w:eastAsia="zh-CN" w:bidi="ar"/>
                    </w:rPr>
                    <w:t>，不在其保护区范围内；本项目距离南水北调中线工程干渠二级保护区约为</w:t>
                  </w:r>
                  <w:r>
                    <w:rPr>
                      <w:rFonts w:hint="eastAsia" w:ascii="Times New Roman" w:hAnsi="Times New Roman" w:cs="Times New Roman"/>
                      <w:b w:val="0"/>
                      <w:bCs/>
                      <w:color w:val="auto"/>
                      <w:kern w:val="0"/>
                      <w:sz w:val="21"/>
                      <w:szCs w:val="21"/>
                      <w:lang w:val="en-US" w:eastAsia="zh-CN" w:bidi="ar"/>
                    </w:rPr>
                    <w:t>850</w:t>
                  </w:r>
                  <w:r>
                    <w:rPr>
                      <w:rFonts w:hint="default" w:ascii="Times New Roman" w:hAnsi="Times New Roman" w:eastAsia="宋体" w:cs="Times New Roman"/>
                      <w:b w:val="0"/>
                      <w:bCs/>
                      <w:color w:val="auto"/>
                      <w:kern w:val="0"/>
                      <w:sz w:val="21"/>
                      <w:szCs w:val="21"/>
                      <w:lang w:val="en-US" w:eastAsia="zh-CN" w:bidi="ar"/>
                    </w:rPr>
                    <w:t>m</w:t>
                  </w:r>
                  <w:r>
                    <w:rPr>
                      <w:rFonts w:hint="eastAsia" w:ascii="宋体" w:hAnsi="宋体" w:eastAsia="宋体" w:cs="宋体"/>
                      <w:b w:val="0"/>
                      <w:bCs/>
                      <w:color w:val="auto"/>
                      <w:kern w:val="0"/>
                      <w:sz w:val="21"/>
                      <w:szCs w:val="21"/>
                      <w:lang w:val="en-US" w:eastAsia="zh-CN" w:bidi="ar"/>
                    </w:rPr>
                    <w:t>，不在其保护区范围内。</w:t>
                  </w:r>
                </w:p>
              </w:tc>
              <w:tc>
                <w:tcPr>
                  <w:tcW w:w="879" w:type="dxa"/>
                  <w:tcBorders>
                    <w:top w:val="single" w:color="auto" w:sz="4" w:space="0"/>
                    <w:left w:val="nil"/>
                    <w:bottom w:val="single" w:color="auto" w:sz="4" w:space="0"/>
                    <w:right w:val="nil"/>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center"/>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相符</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0"/>
                      <w:szCs w:val="20"/>
                      <w:lang w:val="en-US" w:eastAsia="zh-CN"/>
                    </w:rPr>
                  </w:pPr>
                </w:p>
              </w:tc>
              <w:tc>
                <w:tcPr>
                  <w:tcW w:w="4198"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13</w:t>
                  </w:r>
                  <w:r>
                    <w:rPr>
                      <w:rFonts w:hint="eastAsia" w:ascii="Times New Roman" w:hAnsi="Times New Roman" w:eastAsia="宋体" w:cs="Times New Roman"/>
                      <w:b w:val="0"/>
                      <w:bCs/>
                      <w:color w:val="auto"/>
                      <w:kern w:val="0"/>
                      <w:sz w:val="21"/>
                      <w:szCs w:val="21"/>
                      <w:lang w:val="en-US" w:eastAsia="zh-CN" w:bidi="ar"/>
                    </w:rPr>
                    <w:t>、林州万宝山省级自然保护区禁止下列行为：</w:t>
                  </w:r>
                  <w:r>
                    <w:rPr>
                      <w:rFonts w:hint="eastAsia" w:ascii="Times New Roman" w:hAnsi="Times New Roman" w:cs="Times New Roman"/>
                      <w:b w:val="0"/>
                      <w:bCs/>
                      <w:color w:val="auto"/>
                      <w:kern w:val="0"/>
                      <w:sz w:val="21"/>
                      <w:szCs w:val="21"/>
                      <w:lang w:val="en-US" w:eastAsia="zh-CN"/>
                    </w:rPr>
                    <w:t>略。</w:t>
                  </w:r>
                </w:p>
              </w:tc>
              <w:tc>
                <w:tcPr>
                  <w:tcW w:w="2302"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本项目不涉及</w:t>
                  </w:r>
                  <w:r>
                    <w:rPr>
                      <w:rFonts w:hint="eastAsia" w:eastAsia="宋体" w:cs="宋体"/>
                      <w:b w:val="0"/>
                      <w:bCs/>
                      <w:color w:val="auto"/>
                      <w:kern w:val="0"/>
                      <w:sz w:val="21"/>
                      <w:szCs w:val="21"/>
                      <w:lang w:val="en-US" w:eastAsia="zh-CN" w:bidi="ar"/>
                    </w:rPr>
                    <w:t>。</w:t>
                  </w:r>
                </w:p>
              </w:tc>
              <w:tc>
                <w:tcPr>
                  <w:tcW w:w="879" w:type="dxa"/>
                  <w:tcBorders>
                    <w:top w:val="single" w:color="auto" w:sz="4" w:space="0"/>
                    <w:left w:val="nil"/>
                    <w:bottom w:val="single" w:color="auto" w:sz="4" w:space="0"/>
                    <w:right w:val="nil"/>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center"/>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不涉及</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739"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0"/>
                      <w:szCs w:val="20"/>
                      <w:lang w:val="en-US" w:eastAsia="zh-CN"/>
                    </w:rPr>
                  </w:pPr>
                </w:p>
              </w:tc>
              <w:tc>
                <w:tcPr>
                  <w:tcW w:w="4198"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bidi="ar"/>
                    </w:rPr>
                  </w:pPr>
                  <w:r>
                    <w:rPr>
                      <w:rFonts w:hint="eastAsia" w:ascii="Times New Roman" w:hAnsi="Times New Roman" w:eastAsia="宋体" w:cs="Times New Roman"/>
                      <w:b w:val="0"/>
                      <w:bCs/>
                      <w:color w:val="auto"/>
                      <w:kern w:val="0"/>
                      <w:sz w:val="21"/>
                      <w:szCs w:val="21"/>
                      <w:lang w:val="en-US" w:eastAsia="zh-CN" w:bidi="ar"/>
                    </w:rPr>
                    <w:t>14、林虑山风景名胜区内禁止以下行为：略。</w:t>
                  </w:r>
                </w:p>
              </w:tc>
              <w:tc>
                <w:tcPr>
                  <w:tcW w:w="2302"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both"/>
                    <w:rPr>
                      <w:rFonts w:hint="eastAsia" w:ascii="宋体" w:hAnsi="宋体" w:eastAsia="宋体" w:cs="宋体"/>
                      <w:b w:val="0"/>
                      <w:bCs/>
                      <w:color w:val="auto"/>
                      <w:kern w:val="0"/>
                      <w:sz w:val="21"/>
                      <w:szCs w:val="21"/>
                      <w:lang w:val="en-US" w:eastAsia="zh-CN" w:bidi="ar"/>
                    </w:rPr>
                  </w:pPr>
                  <w:r>
                    <w:rPr>
                      <w:rFonts w:hint="eastAsia" w:eastAsia="宋体" w:cs="宋体"/>
                      <w:b w:val="0"/>
                      <w:bCs/>
                      <w:color w:val="auto"/>
                      <w:kern w:val="0"/>
                      <w:sz w:val="21"/>
                      <w:szCs w:val="21"/>
                      <w:lang w:val="en-US" w:eastAsia="zh-CN" w:bidi="ar"/>
                    </w:rPr>
                    <w:t>本项目不涉及。</w:t>
                  </w:r>
                </w:p>
              </w:tc>
              <w:tc>
                <w:tcPr>
                  <w:tcW w:w="879" w:type="dxa"/>
                  <w:tcBorders>
                    <w:top w:val="single" w:color="auto" w:sz="4" w:space="0"/>
                    <w:left w:val="nil"/>
                    <w:bottom w:val="single" w:color="auto" w:sz="4" w:space="0"/>
                    <w:right w:val="nil"/>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center"/>
                    <w:rPr>
                      <w:rFonts w:hint="eastAsia" w:ascii="宋体" w:hAnsi="宋体" w:eastAsia="宋体" w:cs="宋体"/>
                      <w:b w:val="0"/>
                      <w:bCs/>
                      <w:color w:val="auto"/>
                      <w:kern w:val="0"/>
                      <w:sz w:val="21"/>
                      <w:szCs w:val="21"/>
                      <w:lang w:val="en-US" w:eastAsia="zh-CN" w:bidi="ar"/>
                    </w:rPr>
                  </w:pPr>
                  <w:r>
                    <w:rPr>
                      <w:rFonts w:hint="eastAsia" w:eastAsia="宋体" w:cs="宋体"/>
                      <w:b w:val="0"/>
                      <w:bCs/>
                      <w:color w:val="auto"/>
                      <w:kern w:val="0"/>
                      <w:sz w:val="21"/>
                      <w:szCs w:val="21"/>
                      <w:lang w:val="en-US" w:eastAsia="zh-CN" w:bidi="ar"/>
                    </w:rPr>
                    <w:t>不涉及</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0"/>
                      <w:szCs w:val="20"/>
                      <w:lang w:val="en-US" w:eastAsia="zh-CN"/>
                    </w:rPr>
                  </w:pPr>
                </w:p>
              </w:tc>
              <w:tc>
                <w:tcPr>
                  <w:tcW w:w="4198"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bidi="ar"/>
                    </w:rPr>
                  </w:pPr>
                  <w:r>
                    <w:rPr>
                      <w:rFonts w:hint="eastAsia" w:ascii="Times New Roman" w:hAnsi="Times New Roman" w:eastAsia="宋体" w:cs="Times New Roman"/>
                      <w:b w:val="0"/>
                      <w:bCs/>
                      <w:color w:val="auto"/>
                      <w:kern w:val="0"/>
                      <w:sz w:val="21"/>
                      <w:szCs w:val="21"/>
                      <w:lang w:val="en-US" w:eastAsia="zh-CN" w:bidi="ar"/>
                    </w:rPr>
                    <w:t>15、淇河国家鲫鱼种质资源保护区禁止下列行为：略。</w:t>
                  </w:r>
                </w:p>
              </w:tc>
              <w:tc>
                <w:tcPr>
                  <w:tcW w:w="2302"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both"/>
                    <w:rPr>
                      <w:rFonts w:hint="eastAsia" w:ascii="宋体" w:hAnsi="宋体" w:eastAsia="宋体" w:cs="宋体"/>
                      <w:b w:val="0"/>
                      <w:bCs/>
                      <w:color w:val="auto"/>
                      <w:kern w:val="0"/>
                      <w:sz w:val="21"/>
                      <w:szCs w:val="21"/>
                      <w:lang w:val="en-US" w:eastAsia="zh-CN" w:bidi="ar"/>
                    </w:rPr>
                  </w:pPr>
                  <w:r>
                    <w:rPr>
                      <w:rFonts w:hint="eastAsia" w:ascii="宋体" w:hAnsi="宋体" w:eastAsia="宋体" w:cs="宋体"/>
                      <w:b w:val="0"/>
                      <w:bCs/>
                      <w:color w:val="auto"/>
                      <w:kern w:val="0"/>
                      <w:sz w:val="21"/>
                      <w:szCs w:val="21"/>
                      <w:lang w:val="en-US" w:eastAsia="zh-CN" w:bidi="ar"/>
                    </w:rPr>
                    <w:t>本项目不涉及。</w:t>
                  </w:r>
                </w:p>
              </w:tc>
              <w:tc>
                <w:tcPr>
                  <w:tcW w:w="879" w:type="dxa"/>
                  <w:tcBorders>
                    <w:top w:val="single" w:color="auto" w:sz="4" w:space="0"/>
                    <w:left w:val="nil"/>
                    <w:bottom w:val="single" w:color="auto" w:sz="4" w:space="0"/>
                    <w:right w:val="nil"/>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center"/>
                    <w:rPr>
                      <w:rFonts w:hint="eastAsia" w:ascii="宋体" w:hAnsi="宋体" w:eastAsia="宋体" w:cs="宋体"/>
                      <w:b w:val="0"/>
                      <w:bCs/>
                      <w:color w:val="auto"/>
                      <w:kern w:val="0"/>
                      <w:sz w:val="21"/>
                      <w:szCs w:val="21"/>
                      <w:lang w:val="en-US" w:eastAsia="zh-CN" w:bidi="ar"/>
                    </w:rPr>
                  </w:pPr>
                  <w:r>
                    <w:rPr>
                      <w:rFonts w:hint="eastAsia" w:ascii="宋体" w:hAnsi="宋体" w:eastAsia="宋体" w:cs="宋体"/>
                      <w:b w:val="0"/>
                      <w:bCs/>
                      <w:color w:val="auto"/>
                      <w:kern w:val="0"/>
                      <w:sz w:val="21"/>
                      <w:szCs w:val="21"/>
                      <w:lang w:val="en-US" w:eastAsia="zh-CN" w:bidi="ar"/>
                    </w:rPr>
                    <w:t>不涉及</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0"/>
                      <w:szCs w:val="20"/>
                      <w:lang w:val="en-US" w:eastAsia="zh-CN"/>
                    </w:rPr>
                  </w:pPr>
                </w:p>
              </w:tc>
              <w:tc>
                <w:tcPr>
                  <w:tcW w:w="4198"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eastAsia" w:ascii="Times New Roman" w:hAnsi="Times New Roman" w:eastAsia="宋体" w:cs="Times New Roman"/>
                      <w:b w:val="0"/>
                      <w:bCs/>
                      <w:color w:val="auto"/>
                      <w:kern w:val="0"/>
                      <w:sz w:val="21"/>
                      <w:szCs w:val="21"/>
                      <w:lang w:val="en-US" w:eastAsia="zh-CN" w:bidi="ar"/>
                    </w:rPr>
                  </w:pPr>
                  <w:r>
                    <w:rPr>
                      <w:rFonts w:hint="eastAsia" w:ascii="Times New Roman" w:hAnsi="Times New Roman" w:eastAsia="宋体" w:cs="Times New Roman"/>
                      <w:b w:val="0"/>
                      <w:bCs/>
                      <w:color w:val="auto"/>
                      <w:kern w:val="0"/>
                      <w:sz w:val="21"/>
                      <w:szCs w:val="21"/>
                      <w:lang w:val="en-US" w:eastAsia="zh-CN" w:bidi="ar"/>
                    </w:rPr>
                    <w:t>16、淇淅河湿地公园核心区内禁止下列行为：略。</w:t>
                  </w:r>
                </w:p>
              </w:tc>
              <w:tc>
                <w:tcPr>
                  <w:tcW w:w="2302"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both"/>
                    <w:rPr>
                      <w:rFonts w:hint="eastAsia" w:ascii="宋体" w:hAnsi="宋体" w:eastAsia="宋体" w:cs="宋体"/>
                      <w:b w:val="0"/>
                      <w:bCs/>
                      <w:color w:val="auto"/>
                      <w:kern w:val="0"/>
                      <w:sz w:val="21"/>
                      <w:szCs w:val="21"/>
                      <w:lang w:val="en-US" w:eastAsia="zh-CN" w:bidi="ar"/>
                    </w:rPr>
                  </w:pPr>
                  <w:r>
                    <w:rPr>
                      <w:rFonts w:hint="eastAsia" w:ascii="宋体" w:hAnsi="宋体" w:eastAsia="宋体" w:cs="宋体"/>
                      <w:b w:val="0"/>
                      <w:bCs/>
                      <w:color w:val="auto"/>
                      <w:kern w:val="0"/>
                      <w:sz w:val="21"/>
                      <w:szCs w:val="21"/>
                      <w:lang w:val="en-US" w:eastAsia="zh-CN" w:bidi="ar"/>
                    </w:rPr>
                    <w:t>本项目不涉及。</w:t>
                  </w:r>
                </w:p>
              </w:tc>
              <w:tc>
                <w:tcPr>
                  <w:tcW w:w="879" w:type="dxa"/>
                  <w:tcBorders>
                    <w:top w:val="single" w:color="auto" w:sz="4" w:space="0"/>
                    <w:left w:val="nil"/>
                    <w:bottom w:val="single" w:color="auto" w:sz="4" w:space="0"/>
                    <w:right w:val="nil"/>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center"/>
                    <w:rPr>
                      <w:rFonts w:hint="eastAsia" w:ascii="宋体" w:hAnsi="宋体" w:eastAsia="宋体" w:cs="宋体"/>
                      <w:b w:val="0"/>
                      <w:bCs/>
                      <w:color w:val="auto"/>
                      <w:kern w:val="0"/>
                      <w:sz w:val="21"/>
                      <w:szCs w:val="21"/>
                      <w:lang w:val="en-US" w:eastAsia="zh-CN" w:bidi="ar"/>
                    </w:rPr>
                  </w:pPr>
                  <w:r>
                    <w:rPr>
                      <w:rFonts w:hint="eastAsia" w:ascii="宋体" w:hAnsi="宋体" w:eastAsia="宋体" w:cs="宋体"/>
                      <w:b w:val="0"/>
                      <w:bCs/>
                      <w:color w:val="auto"/>
                      <w:kern w:val="0"/>
                      <w:sz w:val="21"/>
                      <w:szCs w:val="21"/>
                      <w:lang w:val="en-US" w:eastAsia="zh-CN" w:bidi="ar"/>
                    </w:rPr>
                    <w:t>不涉及</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0"/>
                      <w:szCs w:val="20"/>
                      <w:lang w:val="en-US" w:eastAsia="zh-CN"/>
                    </w:rPr>
                  </w:pPr>
                </w:p>
              </w:tc>
              <w:tc>
                <w:tcPr>
                  <w:tcW w:w="4198"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eastAsia" w:ascii="Times New Roman" w:hAnsi="Times New Roman" w:eastAsia="宋体" w:cs="Times New Roman"/>
                      <w:b w:val="0"/>
                      <w:bCs/>
                      <w:color w:val="auto"/>
                      <w:kern w:val="0"/>
                      <w:sz w:val="21"/>
                      <w:szCs w:val="21"/>
                      <w:lang w:val="en-US" w:eastAsia="zh-CN" w:bidi="ar"/>
                    </w:rPr>
                  </w:pPr>
                  <w:r>
                    <w:rPr>
                      <w:rFonts w:hint="eastAsia" w:ascii="Times New Roman" w:hAnsi="Times New Roman" w:eastAsia="宋体" w:cs="Times New Roman"/>
                      <w:b w:val="0"/>
                      <w:bCs/>
                      <w:color w:val="auto"/>
                      <w:kern w:val="0"/>
                      <w:sz w:val="21"/>
                      <w:szCs w:val="21"/>
                      <w:lang w:val="en-US" w:eastAsia="zh-CN" w:bidi="ar"/>
                    </w:rPr>
                    <w:t>17、汤河国家湿地公园规划区内禁止下列行为：</w:t>
                  </w:r>
                </w:p>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eastAsia" w:ascii="Times New Roman" w:hAnsi="Times New Roman" w:eastAsia="宋体" w:cs="Times New Roman"/>
                      <w:b w:val="0"/>
                      <w:bCs/>
                      <w:color w:val="auto"/>
                      <w:kern w:val="0"/>
                      <w:sz w:val="21"/>
                      <w:szCs w:val="21"/>
                      <w:lang w:val="en-US" w:eastAsia="zh-CN" w:bidi="ar"/>
                    </w:rPr>
                  </w:pPr>
                  <w:r>
                    <w:rPr>
                      <w:rFonts w:hint="eastAsia" w:ascii="Times New Roman" w:hAnsi="Times New Roman" w:eastAsia="宋体" w:cs="Times New Roman"/>
                      <w:b w:val="0"/>
                      <w:bCs/>
                      <w:color w:val="auto"/>
                      <w:kern w:val="0"/>
                      <w:sz w:val="21"/>
                      <w:szCs w:val="21"/>
                      <w:lang w:val="en-US" w:eastAsia="zh-CN" w:bidi="ar"/>
                    </w:rPr>
                    <w:t>（一）建设与湿地公园无关的项目；</w:t>
                  </w:r>
                </w:p>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eastAsia" w:ascii="Times New Roman" w:hAnsi="Times New Roman" w:eastAsia="宋体" w:cs="Times New Roman"/>
                      <w:b w:val="0"/>
                      <w:bCs/>
                      <w:color w:val="auto"/>
                      <w:kern w:val="0"/>
                      <w:sz w:val="21"/>
                      <w:szCs w:val="21"/>
                      <w:lang w:val="en-US" w:eastAsia="zh-CN" w:bidi="ar"/>
                    </w:rPr>
                  </w:pPr>
                  <w:r>
                    <w:rPr>
                      <w:rFonts w:hint="eastAsia" w:ascii="Times New Roman" w:hAnsi="Times New Roman" w:eastAsia="宋体" w:cs="Times New Roman"/>
                      <w:b w:val="0"/>
                      <w:bCs/>
                      <w:color w:val="auto"/>
                      <w:kern w:val="0"/>
                      <w:sz w:val="21"/>
                      <w:szCs w:val="21"/>
                      <w:lang w:val="en-US" w:eastAsia="zh-CN" w:bidi="ar"/>
                    </w:rPr>
                    <w:t>（二）未经达标处理排放废水；倾倒垃圾、粪便及其他废弃物；堆放、存储固体废弃物和其他污染物；</w:t>
                  </w:r>
                </w:p>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eastAsia" w:ascii="Times New Roman" w:hAnsi="Times New Roman" w:eastAsia="宋体" w:cs="Times New Roman"/>
                      <w:b w:val="0"/>
                      <w:bCs/>
                      <w:color w:val="auto"/>
                      <w:kern w:val="0"/>
                      <w:sz w:val="21"/>
                      <w:szCs w:val="21"/>
                      <w:lang w:val="en-US" w:eastAsia="zh-CN" w:bidi="ar"/>
                    </w:rPr>
                  </w:pPr>
                  <w:r>
                    <w:rPr>
                      <w:rFonts w:hint="eastAsia" w:ascii="Times New Roman" w:hAnsi="Times New Roman" w:eastAsia="宋体" w:cs="Times New Roman"/>
                      <w:b w:val="0"/>
                      <w:bCs/>
                      <w:color w:val="auto"/>
                      <w:kern w:val="0"/>
                      <w:sz w:val="21"/>
                      <w:szCs w:val="21"/>
                      <w:lang w:val="en-US" w:eastAsia="zh-CN" w:bidi="ar"/>
                    </w:rPr>
                    <w:t>（三）使用不符合国家环保标准的高毒高残留农药；</w:t>
                  </w:r>
                </w:p>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eastAsia" w:ascii="Times New Roman" w:hAnsi="Times New Roman" w:eastAsia="宋体" w:cs="Times New Roman"/>
                      <w:b w:val="0"/>
                      <w:bCs/>
                      <w:color w:val="auto"/>
                      <w:kern w:val="0"/>
                      <w:sz w:val="21"/>
                      <w:szCs w:val="21"/>
                      <w:lang w:val="en-US" w:eastAsia="zh-CN" w:bidi="ar"/>
                    </w:rPr>
                  </w:pPr>
                  <w:r>
                    <w:rPr>
                      <w:rFonts w:hint="eastAsia" w:ascii="Times New Roman" w:hAnsi="Times New Roman" w:eastAsia="宋体" w:cs="Times New Roman"/>
                      <w:b w:val="0"/>
                      <w:bCs/>
                      <w:color w:val="auto"/>
                      <w:kern w:val="0"/>
                      <w:sz w:val="21"/>
                      <w:szCs w:val="21"/>
                      <w:lang w:val="en-US" w:eastAsia="zh-CN" w:bidi="ar"/>
                    </w:rPr>
                    <w:t>（四）在景物上涂写、刻画、张贴等；损坏游览、服务等公共施舍和其他设施；</w:t>
                  </w:r>
                </w:p>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eastAsia" w:ascii="Times New Roman" w:hAnsi="Times New Roman" w:eastAsia="宋体" w:cs="Times New Roman"/>
                      <w:b w:val="0"/>
                      <w:bCs/>
                      <w:color w:val="auto"/>
                      <w:kern w:val="0"/>
                      <w:sz w:val="21"/>
                      <w:szCs w:val="21"/>
                      <w:lang w:val="en-US" w:eastAsia="zh-CN" w:bidi="ar"/>
                    </w:rPr>
                  </w:pPr>
                  <w:r>
                    <w:rPr>
                      <w:rFonts w:hint="eastAsia" w:ascii="Times New Roman" w:hAnsi="Times New Roman" w:eastAsia="宋体" w:cs="Times New Roman"/>
                      <w:b w:val="0"/>
                      <w:bCs/>
                      <w:color w:val="auto"/>
                      <w:kern w:val="0"/>
                      <w:sz w:val="21"/>
                      <w:szCs w:val="21"/>
                      <w:lang w:val="en-US" w:eastAsia="zh-CN" w:bidi="ar"/>
                    </w:rPr>
                    <w:t>（五）洗涤污物、清洗机动车辆和船舶；</w:t>
                  </w:r>
                </w:p>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eastAsia" w:ascii="Times New Roman" w:hAnsi="Times New Roman" w:eastAsia="宋体" w:cs="Times New Roman"/>
                      <w:b w:val="0"/>
                      <w:bCs/>
                      <w:color w:val="auto"/>
                      <w:kern w:val="0"/>
                      <w:sz w:val="21"/>
                      <w:szCs w:val="21"/>
                      <w:lang w:val="en-US" w:eastAsia="zh-CN" w:bidi="ar"/>
                    </w:rPr>
                  </w:pPr>
                  <w:r>
                    <w:rPr>
                      <w:rFonts w:hint="eastAsia" w:ascii="Times New Roman" w:hAnsi="Times New Roman" w:eastAsia="宋体" w:cs="Times New Roman"/>
                      <w:b w:val="0"/>
                      <w:bCs/>
                      <w:color w:val="auto"/>
                      <w:kern w:val="0"/>
                      <w:sz w:val="21"/>
                      <w:szCs w:val="21"/>
                      <w:lang w:val="en-US" w:eastAsia="zh-CN" w:bidi="ar"/>
                    </w:rPr>
                    <w:t>（六）其他破坏湿地公园生态资源和人文历史风貌资源的行为。</w:t>
                  </w:r>
                </w:p>
              </w:tc>
              <w:tc>
                <w:tcPr>
                  <w:tcW w:w="2302"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both"/>
                    <w:rPr>
                      <w:rFonts w:hint="default" w:ascii="宋体" w:hAnsi="宋体" w:eastAsia="宋体" w:cs="宋体"/>
                      <w:b w:val="0"/>
                      <w:bCs/>
                      <w:color w:val="auto"/>
                      <w:kern w:val="0"/>
                      <w:sz w:val="21"/>
                      <w:szCs w:val="21"/>
                      <w:lang w:val="en-US" w:eastAsia="zh-CN" w:bidi="ar"/>
                    </w:rPr>
                  </w:pPr>
                  <w:r>
                    <w:rPr>
                      <w:rFonts w:hint="eastAsia" w:eastAsia="宋体" w:cs="宋体"/>
                      <w:b w:val="0"/>
                      <w:bCs/>
                      <w:color w:val="auto"/>
                      <w:kern w:val="0"/>
                      <w:sz w:val="21"/>
                      <w:szCs w:val="21"/>
                      <w:lang w:val="en-US" w:eastAsia="zh-CN" w:bidi="ar"/>
                    </w:rPr>
                    <w:t>本项目距离汤河国家湿地公</w:t>
                  </w:r>
                  <w:r>
                    <w:rPr>
                      <w:rFonts w:hint="default" w:ascii="Times New Roman" w:hAnsi="Times New Roman" w:eastAsia="宋体" w:cs="Times New Roman"/>
                      <w:b w:val="0"/>
                      <w:bCs/>
                      <w:color w:val="auto"/>
                      <w:kern w:val="0"/>
                      <w:sz w:val="21"/>
                      <w:szCs w:val="21"/>
                      <w:lang w:val="en-US" w:eastAsia="zh-CN" w:bidi="ar"/>
                    </w:rPr>
                    <w:t>园6700m</w:t>
                  </w:r>
                  <w:r>
                    <w:rPr>
                      <w:rFonts w:hint="eastAsia" w:ascii="Times New Roman" w:hAnsi="Times New Roman" w:eastAsia="宋体" w:cs="Times New Roman"/>
                      <w:b w:val="0"/>
                      <w:bCs/>
                      <w:color w:val="auto"/>
                      <w:kern w:val="0"/>
                      <w:sz w:val="21"/>
                      <w:szCs w:val="21"/>
                      <w:lang w:val="en-US" w:eastAsia="zh-CN" w:bidi="ar"/>
                    </w:rPr>
                    <w:t>，不在其规划区内。</w:t>
                  </w:r>
                </w:p>
              </w:tc>
              <w:tc>
                <w:tcPr>
                  <w:tcW w:w="879" w:type="dxa"/>
                  <w:tcBorders>
                    <w:top w:val="single" w:color="auto" w:sz="4" w:space="0"/>
                    <w:left w:val="nil"/>
                    <w:bottom w:val="single" w:color="auto" w:sz="4" w:space="0"/>
                    <w:right w:val="nil"/>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center"/>
                    <w:rPr>
                      <w:rFonts w:hint="eastAsia" w:ascii="宋体" w:hAnsi="宋体" w:eastAsia="宋体" w:cs="宋体"/>
                      <w:b w:val="0"/>
                      <w:bCs/>
                      <w:color w:val="auto"/>
                      <w:kern w:val="0"/>
                      <w:sz w:val="21"/>
                      <w:szCs w:val="21"/>
                      <w:lang w:val="en-US" w:eastAsia="zh-CN" w:bidi="ar"/>
                    </w:rPr>
                  </w:pPr>
                  <w:r>
                    <w:rPr>
                      <w:rFonts w:hint="eastAsia" w:eastAsia="宋体" w:cs="宋体"/>
                      <w:b w:val="0"/>
                      <w:bCs/>
                      <w:color w:val="auto"/>
                      <w:kern w:val="0"/>
                      <w:sz w:val="21"/>
                      <w:szCs w:val="21"/>
                      <w:lang w:val="en-US" w:eastAsia="zh-CN" w:bidi="ar"/>
                    </w:rPr>
                    <w:t>符合</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0"/>
                      <w:szCs w:val="20"/>
                      <w:lang w:val="en-US" w:eastAsia="zh-CN"/>
                    </w:rPr>
                  </w:pPr>
                </w:p>
              </w:tc>
              <w:tc>
                <w:tcPr>
                  <w:tcW w:w="4198"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eastAsia" w:ascii="Times New Roman" w:hAnsi="Times New Roman" w:eastAsia="宋体" w:cs="Times New Roman"/>
                      <w:b w:val="0"/>
                      <w:bCs/>
                      <w:color w:val="auto"/>
                      <w:kern w:val="0"/>
                      <w:sz w:val="21"/>
                      <w:szCs w:val="21"/>
                      <w:lang w:val="en-US" w:eastAsia="zh-CN" w:bidi="ar"/>
                    </w:rPr>
                  </w:pPr>
                  <w:r>
                    <w:rPr>
                      <w:rFonts w:hint="eastAsia" w:ascii="Times New Roman" w:hAnsi="Times New Roman" w:eastAsia="宋体" w:cs="Times New Roman"/>
                      <w:b w:val="0"/>
                      <w:bCs/>
                      <w:color w:val="auto"/>
                      <w:kern w:val="0"/>
                      <w:sz w:val="21"/>
                      <w:szCs w:val="21"/>
                      <w:lang w:val="en-US" w:eastAsia="zh-CN" w:bidi="ar"/>
                    </w:rPr>
                    <w:t>18、漳河峡谷国家湿地公园核心区、一级保护区内禁止下列行为：略。</w:t>
                  </w:r>
                </w:p>
              </w:tc>
              <w:tc>
                <w:tcPr>
                  <w:tcW w:w="2302"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both"/>
                    <w:rPr>
                      <w:rFonts w:hint="eastAsia" w:ascii="宋体" w:hAnsi="宋体" w:eastAsia="宋体" w:cs="宋体"/>
                      <w:b w:val="0"/>
                      <w:bCs/>
                      <w:color w:val="auto"/>
                      <w:kern w:val="0"/>
                      <w:sz w:val="21"/>
                      <w:szCs w:val="21"/>
                      <w:lang w:val="en-US" w:eastAsia="zh-CN" w:bidi="ar"/>
                    </w:rPr>
                  </w:pPr>
                  <w:r>
                    <w:rPr>
                      <w:rFonts w:hint="eastAsia" w:eastAsia="宋体" w:cs="宋体"/>
                      <w:b w:val="0"/>
                      <w:bCs/>
                      <w:color w:val="auto"/>
                      <w:kern w:val="0"/>
                      <w:sz w:val="21"/>
                      <w:szCs w:val="21"/>
                      <w:lang w:val="en-US" w:eastAsia="zh-CN" w:bidi="ar"/>
                    </w:rPr>
                    <w:t>本项目不涉及。</w:t>
                  </w:r>
                </w:p>
              </w:tc>
              <w:tc>
                <w:tcPr>
                  <w:tcW w:w="879" w:type="dxa"/>
                  <w:tcBorders>
                    <w:top w:val="single" w:color="auto" w:sz="4" w:space="0"/>
                    <w:left w:val="nil"/>
                    <w:bottom w:val="single" w:color="auto" w:sz="4" w:space="0"/>
                    <w:right w:val="nil"/>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center"/>
                    <w:rPr>
                      <w:rFonts w:hint="eastAsia" w:ascii="宋体" w:hAnsi="宋体" w:eastAsia="宋体" w:cs="宋体"/>
                      <w:b w:val="0"/>
                      <w:bCs/>
                      <w:color w:val="auto"/>
                      <w:kern w:val="0"/>
                      <w:sz w:val="21"/>
                      <w:szCs w:val="21"/>
                      <w:lang w:val="en-US" w:eastAsia="zh-CN" w:bidi="ar"/>
                    </w:rPr>
                  </w:pPr>
                  <w:r>
                    <w:rPr>
                      <w:rFonts w:hint="eastAsia" w:eastAsia="宋体" w:cs="宋体"/>
                      <w:b w:val="0"/>
                      <w:bCs/>
                      <w:color w:val="auto"/>
                      <w:kern w:val="0"/>
                      <w:sz w:val="21"/>
                      <w:szCs w:val="21"/>
                      <w:lang w:val="en-US" w:eastAsia="zh-CN" w:bidi="ar"/>
                    </w:rPr>
                    <w:t>不涉及</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0"/>
                      <w:szCs w:val="20"/>
                      <w:lang w:val="en-US" w:eastAsia="zh-CN"/>
                    </w:rPr>
                  </w:pPr>
                </w:p>
              </w:tc>
              <w:tc>
                <w:tcPr>
                  <w:tcW w:w="4198"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19</w:t>
                  </w:r>
                  <w:r>
                    <w:rPr>
                      <w:rFonts w:hint="eastAsia" w:ascii="宋体" w:hAnsi="宋体" w:eastAsia="宋体" w:cs="宋体"/>
                      <w:b w:val="0"/>
                      <w:bCs/>
                      <w:color w:val="auto"/>
                      <w:kern w:val="0"/>
                      <w:sz w:val="21"/>
                      <w:szCs w:val="21"/>
                      <w:lang w:val="en-US" w:eastAsia="zh-CN" w:bidi="ar"/>
                    </w:rPr>
                    <w:t>、禁燃区内，禁止销售和燃用国家规定的高污染燃料；禁止新建、扩建燃用高污染燃料的设施，已建成的，应当在市、县（市）人民政府规定的期限内改用天然气、液化石油气、电等清洁能源。</w:t>
                  </w:r>
                </w:p>
              </w:tc>
              <w:tc>
                <w:tcPr>
                  <w:tcW w:w="2302"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本项目不涉及。</w:t>
                  </w:r>
                </w:p>
              </w:tc>
              <w:tc>
                <w:tcPr>
                  <w:tcW w:w="879" w:type="dxa"/>
                  <w:tcBorders>
                    <w:top w:val="single" w:color="auto" w:sz="4" w:space="0"/>
                    <w:left w:val="nil"/>
                    <w:bottom w:val="single" w:color="auto" w:sz="4" w:space="0"/>
                    <w:right w:val="nil"/>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center"/>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不涉及</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0"/>
                      <w:szCs w:val="20"/>
                      <w:lang w:val="en-US" w:eastAsia="zh-CN"/>
                    </w:rPr>
                  </w:pPr>
                </w:p>
              </w:tc>
              <w:tc>
                <w:tcPr>
                  <w:tcW w:w="4198"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20</w:t>
                  </w:r>
                  <w:r>
                    <w:rPr>
                      <w:rFonts w:hint="eastAsia" w:ascii="宋体" w:hAnsi="宋体" w:eastAsia="宋体" w:cs="宋体"/>
                      <w:b w:val="0"/>
                      <w:bCs/>
                      <w:color w:val="auto"/>
                      <w:kern w:val="0"/>
                      <w:sz w:val="21"/>
                      <w:szCs w:val="21"/>
                      <w:lang w:val="en-US" w:eastAsia="zh-CN" w:bidi="ar"/>
                    </w:rPr>
                    <w:t>、禁燃区内，禁止销售和燃用国家规定的高污染燃料；禁止新建、扩建燃用高污染燃料的设施，已建成的，应当在市、县（市）人民政府规定的期限内改用天然气、液化石油气、电等清洁能源。在高污染燃料禁燃区内，禁止新建燃烧煤炭、重油、渣油以及直接燃用生物质的锅炉，其他地区禁止新建每小时三十五蒸吨以下的燃烧煤炭、重油、渣油以及直接燃用生物质的锅炉。现有燃煤锅炉改为燃气锅炉的，应当同步实现低氮改造，氮氧化物排放应当达到本市控制要求。</w:t>
                  </w:r>
                </w:p>
              </w:tc>
              <w:tc>
                <w:tcPr>
                  <w:tcW w:w="2302"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rightChars="0" w:firstLine="0" w:firstLineChars="0"/>
                    <w:jc w:val="both"/>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本项目不涉及。</w:t>
                  </w:r>
                </w:p>
              </w:tc>
              <w:tc>
                <w:tcPr>
                  <w:tcW w:w="879" w:type="dxa"/>
                  <w:tcBorders>
                    <w:top w:val="single" w:color="auto" w:sz="4" w:space="0"/>
                    <w:left w:val="nil"/>
                    <w:bottom w:val="single" w:color="auto" w:sz="4" w:space="0"/>
                    <w:right w:val="nil"/>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rightChars="0" w:firstLine="0" w:firstLineChars="0"/>
                    <w:jc w:val="center"/>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不涉及</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0"/>
                      <w:szCs w:val="20"/>
                      <w:lang w:val="en-US" w:eastAsia="zh-CN"/>
                    </w:rPr>
                  </w:pPr>
                </w:p>
              </w:tc>
              <w:tc>
                <w:tcPr>
                  <w:tcW w:w="4198"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21</w:t>
                  </w:r>
                  <w:r>
                    <w:rPr>
                      <w:rFonts w:hint="eastAsia" w:ascii="宋体" w:hAnsi="宋体" w:eastAsia="宋体" w:cs="宋体"/>
                      <w:b w:val="0"/>
                      <w:bCs/>
                      <w:color w:val="auto"/>
                      <w:kern w:val="0"/>
                      <w:sz w:val="21"/>
                      <w:szCs w:val="21"/>
                      <w:lang w:val="en-US" w:eastAsia="zh-CN" w:bidi="ar"/>
                    </w:rPr>
                    <w:t>、禁止露天焚烧秸秆、落叶、树枝、枯草等产生烟尘污染的物质，以及非法焚烧电子废弃物、油毡、橡胶、塑料、皮革、沥青、垃圾及其他产生有毒有害烟尘、恶臭或者强烈异味气体的物质。禁止在城市建成区的道路及其两侧、广场、住宅小区等公共场所焚烧祭祀用品。任何单位和个人不得在人民政府禁止的区域内露天烧烤食品或者为露天烧烤食品提供场地。</w:t>
                  </w:r>
                </w:p>
              </w:tc>
              <w:tc>
                <w:tcPr>
                  <w:tcW w:w="2302"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rightChars="0" w:firstLine="0" w:firstLineChars="0"/>
                    <w:jc w:val="both"/>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本项目不涉及。</w:t>
                  </w:r>
                </w:p>
              </w:tc>
              <w:tc>
                <w:tcPr>
                  <w:tcW w:w="879" w:type="dxa"/>
                  <w:tcBorders>
                    <w:top w:val="single" w:color="auto" w:sz="4" w:space="0"/>
                    <w:left w:val="nil"/>
                    <w:bottom w:val="single" w:color="auto" w:sz="4" w:space="0"/>
                    <w:right w:val="nil"/>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rightChars="0" w:firstLine="0" w:firstLineChars="0"/>
                    <w:jc w:val="center"/>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不涉及</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0"/>
                      <w:szCs w:val="20"/>
                      <w:lang w:val="en-US" w:eastAsia="zh-CN"/>
                    </w:rPr>
                  </w:pPr>
                </w:p>
              </w:tc>
              <w:tc>
                <w:tcPr>
                  <w:tcW w:w="4198"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22</w:t>
                  </w:r>
                  <w:r>
                    <w:rPr>
                      <w:rFonts w:hint="eastAsia" w:ascii="宋体" w:hAnsi="宋体" w:eastAsia="宋体" w:cs="宋体"/>
                      <w:b w:val="0"/>
                      <w:bCs/>
                      <w:color w:val="auto"/>
                      <w:kern w:val="0"/>
                      <w:sz w:val="21"/>
                      <w:szCs w:val="21"/>
                      <w:lang w:val="en-US" w:eastAsia="zh-CN" w:bidi="ar"/>
                    </w:rPr>
                    <w:t>、禁止在下列场所新建、改建、扩建排放油烟的餐饮服务项目：</w:t>
                  </w:r>
                </w:p>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（一）居民住宅楼等非商用建筑；</w:t>
                  </w:r>
                </w:p>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（二）未设立配套规划专用烟道的商住综合楼；</w:t>
                  </w:r>
                </w:p>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（三）商住综合楼内与居住层相邻的楼层。</w:t>
                  </w:r>
                </w:p>
              </w:tc>
              <w:tc>
                <w:tcPr>
                  <w:tcW w:w="2302"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rightChars="0" w:firstLine="0" w:firstLineChars="0"/>
                    <w:jc w:val="both"/>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本项目不涉及。</w:t>
                  </w:r>
                </w:p>
              </w:tc>
              <w:tc>
                <w:tcPr>
                  <w:tcW w:w="879" w:type="dxa"/>
                  <w:tcBorders>
                    <w:top w:val="single" w:color="auto" w:sz="4" w:space="0"/>
                    <w:left w:val="nil"/>
                    <w:bottom w:val="single" w:color="auto" w:sz="4" w:space="0"/>
                    <w:right w:val="nil"/>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rightChars="0" w:firstLine="0" w:firstLineChars="0"/>
                    <w:jc w:val="center"/>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不涉及</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0"/>
                      <w:szCs w:val="20"/>
                      <w:lang w:val="en-US" w:eastAsia="zh-CN"/>
                    </w:rPr>
                  </w:pPr>
                </w:p>
              </w:tc>
              <w:tc>
                <w:tcPr>
                  <w:tcW w:w="4198"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23</w:t>
                  </w:r>
                  <w:r>
                    <w:rPr>
                      <w:rFonts w:hint="eastAsia" w:ascii="宋体" w:hAnsi="宋体" w:eastAsia="宋体" w:cs="宋体"/>
                      <w:b w:val="0"/>
                      <w:bCs/>
                      <w:color w:val="auto"/>
                      <w:kern w:val="0"/>
                      <w:sz w:val="21"/>
                      <w:szCs w:val="21"/>
                      <w:lang w:val="en-US" w:eastAsia="zh-CN" w:bidi="ar"/>
                    </w:rPr>
                    <w:t>、列入建设用地土壤污染风险管控和修复名录的地块，应依法采取风险管控措施，实施土壤修复或风险管控。未达到土壤污染风险评估报告确定的风险管控、修复目标的建设用地地块，禁止开工建设任何与风险管控、修复无关的项目。</w:t>
                  </w:r>
                </w:p>
              </w:tc>
              <w:tc>
                <w:tcPr>
                  <w:tcW w:w="2302"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本项目不属于列入建设用地土壤污染风险管控和修复名录的地块。</w:t>
                  </w:r>
                </w:p>
              </w:tc>
              <w:tc>
                <w:tcPr>
                  <w:tcW w:w="879" w:type="dxa"/>
                  <w:tcBorders>
                    <w:top w:val="single" w:color="auto" w:sz="4" w:space="0"/>
                    <w:left w:val="nil"/>
                    <w:bottom w:val="single" w:color="auto" w:sz="4" w:space="0"/>
                    <w:right w:val="nil"/>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center"/>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相符</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Merge w:val="restart"/>
                  <w:tcBorders>
                    <w:top w:val="nil"/>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center"/>
                    <w:rPr>
                      <w:rFonts w:hint="default" w:ascii="Times New Roman" w:hAnsi="Times New Roman" w:eastAsia="宋体" w:cs="Times New Roman"/>
                      <w:b w:val="0"/>
                      <w:bCs/>
                      <w:color w:val="auto"/>
                      <w:kern w:val="0"/>
                      <w:sz w:val="21"/>
                      <w:szCs w:val="21"/>
                      <w:highlight w:val="green"/>
                      <w:lang w:val="en-US" w:eastAsia="zh-CN"/>
                    </w:rPr>
                  </w:pPr>
                  <w:r>
                    <w:rPr>
                      <w:rFonts w:hint="eastAsia" w:ascii="宋体" w:hAnsi="宋体" w:eastAsia="宋体" w:cs="宋体"/>
                      <w:b w:val="0"/>
                      <w:bCs/>
                      <w:color w:val="auto"/>
                      <w:kern w:val="0"/>
                      <w:sz w:val="21"/>
                      <w:szCs w:val="21"/>
                      <w:lang w:val="en-US" w:eastAsia="zh-CN" w:bidi="ar"/>
                    </w:rPr>
                    <w:t>污染物排放管控</w:t>
                  </w:r>
                </w:p>
              </w:tc>
              <w:tc>
                <w:tcPr>
                  <w:tcW w:w="4198"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1</w:t>
                  </w:r>
                  <w:r>
                    <w:rPr>
                      <w:rFonts w:hint="eastAsia" w:ascii="宋体" w:hAnsi="宋体" w:eastAsia="宋体" w:cs="宋体"/>
                      <w:b w:val="0"/>
                      <w:bCs/>
                      <w:color w:val="auto"/>
                      <w:kern w:val="0"/>
                      <w:sz w:val="21"/>
                      <w:szCs w:val="21"/>
                      <w:lang w:val="en-US" w:eastAsia="zh-CN" w:bidi="ar"/>
                    </w:rPr>
                    <w:t>、新、改、扩建项目主要污染物排放要求满足当地总量减排和替代要求。</w:t>
                  </w:r>
                </w:p>
              </w:tc>
              <w:tc>
                <w:tcPr>
                  <w:tcW w:w="2302"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本项目产生颗粒物进行倍量替代，满足安阳市总量减排和替代要求。</w:t>
                  </w:r>
                </w:p>
              </w:tc>
              <w:tc>
                <w:tcPr>
                  <w:tcW w:w="879" w:type="dxa"/>
                  <w:tcBorders>
                    <w:top w:val="single" w:color="auto" w:sz="4" w:space="0"/>
                    <w:left w:val="nil"/>
                    <w:bottom w:val="single" w:color="auto" w:sz="4" w:space="0"/>
                    <w:right w:val="nil"/>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center"/>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相符</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0"/>
                      <w:szCs w:val="20"/>
                      <w:lang w:val="en-US" w:eastAsia="zh-CN"/>
                    </w:rPr>
                  </w:pPr>
                </w:p>
              </w:tc>
              <w:tc>
                <w:tcPr>
                  <w:tcW w:w="4198"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2</w:t>
                  </w:r>
                  <w:r>
                    <w:rPr>
                      <w:rFonts w:hint="eastAsia" w:ascii="宋体" w:hAnsi="宋体" w:eastAsia="宋体" w:cs="宋体"/>
                      <w:b w:val="0"/>
                      <w:bCs/>
                      <w:color w:val="auto"/>
                      <w:kern w:val="0"/>
                      <w:sz w:val="21"/>
                      <w:szCs w:val="21"/>
                      <w:lang w:val="en-US" w:eastAsia="zh-CN" w:bidi="ar"/>
                    </w:rPr>
                    <w:t>、到</w:t>
                  </w:r>
                  <w:r>
                    <w:rPr>
                      <w:rFonts w:hint="default" w:ascii="Times New Roman" w:hAnsi="Times New Roman" w:eastAsia="宋体" w:cs="Times New Roman"/>
                      <w:b w:val="0"/>
                      <w:bCs/>
                      <w:color w:val="auto"/>
                      <w:kern w:val="0"/>
                      <w:sz w:val="21"/>
                      <w:szCs w:val="21"/>
                      <w:lang w:val="en-US" w:eastAsia="zh-CN" w:bidi="ar"/>
                    </w:rPr>
                    <w:t>2025</w:t>
                  </w:r>
                  <w:r>
                    <w:rPr>
                      <w:rFonts w:hint="eastAsia" w:ascii="宋体" w:hAnsi="宋体" w:eastAsia="宋体" w:cs="宋体"/>
                      <w:b w:val="0"/>
                      <w:bCs/>
                      <w:color w:val="auto"/>
                      <w:kern w:val="0"/>
                      <w:sz w:val="21"/>
                      <w:szCs w:val="21"/>
                      <w:lang w:val="en-US" w:eastAsia="zh-CN" w:bidi="ar"/>
                    </w:rPr>
                    <w:t>年，</w:t>
                  </w:r>
                  <w:r>
                    <w:rPr>
                      <w:rFonts w:hint="default" w:ascii="Times New Roman" w:hAnsi="Times New Roman" w:eastAsia="宋体" w:cs="Times New Roman"/>
                      <w:b w:val="0"/>
                      <w:bCs/>
                      <w:color w:val="auto"/>
                      <w:kern w:val="0"/>
                      <w:sz w:val="21"/>
                      <w:szCs w:val="21"/>
                      <w:lang w:val="en-US" w:eastAsia="zh-CN" w:bidi="ar"/>
                    </w:rPr>
                    <w:t>PM2.5</w:t>
                  </w:r>
                  <w:r>
                    <w:rPr>
                      <w:rFonts w:hint="eastAsia" w:ascii="宋体" w:hAnsi="宋体" w:eastAsia="宋体" w:cs="宋体"/>
                      <w:b w:val="0"/>
                      <w:bCs/>
                      <w:color w:val="auto"/>
                      <w:kern w:val="0"/>
                      <w:sz w:val="21"/>
                      <w:szCs w:val="21"/>
                      <w:lang w:val="en-US" w:eastAsia="zh-CN" w:bidi="ar"/>
                    </w:rPr>
                    <w:t>浓度总体下降</w:t>
                  </w:r>
                  <w:r>
                    <w:rPr>
                      <w:rFonts w:hint="default" w:ascii="Times New Roman" w:hAnsi="Times New Roman" w:eastAsia="宋体" w:cs="Times New Roman"/>
                      <w:b w:val="0"/>
                      <w:bCs/>
                      <w:color w:val="auto"/>
                      <w:kern w:val="0"/>
                      <w:sz w:val="21"/>
                      <w:szCs w:val="21"/>
                      <w:lang w:val="en-US" w:eastAsia="zh-CN" w:bidi="ar"/>
                    </w:rPr>
                    <w:t>27%</w:t>
                  </w:r>
                  <w:r>
                    <w:rPr>
                      <w:rFonts w:hint="eastAsia" w:ascii="宋体" w:hAnsi="宋体" w:eastAsia="宋体" w:cs="宋体"/>
                      <w:b w:val="0"/>
                      <w:bCs/>
                      <w:color w:val="auto"/>
                      <w:kern w:val="0"/>
                      <w:sz w:val="21"/>
                      <w:szCs w:val="21"/>
                      <w:lang w:val="en-US" w:eastAsia="zh-CN" w:bidi="ar"/>
                    </w:rPr>
                    <w:t>以上，低于</w:t>
                  </w:r>
                  <w:r>
                    <w:rPr>
                      <w:rFonts w:hint="default" w:ascii="Times New Roman" w:hAnsi="Times New Roman" w:eastAsia="宋体" w:cs="Times New Roman"/>
                      <w:b w:val="0"/>
                      <w:bCs/>
                      <w:color w:val="auto"/>
                      <w:kern w:val="0"/>
                      <w:sz w:val="21"/>
                      <w:szCs w:val="21"/>
                      <w:lang w:val="en-US" w:eastAsia="zh-CN" w:bidi="ar"/>
                    </w:rPr>
                    <w:t>45</w:t>
                  </w:r>
                  <w:r>
                    <w:rPr>
                      <w:rFonts w:hint="eastAsia" w:ascii="宋体" w:hAnsi="宋体" w:eastAsia="宋体" w:cs="宋体"/>
                      <w:b w:val="0"/>
                      <w:bCs/>
                      <w:color w:val="auto"/>
                      <w:kern w:val="0"/>
                      <w:sz w:val="21"/>
                      <w:szCs w:val="21"/>
                      <w:lang w:val="en-US" w:eastAsia="zh-CN" w:bidi="ar"/>
                    </w:rPr>
                    <w:t>微克</w:t>
                  </w:r>
                  <w:r>
                    <w:rPr>
                      <w:rFonts w:hint="default" w:ascii="Times New Roman" w:hAnsi="Times New Roman" w:eastAsia="宋体" w:cs="Times New Roman"/>
                      <w:b w:val="0"/>
                      <w:bCs/>
                      <w:color w:val="auto"/>
                      <w:kern w:val="0"/>
                      <w:sz w:val="21"/>
                      <w:szCs w:val="21"/>
                      <w:lang w:val="en-US" w:eastAsia="zh-CN" w:bidi="ar"/>
                    </w:rPr>
                    <w:t>/</w:t>
                  </w:r>
                  <w:r>
                    <w:rPr>
                      <w:rFonts w:hint="eastAsia" w:ascii="宋体" w:hAnsi="宋体" w:eastAsia="宋体" w:cs="宋体"/>
                      <w:b w:val="0"/>
                      <w:bCs/>
                      <w:color w:val="auto"/>
                      <w:kern w:val="0"/>
                      <w:sz w:val="21"/>
                      <w:szCs w:val="21"/>
                      <w:lang w:val="en-US" w:eastAsia="zh-CN" w:bidi="ar"/>
                    </w:rPr>
                    <w:t>立方米；优良天数</w:t>
                  </w:r>
                  <w:r>
                    <w:rPr>
                      <w:rFonts w:hint="default" w:ascii="Times New Roman" w:hAnsi="Times New Roman" w:eastAsia="宋体" w:cs="Times New Roman"/>
                      <w:b w:val="0"/>
                      <w:bCs/>
                      <w:color w:val="auto"/>
                      <w:kern w:val="0"/>
                      <w:sz w:val="21"/>
                      <w:szCs w:val="21"/>
                      <w:lang w:val="en-US" w:eastAsia="zh-CN" w:bidi="ar"/>
                    </w:rPr>
                    <w:t>65%</w:t>
                  </w:r>
                  <w:r>
                    <w:rPr>
                      <w:rFonts w:hint="eastAsia" w:ascii="宋体" w:hAnsi="宋体" w:eastAsia="宋体" w:cs="宋体"/>
                      <w:b w:val="0"/>
                      <w:bCs/>
                      <w:color w:val="auto"/>
                      <w:kern w:val="0"/>
                      <w:sz w:val="21"/>
                      <w:szCs w:val="21"/>
                      <w:lang w:val="en-US" w:eastAsia="zh-CN" w:bidi="ar"/>
                    </w:rPr>
                    <w:t>以上；重污染天数</w:t>
                  </w:r>
                  <w:r>
                    <w:rPr>
                      <w:rFonts w:hint="default" w:ascii="Times New Roman" w:hAnsi="Times New Roman" w:eastAsia="宋体" w:cs="Times New Roman"/>
                      <w:b w:val="0"/>
                      <w:bCs/>
                      <w:color w:val="auto"/>
                      <w:kern w:val="0"/>
                      <w:sz w:val="21"/>
                      <w:szCs w:val="21"/>
                      <w:lang w:val="en-US" w:eastAsia="zh-CN" w:bidi="ar"/>
                    </w:rPr>
                    <w:t>2.2%</w:t>
                  </w:r>
                  <w:r>
                    <w:rPr>
                      <w:rFonts w:hint="eastAsia" w:ascii="宋体" w:hAnsi="宋体" w:eastAsia="宋体" w:cs="宋体"/>
                      <w:b w:val="0"/>
                      <w:bCs/>
                      <w:color w:val="auto"/>
                      <w:kern w:val="0"/>
                      <w:sz w:val="21"/>
                      <w:szCs w:val="21"/>
                      <w:lang w:val="en-US" w:eastAsia="zh-CN" w:bidi="ar"/>
                    </w:rPr>
                    <w:t>以下。完成国家、省定的</w:t>
                  </w:r>
                  <w:r>
                    <w:rPr>
                      <w:rFonts w:hint="eastAsia" w:ascii="Times New Roman" w:hAnsi="Times New Roman" w:eastAsia="宋体" w:cs="Times New Roman"/>
                      <w:b w:val="0"/>
                      <w:bCs/>
                      <w:color w:val="auto"/>
                      <w:kern w:val="0"/>
                      <w:sz w:val="21"/>
                      <w:szCs w:val="21"/>
                      <w:lang w:val="en-US" w:eastAsia="zh-CN" w:bidi="ar"/>
                    </w:rPr>
                    <w:t>“</w:t>
                  </w:r>
                  <w:r>
                    <w:rPr>
                      <w:rFonts w:hint="eastAsia" w:ascii="宋体" w:hAnsi="宋体" w:eastAsia="宋体" w:cs="宋体"/>
                      <w:b w:val="0"/>
                      <w:bCs/>
                      <w:color w:val="auto"/>
                      <w:kern w:val="0"/>
                      <w:sz w:val="21"/>
                      <w:szCs w:val="21"/>
                      <w:lang w:val="en-US" w:eastAsia="zh-CN" w:bidi="ar"/>
                    </w:rPr>
                    <w:t>十四五</w:t>
                  </w:r>
                  <w:r>
                    <w:rPr>
                      <w:rFonts w:hint="eastAsia" w:ascii="Times New Roman" w:hAnsi="Times New Roman" w:eastAsia="宋体" w:cs="Times New Roman"/>
                      <w:b w:val="0"/>
                      <w:bCs/>
                      <w:color w:val="auto"/>
                      <w:kern w:val="0"/>
                      <w:sz w:val="21"/>
                      <w:szCs w:val="21"/>
                      <w:lang w:val="en-US" w:eastAsia="zh-CN" w:bidi="ar"/>
                    </w:rPr>
                    <w:t>”</w:t>
                  </w:r>
                  <w:r>
                    <w:rPr>
                      <w:rFonts w:hint="eastAsia" w:ascii="宋体" w:hAnsi="宋体" w:eastAsia="宋体" w:cs="宋体"/>
                      <w:b w:val="0"/>
                      <w:bCs/>
                      <w:color w:val="auto"/>
                      <w:kern w:val="0"/>
                      <w:sz w:val="21"/>
                      <w:szCs w:val="21"/>
                      <w:lang w:val="en-US" w:eastAsia="zh-CN" w:bidi="ar"/>
                    </w:rPr>
                    <w:t>地表水环境质量和饮用水水质目标，南水北调中线一期工程总干渠安阳辖区取水水质稳定达到</w:t>
                  </w:r>
                  <w:r>
                    <w:rPr>
                      <w:rFonts w:hint="default" w:ascii="Times New Roman" w:hAnsi="Times New Roman" w:eastAsia="宋体" w:cs="Times New Roman"/>
                      <w:b w:val="0"/>
                      <w:bCs/>
                      <w:color w:val="auto"/>
                      <w:kern w:val="0"/>
                      <w:sz w:val="21"/>
                      <w:szCs w:val="21"/>
                      <w:lang w:val="en-US" w:eastAsia="zh-CN" w:bidi="ar"/>
                    </w:rPr>
                    <w:t>Ⅱ</w:t>
                  </w:r>
                  <w:r>
                    <w:rPr>
                      <w:rFonts w:hint="eastAsia" w:ascii="宋体" w:hAnsi="宋体" w:eastAsia="宋体" w:cs="宋体"/>
                      <w:b w:val="0"/>
                      <w:bCs/>
                      <w:color w:val="auto"/>
                      <w:kern w:val="0"/>
                      <w:sz w:val="21"/>
                      <w:szCs w:val="21"/>
                      <w:lang w:val="en-US" w:eastAsia="zh-CN" w:bidi="ar"/>
                    </w:rPr>
                    <w:t>类。全市土壤环境质量总体保持稳定</w:t>
                  </w:r>
                  <w:r>
                    <w:rPr>
                      <w:rFonts w:hint="default" w:ascii="Times New Roman" w:hAnsi="Times New Roman" w:eastAsia="宋体" w:cs="Times New Roman"/>
                      <w:b w:val="0"/>
                      <w:bCs/>
                      <w:color w:val="auto"/>
                      <w:kern w:val="0"/>
                      <w:sz w:val="21"/>
                      <w:szCs w:val="21"/>
                      <w:lang w:val="en-US" w:eastAsia="zh-CN" w:bidi="ar"/>
                    </w:rPr>
                    <w:t>,</w:t>
                  </w:r>
                  <w:r>
                    <w:rPr>
                      <w:rFonts w:hint="eastAsia" w:ascii="宋体" w:hAnsi="宋体" w:eastAsia="宋体" w:cs="宋体"/>
                      <w:b w:val="0"/>
                      <w:bCs/>
                      <w:color w:val="auto"/>
                      <w:kern w:val="0"/>
                      <w:sz w:val="21"/>
                      <w:szCs w:val="21"/>
                      <w:lang w:val="en-US" w:eastAsia="zh-CN" w:bidi="ar"/>
                    </w:rPr>
                    <w:t>土壤环境风险得到管控</w:t>
                  </w:r>
                  <w:r>
                    <w:rPr>
                      <w:rFonts w:hint="default" w:ascii="Times New Roman" w:hAnsi="Times New Roman" w:eastAsia="宋体" w:cs="Times New Roman"/>
                      <w:b w:val="0"/>
                      <w:bCs/>
                      <w:color w:val="auto"/>
                      <w:kern w:val="0"/>
                      <w:sz w:val="21"/>
                      <w:szCs w:val="21"/>
                      <w:lang w:val="en-US" w:eastAsia="zh-CN" w:bidi="ar"/>
                    </w:rPr>
                    <w:t xml:space="preserve">, </w:t>
                  </w:r>
                  <w:r>
                    <w:rPr>
                      <w:rFonts w:hint="eastAsia" w:ascii="宋体" w:hAnsi="宋体" w:eastAsia="宋体" w:cs="宋体"/>
                      <w:b w:val="0"/>
                      <w:bCs/>
                      <w:color w:val="auto"/>
                      <w:kern w:val="0"/>
                      <w:sz w:val="21"/>
                      <w:szCs w:val="21"/>
                      <w:lang w:val="en-US" w:eastAsia="zh-CN" w:bidi="ar"/>
                    </w:rPr>
                    <w:t>土壤污染防治体系基本完善。土壤安全利用进一步巩固提升，受污染耕地安全利用率实现</w:t>
                  </w:r>
                  <w:r>
                    <w:rPr>
                      <w:rFonts w:hint="default" w:ascii="Times New Roman" w:hAnsi="Times New Roman" w:eastAsia="宋体" w:cs="Times New Roman"/>
                      <w:b w:val="0"/>
                      <w:bCs/>
                      <w:color w:val="auto"/>
                      <w:kern w:val="0"/>
                      <w:sz w:val="21"/>
                      <w:szCs w:val="21"/>
                      <w:lang w:val="en-US" w:eastAsia="zh-CN" w:bidi="ar"/>
                    </w:rPr>
                    <w:t>95%</w:t>
                  </w:r>
                  <w:r>
                    <w:rPr>
                      <w:rFonts w:hint="eastAsia" w:ascii="宋体" w:hAnsi="宋体" w:eastAsia="宋体" w:cs="宋体"/>
                      <w:b w:val="0"/>
                      <w:bCs/>
                      <w:color w:val="auto"/>
                      <w:kern w:val="0"/>
                      <w:sz w:val="21"/>
                      <w:szCs w:val="21"/>
                      <w:lang w:val="en-US" w:eastAsia="zh-CN" w:bidi="ar"/>
                    </w:rPr>
                    <w:t>以上，重点建设用地安全利用有效保障。</w:t>
                  </w:r>
                </w:p>
              </w:tc>
              <w:tc>
                <w:tcPr>
                  <w:tcW w:w="2302"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本项目涉及排放的污染物为颗粒物。颗粒物产生后经</w:t>
                  </w:r>
                  <w:r>
                    <w:rPr>
                      <w:rFonts w:hint="eastAsia" w:eastAsia="宋体" w:cs="宋体"/>
                      <w:b w:val="0"/>
                      <w:bCs/>
                      <w:color w:val="auto"/>
                      <w:kern w:val="0"/>
                      <w:sz w:val="21"/>
                      <w:szCs w:val="21"/>
                      <w:lang w:val="en-US" w:eastAsia="zh-CN" w:bidi="ar"/>
                    </w:rPr>
                    <w:t>“集气罩+覆膜袋式除尘器”</w:t>
                  </w:r>
                  <w:r>
                    <w:rPr>
                      <w:rFonts w:hint="eastAsia" w:ascii="宋体" w:hAnsi="宋体" w:eastAsia="宋体" w:cs="宋体"/>
                      <w:b w:val="0"/>
                      <w:bCs/>
                      <w:color w:val="auto"/>
                      <w:kern w:val="0"/>
                      <w:sz w:val="21"/>
                      <w:szCs w:val="21"/>
                      <w:lang w:val="en-US" w:eastAsia="zh-CN" w:bidi="ar"/>
                    </w:rPr>
                    <w:t>处理后通过一根</w:t>
                  </w:r>
                  <w:r>
                    <w:rPr>
                      <w:rFonts w:hint="default" w:ascii="Times New Roman" w:hAnsi="Times New Roman" w:eastAsia="宋体" w:cs="Times New Roman"/>
                      <w:b w:val="0"/>
                      <w:bCs/>
                      <w:color w:val="auto"/>
                      <w:kern w:val="0"/>
                      <w:sz w:val="21"/>
                      <w:szCs w:val="21"/>
                      <w:lang w:val="en-US" w:eastAsia="zh-CN" w:bidi="ar"/>
                    </w:rPr>
                    <w:t>18m</w:t>
                  </w:r>
                  <w:r>
                    <w:rPr>
                      <w:rFonts w:hint="eastAsia" w:ascii="宋体" w:hAnsi="宋体" w:eastAsia="宋体" w:cs="宋体"/>
                      <w:b w:val="0"/>
                      <w:bCs/>
                      <w:color w:val="auto"/>
                      <w:kern w:val="0"/>
                      <w:sz w:val="21"/>
                      <w:szCs w:val="21"/>
                      <w:lang w:val="en-US" w:eastAsia="zh-CN" w:bidi="ar"/>
                    </w:rPr>
                    <w:t>高的排气筒（</w:t>
                  </w:r>
                  <w:r>
                    <w:rPr>
                      <w:rFonts w:hint="eastAsia" w:ascii="Times New Roman" w:hAnsi="Times New Roman" w:eastAsia="宋体" w:cs="Times New Roman"/>
                      <w:b w:val="0"/>
                      <w:bCs/>
                      <w:color w:val="auto"/>
                      <w:kern w:val="0"/>
                      <w:sz w:val="21"/>
                      <w:szCs w:val="21"/>
                      <w:lang w:val="en-US" w:eastAsia="zh-CN" w:bidi="ar"/>
                    </w:rPr>
                    <w:t>DA066</w:t>
                  </w:r>
                  <w:r>
                    <w:rPr>
                      <w:rFonts w:hint="eastAsia" w:ascii="宋体" w:hAnsi="宋体" w:eastAsia="宋体" w:cs="宋体"/>
                      <w:b w:val="0"/>
                      <w:bCs/>
                      <w:color w:val="auto"/>
                      <w:kern w:val="0"/>
                      <w:sz w:val="21"/>
                      <w:szCs w:val="21"/>
                      <w:lang w:val="en-US" w:eastAsia="zh-CN" w:bidi="ar"/>
                    </w:rPr>
                    <w:t>）排放。本项目产生的污染物均得到合理处置，达标排放，对完成国家、省定的地表水环境质量和饮用水水质目标不造成影响。本项目厂区地面硬化，减少对厂区土壤环境污染，不会对全市土壤环境质量总体保持稳定的目标造成影响。</w:t>
                  </w:r>
                </w:p>
              </w:tc>
              <w:tc>
                <w:tcPr>
                  <w:tcW w:w="879" w:type="dxa"/>
                  <w:tcBorders>
                    <w:top w:val="single" w:color="auto" w:sz="4" w:space="0"/>
                    <w:left w:val="nil"/>
                    <w:bottom w:val="single" w:color="auto" w:sz="4" w:space="0"/>
                    <w:right w:val="nil"/>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center"/>
                    <w:rPr>
                      <w:rFonts w:hint="default" w:ascii="Times New Roman" w:hAnsi="Times New Roman" w:eastAsia="宋体" w:cs="Times New Roman"/>
                      <w:b w:val="0"/>
                      <w:bCs/>
                      <w:color w:val="auto"/>
                      <w:kern w:val="0"/>
                      <w:sz w:val="21"/>
                      <w:szCs w:val="21"/>
                      <w:lang w:val="en-US" w:eastAsia="zh-CN"/>
                    </w:rPr>
                  </w:pPr>
                  <w:r>
                    <w:rPr>
                      <w:rFonts w:hint="eastAsia" w:ascii="Times New Roman" w:hAnsi="Times New Roman" w:eastAsia="宋体" w:cs="Times New Roman"/>
                      <w:b w:val="0"/>
                      <w:bCs/>
                      <w:color w:val="auto"/>
                      <w:kern w:val="0"/>
                      <w:sz w:val="21"/>
                      <w:szCs w:val="21"/>
                      <w:lang w:val="en-US" w:eastAsia="zh-CN"/>
                    </w:rPr>
                    <w:t>相符</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0"/>
                      <w:szCs w:val="20"/>
                      <w:lang w:val="en-US" w:eastAsia="zh-CN"/>
                    </w:rPr>
                  </w:pPr>
                </w:p>
              </w:tc>
              <w:tc>
                <w:tcPr>
                  <w:tcW w:w="4198"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3</w:t>
                  </w:r>
                  <w:r>
                    <w:rPr>
                      <w:rFonts w:hint="eastAsia" w:ascii="宋体" w:hAnsi="宋体" w:eastAsia="宋体" w:cs="宋体"/>
                      <w:b w:val="0"/>
                      <w:bCs/>
                      <w:color w:val="auto"/>
                      <w:kern w:val="0"/>
                      <w:sz w:val="21"/>
                      <w:szCs w:val="21"/>
                      <w:lang w:val="en-US" w:eastAsia="zh-CN" w:bidi="ar"/>
                    </w:rPr>
                    <w:t>、鼓励现有钢铁、焦化、水泥、铁合金、铸造等重点行业及</w:t>
                  </w:r>
                  <w:r>
                    <w:rPr>
                      <w:rFonts w:hint="eastAsia" w:ascii="Times New Roman" w:hAnsi="Times New Roman" w:eastAsia="宋体" w:cs="Times New Roman"/>
                      <w:b w:val="0"/>
                      <w:bCs/>
                      <w:color w:val="auto"/>
                      <w:kern w:val="0"/>
                      <w:sz w:val="21"/>
                      <w:szCs w:val="21"/>
                      <w:lang w:val="en-US" w:eastAsia="zh-CN" w:bidi="ar"/>
                    </w:rPr>
                    <w:t>“</w:t>
                  </w:r>
                  <w:r>
                    <w:rPr>
                      <w:rFonts w:hint="eastAsia" w:ascii="宋体" w:hAnsi="宋体" w:eastAsia="宋体" w:cs="宋体"/>
                      <w:b w:val="0"/>
                      <w:bCs/>
                      <w:color w:val="auto"/>
                      <w:kern w:val="0"/>
                      <w:sz w:val="21"/>
                      <w:szCs w:val="21"/>
                      <w:lang w:val="en-US" w:eastAsia="zh-CN" w:bidi="ar"/>
                    </w:rPr>
                    <w:t>两高</w:t>
                  </w:r>
                  <w:r>
                    <w:rPr>
                      <w:rFonts w:hint="eastAsia" w:ascii="Times New Roman" w:hAnsi="Times New Roman" w:eastAsia="宋体" w:cs="Times New Roman"/>
                      <w:b w:val="0"/>
                      <w:bCs/>
                      <w:color w:val="auto"/>
                      <w:kern w:val="0"/>
                      <w:sz w:val="21"/>
                      <w:szCs w:val="21"/>
                      <w:lang w:val="en-US" w:eastAsia="zh-CN" w:bidi="ar"/>
                    </w:rPr>
                    <w:t>”</w:t>
                  </w:r>
                  <w:r>
                    <w:rPr>
                      <w:rFonts w:hint="eastAsia" w:ascii="宋体" w:hAnsi="宋体" w:eastAsia="宋体" w:cs="宋体"/>
                      <w:b w:val="0"/>
                      <w:bCs/>
                      <w:color w:val="auto"/>
                      <w:kern w:val="0"/>
                      <w:sz w:val="21"/>
                      <w:szCs w:val="21"/>
                      <w:lang w:val="en-US" w:eastAsia="zh-CN" w:bidi="ar"/>
                    </w:rPr>
                    <w:t>行业污染治理水平达到</w:t>
                  </w:r>
                  <w:r>
                    <w:rPr>
                      <w:rFonts w:hint="default" w:ascii="Times New Roman" w:hAnsi="Times New Roman" w:eastAsia="宋体" w:cs="Times New Roman"/>
                      <w:b w:val="0"/>
                      <w:bCs/>
                      <w:color w:val="auto"/>
                      <w:kern w:val="0"/>
                      <w:sz w:val="21"/>
                      <w:szCs w:val="21"/>
                      <w:lang w:val="en-US" w:eastAsia="zh-CN" w:bidi="ar"/>
                    </w:rPr>
                    <w:t>A</w:t>
                  </w:r>
                  <w:r>
                    <w:rPr>
                      <w:rFonts w:hint="eastAsia" w:ascii="宋体" w:hAnsi="宋体" w:eastAsia="宋体" w:cs="宋体"/>
                      <w:b w:val="0"/>
                      <w:bCs/>
                      <w:color w:val="auto"/>
                      <w:kern w:val="0"/>
                      <w:sz w:val="21"/>
                      <w:szCs w:val="21"/>
                      <w:lang w:val="en-US" w:eastAsia="zh-CN" w:bidi="ar"/>
                    </w:rPr>
                    <w:t>级企业或引领性企业水平，其他行业污染治理水平达到</w:t>
                  </w:r>
                  <w:r>
                    <w:rPr>
                      <w:rFonts w:hint="default" w:ascii="Times New Roman" w:hAnsi="Times New Roman" w:eastAsia="宋体" w:cs="Times New Roman"/>
                      <w:b w:val="0"/>
                      <w:bCs/>
                      <w:color w:val="auto"/>
                      <w:kern w:val="0"/>
                      <w:sz w:val="21"/>
                      <w:szCs w:val="21"/>
                      <w:lang w:val="en-US" w:eastAsia="zh-CN" w:bidi="ar"/>
                    </w:rPr>
                    <w:t>B</w:t>
                  </w:r>
                  <w:r>
                    <w:rPr>
                      <w:rFonts w:hint="eastAsia" w:ascii="宋体" w:hAnsi="宋体" w:eastAsia="宋体" w:cs="宋体"/>
                      <w:b w:val="0"/>
                      <w:bCs/>
                      <w:color w:val="auto"/>
                      <w:kern w:val="0"/>
                      <w:sz w:val="21"/>
                      <w:szCs w:val="21"/>
                      <w:lang w:val="en-US" w:eastAsia="zh-CN" w:bidi="ar"/>
                    </w:rPr>
                    <w:t>级企业水平；新建、扩建项目污染物排放限值、污染治理措施、无组织排放控制水平、运输方式等达到</w:t>
                  </w:r>
                  <w:r>
                    <w:rPr>
                      <w:rFonts w:hint="default" w:ascii="Times New Roman" w:hAnsi="Times New Roman" w:eastAsia="宋体" w:cs="Times New Roman"/>
                      <w:b w:val="0"/>
                      <w:bCs/>
                      <w:color w:val="auto"/>
                      <w:kern w:val="0"/>
                      <w:sz w:val="21"/>
                      <w:szCs w:val="21"/>
                      <w:lang w:val="en-US" w:eastAsia="zh-CN" w:bidi="ar"/>
                    </w:rPr>
                    <w:t>A</w:t>
                  </w:r>
                  <w:r>
                    <w:rPr>
                      <w:rFonts w:hint="eastAsia" w:ascii="宋体" w:hAnsi="宋体" w:eastAsia="宋体" w:cs="宋体"/>
                      <w:b w:val="0"/>
                      <w:bCs/>
                      <w:color w:val="auto"/>
                      <w:kern w:val="0"/>
                      <w:sz w:val="21"/>
                      <w:szCs w:val="21"/>
                      <w:lang w:val="en-US" w:eastAsia="zh-CN" w:bidi="ar"/>
                    </w:rPr>
                    <w:t>级绩效水平，改建项目污染物排放限值、污染治理措施、无组织排放控制水平、运输方式等达到</w:t>
                  </w:r>
                  <w:r>
                    <w:rPr>
                      <w:rFonts w:hint="default" w:ascii="Times New Roman" w:hAnsi="Times New Roman" w:eastAsia="宋体" w:cs="Times New Roman"/>
                      <w:b w:val="0"/>
                      <w:bCs/>
                      <w:color w:val="auto"/>
                      <w:kern w:val="0"/>
                      <w:sz w:val="21"/>
                      <w:szCs w:val="21"/>
                      <w:lang w:val="en-US" w:eastAsia="zh-CN" w:bidi="ar"/>
                    </w:rPr>
                    <w:t>B</w:t>
                  </w:r>
                  <w:r>
                    <w:rPr>
                      <w:rFonts w:hint="eastAsia" w:ascii="宋体" w:hAnsi="宋体" w:eastAsia="宋体" w:cs="宋体"/>
                      <w:b w:val="0"/>
                      <w:bCs/>
                      <w:color w:val="auto"/>
                      <w:kern w:val="0"/>
                      <w:sz w:val="21"/>
                      <w:szCs w:val="21"/>
                      <w:lang w:val="en-US" w:eastAsia="zh-CN" w:bidi="ar"/>
                    </w:rPr>
                    <w:t>级以上绩效水平。新建及迁建煤炭、矿石、焦炭等大宗货物年运量</w:t>
                  </w:r>
                  <w:r>
                    <w:rPr>
                      <w:rFonts w:hint="default" w:ascii="Times New Roman" w:hAnsi="Times New Roman" w:eastAsia="宋体" w:cs="Times New Roman"/>
                      <w:b w:val="0"/>
                      <w:bCs/>
                      <w:color w:val="auto"/>
                      <w:kern w:val="0"/>
                      <w:sz w:val="21"/>
                      <w:szCs w:val="21"/>
                      <w:lang w:val="en-US" w:eastAsia="zh-CN" w:bidi="ar"/>
                    </w:rPr>
                    <w:t>150</w:t>
                  </w:r>
                  <w:r>
                    <w:rPr>
                      <w:rFonts w:hint="eastAsia" w:ascii="宋体" w:hAnsi="宋体" w:eastAsia="宋体" w:cs="宋体"/>
                      <w:b w:val="0"/>
                      <w:bCs/>
                      <w:color w:val="auto"/>
                      <w:kern w:val="0"/>
                      <w:sz w:val="21"/>
                      <w:szCs w:val="21"/>
                      <w:lang w:val="en-US" w:eastAsia="zh-CN" w:bidi="ar"/>
                    </w:rPr>
                    <w:t>万吨以上的物流园区、工矿企业，原则上接入铁路专用线或管道。火电、钢铁、石化、化工、煤炭、焦化、有色等行业大宗货物清洁运输比例达到</w:t>
                  </w:r>
                  <w:r>
                    <w:rPr>
                      <w:rFonts w:hint="default" w:ascii="Times New Roman" w:hAnsi="Times New Roman" w:eastAsia="宋体" w:cs="Times New Roman"/>
                      <w:b w:val="0"/>
                      <w:bCs/>
                      <w:color w:val="auto"/>
                      <w:kern w:val="0"/>
                      <w:sz w:val="21"/>
                      <w:szCs w:val="21"/>
                      <w:lang w:val="en-US" w:eastAsia="zh-CN" w:bidi="ar"/>
                    </w:rPr>
                    <w:t>80%</w:t>
                  </w:r>
                  <w:r>
                    <w:rPr>
                      <w:rFonts w:hint="eastAsia" w:ascii="宋体" w:hAnsi="宋体" w:eastAsia="宋体" w:cs="宋体"/>
                      <w:b w:val="0"/>
                      <w:bCs/>
                      <w:color w:val="auto"/>
                      <w:kern w:val="0"/>
                      <w:sz w:val="21"/>
                      <w:szCs w:val="21"/>
                      <w:lang w:val="en-US" w:eastAsia="zh-CN" w:bidi="ar"/>
                    </w:rPr>
                    <w:t>以上。重点区域鼓励高炉</w:t>
                  </w:r>
                  <w:r>
                    <w:rPr>
                      <w:rFonts w:hint="default" w:ascii="Times New Roman" w:hAnsi="Times New Roman" w:eastAsia="宋体" w:cs="Times New Roman"/>
                      <w:b w:val="0"/>
                      <w:bCs/>
                      <w:color w:val="auto"/>
                      <w:kern w:val="0"/>
                      <w:sz w:val="21"/>
                      <w:szCs w:val="21"/>
                      <w:lang w:val="en-US" w:eastAsia="zh-CN" w:bidi="ar"/>
                    </w:rPr>
                    <w:t>—</w:t>
                  </w:r>
                  <w:r>
                    <w:rPr>
                      <w:rFonts w:hint="eastAsia" w:ascii="宋体" w:hAnsi="宋体" w:eastAsia="宋体" w:cs="宋体"/>
                      <w:b w:val="0"/>
                      <w:bCs/>
                      <w:color w:val="auto"/>
                      <w:kern w:val="0"/>
                      <w:sz w:val="21"/>
                      <w:szCs w:val="21"/>
                      <w:lang w:val="en-US" w:eastAsia="zh-CN" w:bidi="ar"/>
                    </w:rPr>
                    <w:t>转炉长流程钢铁企业转型为电炉短流程企业。</w:t>
                  </w:r>
                </w:p>
              </w:tc>
              <w:tc>
                <w:tcPr>
                  <w:tcW w:w="2302"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本项目</w:t>
                  </w:r>
                  <w:r>
                    <w:rPr>
                      <w:rFonts w:hint="eastAsia" w:eastAsia="宋体" w:cs="宋体"/>
                      <w:b w:val="0"/>
                      <w:bCs/>
                      <w:color w:val="auto"/>
                      <w:kern w:val="0"/>
                      <w:sz w:val="21"/>
                      <w:szCs w:val="21"/>
                      <w:lang w:val="en-US" w:eastAsia="zh-CN" w:bidi="ar"/>
                    </w:rPr>
                    <w:t>为改造项目，</w:t>
                  </w:r>
                  <w:r>
                    <w:rPr>
                      <w:rFonts w:hint="eastAsia" w:eastAsia="宋体" w:cs="宋体"/>
                      <w:color w:val="auto"/>
                      <w:kern w:val="0"/>
                      <w:sz w:val="21"/>
                      <w:szCs w:val="21"/>
                      <w:lang w:val="en-US" w:eastAsia="zh-CN" w:bidi="ar"/>
                    </w:rPr>
                    <w:t>拟</w:t>
                  </w:r>
                  <w:r>
                    <w:rPr>
                      <w:rFonts w:hint="default" w:ascii="Times New Roman" w:hAnsi="Times New Roman" w:eastAsia="宋体" w:cs="Times New Roman"/>
                      <w:color w:val="auto"/>
                      <w:kern w:val="0"/>
                      <w:sz w:val="21"/>
                      <w:szCs w:val="21"/>
                      <w:lang w:val="en-US" w:eastAsia="zh-CN" w:bidi="ar"/>
                    </w:rPr>
                    <w:t>按照</w:t>
                  </w:r>
                  <w:r>
                    <w:rPr>
                      <w:rFonts w:hint="eastAsia" w:ascii="Times New Roman" w:hAnsi="Times New Roman" w:eastAsia="宋体" w:cs="Times New Roman"/>
                      <w:color w:val="auto"/>
                      <w:kern w:val="0"/>
                      <w:sz w:val="21"/>
                      <w:szCs w:val="21"/>
                      <w:lang w:val="en-US" w:eastAsia="zh-CN" w:bidi="ar"/>
                    </w:rPr>
                    <w:t>《河南省重污染天气通用行业应急减排措施制定技术指南》（2024年修订版）中涉PM企业引领性指标要求建设</w:t>
                  </w:r>
                  <w:r>
                    <w:rPr>
                      <w:rFonts w:hint="eastAsia" w:ascii="宋体" w:hAnsi="宋体" w:eastAsia="宋体" w:cs="宋体"/>
                      <w:b w:val="0"/>
                      <w:bCs/>
                      <w:color w:val="auto"/>
                      <w:kern w:val="0"/>
                      <w:sz w:val="21"/>
                      <w:szCs w:val="21"/>
                      <w:lang w:val="en-US" w:eastAsia="zh-CN" w:bidi="ar"/>
                    </w:rPr>
                    <w:t>。</w:t>
                  </w:r>
                </w:p>
              </w:tc>
              <w:tc>
                <w:tcPr>
                  <w:tcW w:w="879" w:type="dxa"/>
                  <w:tcBorders>
                    <w:top w:val="single" w:color="auto" w:sz="4" w:space="0"/>
                    <w:left w:val="nil"/>
                    <w:bottom w:val="single" w:color="auto" w:sz="4" w:space="0"/>
                    <w:right w:val="nil"/>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center"/>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相符</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0"/>
                      <w:szCs w:val="20"/>
                      <w:lang w:val="en-US" w:eastAsia="zh-CN"/>
                    </w:rPr>
                  </w:pPr>
                </w:p>
              </w:tc>
              <w:tc>
                <w:tcPr>
                  <w:tcW w:w="4198"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4</w:t>
                  </w:r>
                  <w:r>
                    <w:rPr>
                      <w:rFonts w:hint="eastAsia" w:ascii="宋体" w:hAnsi="宋体" w:eastAsia="宋体" w:cs="宋体"/>
                      <w:b w:val="0"/>
                      <w:bCs/>
                      <w:color w:val="auto"/>
                      <w:kern w:val="0"/>
                      <w:sz w:val="21"/>
                      <w:szCs w:val="21"/>
                      <w:lang w:val="en-US" w:eastAsia="zh-CN" w:bidi="ar"/>
                    </w:rPr>
                    <w:t>、医药、化工、橡胶、包装印刷、家具、金属表面涂装、合成革、制鞋等涉</w:t>
                  </w:r>
                  <w:r>
                    <w:rPr>
                      <w:rFonts w:hint="default" w:ascii="Times New Roman" w:hAnsi="Times New Roman" w:eastAsia="宋体" w:cs="Times New Roman"/>
                      <w:b w:val="0"/>
                      <w:bCs/>
                      <w:color w:val="auto"/>
                      <w:kern w:val="0"/>
                      <w:sz w:val="21"/>
                      <w:szCs w:val="21"/>
                      <w:lang w:val="en-US" w:eastAsia="zh-CN" w:bidi="ar"/>
                    </w:rPr>
                    <w:t>VOCs</w:t>
                  </w:r>
                  <w:r>
                    <w:rPr>
                      <w:rFonts w:hint="eastAsia" w:ascii="宋体" w:hAnsi="宋体" w:eastAsia="宋体" w:cs="宋体"/>
                      <w:b w:val="0"/>
                      <w:bCs/>
                      <w:color w:val="auto"/>
                      <w:kern w:val="0"/>
                      <w:sz w:val="21"/>
                      <w:szCs w:val="21"/>
                      <w:lang w:val="en-US" w:eastAsia="zh-CN" w:bidi="ar"/>
                    </w:rPr>
                    <w:t>行业应采取密闭式作业，根据不同行业</w:t>
                  </w:r>
                  <w:r>
                    <w:rPr>
                      <w:rFonts w:hint="default" w:ascii="Times New Roman" w:hAnsi="Times New Roman" w:eastAsia="宋体" w:cs="Times New Roman"/>
                      <w:b w:val="0"/>
                      <w:bCs/>
                      <w:color w:val="auto"/>
                      <w:kern w:val="0"/>
                      <w:sz w:val="21"/>
                      <w:szCs w:val="21"/>
                      <w:lang w:val="en-US" w:eastAsia="zh-CN" w:bidi="ar"/>
                    </w:rPr>
                    <w:t>VOCs</w:t>
                  </w:r>
                  <w:r>
                    <w:rPr>
                      <w:rFonts w:hint="eastAsia" w:ascii="宋体" w:hAnsi="宋体" w:eastAsia="宋体" w:cs="宋体"/>
                      <w:b w:val="0"/>
                      <w:bCs/>
                      <w:color w:val="auto"/>
                      <w:kern w:val="0"/>
                      <w:sz w:val="21"/>
                      <w:szCs w:val="21"/>
                      <w:lang w:val="en-US" w:eastAsia="zh-CN" w:bidi="ar"/>
                    </w:rPr>
                    <w:t>排放浓度、成分，选择燃烧、吸附、生物法、冷凝等针对性强、治理效果明显的处理技术或多种技术的组合工艺，提高</w:t>
                  </w:r>
                  <w:r>
                    <w:rPr>
                      <w:rFonts w:hint="default" w:ascii="Times New Roman" w:hAnsi="Times New Roman" w:eastAsia="宋体" w:cs="Times New Roman"/>
                      <w:b w:val="0"/>
                      <w:bCs/>
                      <w:color w:val="auto"/>
                      <w:kern w:val="0"/>
                      <w:sz w:val="21"/>
                      <w:szCs w:val="21"/>
                      <w:lang w:val="en-US" w:eastAsia="zh-CN" w:bidi="ar"/>
                    </w:rPr>
                    <w:t>VOCs</w:t>
                  </w:r>
                  <w:r>
                    <w:rPr>
                      <w:rFonts w:hint="eastAsia" w:ascii="宋体" w:hAnsi="宋体" w:eastAsia="宋体" w:cs="宋体"/>
                      <w:b w:val="0"/>
                      <w:bCs/>
                      <w:color w:val="auto"/>
                      <w:kern w:val="0"/>
                      <w:sz w:val="21"/>
                      <w:szCs w:val="21"/>
                      <w:lang w:val="en-US" w:eastAsia="zh-CN" w:bidi="ar"/>
                    </w:rPr>
                    <w:t>治理效率；</w:t>
                  </w:r>
                  <w:r>
                    <w:rPr>
                      <w:rFonts w:hint="default" w:ascii="Times New Roman" w:hAnsi="Times New Roman" w:eastAsia="宋体" w:cs="Times New Roman"/>
                      <w:b w:val="0"/>
                      <w:bCs/>
                      <w:color w:val="auto"/>
                      <w:kern w:val="0"/>
                      <w:sz w:val="21"/>
                      <w:szCs w:val="21"/>
                      <w:lang w:val="en-US" w:eastAsia="zh-CN" w:bidi="ar"/>
                    </w:rPr>
                    <w:t>VOCs</w:t>
                  </w:r>
                  <w:r>
                    <w:rPr>
                      <w:rFonts w:hint="eastAsia" w:ascii="宋体" w:hAnsi="宋体" w:eastAsia="宋体" w:cs="宋体"/>
                      <w:b w:val="0"/>
                      <w:bCs/>
                      <w:color w:val="auto"/>
                      <w:kern w:val="0"/>
                      <w:sz w:val="21"/>
                      <w:szCs w:val="21"/>
                      <w:lang w:val="en-US" w:eastAsia="zh-CN" w:bidi="ar"/>
                    </w:rPr>
                    <w:t>物料储存、转移和输送、工艺过程 、设备与管线组件</w:t>
                  </w:r>
                  <w:r>
                    <w:rPr>
                      <w:rFonts w:hint="default" w:ascii="Times New Roman" w:hAnsi="Times New Roman" w:eastAsia="宋体" w:cs="Times New Roman"/>
                      <w:b w:val="0"/>
                      <w:bCs/>
                      <w:color w:val="auto"/>
                      <w:kern w:val="0"/>
                      <w:sz w:val="21"/>
                      <w:szCs w:val="21"/>
                      <w:lang w:val="en-US" w:eastAsia="zh-CN" w:bidi="ar"/>
                    </w:rPr>
                    <w:t>VOCs</w:t>
                  </w:r>
                  <w:r>
                    <w:rPr>
                      <w:rFonts w:hint="eastAsia" w:ascii="宋体" w:hAnsi="宋体" w:eastAsia="宋体" w:cs="宋体"/>
                      <w:b w:val="0"/>
                      <w:bCs/>
                      <w:color w:val="auto"/>
                      <w:kern w:val="0"/>
                      <w:sz w:val="21"/>
                      <w:szCs w:val="21"/>
                      <w:lang w:val="en-US" w:eastAsia="zh-CN" w:bidi="ar"/>
                    </w:rPr>
                    <w:t>泄漏控制、敞开液面</w:t>
                  </w:r>
                  <w:r>
                    <w:rPr>
                      <w:rFonts w:hint="default" w:ascii="Times New Roman" w:hAnsi="Times New Roman" w:eastAsia="宋体" w:cs="Times New Roman"/>
                      <w:b w:val="0"/>
                      <w:bCs/>
                      <w:color w:val="auto"/>
                      <w:kern w:val="0"/>
                      <w:sz w:val="21"/>
                      <w:szCs w:val="21"/>
                      <w:lang w:val="en-US" w:eastAsia="zh-CN" w:bidi="ar"/>
                    </w:rPr>
                    <w:t>VOCs</w:t>
                  </w:r>
                  <w:r>
                    <w:rPr>
                      <w:rFonts w:hint="eastAsia" w:ascii="宋体" w:hAnsi="宋体" w:eastAsia="宋体" w:cs="宋体"/>
                      <w:b w:val="0"/>
                      <w:bCs/>
                      <w:color w:val="auto"/>
                      <w:kern w:val="0"/>
                      <w:sz w:val="21"/>
                      <w:szCs w:val="21"/>
                      <w:lang w:val="en-US" w:eastAsia="zh-CN" w:bidi="ar"/>
                    </w:rPr>
                    <w:t>无组织排放控制，以及</w:t>
                  </w:r>
                  <w:r>
                    <w:rPr>
                      <w:rFonts w:hint="default" w:ascii="Times New Roman" w:hAnsi="Times New Roman" w:eastAsia="宋体" w:cs="Times New Roman"/>
                      <w:b w:val="0"/>
                      <w:bCs/>
                      <w:color w:val="auto"/>
                      <w:kern w:val="0"/>
                      <w:sz w:val="21"/>
                      <w:szCs w:val="21"/>
                      <w:lang w:val="en-US" w:eastAsia="zh-CN" w:bidi="ar"/>
                    </w:rPr>
                    <w:t>VOCs</w:t>
                  </w:r>
                  <w:r>
                    <w:rPr>
                      <w:rFonts w:hint="eastAsia" w:ascii="宋体" w:hAnsi="宋体" w:eastAsia="宋体" w:cs="宋体"/>
                      <w:b w:val="0"/>
                      <w:bCs/>
                      <w:color w:val="auto"/>
                      <w:kern w:val="0"/>
                      <w:sz w:val="21"/>
                      <w:szCs w:val="21"/>
                      <w:lang w:val="en-US" w:eastAsia="zh-CN" w:bidi="ar"/>
                    </w:rPr>
                    <w:t>无组织排放废气收集处理系统和企业厂区内及周边污染监控应满足《挥发性有机物无组织排放控制标准（</w:t>
                  </w:r>
                  <w:r>
                    <w:rPr>
                      <w:rFonts w:hint="default" w:ascii="Times New Roman" w:hAnsi="Times New Roman" w:eastAsia="宋体" w:cs="Times New Roman"/>
                      <w:b w:val="0"/>
                      <w:bCs/>
                      <w:color w:val="auto"/>
                      <w:kern w:val="0"/>
                      <w:sz w:val="21"/>
                      <w:szCs w:val="21"/>
                      <w:lang w:val="en-US" w:eastAsia="zh-CN" w:bidi="ar"/>
                    </w:rPr>
                    <w:t>GB37822——2019</w:t>
                  </w:r>
                  <w:r>
                    <w:rPr>
                      <w:rFonts w:hint="eastAsia" w:ascii="宋体" w:hAnsi="宋体" w:eastAsia="宋体" w:cs="宋体"/>
                      <w:b w:val="0"/>
                      <w:bCs/>
                      <w:color w:val="auto"/>
                      <w:kern w:val="0"/>
                      <w:sz w:val="21"/>
                      <w:szCs w:val="21"/>
                      <w:lang w:val="en-US" w:eastAsia="zh-CN" w:bidi="ar"/>
                    </w:rPr>
                    <w:t>）》相关要求。</w:t>
                  </w:r>
                </w:p>
              </w:tc>
              <w:tc>
                <w:tcPr>
                  <w:tcW w:w="2302"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utoSpaceDE w:val="0"/>
                    <w:autoSpaceDN/>
                    <w:adjustRightInd w:val="0"/>
                    <w:snapToGrid w:val="0"/>
                    <w:spacing w:before="0" w:beforeAutospacing="0" w:after="0" w:afterAutospacing="0"/>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本项目</w:t>
                  </w:r>
                  <w:r>
                    <w:rPr>
                      <w:rFonts w:hint="eastAsia" w:eastAsia="宋体" w:cs="宋体"/>
                      <w:b w:val="0"/>
                      <w:bCs/>
                      <w:color w:val="auto"/>
                      <w:kern w:val="0"/>
                      <w:sz w:val="21"/>
                      <w:szCs w:val="21"/>
                      <w:lang w:val="en-US" w:eastAsia="zh-CN" w:bidi="ar"/>
                    </w:rPr>
                    <w:t>不</w:t>
                  </w:r>
                  <w:r>
                    <w:rPr>
                      <w:rFonts w:hint="default" w:ascii="Times New Roman" w:hAnsi="Times New Roman" w:eastAsia="宋体" w:cs="Times New Roman"/>
                      <w:b w:val="0"/>
                      <w:bCs/>
                      <w:color w:val="auto"/>
                      <w:kern w:val="0"/>
                      <w:sz w:val="21"/>
                      <w:szCs w:val="21"/>
                      <w:lang w:val="en-US" w:eastAsia="zh-CN" w:bidi="ar"/>
                    </w:rPr>
                    <w:t>涉及。</w:t>
                  </w:r>
                </w:p>
              </w:tc>
              <w:tc>
                <w:tcPr>
                  <w:tcW w:w="879" w:type="dxa"/>
                  <w:tcBorders>
                    <w:top w:val="single" w:color="auto" w:sz="4" w:space="0"/>
                    <w:left w:val="nil"/>
                    <w:bottom w:val="single" w:color="auto" w:sz="4" w:space="0"/>
                    <w:right w:val="nil"/>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center"/>
                    <w:rPr>
                      <w:rFonts w:hint="default" w:ascii="Times New Roman" w:hAnsi="Times New Roman" w:eastAsia="宋体" w:cs="Times New Roman"/>
                      <w:b w:val="0"/>
                      <w:bCs/>
                      <w:color w:val="auto"/>
                      <w:kern w:val="0"/>
                      <w:sz w:val="21"/>
                      <w:szCs w:val="21"/>
                      <w:lang w:val="en-US" w:eastAsia="zh-CN"/>
                    </w:rPr>
                  </w:pPr>
                  <w:r>
                    <w:rPr>
                      <w:rFonts w:hint="eastAsia" w:eastAsia="宋体" w:cs="宋体"/>
                      <w:b w:val="0"/>
                      <w:bCs/>
                      <w:color w:val="auto"/>
                      <w:kern w:val="0"/>
                      <w:sz w:val="21"/>
                      <w:szCs w:val="21"/>
                      <w:lang w:val="en-US" w:eastAsia="zh-CN" w:bidi="ar"/>
                    </w:rPr>
                    <w:t>不涉及</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0"/>
                      <w:szCs w:val="20"/>
                      <w:lang w:val="en-US" w:eastAsia="zh-CN"/>
                    </w:rPr>
                  </w:pPr>
                </w:p>
              </w:tc>
              <w:tc>
                <w:tcPr>
                  <w:tcW w:w="4198"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5</w:t>
                  </w:r>
                  <w:r>
                    <w:rPr>
                      <w:rFonts w:hint="eastAsia" w:ascii="宋体" w:hAnsi="宋体" w:eastAsia="宋体" w:cs="宋体"/>
                      <w:b w:val="0"/>
                      <w:bCs/>
                      <w:color w:val="auto"/>
                      <w:kern w:val="0"/>
                      <w:sz w:val="21"/>
                      <w:szCs w:val="21"/>
                      <w:lang w:val="en-US" w:eastAsia="zh-CN" w:bidi="ar"/>
                    </w:rPr>
                    <w:t>、向污水集中处理设施排放工业废水的，应当按照国家有关规定进行预处理，达到集中处理设施处理工艺要求后方可排放。</w:t>
                  </w:r>
                </w:p>
              </w:tc>
              <w:tc>
                <w:tcPr>
                  <w:tcW w:w="2302"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项目生产废水主要为冷灰桶冷却用水及车间冲洗废水。冷灰桶冷却用水经闭式冷却水循环系统收集、处理后循环使用，不外排；车间</w:t>
                  </w:r>
                  <w:r>
                    <w:rPr>
                      <w:rFonts w:hint="eastAsia" w:cs="宋体"/>
                      <w:b w:val="0"/>
                      <w:bCs/>
                      <w:color w:val="auto"/>
                      <w:kern w:val="0"/>
                      <w:sz w:val="21"/>
                      <w:szCs w:val="21"/>
                      <w:lang w:val="en-US" w:eastAsia="zh-CN" w:bidi="ar"/>
                    </w:rPr>
                    <w:t>洒扫</w:t>
                  </w:r>
                  <w:r>
                    <w:rPr>
                      <w:rFonts w:hint="eastAsia" w:ascii="宋体" w:hAnsi="宋体" w:eastAsia="宋体" w:cs="宋体"/>
                      <w:b w:val="0"/>
                      <w:bCs/>
                      <w:color w:val="auto"/>
                      <w:kern w:val="0"/>
                      <w:sz w:val="21"/>
                      <w:szCs w:val="21"/>
                      <w:lang w:val="en-US" w:eastAsia="zh-CN" w:bidi="ar"/>
                    </w:rPr>
                    <w:t>废水</w:t>
                  </w:r>
                  <w:r>
                    <w:rPr>
                      <w:rFonts w:hint="eastAsia" w:cs="宋体"/>
                      <w:b w:val="0"/>
                      <w:bCs/>
                      <w:color w:val="auto"/>
                      <w:kern w:val="0"/>
                      <w:sz w:val="21"/>
                      <w:szCs w:val="21"/>
                      <w:lang w:val="en-US" w:eastAsia="zh-CN" w:bidi="ar"/>
                    </w:rPr>
                    <w:t>全部蒸发损耗，不外排</w:t>
                  </w:r>
                  <w:r>
                    <w:rPr>
                      <w:rFonts w:hint="eastAsia" w:ascii="宋体" w:hAnsi="宋体" w:eastAsia="宋体" w:cs="宋体"/>
                      <w:b w:val="0"/>
                      <w:bCs/>
                      <w:color w:val="auto"/>
                      <w:kern w:val="0"/>
                      <w:sz w:val="21"/>
                      <w:szCs w:val="21"/>
                      <w:lang w:val="en-US" w:eastAsia="zh-CN" w:bidi="ar"/>
                    </w:rPr>
                    <w:t>。</w:t>
                  </w:r>
                </w:p>
              </w:tc>
              <w:tc>
                <w:tcPr>
                  <w:tcW w:w="879" w:type="dxa"/>
                  <w:tcBorders>
                    <w:top w:val="single" w:color="auto" w:sz="4" w:space="0"/>
                    <w:left w:val="nil"/>
                    <w:bottom w:val="single" w:color="auto" w:sz="4" w:space="0"/>
                    <w:right w:val="nil"/>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center"/>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相符</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0"/>
                      <w:szCs w:val="20"/>
                      <w:lang w:val="en-US" w:eastAsia="zh-CN"/>
                    </w:rPr>
                  </w:pPr>
                </w:p>
              </w:tc>
              <w:tc>
                <w:tcPr>
                  <w:tcW w:w="4198"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6</w:t>
                  </w:r>
                  <w:r>
                    <w:rPr>
                      <w:rFonts w:hint="eastAsia" w:ascii="宋体" w:hAnsi="宋体" w:eastAsia="宋体" w:cs="宋体"/>
                      <w:b w:val="0"/>
                      <w:bCs/>
                      <w:color w:val="auto"/>
                      <w:kern w:val="0"/>
                      <w:sz w:val="21"/>
                      <w:szCs w:val="21"/>
                      <w:lang w:val="en-US" w:eastAsia="zh-CN" w:bidi="ar"/>
                    </w:rPr>
                    <w:t>、鼓励和支持无汞催化剂和工艺、限制或禁止的持久性有机污染物替代品和技术。</w:t>
                  </w:r>
                </w:p>
              </w:tc>
              <w:tc>
                <w:tcPr>
                  <w:tcW w:w="2302"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本项目不涉及。</w:t>
                  </w:r>
                </w:p>
              </w:tc>
              <w:tc>
                <w:tcPr>
                  <w:tcW w:w="879" w:type="dxa"/>
                  <w:tcBorders>
                    <w:top w:val="single" w:color="auto" w:sz="4" w:space="0"/>
                    <w:left w:val="nil"/>
                    <w:bottom w:val="single" w:color="auto" w:sz="4" w:space="0"/>
                    <w:right w:val="nil"/>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center"/>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相符</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center"/>
                    <w:rPr>
                      <w:rFonts w:hint="default" w:ascii="Times New Roman" w:hAnsi="Times New Roman" w:eastAsia="宋体" w:cs="Times New Roman"/>
                      <w:b w:val="0"/>
                      <w:bCs/>
                      <w:color w:val="auto"/>
                      <w:kern w:val="0"/>
                      <w:sz w:val="21"/>
                      <w:szCs w:val="21"/>
                      <w:highlight w:val="green"/>
                      <w:lang w:val="en-US" w:eastAsia="zh-CN"/>
                    </w:rPr>
                  </w:pPr>
                  <w:r>
                    <w:rPr>
                      <w:rFonts w:hint="eastAsia" w:ascii="宋体" w:hAnsi="宋体" w:eastAsia="宋体" w:cs="宋体"/>
                      <w:b w:val="0"/>
                      <w:bCs/>
                      <w:color w:val="auto"/>
                      <w:kern w:val="0"/>
                      <w:sz w:val="21"/>
                      <w:szCs w:val="21"/>
                      <w:lang w:val="en-US" w:eastAsia="zh-CN" w:bidi="ar"/>
                    </w:rPr>
                    <w:t>环境风险防控</w:t>
                  </w:r>
                </w:p>
              </w:tc>
              <w:tc>
                <w:tcPr>
                  <w:tcW w:w="4198"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1</w:t>
                  </w:r>
                  <w:r>
                    <w:rPr>
                      <w:rFonts w:hint="eastAsia" w:ascii="宋体" w:hAnsi="宋体" w:eastAsia="宋体" w:cs="宋体"/>
                      <w:b w:val="0"/>
                      <w:bCs/>
                      <w:color w:val="auto"/>
                      <w:kern w:val="0"/>
                      <w:sz w:val="21"/>
                      <w:szCs w:val="21"/>
                      <w:lang w:val="en-US" w:eastAsia="zh-CN" w:bidi="ar"/>
                    </w:rPr>
                    <w:t>、各级生态环境部门和其他负有生态环境监督管理职责的部门要加强对存在风险场所的日常环境监测，并对可能导致突发环境事件的风险信息加强收集、分析和研判。工业和信息化、公安、自然资源和规划、住房和城乡建设、交通运输、水利、农业农村、商务、卫生健康、应急、气象、地震等有关部门要按照职责分工，及时将可能导致突发环境事件的信息通报同级或事发地生态环境部门。企事业单位和其他生产经营者应当落实环境安全主体责任，定期排查环境安全隐患，开展环境风险评估和环境应急演练，健全风险防控措施。当出现可能导致突发环境事件的情况时，应当立即报告当地生态环境部门。</w:t>
                  </w:r>
                </w:p>
              </w:tc>
              <w:tc>
                <w:tcPr>
                  <w:tcW w:w="2302"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公司</w:t>
                  </w:r>
                  <w:r>
                    <w:rPr>
                      <w:rFonts w:hint="eastAsia" w:eastAsia="宋体" w:cs="宋体"/>
                      <w:b w:val="0"/>
                      <w:bCs/>
                      <w:color w:val="auto"/>
                      <w:kern w:val="0"/>
                      <w:sz w:val="21"/>
                      <w:szCs w:val="21"/>
                      <w:lang w:val="en-US" w:eastAsia="zh-CN" w:bidi="ar"/>
                    </w:rPr>
                    <w:t>制定有</w:t>
                  </w:r>
                  <w:r>
                    <w:rPr>
                      <w:rFonts w:hint="eastAsia" w:ascii="宋体" w:hAnsi="宋体" w:eastAsia="宋体" w:cs="宋体"/>
                      <w:b w:val="0"/>
                      <w:bCs/>
                      <w:color w:val="auto"/>
                      <w:kern w:val="0"/>
                      <w:sz w:val="21"/>
                      <w:szCs w:val="21"/>
                      <w:lang w:val="en-US" w:eastAsia="zh-CN" w:bidi="ar"/>
                    </w:rPr>
                    <w:t>完善的环境安全体制；</w:t>
                  </w:r>
                  <w:r>
                    <w:rPr>
                      <w:rFonts w:hint="eastAsia" w:eastAsia="宋体" w:cs="宋体"/>
                      <w:b w:val="0"/>
                      <w:bCs/>
                      <w:color w:val="auto"/>
                      <w:kern w:val="0"/>
                      <w:sz w:val="21"/>
                      <w:szCs w:val="21"/>
                      <w:lang w:val="en-US" w:eastAsia="zh-CN" w:bidi="ar"/>
                    </w:rPr>
                    <w:t>项目建成后</w:t>
                  </w:r>
                  <w:r>
                    <w:rPr>
                      <w:rFonts w:hint="eastAsia" w:ascii="宋体" w:hAnsi="宋体" w:eastAsia="宋体" w:cs="宋体"/>
                      <w:b w:val="0"/>
                      <w:bCs/>
                      <w:color w:val="auto"/>
                      <w:kern w:val="0"/>
                      <w:sz w:val="21"/>
                      <w:szCs w:val="21"/>
                      <w:lang w:val="en-US" w:eastAsia="zh-CN" w:bidi="ar"/>
                    </w:rPr>
                    <w:t>定期开展突发环境风险评估，</w:t>
                  </w:r>
                  <w:r>
                    <w:rPr>
                      <w:rFonts w:hint="eastAsia" w:eastAsia="宋体" w:cs="宋体"/>
                      <w:b w:val="0"/>
                      <w:bCs/>
                      <w:color w:val="auto"/>
                      <w:kern w:val="0"/>
                      <w:sz w:val="21"/>
                      <w:szCs w:val="21"/>
                      <w:lang w:val="en-US" w:eastAsia="zh-CN" w:bidi="ar"/>
                    </w:rPr>
                    <w:t>更新</w:t>
                  </w:r>
                  <w:r>
                    <w:rPr>
                      <w:rFonts w:hint="eastAsia" w:ascii="宋体" w:hAnsi="宋体" w:eastAsia="宋体" w:cs="宋体"/>
                      <w:b w:val="0"/>
                      <w:bCs/>
                      <w:color w:val="auto"/>
                      <w:kern w:val="0"/>
                      <w:sz w:val="21"/>
                      <w:szCs w:val="21"/>
                      <w:lang w:val="en-US" w:eastAsia="zh-CN" w:bidi="ar"/>
                    </w:rPr>
                    <w:t>应急预案，及时排查治理环境安全隐患。</w:t>
                  </w:r>
                </w:p>
              </w:tc>
              <w:tc>
                <w:tcPr>
                  <w:tcW w:w="879" w:type="dxa"/>
                  <w:tcBorders>
                    <w:top w:val="single" w:color="auto" w:sz="4" w:space="0"/>
                    <w:left w:val="nil"/>
                    <w:bottom w:val="single" w:color="auto" w:sz="4" w:space="0"/>
                    <w:right w:val="nil"/>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center"/>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相符</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Merge w:val="restart"/>
                  <w:tcBorders>
                    <w:top w:val="nil"/>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center"/>
                    <w:rPr>
                      <w:rFonts w:hint="default" w:ascii="Times New Roman" w:hAnsi="Times New Roman" w:eastAsia="宋体" w:cs="Times New Roman"/>
                      <w:b w:val="0"/>
                      <w:bCs/>
                      <w:color w:val="auto"/>
                      <w:kern w:val="0"/>
                      <w:sz w:val="21"/>
                      <w:szCs w:val="21"/>
                      <w:highlight w:val="green"/>
                      <w:lang w:val="en-US" w:eastAsia="zh-CN"/>
                    </w:rPr>
                  </w:pPr>
                  <w:r>
                    <w:rPr>
                      <w:rFonts w:hint="eastAsia" w:ascii="宋体" w:hAnsi="宋体" w:eastAsia="宋体" w:cs="宋体"/>
                      <w:b w:val="0"/>
                      <w:bCs/>
                      <w:color w:val="auto"/>
                      <w:kern w:val="0"/>
                      <w:sz w:val="21"/>
                      <w:szCs w:val="21"/>
                      <w:lang w:val="en-US" w:eastAsia="zh-CN" w:bidi="ar"/>
                    </w:rPr>
                    <w:t>资源开发效率要求</w:t>
                  </w:r>
                </w:p>
              </w:tc>
              <w:tc>
                <w:tcPr>
                  <w:tcW w:w="4198"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1</w:t>
                  </w:r>
                  <w:r>
                    <w:rPr>
                      <w:rFonts w:hint="eastAsia" w:ascii="宋体" w:hAnsi="宋体" w:eastAsia="宋体" w:cs="宋体"/>
                      <w:b w:val="0"/>
                      <w:bCs/>
                      <w:color w:val="auto"/>
                      <w:kern w:val="0"/>
                      <w:sz w:val="21"/>
                      <w:szCs w:val="21"/>
                      <w:lang w:val="en-US" w:eastAsia="zh-CN" w:bidi="ar"/>
                    </w:rPr>
                    <w:t>、十四五期间，全市年用水总量控制完成国家、省、市下达目标要求。火电、钢铁、造纸、化工、食品、发酵等高耗水行业、推进企业串联用水、分质用水、一水多用和梯级循环利用，提升工业污水资源化利用效率。</w:t>
                  </w:r>
                </w:p>
              </w:tc>
              <w:tc>
                <w:tcPr>
                  <w:tcW w:w="2302"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本项目不属于火电、钢铁、造纸、化工、食品、发酵等高耗水行业的建设内容，对全市年用水总量控制完成国家、省、市下达目标要求无影响。</w:t>
                  </w:r>
                </w:p>
              </w:tc>
              <w:tc>
                <w:tcPr>
                  <w:tcW w:w="879" w:type="dxa"/>
                  <w:tcBorders>
                    <w:top w:val="single" w:color="auto" w:sz="4" w:space="0"/>
                    <w:left w:val="nil"/>
                    <w:bottom w:val="single" w:color="auto" w:sz="4" w:space="0"/>
                    <w:right w:val="nil"/>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center"/>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相符</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0"/>
                      <w:szCs w:val="20"/>
                      <w:lang w:val="en-US" w:eastAsia="zh-CN"/>
                    </w:rPr>
                  </w:pPr>
                </w:p>
              </w:tc>
              <w:tc>
                <w:tcPr>
                  <w:tcW w:w="4198"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2</w:t>
                  </w:r>
                  <w:r>
                    <w:rPr>
                      <w:rFonts w:hint="eastAsia" w:ascii="宋体" w:hAnsi="宋体" w:eastAsia="宋体" w:cs="宋体"/>
                      <w:b w:val="0"/>
                      <w:bCs/>
                      <w:color w:val="auto"/>
                      <w:kern w:val="0"/>
                      <w:sz w:val="21"/>
                      <w:szCs w:val="21"/>
                      <w:lang w:val="en-US" w:eastAsia="zh-CN" w:bidi="ar"/>
                    </w:rPr>
                    <w:t>、实行严格的耕地保护制度和节约用地制度，提高土地资源利用效率，实现从扩张型发展向内涵式发展的转变。</w:t>
                  </w:r>
                </w:p>
              </w:tc>
              <w:tc>
                <w:tcPr>
                  <w:tcW w:w="2302"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本项目为建设用地</w:t>
                  </w:r>
                </w:p>
              </w:tc>
              <w:tc>
                <w:tcPr>
                  <w:tcW w:w="879" w:type="dxa"/>
                  <w:tcBorders>
                    <w:top w:val="single" w:color="auto" w:sz="4" w:space="0"/>
                    <w:left w:val="nil"/>
                    <w:bottom w:val="single" w:color="auto" w:sz="4" w:space="0"/>
                    <w:right w:val="nil"/>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center"/>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相符</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0"/>
                      <w:szCs w:val="20"/>
                      <w:lang w:val="en-US" w:eastAsia="zh-CN"/>
                    </w:rPr>
                  </w:pPr>
                </w:p>
              </w:tc>
              <w:tc>
                <w:tcPr>
                  <w:tcW w:w="4198"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3</w:t>
                  </w:r>
                  <w:r>
                    <w:rPr>
                      <w:rFonts w:hint="eastAsia" w:ascii="宋体" w:hAnsi="宋体" w:eastAsia="宋体" w:cs="宋体"/>
                      <w:b w:val="0"/>
                      <w:bCs/>
                      <w:color w:val="auto"/>
                      <w:kern w:val="0"/>
                      <w:sz w:val="21"/>
                      <w:szCs w:val="21"/>
                      <w:lang w:val="en-US" w:eastAsia="zh-CN" w:bidi="ar"/>
                    </w:rPr>
                    <w:t>、积极推进</w:t>
                  </w:r>
                  <w:r>
                    <w:rPr>
                      <w:rFonts w:hint="eastAsia" w:ascii="Times New Roman" w:hAnsi="Times New Roman" w:eastAsia="宋体" w:cs="Times New Roman"/>
                      <w:b w:val="0"/>
                      <w:bCs/>
                      <w:color w:val="auto"/>
                      <w:kern w:val="0"/>
                      <w:sz w:val="21"/>
                      <w:szCs w:val="21"/>
                      <w:lang w:val="en-US" w:eastAsia="zh-CN" w:bidi="ar"/>
                    </w:rPr>
                    <w:t>“</w:t>
                  </w:r>
                  <w:r>
                    <w:rPr>
                      <w:rFonts w:hint="eastAsia" w:ascii="宋体" w:hAnsi="宋体" w:eastAsia="宋体" w:cs="宋体"/>
                      <w:b w:val="0"/>
                      <w:bCs/>
                      <w:color w:val="auto"/>
                      <w:kern w:val="0"/>
                      <w:sz w:val="21"/>
                      <w:szCs w:val="21"/>
                      <w:lang w:val="en-US" w:eastAsia="zh-CN" w:bidi="ar"/>
                    </w:rPr>
                    <w:t>可再生能源</w:t>
                  </w:r>
                  <w:r>
                    <w:rPr>
                      <w:rFonts w:hint="default" w:ascii="Times New Roman" w:hAnsi="Times New Roman" w:eastAsia="宋体" w:cs="Times New Roman"/>
                      <w:b w:val="0"/>
                      <w:bCs/>
                      <w:color w:val="auto"/>
                      <w:kern w:val="0"/>
                      <w:sz w:val="21"/>
                      <w:szCs w:val="21"/>
                      <w:lang w:val="en-US" w:eastAsia="zh-CN" w:bidi="ar"/>
                    </w:rPr>
                    <w:t>+</w:t>
                  </w:r>
                  <w:r>
                    <w:rPr>
                      <w:rFonts w:hint="eastAsia" w:ascii="宋体" w:hAnsi="宋体" w:eastAsia="宋体" w:cs="宋体"/>
                      <w:b w:val="0"/>
                      <w:bCs/>
                      <w:color w:val="auto"/>
                      <w:kern w:val="0"/>
                      <w:sz w:val="21"/>
                      <w:szCs w:val="21"/>
                      <w:lang w:val="en-US" w:eastAsia="zh-CN" w:bidi="ar"/>
                    </w:rPr>
                    <w:t>储能</w:t>
                  </w:r>
                  <w:r>
                    <w:rPr>
                      <w:rFonts w:hint="eastAsia" w:ascii="Times New Roman" w:hAnsi="Times New Roman" w:eastAsia="宋体" w:cs="Times New Roman"/>
                      <w:b w:val="0"/>
                      <w:bCs/>
                      <w:color w:val="auto"/>
                      <w:kern w:val="0"/>
                      <w:sz w:val="21"/>
                      <w:szCs w:val="21"/>
                      <w:lang w:val="en-US" w:eastAsia="zh-CN" w:bidi="ar"/>
                    </w:rPr>
                    <w:t>”</w:t>
                  </w:r>
                  <w:r>
                    <w:rPr>
                      <w:rFonts w:hint="eastAsia" w:ascii="宋体" w:hAnsi="宋体" w:eastAsia="宋体" w:cs="宋体"/>
                      <w:b w:val="0"/>
                      <w:bCs/>
                      <w:color w:val="auto"/>
                      <w:kern w:val="0"/>
                      <w:sz w:val="21"/>
                      <w:szCs w:val="21"/>
                      <w:lang w:val="en-US" w:eastAsia="zh-CN" w:bidi="ar"/>
                    </w:rPr>
                    <w:t>示范项目建设；立足安阳产业基础优势，加快培育人工智能产业、氢能和储能产业和大数据融合创新产业；鼓励生物秸杆资源发电、风力发电、地热能开发用等项目建设，合理开发风能、地热能、煤层气等资源。</w:t>
                  </w:r>
                </w:p>
              </w:tc>
              <w:tc>
                <w:tcPr>
                  <w:tcW w:w="2302"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本项目不涉及。</w:t>
                  </w:r>
                </w:p>
              </w:tc>
              <w:tc>
                <w:tcPr>
                  <w:tcW w:w="879" w:type="dxa"/>
                  <w:tcBorders>
                    <w:top w:val="single" w:color="auto" w:sz="4" w:space="0"/>
                    <w:left w:val="nil"/>
                    <w:bottom w:val="single" w:color="auto" w:sz="4" w:space="0"/>
                    <w:right w:val="nil"/>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center"/>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不涉及</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0"/>
                      <w:szCs w:val="20"/>
                      <w:lang w:val="en-US" w:eastAsia="zh-CN"/>
                    </w:rPr>
                  </w:pPr>
                </w:p>
              </w:tc>
              <w:tc>
                <w:tcPr>
                  <w:tcW w:w="4198"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4</w:t>
                  </w:r>
                  <w:r>
                    <w:rPr>
                      <w:rFonts w:hint="eastAsia" w:ascii="宋体" w:hAnsi="宋体" w:eastAsia="宋体" w:cs="宋体"/>
                      <w:b w:val="0"/>
                      <w:bCs/>
                      <w:color w:val="auto"/>
                      <w:kern w:val="0"/>
                      <w:sz w:val="21"/>
                      <w:szCs w:val="21"/>
                      <w:lang w:val="en-US" w:eastAsia="zh-CN" w:bidi="ar"/>
                    </w:rPr>
                    <w:t>、持续实施新建（含改扩建）项目煤炭消费等量或减量替代。</w:t>
                  </w:r>
                </w:p>
              </w:tc>
              <w:tc>
                <w:tcPr>
                  <w:tcW w:w="2302"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本项目不涉及煤炭消耗。</w:t>
                  </w:r>
                </w:p>
              </w:tc>
              <w:tc>
                <w:tcPr>
                  <w:tcW w:w="879" w:type="dxa"/>
                  <w:tcBorders>
                    <w:top w:val="single" w:color="auto" w:sz="4" w:space="0"/>
                    <w:left w:val="nil"/>
                    <w:bottom w:val="single" w:color="auto" w:sz="4" w:space="0"/>
                    <w:right w:val="nil"/>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center"/>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不涉及</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9"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0"/>
                      <w:szCs w:val="20"/>
                      <w:lang w:val="en-US" w:eastAsia="zh-CN"/>
                    </w:rPr>
                  </w:pPr>
                </w:p>
              </w:tc>
              <w:tc>
                <w:tcPr>
                  <w:tcW w:w="4198"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utoSpaceDE w:val="0"/>
                    <w:autoSpaceDN/>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eastAsia" w:ascii="Times New Roman" w:hAnsi="Times New Roman" w:eastAsia="宋体" w:cs="Times New Roman"/>
                      <w:b w:val="0"/>
                      <w:bCs/>
                      <w:color w:val="auto"/>
                      <w:kern w:val="0"/>
                      <w:sz w:val="21"/>
                      <w:szCs w:val="21"/>
                      <w:lang w:val="en-US" w:eastAsia="zh-CN" w:bidi="ar"/>
                    </w:rPr>
                    <w:t>“</w:t>
                  </w:r>
                  <w:r>
                    <w:rPr>
                      <w:rFonts w:hint="eastAsia" w:ascii="宋体" w:hAnsi="宋体" w:eastAsia="宋体" w:cs="宋体"/>
                      <w:b w:val="0"/>
                      <w:bCs/>
                      <w:color w:val="auto"/>
                      <w:kern w:val="0"/>
                      <w:sz w:val="21"/>
                      <w:szCs w:val="21"/>
                      <w:lang w:val="en-US" w:eastAsia="zh-CN" w:bidi="ar"/>
                    </w:rPr>
                    <w:t>十四五</w:t>
                  </w:r>
                  <w:r>
                    <w:rPr>
                      <w:rFonts w:hint="eastAsia" w:ascii="Times New Roman" w:hAnsi="Times New Roman" w:eastAsia="宋体" w:cs="Times New Roman"/>
                      <w:b w:val="0"/>
                      <w:bCs/>
                      <w:color w:val="auto"/>
                      <w:kern w:val="0"/>
                      <w:sz w:val="21"/>
                      <w:szCs w:val="21"/>
                      <w:lang w:val="en-US" w:eastAsia="zh-CN" w:bidi="ar"/>
                    </w:rPr>
                    <w:t>”</w:t>
                  </w:r>
                  <w:r>
                    <w:rPr>
                      <w:rFonts w:hint="eastAsia" w:ascii="宋体" w:hAnsi="宋体" w:eastAsia="宋体" w:cs="宋体"/>
                      <w:b w:val="0"/>
                      <w:bCs/>
                      <w:color w:val="auto"/>
                      <w:kern w:val="0"/>
                      <w:sz w:val="21"/>
                      <w:szCs w:val="21"/>
                      <w:lang w:val="en-US" w:eastAsia="zh-CN" w:bidi="ar"/>
                    </w:rPr>
                    <w:t>全市万元地区生产总值能耗强度降低</w:t>
                  </w:r>
                  <w:r>
                    <w:rPr>
                      <w:rFonts w:hint="default" w:ascii="Times New Roman" w:hAnsi="Times New Roman" w:eastAsia="宋体" w:cs="Times New Roman"/>
                      <w:b w:val="0"/>
                      <w:bCs/>
                      <w:color w:val="auto"/>
                      <w:kern w:val="0"/>
                      <w:sz w:val="21"/>
                      <w:szCs w:val="21"/>
                      <w:lang w:val="en-US" w:eastAsia="zh-CN" w:bidi="ar"/>
                    </w:rPr>
                    <w:t>18%</w:t>
                  </w:r>
                  <w:r>
                    <w:rPr>
                      <w:rFonts w:hint="eastAsia" w:ascii="宋体" w:hAnsi="宋体" w:eastAsia="宋体" w:cs="宋体"/>
                      <w:b w:val="0"/>
                      <w:bCs/>
                      <w:color w:val="auto"/>
                      <w:kern w:val="0"/>
                      <w:sz w:val="21"/>
                      <w:szCs w:val="21"/>
                      <w:lang w:val="en-US" w:eastAsia="zh-CN" w:bidi="ar"/>
                    </w:rPr>
                    <w:t>。</w:t>
                  </w:r>
                </w:p>
              </w:tc>
              <w:tc>
                <w:tcPr>
                  <w:tcW w:w="2302"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color w:val="auto"/>
                      <w:kern w:val="0"/>
                      <w:sz w:val="21"/>
                      <w:szCs w:val="21"/>
                      <w:lang w:val="en-US" w:eastAsia="zh-CN" w:bidi="ar"/>
                    </w:rPr>
                    <w:t>企业应加强节能管理、降低单位产品的能源消耗，积极使用清洁能源。</w:t>
                  </w:r>
                </w:p>
              </w:tc>
              <w:tc>
                <w:tcPr>
                  <w:tcW w:w="879" w:type="dxa"/>
                  <w:tcBorders>
                    <w:top w:val="single" w:color="auto" w:sz="4" w:space="0"/>
                    <w:left w:val="nil"/>
                    <w:bottom w:val="single" w:color="auto" w:sz="4" w:space="0"/>
                    <w:right w:val="nil"/>
                  </w:tcBorders>
                  <w:vAlign w:val="center"/>
                </w:tcPr>
                <w:p>
                  <w:pPr>
                    <w:pStyle w:val="23"/>
                    <w:keepNext w:val="0"/>
                    <w:keepLines w:val="0"/>
                    <w:widowControl w:val="0"/>
                    <w:suppressLineNumbers w:val="0"/>
                    <w:overflowPunct w:val="0"/>
                    <w:adjustRightInd w:val="0"/>
                    <w:snapToGrid w:val="0"/>
                    <w:spacing w:before="0" w:beforeAutospacing="0" w:after="0" w:afterAutospacing="0" w:line="252" w:lineRule="auto"/>
                    <w:ind w:left="0" w:leftChars="0" w:right="0" w:firstLine="0" w:firstLineChars="0"/>
                    <w:jc w:val="center"/>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相符</w:t>
                  </w:r>
                </w:p>
              </w:tc>
            </w:tr>
          </w:tbl>
          <w:p>
            <w:pPr>
              <w:pStyle w:val="29"/>
              <w:keepNext w:val="0"/>
              <w:keepLines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b w:val="0"/>
                <w:bCs w:val="0"/>
                <w:color w:val="auto"/>
                <w:kern w:val="2"/>
                <w:sz w:val="24"/>
                <w:szCs w:val="24"/>
                <w:highlight w:val="none"/>
                <w:u w:val="none" w:color="auto"/>
                <w:lang w:val="en-US" w:eastAsia="zh-CN" w:bidi="ar-SA"/>
              </w:rPr>
            </w:pPr>
            <w:r>
              <w:rPr>
                <w:rFonts w:hint="eastAsia" w:ascii="Times New Roman" w:hAnsi="Times New Roman" w:eastAsia="宋体" w:cs="Times New Roman"/>
                <w:b w:val="0"/>
                <w:bCs w:val="0"/>
                <w:color w:val="auto"/>
                <w:kern w:val="2"/>
                <w:sz w:val="24"/>
                <w:szCs w:val="24"/>
                <w:highlight w:val="none"/>
                <w:u w:val="none" w:color="auto"/>
                <w:lang w:val="en-US" w:eastAsia="zh-CN" w:bidi="ar-SA"/>
              </w:rPr>
              <w:t>本项目位于</w:t>
            </w:r>
            <w:r>
              <w:rPr>
                <w:rFonts w:hint="eastAsia" w:ascii="Times New Roman" w:eastAsia="宋体" w:cs="Times New Roman"/>
                <w:b w:val="0"/>
                <w:bCs w:val="0"/>
                <w:color w:val="auto"/>
                <w:kern w:val="2"/>
                <w:sz w:val="24"/>
                <w:szCs w:val="24"/>
                <w:highlight w:val="none"/>
                <w:u w:val="none" w:color="auto"/>
                <w:lang w:val="en-US" w:eastAsia="zh-CN" w:bidi="ar-SA"/>
              </w:rPr>
              <w:t>安阳市汤阴县中原路与宜兴大道交叉口东北方位</w:t>
            </w:r>
            <w:r>
              <w:rPr>
                <w:rFonts w:hint="eastAsia" w:ascii="Times New Roman" w:hAnsi="Times New Roman" w:eastAsia="宋体" w:cs="Times New Roman"/>
                <w:b w:val="0"/>
                <w:bCs w:val="0"/>
                <w:color w:val="auto"/>
                <w:kern w:val="2"/>
                <w:sz w:val="24"/>
                <w:szCs w:val="24"/>
                <w:highlight w:val="none"/>
                <w:u w:val="none" w:color="auto"/>
                <w:lang w:val="en-US" w:eastAsia="zh-CN" w:bidi="ar-SA"/>
              </w:rPr>
              <w:t>，经查阅《安阳市汤阴县环境管控单元生态环境准入清单》，项目区域管控单元分类为汤阴县重点管控单元，环境管控单元名称：汤阴县高新技术产业开发区，编码：ZH41052320001，本项目与该管控单元准入清单相符性分析见下表。</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iCs/>
                <w:color w:val="auto"/>
                <w:sz w:val="24"/>
                <w:szCs w:val="21"/>
                <w:highlight w:val="none"/>
              </w:rPr>
            </w:pPr>
            <w:r>
              <w:rPr>
                <w:rFonts w:hint="default" w:ascii="Times New Roman" w:hAnsi="Times New Roman" w:eastAsia="宋体" w:cs="Times New Roman"/>
                <w:b/>
                <w:iCs/>
                <w:color w:val="auto"/>
                <w:sz w:val="24"/>
                <w:szCs w:val="21"/>
                <w:highlight w:val="none"/>
              </w:rPr>
              <w:t>安阳市汤阴县环境管控单元生态环境准入清单</w:t>
            </w:r>
          </w:p>
          <w:tbl>
            <w:tblPr>
              <w:tblStyle w:val="28"/>
              <w:tblW w:w="8118" w:type="dxa"/>
              <w:jc w:val="center"/>
              <w:tblInd w:w="0" w:type="dxa"/>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8"/>
              <w:gridCol w:w="4146"/>
              <w:gridCol w:w="2330"/>
              <w:gridCol w:w="894"/>
            </w:tblGrid>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748"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right="0"/>
                    <w:jc w:val="center"/>
                    <w:rPr>
                      <w:rFonts w:hint="default" w:ascii="Times New Roman" w:hAnsi="Times New Roman" w:eastAsia="宋体" w:cs="Times New Roman"/>
                      <w:b/>
                      <w:bCs w:val="0"/>
                      <w:color w:val="auto"/>
                      <w:kern w:val="2"/>
                      <w:sz w:val="21"/>
                      <w:szCs w:val="21"/>
                      <w:lang w:val="en-US" w:eastAsia="zh-CN"/>
                    </w:rPr>
                  </w:pPr>
                  <w:r>
                    <w:rPr>
                      <w:rFonts w:hint="eastAsia" w:ascii="宋体" w:hAnsi="宋体" w:eastAsia="宋体" w:cs="宋体"/>
                      <w:b/>
                      <w:bCs w:val="0"/>
                      <w:color w:val="auto"/>
                      <w:kern w:val="2"/>
                      <w:sz w:val="21"/>
                      <w:szCs w:val="21"/>
                      <w:lang w:val="en-US" w:eastAsia="zh-CN" w:bidi="ar"/>
                    </w:rPr>
                    <w:t>维度</w:t>
                  </w:r>
                </w:p>
              </w:tc>
              <w:tc>
                <w:tcPr>
                  <w:tcW w:w="4146"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right="0"/>
                    <w:jc w:val="center"/>
                    <w:rPr>
                      <w:rFonts w:hint="default" w:ascii="Times New Roman" w:hAnsi="Times New Roman" w:eastAsia="宋体" w:cs="Times New Roman"/>
                      <w:b/>
                      <w:bCs w:val="0"/>
                      <w:color w:val="auto"/>
                      <w:kern w:val="2"/>
                      <w:sz w:val="21"/>
                      <w:szCs w:val="21"/>
                      <w:lang w:val="en-US" w:eastAsia="zh-CN"/>
                    </w:rPr>
                  </w:pPr>
                  <w:r>
                    <w:rPr>
                      <w:rFonts w:hint="eastAsia" w:ascii="宋体" w:hAnsi="宋体" w:eastAsia="宋体" w:cs="宋体"/>
                      <w:b/>
                      <w:bCs w:val="0"/>
                      <w:color w:val="auto"/>
                      <w:kern w:val="2"/>
                      <w:sz w:val="21"/>
                      <w:szCs w:val="21"/>
                      <w:lang w:val="en-US" w:eastAsia="zh-CN" w:bidi="ar"/>
                    </w:rPr>
                    <w:t>管控要求</w:t>
                  </w:r>
                </w:p>
              </w:tc>
              <w:tc>
                <w:tcPr>
                  <w:tcW w:w="2330"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right="0"/>
                    <w:jc w:val="center"/>
                    <w:rPr>
                      <w:rFonts w:hint="default" w:ascii="Times New Roman" w:hAnsi="Times New Roman" w:eastAsia="宋体" w:cs="Times New Roman"/>
                      <w:b/>
                      <w:bCs w:val="0"/>
                      <w:color w:val="auto"/>
                      <w:kern w:val="2"/>
                      <w:sz w:val="21"/>
                      <w:szCs w:val="21"/>
                      <w:lang w:val="en-US" w:eastAsia="zh-CN"/>
                    </w:rPr>
                  </w:pPr>
                  <w:r>
                    <w:rPr>
                      <w:rFonts w:hint="eastAsia" w:ascii="宋体" w:hAnsi="宋体" w:eastAsia="宋体" w:cs="宋体"/>
                      <w:b/>
                      <w:bCs w:val="0"/>
                      <w:color w:val="auto"/>
                      <w:kern w:val="2"/>
                      <w:sz w:val="21"/>
                      <w:szCs w:val="21"/>
                      <w:lang w:val="en-US" w:eastAsia="zh-CN" w:bidi="ar"/>
                    </w:rPr>
                    <w:t>本项目情况</w:t>
                  </w:r>
                </w:p>
              </w:tc>
              <w:tc>
                <w:tcPr>
                  <w:tcW w:w="894" w:type="dxa"/>
                  <w:tcBorders>
                    <w:top w:val="single" w:color="auto" w:sz="4" w:space="0"/>
                    <w:left w:val="nil"/>
                    <w:bottom w:val="single" w:color="auto" w:sz="4" w:space="0"/>
                    <w:right w:val="nil"/>
                  </w:tcBorders>
                  <w:vAlign w:val="center"/>
                </w:tcPr>
                <w:p>
                  <w:pPr>
                    <w:keepNext w:val="0"/>
                    <w:keepLines w:val="0"/>
                    <w:widowControl w:val="0"/>
                    <w:suppressLineNumbers w:val="0"/>
                    <w:autoSpaceDE w:val="0"/>
                    <w:autoSpaceDN/>
                    <w:adjustRightInd w:val="0"/>
                    <w:snapToGrid w:val="0"/>
                    <w:spacing w:before="0" w:beforeAutospacing="0" w:after="0" w:afterAutospacing="0"/>
                    <w:ind w:left="0" w:right="0"/>
                    <w:jc w:val="center"/>
                    <w:rPr>
                      <w:rFonts w:hint="default" w:ascii="Times New Roman" w:hAnsi="Times New Roman" w:eastAsia="宋体" w:cs="Times New Roman"/>
                      <w:b/>
                      <w:bCs w:val="0"/>
                      <w:color w:val="auto"/>
                      <w:kern w:val="2"/>
                      <w:sz w:val="21"/>
                      <w:szCs w:val="21"/>
                      <w:lang w:val="en-US" w:eastAsia="zh-CN"/>
                    </w:rPr>
                  </w:pPr>
                  <w:r>
                    <w:rPr>
                      <w:rFonts w:hint="eastAsia" w:ascii="宋体" w:hAnsi="宋体" w:eastAsia="宋体" w:cs="宋体"/>
                      <w:b/>
                      <w:bCs w:val="0"/>
                      <w:color w:val="auto"/>
                      <w:kern w:val="2"/>
                      <w:sz w:val="21"/>
                      <w:szCs w:val="21"/>
                      <w:lang w:val="en-US" w:eastAsia="zh-CN" w:bidi="ar"/>
                    </w:rPr>
                    <w:t>相符性</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48" w:type="dxa"/>
                  <w:vMerge w:val="restart"/>
                  <w:tcBorders>
                    <w:top w:val="nil"/>
                    <w:left w:val="nil"/>
                    <w:bottom w:val="single" w:color="auto" w:sz="4" w:space="0"/>
                    <w:right w:val="single" w:color="auto" w:sz="4" w:space="0"/>
                  </w:tcBorders>
                  <w:vAlign w:val="center"/>
                </w:tcPr>
                <w:p>
                  <w:pPr>
                    <w:keepNext w:val="0"/>
                    <w:keepLines w:val="0"/>
                    <w:widowControl/>
                    <w:suppressLineNumbers w:val="0"/>
                    <w:autoSpaceDE w:val="0"/>
                    <w:autoSpaceDN/>
                    <w:adjustRightInd w:val="0"/>
                    <w:snapToGrid w:val="0"/>
                    <w:spacing w:before="0" w:beforeAutospacing="0" w:after="0" w:afterAutospacing="0"/>
                    <w:ind w:left="0" w:right="0"/>
                    <w:jc w:val="center"/>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空间布局约束</w:t>
                  </w:r>
                </w:p>
              </w:tc>
              <w:tc>
                <w:tcPr>
                  <w:tcW w:w="4146"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autoSpaceDE w:val="0"/>
                    <w:autoSpaceDN/>
                    <w:adjustRightInd w:val="0"/>
                    <w:snapToGrid w:val="0"/>
                    <w:spacing w:before="0" w:beforeLines="10" w:beforeAutospacing="0" w:after="0" w:afterLines="10" w:afterAutospacing="0" w:line="252" w:lineRule="auto"/>
                    <w:ind w:left="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1</w:t>
                  </w:r>
                  <w:r>
                    <w:rPr>
                      <w:rFonts w:hint="eastAsia" w:ascii="宋体" w:hAnsi="宋体" w:eastAsia="宋体" w:cs="宋体"/>
                      <w:b w:val="0"/>
                      <w:bCs/>
                      <w:color w:val="auto"/>
                      <w:kern w:val="0"/>
                      <w:sz w:val="21"/>
                      <w:szCs w:val="21"/>
                      <w:lang w:val="en-US" w:eastAsia="zh-CN" w:bidi="ar"/>
                    </w:rPr>
                    <w:t>、鼓励发展主导产业，完善产业链条，严格控制非主导产业；</w:t>
                  </w:r>
                </w:p>
              </w:tc>
              <w:tc>
                <w:tcPr>
                  <w:tcW w:w="2330" w:type="dxa"/>
                  <w:tcBorders>
                    <w:top w:val="nil"/>
                    <w:left w:val="nil"/>
                    <w:bottom w:val="single" w:color="auto" w:sz="4" w:space="0"/>
                    <w:right w:val="single" w:color="auto" w:sz="4" w:space="0"/>
                  </w:tcBorders>
                  <w:vAlign w:val="center"/>
                </w:tcPr>
                <w:p>
                  <w:pPr>
                    <w:pStyle w:val="23"/>
                    <w:keepNext w:val="0"/>
                    <w:keepLines w:val="0"/>
                    <w:widowControl w:val="0"/>
                    <w:suppressLineNumbers w:val="0"/>
                    <w:adjustRightInd w:val="0"/>
                    <w:snapToGrid w:val="0"/>
                    <w:spacing w:before="24" w:beforeLines="10" w:beforeAutospacing="0" w:after="24" w:afterLines="10" w:afterAutospacing="0" w:line="252" w:lineRule="auto"/>
                    <w:ind w:left="0" w:right="0"/>
                    <w:jc w:val="both"/>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本项目为</w:t>
                  </w:r>
                  <w:r>
                    <w:rPr>
                      <w:rFonts w:hint="eastAsia" w:eastAsia="宋体" w:cs="宋体"/>
                      <w:b w:val="0"/>
                      <w:bCs/>
                      <w:color w:val="auto"/>
                      <w:kern w:val="0"/>
                      <w:sz w:val="21"/>
                      <w:szCs w:val="21"/>
                      <w:lang w:val="en-US" w:eastAsia="zh-CN" w:bidi="ar"/>
                    </w:rPr>
                    <w:t>危险废物治理项目</w:t>
                  </w:r>
                  <w:r>
                    <w:rPr>
                      <w:rFonts w:hint="eastAsia" w:ascii="宋体" w:hAnsi="宋体" w:eastAsia="宋体" w:cs="宋体"/>
                      <w:b w:val="0"/>
                      <w:bCs/>
                      <w:color w:val="auto"/>
                      <w:kern w:val="0"/>
                      <w:sz w:val="21"/>
                      <w:szCs w:val="21"/>
                      <w:lang w:val="en-US" w:eastAsia="zh-CN" w:bidi="ar"/>
                    </w:rPr>
                    <w:t>，本项目为铝锌合金生产线配套的危废利用，属于产业链条延伸项目，属于安阳市新型制造业产业园区</w:t>
                  </w:r>
                  <w:r>
                    <w:rPr>
                      <w:rFonts w:hint="eastAsia" w:eastAsia="宋体" w:cs="宋体"/>
                      <w:b w:val="0"/>
                      <w:bCs/>
                      <w:color w:val="auto"/>
                      <w:kern w:val="0"/>
                      <w:sz w:val="21"/>
                      <w:szCs w:val="21"/>
                      <w:lang w:val="en-US" w:eastAsia="zh-CN" w:bidi="ar"/>
                    </w:rPr>
                    <w:t>主导产业配套的固废利用</w:t>
                  </w:r>
                  <w:r>
                    <w:rPr>
                      <w:rFonts w:hint="eastAsia" w:ascii="宋体" w:hAnsi="宋体" w:eastAsia="宋体" w:cs="宋体"/>
                      <w:b w:val="0"/>
                      <w:bCs/>
                      <w:color w:val="auto"/>
                      <w:kern w:val="0"/>
                      <w:sz w:val="21"/>
                      <w:szCs w:val="21"/>
                      <w:lang w:val="en-US" w:eastAsia="zh-CN" w:bidi="ar"/>
                    </w:rPr>
                    <w:t>，符合安阳市新型制造业产业园区发展规划要求。</w:t>
                  </w:r>
                </w:p>
              </w:tc>
              <w:tc>
                <w:tcPr>
                  <w:tcW w:w="894" w:type="dxa"/>
                  <w:tcBorders>
                    <w:top w:val="nil"/>
                    <w:left w:val="nil"/>
                    <w:bottom w:val="single" w:color="auto" w:sz="4" w:space="0"/>
                    <w:right w:val="nil"/>
                  </w:tcBorders>
                  <w:vAlign w:val="center"/>
                </w:tcPr>
                <w:p>
                  <w:pPr>
                    <w:pStyle w:val="23"/>
                    <w:keepNext w:val="0"/>
                    <w:keepLines w:val="0"/>
                    <w:widowControl w:val="0"/>
                    <w:suppressLineNumbers w:val="0"/>
                    <w:adjustRightInd w:val="0"/>
                    <w:snapToGrid w:val="0"/>
                    <w:spacing w:before="24" w:beforeLines="10" w:beforeAutospacing="0" w:after="24" w:afterLines="10" w:afterAutospacing="0" w:line="252" w:lineRule="auto"/>
                    <w:ind w:left="0" w:right="0" w:firstLine="0" w:firstLineChars="0"/>
                    <w:jc w:val="center"/>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相符</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 w:hRule="atLeast"/>
                <w:jc w:val="center"/>
              </w:trPr>
              <w:tc>
                <w:tcPr>
                  <w:tcW w:w="748"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lang w:val="en-US" w:eastAsia="zh-CN"/>
                    </w:rPr>
                  </w:pPr>
                </w:p>
              </w:tc>
              <w:tc>
                <w:tcPr>
                  <w:tcW w:w="4146"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autoSpaceDE w:val="0"/>
                    <w:autoSpaceDN/>
                    <w:adjustRightInd w:val="0"/>
                    <w:snapToGrid w:val="0"/>
                    <w:spacing w:before="0" w:beforeLines="10" w:beforeAutospacing="0" w:after="0" w:afterLines="10" w:afterAutospacing="0" w:line="252" w:lineRule="auto"/>
                    <w:ind w:left="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2</w:t>
                  </w:r>
                  <w:r>
                    <w:rPr>
                      <w:rFonts w:hint="eastAsia" w:ascii="宋体" w:hAnsi="宋体" w:eastAsia="宋体" w:cs="宋体"/>
                      <w:b w:val="0"/>
                      <w:bCs/>
                      <w:color w:val="auto"/>
                      <w:kern w:val="0"/>
                      <w:sz w:val="21"/>
                      <w:szCs w:val="21"/>
                      <w:lang w:val="en-US" w:eastAsia="zh-CN" w:bidi="ar"/>
                    </w:rPr>
                    <w:t>、禁止入驻列入负面清单项目；</w:t>
                  </w:r>
                </w:p>
              </w:tc>
              <w:tc>
                <w:tcPr>
                  <w:tcW w:w="2330" w:type="dxa"/>
                  <w:tcBorders>
                    <w:top w:val="nil"/>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cs="Times New Roman"/>
                      <w:color w:val="auto"/>
                      <w:kern w:val="2"/>
                      <w:sz w:val="21"/>
                      <w:szCs w:val="21"/>
                      <w:lang w:val="en-US" w:eastAsia="zh-CN"/>
                    </w:rPr>
                  </w:pPr>
                  <w:r>
                    <w:rPr>
                      <w:rFonts w:hint="eastAsia" w:ascii="宋体" w:hAnsi="宋体" w:eastAsia="宋体" w:cs="宋体"/>
                      <w:color w:val="auto"/>
                      <w:kern w:val="2"/>
                      <w:sz w:val="21"/>
                      <w:szCs w:val="21"/>
                      <w:lang w:val="en-US" w:eastAsia="zh-CN" w:bidi="ar"/>
                    </w:rPr>
                    <w:t>本项目未列入安阳市新型制造业产业园区负面清单。</w:t>
                  </w:r>
                </w:p>
              </w:tc>
              <w:tc>
                <w:tcPr>
                  <w:tcW w:w="894" w:type="dxa"/>
                  <w:tcBorders>
                    <w:top w:val="nil"/>
                    <w:left w:val="nil"/>
                    <w:bottom w:val="single" w:color="auto" w:sz="4" w:space="0"/>
                    <w:right w:val="nil"/>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lang w:val="en-US" w:eastAsia="zh-CN"/>
                    </w:rPr>
                  </w:pPr>
                  <w:r>
                    <w:rPr>
                      <w:rFonts w:hint="eastAsia" w:ascii="宋体" w:hAnsi="宋体" w:eastAsia="宋体" w:cs="宋体"/>
                      <w:color w:val="auto"/>
                      <w:kern w:val="2"/>
                      <w:sz w:val="21"/>
                      <w:szCs w:val="21"/>
                      <w:lang w:val="en-US" w:eastAsia="zh-CN" w:bidi="ar"/>
                    </w:rPr>
                    <w:t>相符</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 w:hRule="atLeast"/>
                <w:jc w:val="center"/>
              </w:trPr>
              <w:tc>
                <w:tcPr>
                  <w:tcW w:w="748"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lang w:val="en-US" w:eastAsia="zh-CN"/>
                    </w:rPr>
                  </w:pPr>
                </w:p>
              </w:tc>
              <w:tc>
                <w:tcPr>
                  <w:tcW w:w="4146"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autoSpaceDE w:val="0"/>
                    <w:autoSpaceDN/>
                    <w:adjustRightInd w:val="0"/>
                    <w:snapToGrid w:val="0"/>
                    <w:spacing w:before="0" w:beforeLines="10" w:beforeAutospacing="0" w:after="0" w:afterLines="10" w:afterAutospacing="0" w:line="252" w:lineRule="auto"/>
                    <w:ind w:left="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3</w:t>
                  </w:r>
                  <w:r>
                    <w:rPr>
                      <w:rFonts w:hint="eastAsia" w:ascii="宋体" w:hAnsi="宋体" w:eastAsia="宋体" w:cs="宋体"/>
                      <w:b w:val="0"/>
                      <w:bCs/>
                      <w:color w:val="auto"/>
                      <w:kern w:val="0"/>
                      <w:sz w:val="21"/>
                      <w:szCs w:val="21"/>
                      <w:lang w:val="en-US" w:eastAsia="zh-CN" w:bidi="ar"/>
                    </w:rPr>
                    <w:t>、开发区禁止引入：煤化工、石油化工、制浆造纸、水泥、陶瓷、农药、制革及毛皮鞣制等高水耗、高能耗、污染排放量大的行业；</w:t>
                  </w:r>
                </w:p>
              </w:tc>
              <w:tc>
                <w:tcPr>
                  <w:tcW w:w="2330" w:type="dxa"/>
                  <w:tcBorders>
                    <w:top w:val="nil"/>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cs="Times New Roman"/>
                      <w:color w:val="auto"/>
                      <w:kern w:val="2"/>
                      <w:sz w:val="21"/>
                      <w:szCs w:val="21"/>
                      <w:lang w:val="en-US" w:eastAsia="zh-CN"/>
                    </w:rPr>
                  </w:pPr>
                  <w:r>
                    <w:rPr>
                      <w:rFonts w:hint="eastAsia" w:ascii="宋体" w:hAnsi="宋体" w:eastAsia="宋体" w:cs="宋体"/>
                      <w:color w:val="auto"/>
                      <w:kern w:val="2"/>
                      <w:sz w:val="21"/>
                      <w:szCs w:val="21"/>
                      <w:lang w:val="en-US" w:eastAsia="zh-CN" w:bidi="ar"/>
                    </w:rPr>
                    <w:t>本项目不属于高水耗、高能耗、污染排放量大的行业。</w:t>
                  </w:r>
                </w:p>
              </w:tc>
              <w:tc>
                <w:tcPr>
                  <w:tcW w:w="894" w:type="dxa"/>
                  <w:tcBorders>
                    <w:top w:val="nil"/>
                    <w:left w:val="nil"/>
                    <w:bottom w:val="single" w:color="auto" w:sz="4" w:space="0"/>
                    <w:right w:val="nil"/>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lang w:val="en-US" w:eastAsia="zh-CN"/>
                    </w:rPr>
                  </w:pPr>
                  <w:r>
                    <w:rPr>
                      <w:rFonts w:hint="eastAsia" w:ascii="宋体" w:hAnsi="宋体" w:eastAsia="宋体" w:cs="宋体"/>
                      <w:color w:val="auto"/>
                      <w:kern w:val="2"/>
                      <w:sz w:val="21"/>
                      <w:szCs w:val="21"/>
                      <w:lang w:val="en-US" w:eastAsia="zh-CN" w:bidi="ar"/>
                    </w:rPr>
                    <w:t>相符</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 w:hRule="atLeast"/>
                <w:jc w:val="center"/>
              </w:trPr>
              <w:tc>
                <w:tcPr>
                  <w:tcW w:w="748"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lang w:val="en-US" w:eastAsia="zh-CN"/>
                    </w:rPr>
                  </w:pPr>
                </w:p>
              </w:tc>
              <w:tc>
                <w:tcPr>
                  <w:tcW w:w="4146"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autoSpaceDE w:val="0"/>
                    <w:autoSpaceDN/>
                    <w:adjustRightInd w:val="0"/>
                    <w:snapToGrid w:val="0"/>
                    <w:spacing w:before="0" w:beforeLines="10" w:beforeAutospacing="0" w:after="0" w:afterLines="10" w:afterAutospacing="0" w:line="252" w:lineRule="auto"/>
                    <w:ind w:left="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4</w:t>
                  </w:r>
                  <w:r>
                    <w:rPr>
                      <w:rFonts w:hint="eastAsia" w:ascii="宋体" w:hAnsi="宋体" w:eastAsia="宋体" w:cs="宋体"/>
                      <w:b w:val="0"/>
                      <w:bCs/>
                      <w:color w:val="auto"/>
                      <w:kern w:val="0"/>
                      <w:sz w:val="21"/>
                      <w:szCs w:val="21"/>
                      <w:lang w:val="en-US" w:eastAsia="zh-CN" w:bidi="ar"/>
                    </w:rPr>
                    <w:t>、禁止建设区范围：道路两侧的防护绿地；京广铁路客运专线两侧的生态绿地；伏道镇地下水井一级保护区范围；淤泥河和永通河及其两侧的生态绿地；公园绿地；广场用地；消防用地以及规划的城市发展备用地；</w:t>
                  </w:r>
                </w:p>
              </w:tc>
              <w:tc>
                <w:tcPr>
                  <w:tcW w:w="2330" w:type="dxa"/>
                  <w:tcBorders>
                    <w:top w:val="nil"/>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cs="Times New Roman"/>
                      <w:color w:val="auto"/>
                      <w:kern w:val="2"/>
                      <w:sz w:val="21"/>
                      <w:szCs w:val="21"/>
                      <w:lang w:val="en-US" w:eastAsia="zh-CN"/>
                    </w:rPr>
                  </w:pPr>
                  <w:r>
                    <w:rPr>
                      <w:rFonts w:hint="eastAsia" w:ascii="宋体" w:hAnsi="宋体" w:eastAsia="宋体" w:cs="宋体"/>
                      <w:color w:val="auto"/>
                      <w:kern w:val="2"/>
                      <w:sz w:val="21"/>
                      <w:szCs w:val="21"/>
                      <w:lang w:val="en-US" w:eastAsia="zh-CN" w:bidi="ar"/>
                    </w:rPr>
                    <w:t>本项目位于</w:t>
                  </w:r>
                  <w:r>
                    <w:rPr>
                      <w:rFonts w:hint="eastAsia" w:ascii="宋体" w:hAnsi="宋体" w:cs="宋体"/>
                      <w:color w:val="auto"/>
                      <w:kern w:val="2"/>
                      <w:sz w:val="21"/>
                      <w:szCs w:val="21"/>
                      <w:lang w:val="en-US" w:eastAsia="zh-CN" w:bidi="ar"/>
                    </w:rPr>
                    <w:t>安阳市汤阴县中原路与宜兴大道交叉口东北方位</w:t>
                  </w:r>
                  <w:r>
                    <w:rPr>
                      <w:rFonts w:hint="eastAsia" w:ascii="宋体" w:hAnsi="宋体" w:eastAsia="宋体" w:cs="宋体"/>
                      <w:color w:val="auto"/>
                      <w:kern w:val="2"/>
                      <w:sz w:val="21"/>
                      <w:szCs w:val="21"/>
                      <w:lang w:val="en-US" w:eastAsia="zh-CN" w:bidi="ar"/>
                    </w:rPr>
                    <w:t>，在现有厂房内建设，用地性质为工业用地，本项目不新增用地，不涉及占用左侧描述土地。</w:t>
                  </w:r>
                </w:p>
              </w:tc>
              <w:tc>
                <w:tcPr>
                  <w:tcW w:w="894" w:type="dxa"/>
                  <w:tcBorders>
                    <w:top w:val="nil"/>
                    <w:left w:val="nil"/>
                    <w:bottom w:val="single" w:color="auto" w:sz="4" w:space="0"/>
                    <w:right w:val="nil"/>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lang w:val="en-US" w:eastAsia="zh-CN"/>
                    </w:rPr>
                  </w:pPr>
                  <w:r>
                    <w:rPr>
                      <w:rFonts w:hint="eastAsia" w:ascii="宋体" w:hAnsi="宋体" w:eastAsia="宋体" w:cs="宋体"/>
                      <w:color w:val="auto"/>
                      <w:kern w:val="2"/>
                      <w:sz w:val="21"/>
                      <w:szCs w:val="21"/>
                      <w:lang w:val="en-US" w:eastAsia="zh-CN" w:bidi="ar"/>
                    </w:rPr>
                    <w:t>相符</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 w:hRule="atLeast"/>
                <w:jc w:val="center"/>
              </w:trPr>
              <w:tc>
                <w:tcPr>
                  <w:tcW w:w="748"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lang w:val="en-US" w:eastAsia="zh-CN"/>
                    </w:rPr>
                  </w:pPr>
                </w:p>
              </w:tc>
              <w:tc>
                <w:tcPr>
                  <w:tcW w:w="4146"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autoSpaceDE w:val="0"/>
                    <w:autoSpaceDN/>
                    <w:adjustRightInd w:val="0"/>
                    <w:snapToGrid w:val="0"/>
                    <w:spacing w:before="0" w:beforeLines="10" w:beforeAutospacing="0" w:after="0" w:afterLines="10" w:afterAutospacing="0" w:line="252" w:lineRule="auto"/>
                    <w:ind w:left="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5</w:t>
                  </w:r>
                  <w:r>
                    <w:rPr>
                      <w:rFonts w:hint="eastAsia" w:ascii="宋体" w:hAnsi="宋体" w:eastAsia="宋体" w:cs="宋体"/>
                      <w:b w:val="0"/>
                      <w:bCs/>
                      <w:color w:val="auto"/>
                      <w:kern w:val="0"/>
                      <w:sz w:val="21"/>
                      <w:szCs w:val="21"/>
                      <w:lang w:val="en-US" w:eastAsia="zh-CN" w:bidi="ar"/>
                    </w:rPr>
                    <w:t>、严格落实规划环评及批复文件要求，规划调整修编时应同步开展规划环评；</w:t>
                  </w:r>
                </w:p>
              </w:tc>
              <w:tc>
                <w:tcPr>
                  <w:tcW w:w="2330" w:type="dxa"/>
                  <w:tcBorders>
                    <w:top w:val="nil"/>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cs="Times New Roman"/>
                      <w:color w:val="auto"/>
                      <w:kern w:val="2"/>
                      <w:sz w:val="21"/>
                      <w:szCs w:val="21"/>
                      <w:lang w:val="en-US" w:eastAsia="zh-CN"/>
                    </w:rPr>
                  </w:pPr>
                  <w:r>
                    <w:rPr>
                      <w:rFonts w:hint="eastAsia" w:ascii="宋体" w:hAnsi="宋体" w:eastAsia="宋体" w:cs="宋体"/>
                      <w:color w:val="auto"/>
                      <w:kern w:val="2"/>
                      <w:sz w:val="21"/>
                      <w:szCs w:val="21"/>
                      <w:lang w:val="en-US" w:eastAsia="zh-CN" w:bidi="ar"/>
                    </w:rPr>
                    <w:t>严格落实规划环评及批复文件要求，规划调整修编时同步开展规划环评。</w:t>
                  </w:r>
                </w:p>
              </w:tc>
              <w:tc>
                <w:tcPr>
                  <w:tcW w:w="894" w:type="dxa"/>
                  <w:tcBorders>
                    <w:top w:val="nil"/>
                    <w:left w:val="nil"/>
                    <w:bottom w:val="single" w:color="auto" w:sz="4" w:space="0"/>
                    <w:right w:val="nil"/>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lang w:val="en-US" w:eastAsia="zh-CN"/>
                    </w:rPr>
                  </w:pPr>
                  <w:r>
                    <w:rPr>
                      <w:rFonts w:hint="eastAsia" w:ascii="宋体" w:hAnsi="宋体" w:eastAsia="宋体" w:cs="宋体"/>
                      <w:color w:val="auto"/>
                      <w:kern w:val="2"/>
                      <w:sz w:val="21"/>
                      <w:szCs w:val="21"/>
                      <w:lang w:val="en-US" w:eastAsia="zh-CN" w:bidi="ar"/>
                    </w:rPr>
                    <w:t>相符</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 w:hRule="atLeast"/>
                <w:jc w:val="center"/>
              </w:trPr>
              <w:tc>
                <w:tcPr>
                  <w:tcW w:w="748"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lang w:val="en-US" w:eastAsia="zh-CN"/>
                    </w:rPr>
                  </w:pPr>
                </w:p>
              </w:tc>
              <w:tc>
                <w:tcPr>
                  <w:tcW w:w="4146"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autoSpaceDE w:val="0"/>
                    <w:autoSpaceDN/>
                    <w:adjustRightInd w:val="0"/>
                    <w:snapToGrid w:val="0"/>
                    <w:spacing w:before="0" w:beforeLines="10" w:beforeAutospacing="0" w:after="0" w:afterLines="10" w:afterAutospacing="0" w:line="252" w:lineRule="auto"/>
                    <w:ind w:left="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6</w:t>
                  </w:r>
                  <w:r>
                    <w:rPr>
                      <w:rFonts w:hint="eastAsia" w:ascii="宋体" w:hAnsi="宋体" w:eastAsia="宋体" w:cs="宋体"/>
                      <w:b w:val="0"/>
                      <w:bCs/>
                      <w:color w:val="auto"/>
                      <w:kern w:val="0"/>
                      <w:sz w:val="21"/>
                      <w:szCs w:val="21"/>
                      <w:lang w:val="en-US" w:eastAsia="zh-CN" w:bidi="ar"/>
                    </w:rPr>
                    <w:t>、新建、改建、扩建</w:t>
                  </w:r>
                  <w:r>
                    <w:rPr>
                      <w:rFonts w:hint="eastAsia" w:eastAsia="宋体" w:cs="宋体"/>
                      <w:b w:val="0"/>
                      <w:bCs/>
                      <w:color w:val="auto"/>
                      <w:kern w:val="0"/>
                      <w:sz w:val="21"/>
                      <w:szCs w:val="21"/>
                      <w:lang w:val="en-US" w:eastAsia="zh-CN" w:bidi="ar"/>
                    </w:rPr>
                    <w:t>“</w:t>
                  </w:r>
                  <w:r>
                    <w:rPr>
                      <w:rFonts w:hint="eastAsia" w:ascii="宋体" w:hAnsi="宋体" w:eastAsia="宋体" w:cs="宋体"/>
                      <w:b w:val="0"/>
                      <w:bCs/>
                      <w:color w:val="auto"/>
                      <w:kern w:val="0"/>
                      <w:sz w:val="21"/>
                      <w:szCs w:val="21"/>
                      <w:lang w:val="en-US" w:eastAsia="zh-CN" w:bidi="ar"/>
                    </w:rPr>
                    <w:t>两高</w:t>
                  </w:r>
                  <w:r>
                    <w:rPr>
                      <w:rFonts w:hint="eastAsia" w:eastAsia="宋体" w:cs="宋体"/>
                      <w:b w:val="0"/>
                      <w:bCs/>
                      <w:color w:val="auto"/>
                      <w:kern w:val="0"/>
                      <w:sz w:val="21"/>
                      <w:szCs w:val="21"/>
                      <w:lang w:val="en-US" w:eastAsia="zh-CN" w:bidi="ar"/>
                    </w:rPr>
                    <w:t>”</w:t>
                  </w:r>
                  <w:r>
                    <w:rPr>
                      <w:rFonts w:hint="eastAsia" w:ascii="宋体" w:hAnsi="宋体" w:eastAsia="宋体" w:cs="宋体"/>
                      <w:b w:val="0"/>
                      <w:bCs/>
                      <w:color w:val="auto"/>
                      <w:kern w:val="0"/>
                      <w:sz w:val="21"/>
                      <w:szCs w:val="21"/>
                      <w:lang w:val="en-US" w:eastAsia="zh-CN" w:bidi="ar"/>
                    </w:rPr>
                    <w:t>项目须符合生态环境保护法律法规和相关法定规划，满足重点污染物排放总量控制、碳排放达峰目标、生态环境准入清单、相关规划环评和相应行业建设项目环境准入条件、环评文件审批原则要求；</w:t>
                  </w:r>
                </w:p>
              </w:tc>
              <w:tc>
                <w:tcPr>
                  <w:tcW w:w="2330" w:type="dxa"/>
                  <w:tcBorders>
                    <w:top w:val="nil"/>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cs="Times New Roman"/>
                      <w:color w:val="auto"/>
                      <w:kern w:val="2"/>
                      <w:sz w:val="21"/>
                      <w:szCs w:val="21"/>
                      <w:lang w:val="en-US" w:eastAsia="zh-CN"/>
                    </w:rPr>
                  </w:pPr>
                  <w:r>
                    <w:rPr>
                      <w:rFonts w:hint="eastAsia" w:ascii="宋体" w:hAnsi="宋体" w:eastAsia="宋体" w:cs="宋体"/>
                      <w:color w:val="auto"/>
                      <w:kern w:val="2"/>
                      <w:sz w:val="21"/>
                      <w:szCs w:val="21"/>
                      <w:lang w:val="en-US" w:eastAsia="zh-CN" w:bidi="ar"/>
                    </w:rPr>
                    <w:t>本项目不属于“两高”项目</w:t>
                  </w:r>
                </w:p>
              </w:tc>
              <w:tc>
                <w:tcPr>
                  <w:tcW w:w="894" w:type="dxa"/>
                  <w:tcBorders>
                    <w:top w:val="nil"/>
                    <w:left w:val="nil"/>
                    <w:bottom w:val="single" w:color="auto" w:sz="4" w:space="0"/>
                    <w:right w:val="nil"/>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lang w:val="en-US" w:eastAsia="zh-CN"/>
                    </w:rPr>
                  </w:pPr>
                  <w:r>
                    <w:rPr>
                      <w:rFonts w:hint="eastAsia" w:ascii="宋体" w:hAnsi="宋体" w:eastAsia="宋体" w:cs="宋体"/>
                      <w:color w:val="auto"/>
                      <w:kern w:val="2"/>
                      <w:sz w:val="21"/>
                      <w:szCs w:val="21"/>
                      <w:lang w:val="en-US" w:eastAsia="zh-CN" w:bidi="ar"/>
                    </w:rPr>
                    <w:t>相符</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 w:hRule="atLeast"/>
                <w:jc w:val="center"/>
              </w:trPr>
              <w:tc>
                <w:tcPr>
                  <w:tcW w:w="748"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lang w:val="en-US" w:eastAsia="zh-CN"/>
                    </w:rPr>
                  </w:pPr>
                </w:p>
              </w:tc>
              <w:tc>
                <w:tcPr>
                  <w:tcW w:w="4146"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autoSpaceDE w:val="0"/>
                    <w:autoSpaceDN/>
                    <w:adjustRightInd w:val="0"/>
                    <w:snapToGrid w:val="0"/>
                    <w:spacing w:before="0" w:beforeLines="10" w:beforeAutospacing="0" w:after="0" w:afterLines="10" w:afterAutospacing="0" w:line="252" w:lineRule="auto"/>
                    <w:ind w:left="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7</w:t>
                  </w:r>
                  <w:r>
                    <w:rPr>
                      <w:rFonts w:hint="eastAsia" w:ascii="宋体" w:hAnsi="宋体" w:eastAsia="宋体" w:cs="宋体"/>
                      <w:b w:val="0"/>
                      <w:bCs/>
                      <w:color w:val="auto"/>
                      <w:kern w:val="0"/>
                      <w:sz w:val="21"/>
                      <w:szCs w:val="21"/>
                      <w:lang w:val="en-US" w:eastAsia="zh-CN" w:bidi="ar"/>
                    </w:rPr>
                    <w:t>、鼓励粮油深加工、肉制品深加工；高性能优质钢材和装备制造用钢；化学制药、中药制造；智慧医疗技术系统、高端医疗器械等医疗产品相关产业入驻；</w:t>
                  </w:r>
                </w:p>
              </w:tc>
              <w:tc>
                <w:tcPr>
                  <w:tcW w:w="2330" w:type="dxa"/>
                  <w:tcBorders>
                    <w:top w:val="nil"/>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cs="Times New Roman"/>
                      <w:color w:val="auto"/>
                      <w:kern w:val="2"/>
                      <w:sz w:val="21"/>
                      <w:szCs w:val="21"/>
                      <w:lang w:val="en-US" w:eastAsia="zh-CN"/>
                    </w:rPr>
                  </w:pPr>
                  <w:r>
                    <w:rPr>
                      <w:rFonts w:hint="eastAsia" w:ascii="宋体" w:hAnsi="宋体" w:eastAsia="宋体" w:cs="宋体"/>
                      <w:color w:val="auto"/>
                      <w:kern w:val="2"/>
                      <w:sz w:val="21"/>
                      <w:szCs w:val="21"/>
                      <w:lang w:val="en-US" w:eastAsia="zh-CN" w:bidi="ar"/>
                    </w:rPr>
                    <w:t>本项目不涉及。</w:t>
                  </w:r>
                </w:p>
              </w:tc>
              <w:tc>
                <w:tcPr>
                  <w:tcW w:w="894" w:type="dxa"/>
                  <w:tcBorders>
                    <w:top w:val="nil"/>
                    <w:left w:val="nil"/>
                    <w:bottom w:val="single" w:color="auto" w:sz="4" w:space="0"/>
                    <w:right w:val="nil"/>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rPr>
                  </w:pPr>
                  <w:r>
                    <w:rPr>
                      <w:rFonts w:hint="eastAsia" w:ascii="宋体" w:hAnsi="宋体" w:eastAsia="宋体" w:cs="宋体"/>
                      <w:color w:val="auto"/>
                      <w:kern w:val="2"/>
                      <w:sz w:val="21"/>
                      <w:szCs w:val="21"/>
                      <w:lang w:val="en-US" w:eastAsia="zh-CN" w:bidi="ar"/>
                    </w:rPr>
                    <w:t>不涉及</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 w:hRule="atLeast"/>
                <w:jc w:val="center"/>
              </w:trPr>
              <w:tc>
                <w:tcPr>
                  <w:tcW w:w="748"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lang w:val="en-US" w:eastAsia="zh-CN"/>
                    </w:rPr>
                  </w:pPr>
                </w:p>
              </w:tc>
              <w:tc>
                <w:tcPr>
                  <w:tcW w:w="4146"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autoSpaceDE w:val="0"/>
                    <w:autoSpaceDN/>
                    <w:adjustRightInd w:val="0"/>
                    <w:snapToGrid w:val="0"/>
                    <w:spacing w:before="0" w:beforeLines="10" w:beforeAutospacing="0" w:after="0" w:afterLines="10" w:afterAutospacing="0" w:line="252" w:lineRule="auto"/>
                    <w:ind w:left="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8</w:t>
                  </w:r>
                  <w:r>
                    <w:rPr>
                      <w:rFonts w:hint="eastAsia" w:ascii="宋体" w:hAnsi="宋体" w:eastAsia="宋体" w:cs="宋体"/>
                      <w:b w:val="0"/>
                      <w:bCs/>
                      <w:color w:val="auto"/>
                      <w:kern w:val="0"/>
                      <w:sz w:val="21"/>
                      <w:szCs w:val="21"/>
                      <w:lang w:val="en-US" w:eastAsia="zh-CN" w:bidi="ar"/>
                    </w:rPr>
                    <w:t>、入驻项目应符合园区规划或规划环评的要求。</w:t>
                  </w:r>
                </w:p>
              </w:tc>
              <w:tc>
                <w:tcPr>
                  <w:tcW w:w="2330" w:type="dxa"/>
                  <w:tcBorders>
                    <w:top w:val="nil"/>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cs="Times New Roman"/>
                      <w:color w:val="auto"/>
                      <w:kern w:val="2"/>
                      <w:sz w:val="21"/>
                      <w:szCs w:val="21"/>
                      <w:lang w:val="en-US" w:eastAsia="zh-CN"/>
                    </w:rPr>
                  </w:pPr>
                  <w:r>
                    <w:rPr>
                      <w:rFonts w:hint="eastAsia" w:ascii="宋体" w:hAnsi="宋体" w:eastAsia="宋体" w:cs="宋体"/>
                      <w:color w:val="auto"/>
                      <w:kern w:val="2"/>
                      <w:sz w:val="21"/>
                      <w:szCs w:val="21"/>
                      <w:lang w:val="en-US" w:eastAsia="zh-CN" w:bidi="ar"/>
                    </w:rPr>
                    <w:t>本项目符合园区规划环评要求。</w:t>
                  </w:r>
                </w:p>
              </w:tc>
              <w:tc>
                <w:tcPr>
                  <w:tcW w:w="894" w:type="dxa"/>
                  <w:tcBorders>
                    <w:top w:val="nil"/>
                    <w:left w:val="nil"/>
                    <w:bottom w:val="single" w:color="auto" w:sz="4" w:space="0"/>
                    <w:right w:val="nil"/>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lang w:val="en-US" w:eastAsia="zh-CN"/>
                    </w:rPr>
                  </w:pPr>
                  <w:r>
                    <w:rPr>
                      <w:rFonts w:hint="eastAsia" w:ascii="宋体" w:hAnsi="宋体" w:eastAsia="宋体" w:cs="宋体"/>
                      <w:color w:val="auto"/>
                      <w:kern w:val="2"/>
                      <w:sz w:val="21"/>
                      <w:szCs w:val="21"/>
                      <w:lang w:val="en-US" w:eastAsia="zh-CN" w:bidi="ar"/>
                    </w:rPr>
                    <w:t>相符</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48" w:type="dxa"/>
                  <w:vMerge w:val="restart"/>
                  <w:tcBorders>
                    <w:top w:val="nil"/>
                    <w:left w:val="nil"/>
                    <w:bottom w:val="single" w:color="auto" w:sz="4" w:space="0"/>
                    <w:right w:val="single" w:color="auto" w:sz="4" w:space="0"/>
                  </w:tcBorders>
                  <w:vAlign w:val="center"/>
                </w:tcPr>
                <w:p>
                  <w:pPr>
                    <w:keepNext w:val="0"/>
                    <w:keepLines w:val="0"/>
                    <w:widowControl/>
                    <w:suppressLineNumbers w:val="0"/>
                    <w:autoSpaceDE w:val="0"/>
                    <w:autoSpaceDN/>
                    <w:adjustRightInd w:val="0"/>
                    <w:snapToGrid w:val="0"/>
                    <w:spacing w:before="0" w:beforeAutospacing="0" w:after="0" w:afterAutospacing="0"/>
                    <w:ind w:left="0" w:right="0"/>
                    <w:jc w:val="center"/>
                    <w:rPr>
                      <w:rFonts w:hint="default" w:ascii="Times New Roman" w:hAnsi="Times New Roman" w:eastAsia="宋体" w:cs="Times New Roman"/>
                      <w:b w:val="0"/>
                      <w:bCs/>
                      <w:color w:val="auto"/>
                      <w:kern w:val="2"/>
                      <w:sz w:val="21"/>
                      <w:szCs w:val="21"/>
                      <w:highlight w:val="green"/>
                      <w:lang w:val="en-US" w:eastAsia="zh-CN"/>
                    </w:rPr>
                  </w:pPr>
                  <w:r>
                    <w:rPr>
                      <w:rFonts w:hint="eastAsia" w:ascii="宋体" w:hAnsi="宋体" w:eastAsia="宋体" w:cs="宋体"/>
                      <w:b w:val="0"/>
                      <w:bCs/>
                      <w:color w:val="auto"/>
                      <w:kern w:val="0"/>
                      <w:sz w:val="21"/>
                      <w:szCs w:val="21"/>
                      <w:lang w:val="en-US" w:eastAsia="zh-CN" w:bidi="ar"/>
                    </w:rPr>
                    <w:t>污染物排放管控</w:t>
                  </w:r>
                </w:p>
              </w:tc>
              <w:tc>
                <w:tcPr>
                  <w:tcW w:w="4146"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autoSpaceDE w:val="0"/>
                    <w:autoSpaceDN/>
                    <w:adjustRightInd w:val="0"/>
                    <w:snapToGrid w:val="0"/>
                    <w:spacing w:before="0" w:beforeLines="10" w:beforeAutospacing="0" w:after="0" w:afterLines="10" w:afterAutospacing="0" w:line="252" w:lineRule="auto"/>
                    <w:ind w:left="0" w:right="0" w:firstLine="0" w:firstLineChars="0"/>
                    <w:jc w:val="both"/>
                    <w:rPr>
                      <w:rFonts w:hint="default" w:ascii="Times New Roman" w:hAnsi="Times New Roman" w:eastAsia="宋体" w:cs="Times New Roman"/>
                      <w:b w:val="0"/>
                      <w:bCs/>
                      <w:color w:val="auto"/>
                      <w:kern w:val="0"/>
                      <w:sz w:val="21"/>
                      <w:szCs w:val="21"/>
                      <w:highlight w:val="green"/>
                      <w:lang w:val="en-US" w:eastAsia="zh-CN"/>
                    </w:rPr>
                  </w:pPr>
                  <w:r>
                    <w:rPr>
                      <w:rFonts w:hint="default" w:ascii="Times New Roman" w:hAnsi="Times New Roman" w:eastAsia="宋体" w:cs="Times New Roman"/>
                      <w:b w:val="0"/>
                      <w:bCs/>
                      <w:color w:val="auto"/>
                      <w:kern w:val="0"/>
                      <w:sz w:val="21"/>
                      <w:szCs w:val="21"/>
                      <w:lang w:val="en-US" w:eastAsia="zh-CN" w:bidi="ar"/>
                    </w:rPr>
                    <w:t>1</w:t>
                  </w:r>
                  <w:r>
                    <w:rPr>
                      <w:rFonts w:hint="eastAsia" w:ascii="宋体" w:hAnsi="宋体" w:eastAsia="宋体" w:cs="宋体"/>
                      <w:b w:val="0"/>
                      <w:bCs/>
                      <w:color w:val="auto"/>
                      <w:kern w:val="0"/>
                      <w:sz w:val="21"/>
                      <w:szCs w:val="21"/>
                      <w:lang w:val="en-US" w:eastAsia="zh-CN" w:bidi="ar"/>
                    </w:rPr>
                    <w:t>、严格执行污染物排放总量控制制度，采取调整能源结构、加强污染治理等措施，严格控制烟粉尘、二氧化硫、氮氧化物、可挥发性有机物等大气污染物的排放；</w:t>
                  </w:r>
                </w:p>
              </w:tc>
              <w:tc>
                <w:tcPr>
                  <w:tcW w:w="2330"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adjustRightInd w:val="0"/>
                    <w:snapToGrid w:val="0"/>
                    <w:spacing w:before="24" w:beforeLines="10" w:beforeAutospacing="0" w:after="24" w:afterLines="10" w:afterAutospacing="0" w:line="252" w:lineRule="auto"/>
                    <w:ind w:left="0" w:right="0" w:firstLine="0" w:firstLineChars="0"/>
                    <w:jc w:val="both"/>
                    <w:rPr>
                      <w:rFonts w:hint="default" w:ascii="Times New Roman" w:hAnsi="Times New Roman" w:eastAsia="宋体" w:cs="Times New Roman"/>
                      <w:b w:val="0"/>
                      <w:bCs/>
                      <w:color w:val="auto"/>
                      <w:kern w:val="0"/>
                      <w:sz w:val="21"/>
                      <w:szCs w:val="21"/>
                      <w:highlight w:val="green"/>
                      <w:lang w:val="en-US" w:eastAsia="zh-CN"/>
                    </w:rPr>
                  </w:pPr>
                  <w:r>
                    <w:rPr>
                      <w:rFonts w:hint="eastAsia" w:ascii="宋体" w:hAnsi="宋体" w:eastAsia="宋体" w:cs="宋体"/>
                      <w:b w:val="0"/>
                      <w:bCs/>
                      <w:color w:val="auto"/>
                      <w:kern w:val="0"/>
                      <w:sz w:val="21"/>
                      <w:szCs w:val="21"/>
                      <w:lang w:val="en-US" w:eastAsia="zh-CN" w:bidi="ar"/>
                    </w:rPr>
                    <w:t>项目新增污染物排放按照要求进行总量替代，可以满足总量减排要求。</w:t>
                  </w:r>
                </w:p>
              </w:tc>
              <w:tc>
                <w:tcPr>
                  <w:tcW w:w="894" w:type="dxa"/>
                  <w:tcBorders>
                    <w:top w:val="single" w:color="auto" w:sz="4" w:space="0"/>
                    <w:left w:val="nil"/>
                    <w:bottom w:val="single" w:color="auto" w:sz="4" w:space="0"/>
                    <w:right w:val="nil"/>
                  </w:tcBorders>
                  <w:vAlign w:val="center"/>
                </w:tcPr>
                <w:p>
                  <w:pPr>
                    <w:pStyle w:val="23"/>
                    <w:keepNext w:val="0"/>
                    <w:keepLines w:val="0"/>
                    <w:widowControl w:val="0"/>
                    <w:suppressLineNumbers w:val="0"/>
                    <w:adjustRightInd w:val="0"/>
                    <w:snapToGrid w:val="0"/>
                    <w:spacing w:before="24" w:beforeLines="10" w:beforeAutospacing="0" w:after="24" w:afterLines="10" w:afterAutospacing="0" w:line="252" w:lineRule="auto"/>
                    <w:ind w:left="0" w:right="0" w:firstLine="0" w:firstLineChars="0"/>
                    <w:jc w:val="center"/>
                    <w:rPr>
                      <w:rFonts w:hint="default" w:ascii="Times New Roman" w:hAnsi="Times New Roman" w:eastAsia="宋体" w:cs="Times New Roman"/>
                      <w:b w:val="0"/>
                      <w:bCs/>
                      <w:color w:val="auto"/>
                      <w:kern w:val="0"/>
                      <w:sz w:val="21"/>
                      <w:szCs w:val="21"/>
                      <w:highlight w:val="green"/>
                      <w:lang w:val="en-US" w:eastAsia="zh-CN"/>
                    </w:rPr>
                  </w:pPr>
                  <w:r>
                    <w:rPr>
                      <w:rFonts w:hint="eastAsia" w:ascii="宋体" w:hAnsi="宋体" w:eastAsia="宋体" w:cs="宋体"/>
                      <w:b w:val="0"/>
                      <w:bCs/>
                      <w:color w:val="auto"/>
                      <w:kern w:val="0"/>
                      <w:sz w:val="21"/>
                      <w:szCs w:val="21"/>
                      <w:lang w:val="en-US" w:eastAsia="zh-CN" w:bidi="ar"/>
                    </w:rPr>
                    <w:t>相符</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48"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lang w:val="en-US" w:eastAsia="zh-CN"/>
                    </w:rPr>
                  </w:pPr>
                </w:p>
              </w:tc>
              <w:tc>
                <w:tcPr>
                  <w:tcW w:w="4146"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eastAsia="宋体" w:cs="Times New Roman"/>
                      <w:b w:val="0"/>
                      <w:bCs/>
                      <w:color w:val="auto"/>
                      <w:kern w:val="0"/>
                      <w:sz w:val="21"/>
                      <w:szCs w:val="21"/>
                      <w:highlight w:val="green"/>
                      <w:lang w:val="en-US" w:eastAsia="zh-CN"/>
                    </w:rPr>
                  </w:pPr>
                  <w:r>
                    <w:rPr>
                      <w:rFonts w:hint="default" w:ascii="Times New Roman" w:hAnsi="Times New Roman" w:eastAsia="宋体" w:cs="Times New Roman"/>
                      <w:b w:val="0"/>
                      <w:bCs/>
                      <w:color w:val="auto"/>
                      <w:kern w:val="0"/>
                      <w:sz w:val="21"/>
                      <w:szCs w:val="21"/>
                      <w:lang w:val="en-US" w:eastAsia="zh-CN" w:bidi="ar"/>
                    </w:rPr>
                    <w:t>2</w:t>
                  </w:r>
                  <w:r>
                    <w:rPr>
                      <w:rFonts w:hint="eastAsia" w:ascii="宋体" w:hAnsi="宋体" w:eastAsia="宋体" w:cs="宋体"/>
                      <w:b w:val="0"/>
                      <w:bCs/>
                      <w:color w:val="auto"/>
                      <w:kern w:val="0"/>
                      <w:sz w:val="21"/>
                      <w:szCs w:val="21"/>
                      <w:lang w:val="en-US" w:eastAsia="zh-CN" w:bidi="ar"/>
                    </w:rPr>
                    <w:t>、开发区内企业要做到稳定达标排放，确保污水处理厂出水执行《城镇污水处理厂污染物排放标准》（</w:t>
                  </w:r>
                  <w:r>
                    <w:rPr>
                      <w:rFonts w:hint="default" w:ascii="Times New Roman" w:hAnsi="Times New Roman" w:eastAsia="宋体" w:cs="Times New Roman"/>
                      <w:b w:val="0"/>
                      <w:bCs/>
                      <w:color w:val="auto"/>
                      <w:kern w:val="0"/>
                      <w:sz w:val="21"/>
                      <w:szCs w:val="21"/>
                      <w:lang w:val="en-US" w:eastAsia="zh-CN" w:bidi="ar"/>
                    </w:rPr>
                    <w:t>GB18918-2002</w:t>
                  </w:r>
                  <w:r>
                    <w:rPr>
                      <w:rFonts w:hint="eastAsia" w:ascii="宋体" w:hAnsi="宋体" w:eastAsia="宋体" w:cs="宋体"/>
                      <w:b w:val="0"/>
                      <w:bCs/>
                      <w:color w:val="auto"/>
                      <w:kern w:val="0"/>
                      <w:sz w:val="21"/>
                      <w:szCs w:val="21"/>
                      <w:lang w:val="en-US" w:eastAsia="zh-CN" w:bidi="ar"/>
                    </w:rPr>
                    <w:t>）一级标准的</w:t>
                  </w:r>
                  <w:r>
                    <w:rPr>
                      <w:rFonts w:hint="default" w:ascii="Times New Roman" w:hAnsi="Times New Roman" w:eastAsia="宋体" w:cs="Times New Roman"/>
                      <w:b w:val="0"/>
                      <w:bCs/>
                      <w:color w:val="auto"/>
                      <w:kern w:val="0"/>
                      <w:sz w:val="21"/>
                      <w:szCs w:val="21"/>
                      <w:lang w:val="en-US" w:eastAsia="zh-CN" w:bidi="ar"/>
                    </w:rPr>
                    <w:t>A</w:t>
                  </w:r>
                  <w:r>
                    <w:rPr>
                      <w:rFonts w:hint="eastAsia" w:ascii="宋体" w:hAnsi="宋体" w:eastAsia="宋体" w:cs="宋体"/>
                      <w:b w:val="0"/>
                      <w:bCs/>
                      <w:color w:val="auto"/>
                      <w:kern w:val="0"/>
                      <w:sz w:val="21"/>
                      <w:szCs w:val="21"/>
                      <w:lang w:val="en-US" w:eastAsia="zh-CN" w:bidi="ar"/>
                    </w:rPr>
                    <w:t>标准，减少对纳入水体的影响；</w:t>
                  </w:r>
                </w:p>
              </w:tc>
              <w:tc>
                <w:tcPr>
                  <w:tcW w:w="2330"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adjustRightInd w:val="0"/>
                    <w:snapToGrid w:val="0"/>
                    <w:spacing w:before="24" w:beforeLines="10" w:beforeAutospacing="0" w:after="24" w:afterLines="10" w:afterAutospacing="0" w:line="252" w:lineRule="auto"/>
                    <w:ind w:left="0" w:right="0" w:firstLine="0" w:firstLineChars="0"/>
                    <w:jc w:val="both"/>
                    <w:rPr>
                      <w:rFonts w:hint="default" w:ascii="Times New Roman" w:hAnsi="Times New Roman" w:eastAsia="宋体" w:cs="Times New Roman"/>
                      <w:b w:val="0"/>
                      <w:bCs/>
                      <w:color w:val="auto"/>
                      <w:kern w:val="0"/>
                      <w:sz w:val="21"/>
                      <w:szCs w:val="21"/>
                      <w:highlight w:val="green"/>
                      <w:lang w:val="en-US" w:eastAsia="zh-CN"/>
                    </w:rPr>
                  </w:pPr>
                  <w:r>
                    <w:rPr>
                      <w:rFonts w:hint="eastAsia" w:eastAsia="宋体" w:cs="宋体"/>
                      <w:b w:val="0"/>
                      <w:bCs/>
                      <w:color w:val="auto"/>
                      <w:kern w:val="0"/>
                      <w:sz w:val="21"/>
                      <w:szCs w:val="21"/>
                      <w:lang w:val="en-US" w:eastAsia="zh-CN" w:bidi="ar"/>
                    </w:rPr>
                    <w:t>本项项目生产废水主要为冷灰桶冷却用水及车间冲洗废水。冷灰桶冷却用水经闭式冷却水循环系统收集、处理后循环使用，不外排；车间洒扫废水全部蒸发损耗，不外排。</w:t>
                  </w:r>
                </w:p>
              </w:tc>
              <w:tc>
                <w:tcPr>
                  <w:tcW w:w="894" w:type="dxa"/>
                  <w:tcBorders>
                    <w:top w:val="single" w:color="auto" w:sz="4" w:space="0"/>
                    <w:left w:val="nil"/>
                    <w:bottom w:val="single" w:color="auto" w:sz="4" w:space="0"/>
                    <w:right w:val="nil"/>
                  </w:tcBorders>
                  <w:vAlign w:val="center"/>
                </w:tcPr>
                <w:p>
                  <w:pPr>
                    <w:pStyle w:val="23"/>
                    <w:keepNext w:val="0"/>
                    <w:keepLines w:val="0"/>
                    <w:widowControl w:val="0"/>
                    <w:suppressLineNumbers w:val="0"/>
                    <w:adjustRightInd w:val="0"/>
                    <w:snapToGrid w:val="0"/>
                    <w:spacing w:before="24" w:beforeLines="10" w:beforeAutospacing="0" w:after="24" w:afterLines="10" w:afterAutospacing="0" w:line="252" w:lineRule="auto"/>
                    <w:ind w:left="0" w:right="0" w:firstLine="0" w:firstLineChars="0"/>
                    <w:jc w:val="center"/>
                    <w:rPr>
                      <w:rFonts w:hint="default" w:ascii="Times New Roman" w:hAnsi="Times New Roman" w:eastAsia="宋体" w:cs="Times New Roman"/>
                      <w:b w:val="0"/>
                      <w:bCs/>
                      <w:color w:val="auto"/>
                      <w:kern w:val="0"/>
                      <w:sz w:val="21"/>
                      <w:szCs w:val="21"/>
                      <w:highlight w:val="green"/>
                      <w:lang w:val="en-US" w:eastAsia="zh-CN"/>
                    </w:rPr>
                  </w:pPr>
                  <w:r>
                    <w:rPr>
                      <w:rFonts w:hint="eastAsia" w:ascii="宋体" w:hAnsi="宋体" w:eastAsia="宋体" w:cs="宋体"/>
                      <w:b w:val="0"/>
                      <w:bCs/>
                      <w:color w:val="auto"/>
                      <w:kern w:val="0"/>
                      <w:sz w:val="21"/>
                      <w:szCs w:val="21"/>
                      <w:lang w:val="en-US" w:eastAsia="zh-CN" w:bidi="ar"/>
                    </w:rPr>
                    <w:t>相符</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48"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lang w:val="en-US" w:eastAsia="zh-CN"/>
                    </w:rPr>
                  </w:pPr>
                </w:p>
              </w:tc>
              <w:tc>
                <w:tcPr>
                  <w:tcW w:w="4146"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autoSpaceDE w:val="0"/>
                    <w:autoSpaceDN/>
                    <w:adjustRightInd w:val="0"/>
                    <w:snapToGrid w:val="0"/>
                    <w:spacing w:before="0" w:beforeLines="10" w:beforeAutospacing="0" w:after="0" w:afterLines="10" w:afterAutospacing="0" w:line="252" w:lineRule="auto"/>
                    <w:ind w:left="0" w:right="0" w:firstLine="0" w:firstLineChars="0"/>
                    <w:jc w:val="both"/>
                    <w:rPr>
                      <w:rFonts w:hint="default" w:ascii="Times New Roman" w:hAnsi="Times New Roman" w:eastAsia="宋体" w:cs="Times New Roman"/>
                      <w:b w:val="0"/>
                      <w:bCs/>
                      <w:color w:val="auto"/>
                      <w:kern w:val="0"/>
                      <w:sz w:val="21"/>
                      <w:szCs w:val="21"/>
                      <w:highlight w:val="green"/>
                      <w:lang w:val="en-US" w:eastAsia="zh-CN"/>
                    </w:rPr>
                  </w:pPr>
                  <w:r>
                    <w:rPr>
                      <w:rFonts w:hint="default" w:ascii="Times New Roman" w:hAnsi="Times New Roman" w:cs="Times New Roman"/>
                      <w:color w:val="auto"/>
                      <w:kern w:val="0"/>
                      <w:sz w:val="21"/>
                      <w:szCs w:val="21"/>
                      <w:lang w:val="en-US" w:eastAsia="zh-CN" w:bidi="ar"/>
                    </w:rPr>
                    <w:t>3</w:t>
                  </w:r>
                  <w:r>
                    <w:rPr>
                      <w:rFonts w:hint="eastAsia" w:ascii="宋体" w:hAnsi="宋体" w:eastAsia="宋体" w:cs="宋体"/>
                      <w:color w:val="auto"/>
                      <w:kern w:val="0"/>
                      <w:sz w:val="21"/>
                      <w:szCs w:val="21"/>
                      <w:lang w:val="en-US" w:eastAsia="zh-CN" w:bidi="ar"/>
                    </w:rPr>
                    <w:t>、新建</w:t>
                  </w:r>
                  <w:r>
                    <w:rPr>
                      <w:rFonts w:hint="eastAsia" w:eastAsia="宋体" w:cs="宋体"/>
                      <w:color w:val="auto"/>
                      <w:kern w:val="0"/>
                      <w:sz w:val="21"/>
                      <w:szCs w:val="21"/>
                      <w:lang w:val="en-US" w:eastAsia="zh-CN" w:bidi="ar"/>
                    </w:rPr>
                    <w:t>“</w:t>
                  </w:r>
                  <w:r>
                    <w:rPr>
                      <w:rFonts w:hint="eastAsia" w:ascii="宋体" w:hAnsi="宋体" w:eastAsia="宋体" w:cs="宋体"/>
                      <w:color w:val="auto"/>
                      <w:kern w:val="0"/>
                      <w:sz w:val="21"/>
                      <w:szCs w:val="21"/>
                      <w:lang w:val="en-US" w:eastAsia="zh-CN" w:bidi="ar"/>
                    </w:rPr>
                    <w:t>两高</w:t>
                  </w:r>
                  <w:r>
                    <w:rPr>
                      <w:rFonts w:hint="eastAsia" w:eastAsia="宋体" w:cs="宋体"/>
                      <w:color w:val="auto"/>
                      <w:kern w:val="0"/>
                      <w:sz w:val="21"/>
                      <w:szCs w:val="21"/>
                      <w:lang w:val="en-US" w:eastAsia="zh-CN" w:bidi="ar"/>
                    </w:rPr>
                    <w:t>”</w:t>
                  </w:r>
                  <w:r>
                    <w:rPr>
                      <w:rFonts w:hint="eastAsia" w:ascii="宋体" w:hAnsi="宋体" w:eastAsia="宋体" w:cs="宋体"/>
                      <w:color w:val="auto"/>
                      <w:kern w:val="0"/>
                      <w:sz w:val="21"/>
                      <w:szCs w:val="21"/>
                      <w:lang w:val="en-US" w:eastAsia="zh-CN" w:bidi="ar"/>
                    </w:rPr>
                    <w:t>项目应按照《关于加强重点行业建设项目区域削减措施监督管理的通知》要求，依据区域环境质量改善目标，制定配套区域污染物削减方案，采取有效的污染物区域削减措施，腾出足够的环境容量；</w:t>
                  </w:r>
                </w:p>
              </w:tc>
              <w:tc>
                <w:tcPr>
                  <w:tcW w:w="2330"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adjustRightInd w:val="0"/>
                    <w:snapToGrid w:val="0"/>
                    <w:spacing w:before="24" w:beforeLines="10" w:beforeAutospacing="0" w:after="24" w:afterLines="10" w:afterAutospacing="0" w:line="252" w:lineRule="auto"/>
                    <w:ind w:left="0" w:right="0" w:firstLine="0" w:firstLineChars="0"/>
                    <w:jc w:val="both"/>
                    <w:rPr>
                      <w:rFonts w:hint="default" w:ascii="Times New Roman" w:hAnsi="Times New Roman" w:eastAsia="宋体" w:cs="Times New Roman"/>
                      <w:b w:val="0"/>
                      <w:bCs/>
                      <w:color w:val="auto"/>
                      <w:kern w:val="0"/>
                      <w:sz w:val="21"/>
                      <w:szCs w:val="21"/>
                      <w:highlight w:val="green"/>
                      <w:lang w:val="en-US" w:eastAsia="zh-CN"/>
                    </w:rPr>
                  </w:pPr>
                  <w:r>
                    <w:rPr>
                      <w:rFonts w:hint="eastAsia" w:ascii="宋体" w:hAnsi="宋体" w:eastAsia="宋体" w:cs="宋体"/>
                      <w:b w:val="0"/>
                      <w:bCs/>
                      <w:color w:val="auto"/>
                      <w:kern w:val="0"/>
                      <w:sz w:val="21"/>
                      <w:szCs w:val="21"/>
                      <w:lang w:val="en-US" w:eastAsia="zh-CN" w:bidi="ar"/>
                    </w:rPr>
                    <w:t>本项目不属于</w:t>
                  </w:r>
                  <w:r>
                    <w:rPr>
                      <w:rFonts w:hint="eastAsia" w:eastAsia="宋体" w:cs="宋体"/>
                      <w:b w:val="0"/>
                      <w:bCs/>
                      <w:color w:val="auto"/>
                      <w:kern w:val="0"/>
                      <w:sz w:val="21"/>
                      <w:szCs w:val="21"/>
                      <w:lang w:val="en-US" w:eastAsia="zh-CN" w:bidi="ar"/>
                    </w:rPr>
                    <w:t>“</w:t>
                  </w:r>
                  <w:r>
                    <w:rPr>
                      <w:rFonts w:hint="eastAsia" w:ascii="宋体" w:hAnsi="宋体" w:eastAsia="宋体" w:cs="宋体"/>
                      <w:b w:val="0"/>
                      <w:bCs/>
                      <w:color w:val="auto"/>
                      <w:kern w:val="0"/>
                      <w:sz w:val="21"/>
                      <w:szCs w:val="21"/>
                      <w:lang w:val="en-US" w:eastAsia="zh-CN" w:bidi="ar"/>
                    </w:rPr>
                    <w:t>两高</w:t>
                  </w:r>
                  <w:r>
                    <w:rPr>
                      <w:rFonts w:hint="eastAsia" w:eastAsia="宋体" w:cs="宋体"/>
                      <w:b w:val="0"/>
                      <w:bCs/>
                      <w:color w:val="auto"/>
                      <w:kern w:val="0"/>
                      <w:sz w:val="21"/>
                      <w:szCs w:val="21"/>
                      <w:lang w:val="en-US" w:eastAsia="zh-CN" w:bidi="ar"/>
                    </w:rPr>
                    <w:t>”</w:t>
                  </w:r>
                  <w:r>
                    <w:rPr>
                      <w:rFonts w:hint="eastAsia" w:ascii="宋体" w:hAnsi="宋体" w:eastAsia="宋体" w:cs="宋体"/>
                      <w:b w:val="0"/>
                      <w:bCs/>
                      <w:color w:val="auto"/>
                      <w:kern w:val="0"/>
                      <w:sz w:val="21"/>
                      <w:szCs w:val="21"/>
                      <w:lang w:val="en-US" w:eastAsia="zh-CN" w:bidi="ar"/>
                    </w:rPr>
                    <w:t>项目。</w:t>
                  </w:r>
                </w:p>
              </w:tc>
              <w:tc>
                <w:tcPr>
                  <w:tcW w:w="894" w:type="dxa"/>
                  <w:tcBorders>
                    <w:top w:val="single" w:color="auto" w:sz="4" w:space="0"/>
                    <w:left w:val="nil"/>
                    <w:bottom w:val="single" w:color="auto" w:sz="4" w:space="0"/>
                    <w:right w:val="nil"/>
                  </w:tcBorders>
                  <w:vAlign w:val="center"/>
                </w:tcPr>
                <w:p>
                  <w:pPr>
                    <w:pStyle w:val="23"/>
                    <w:keepNext w:val="0"/>
                    <w:keepLines w:val="0"/>
                    <w:widowControl w:val="0"/>
                    <w:suppressLineNumbers w:val="0"/>
                    <w:adjustRightInd w:val="0"/>
                    <w:snapToGrid w:val="0"/>
                    <w:spacing w:before="24" w:beforeLines="10" w:beforeAutospacing="0" w:after="24" w:afterLines="10" w:afterAutospacing="0" w:line="252" w:lineRule="auto"/>
                    <w:ind w:left="0" w:right="0" w:firstLine="0" w:firstLineChars="0"/>
                    <w:jc w:val="center"/>
                    <w:rPr>
                      <w:rFonts w:hint="default" w:ascii="Times New Roman" w:hAnsi="Times New Roman" w:eastAsia="宋体" w:cs="Times New Roman"/>
                      <w:b w:val="0"/>
                      <w:bCs/>
                      <w:color w:val="auto"/>
                      <w:kern w:val="0"/>
                      <w:sz w:val="21"/>
                      <w:szCs w:val="21"/>
                      <w:highlight w:val="green"/>
                      <w:lang w:val="en-US" w:eastAsia="zh-CN"/>
                    </w:rPr>
                  </w:pPr>
                  <w:r>
                    <w:rPr>
                      <w:rFonts w:hint="eastAsia" w:ascii="宋体" w:hAnsi="宋体" w:eastAsia="宋体" w:cs="宋体"/>
                      <w:b w:val="0"/>
                      <w:bCs/>
                      <w:color w:val="auto"/>
                      <w:kern w:val="0"/>
                      <w:sz w:val="21"/>
                      <w:szCs w:val="21"/>
                      <w:lang w:val="en-US" w:eastAsia="zh-CN" w:bidi="ar"/>
                    </w:rPr>
                    <w:t>相符</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48"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lang w:val="en-US" w:eastAsia="zh-CN"/>
                    </w:rPr>
                  </w:pPr>
                </w:p>
              </w:tc>
              <w:tc>
                <w:tcPr>
                  <w:tcW w:w="4146"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adjustRightInd w:val="0"/>
                    <w:snapToGrid w:val="0"/>
                    <w:spacing w:before="24" w:beforeLines="10" w:beforeAutospacing="0" w:after="24" w:afterLines="10" w:afterAutospacing="0" w:line="252" w:lineRule="auto"/>
                    <w:ind w:left="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cs="Times New Roman"/>
                      <w:color w:val="auto"/>
                      <w:kern w:val="0"/>
                      <w:sz w:val="21"/>
                      <w:szCs w:val="21"/>
                      <w:lang w:val="en-US" w:eastAsia="zh-CN" w:bidi="ar"/>
                    </w:rPr>
                    <w:t>4.</w:t>
                  </w:r>
                  <w:r>
                    <w:rPr>
                      <w:rFonts w:hint="eastAsia" w:ascii="宋体" w:hAnsi="宋体" w:eastAsia="宋体" w:cs="宋体"/>
                      <w:color w:val="auto"/>
                      <w:kern w:val="0"/>
                      <w:sz w:val="21"/>
                      <w:szCs w:val="21"/>
                      <w:lang w:val="en-US" w:eastAsia="zh-CN" w:bidi="ar"/>
                    </w:rPr>
                    <w:t>新建耗煤项目应严格按规定采取煤炭消费减量替代措施，不得使用高污染燃料作为煤炭减量替代措施；</w:t>
                  </w:r>
                </w:p>
              </w:tc>
              <w:tc>
                <w:tcPr>
                  <w:tcW w:w="2330"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adjustRightInd w:val="0"/>
                    <w:snapToGrid w:val="0"/>
                    <w:spacing w:before="24" w:beforeLines="10" w:beforeAutospacing="0" w:after="24" w:afterLines="10" w:afterAutospacing="0" w:line="252" w:lineRule="auto"/>
                    <w:ind w:left="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本项目不涉及煤炭使用。</w:t>
                  </w:r>
                </w:p>
              </w:tc>
              <w:tc>
                <w:tcPr>
                  <w:tcW w:w="894" w:type="dxa"/>
                  <w:tcBorders>
                    <w:top w:val="single" w:color="auto" w:sz="4" w:space="0"/>
                    <w:left w:val="nil"/>
                    <w:bottom w:val="single" w:color="auto" w:sz="4" w:space="0"/>
                    <w:right w:val="nil"/>
                  </w:tcBorders>
                  <w:vAlign w:val="center"/>
                </w:tcPr>
                <w:p>
                  <w:pPr>
                    <w:pStyle w:val="23"/>
                    <w:keepNext w:val="0"/>
                    <w:keepLines w:val="0"/>
                    <w:widowControl w:val="0"/>
                    <w:suppressLineNumbers w:val="0"/>
                    <w:adjustRightInd w:val="0"/>
                    <w:snapToGrid w:val="0"/>
                    <w:spacing w:before="24" w:beforeLines="10" w:beforeAutospacing="0" w:after="24" w:afterLines="10" w:afterAutospacing="0" w:line="252" w:lineRule="auto"/>
                    <w:ind w:left="0" w:right="0" w:firstLine="0" w:firstLineChars="0"/>
                    <w:jc w:val="center"/>
                    <w:rPr>
                      <w:rFonts w:hint="default" w:ascii="Times New Roman" w:hAnsi="Times New Roman" w:eastAsia="宋体" w:cs="Times New Roman"/>
                      <w:b w:val="0"/>
                      <w:bCs/>
                      <w:color w:val="auto"/>
                      <w:kern w:val="0"/>
                      <w:sz w:val="21"/>
                      <w:szCs w:val="21"/>
                      <w:highlight w:val="green"/>
                      <w:lang w:val="en-US" w:eastAsia="zh-CN"/>
                    </w:rPr>
                  </w:pPr>
                  <w:r>
                    <w:rPr>
                      <w:rFonts w:hint="eastAsia" w:ascii="宋体" w:hAnsi="宋体" w:eastAsia="宋体" w:cs="宋体"/>
                      <w:b w:val="0"/>
                      <w:bCs/>
                      <w:color w:val="auto"/>
                      <w:kern w:val="0"/>
                      <w:sz w:val="21"/>
                      <w:szCs w:val="21"/>
                      <w:lang w:val="en-US" w:eastAsia="zh-CN" w:bidi="ar"/>
                    </w:rPr>
                    <w:t>相符</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48"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lang w:val="en-US" w:eastAsia="zh-CN"/>
                    </w:rPr>
                  </w:pPr>
                </w:p>
              </w:tc>
              <w:tc>
                <w:tcPr>
                  <w:tcW w:w="4146"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autoSpaceDE w:val="0"/>
                    <w:autoSpaceDN/>
                    <w:adjustRightInd w:val="0"/>
                    <w:snapToGrid w:val="0"/>
                    <w:spacing w:before="0" w:beforeLines="10" w:beforeAutospacing="0" w:after="0" w:afterLines="10" w:afterAutospacing="0" w:line="252" w:lineRule="auto"/>
                    <w:ind w:left="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cs="Times New Roman"/>
                      <w:color w:val="auto"/>
                      <w:kern w:val="0"/>
                      <w:sz w:val="21"/>
                      <w:szCs w:val="21"/>
                      <w:lang w:val="en-US" w:eastAsia="zh-CN" w:bidi="ar"/>
                    </w:rPr>
                    <w:t>5.</w:t>
                  </w:r>
                  <w:r>
                    <w:rPr>
                      <w:rFonts w:hint="eastAsia" w:ascii="宋体" w:hAnsi="宋体" w:eastAsia="宋体" w:cs="宋体"/>
                      <w:color w:val="auto"/>
                      <w:kern w:val="0"/>
                      <w:sz w:val="21"/>
                      <w:szCs w:val="21"/>
                      <w:lang w:val="en-US" w:eastAsia="zh-CN" w:bidi="ar"/>
                    </w:rPr>
                    <w:t>已出台超低排放要求的</w:t>
                  </w:r>
                  <w:r>
                    <w:rPr>
                      <w:rFonts w:hint="eastAsia" w:eastAsia="宋体" w:cs="宋体"/>
                      <w:color w:val="auto"/>
                      <w:kern w:val="0"/>
                      <w:sz w:val="21"/>
                      <w:szCs w:val="21"/>
                      <w:lang w:val="en-US" w:eastAsia="zh-CN" w:bidi="ar"/>
                    </w:rPr>
                    <w:t>“</w:t>
                  </w:r>
                  <w:r>
                    <w:rPr>
                      <w:rFonts w:hint="eastAsia" w:ascii="宋体" w:hAnsi="宋体" w:eastAsia="宋体" w:cs="宋体"/>
                      <w:color w:val="auto"/>
                      <w:kern w:val="0"/>
                      <w:sz w:val="21"/>
                      <w:szCs w:val="21"/>
                      <w:lang w:val="en-US" w:eastAsia="zh-CN" w:bidi="ar"/>
                    </w:rPr>
                    <w:t>两高</w:t>
                  </w:r>
                  <w:r>
                    <w:rPr>
                      <w:rFonts w:hint="eastAsia" w:eastAsia="宋体" w:cs="宋体"/>
                      <w:color w:val="auto"/>
                      <w:kern w:val="0"/>
                      <w:sz w:val="21"/>
                      <w:szCs w:val="21"/>
                      <w:lang w:val="en-US" w:eastAsia="zh-CN" w:bidi="ar"/>
                    </w:rPr>
                    <w:t>”</w:t>
                  </w:r>
                  <w:r>
                    <w:rPr>
                      <w:rFonts w:hint="eastAsia" w:ascii="宋体" w:hAnsi="宋体" w:eastAsia="宋体" w:cs="宋体"/>
                      <w:color w:val="auto"/>
                      <w:kern w:val="0"/>
                      <w:sz w:val="21"/>
                      <w:szCs w:val="21"/>
                      <w:lang w:val="en-US" w:eastAsia="zh-CN" w:bidi="ar"/>
                    </w:rPr>
                    <w:t>行业建设项目应满足超低排放要求。</w:t>
                  </w:r>
                </w:p>
              </w:tc>
              <w:tc>
                <w:tcPr>
                  <w:tcW w:w="2330"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adjustRightInd w:val="0"/>
                    <w:snapToGrid w:val="0"/>
                    <w:spacing w:before="24" w:beforeLines="10" w:beforeAutospacing="0" w:after="24" w:afterLines="10" w:afterAutospacing="0" w:line="252" w:lineRule="auto"/>
                    <w:ind w:left="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本项目不属于</w:t>
                  </w:r>
                  <w:r>
                    <w:rPr>
                      <w:rFonts w:hint="eastAsia" w:eastAsia="宋体" w:cs="宋体"/>
                      <w:b w:val="0"/>
                      <w:bCs/>
                      <w:color w:val="auto"/>
                      <w:kern w:val="0"/>
                      <w:sz w:val="21"/>
                      <w:szCs w:val="21"/>
                      <w:lang w:val="en-US" w:eastAsia="zh-CN" w:bidi="ar"/>
                    </w:rPr>
                    <w:t>“</w:t>
                  </w:r>
                  <w:r>
                    <w:rPr>
                      <w:rFonts w:hint="eastAsia" w:ascii="宋体" w:hAnsi="宋体" w:eastAsia="宋体" w:cs="宋体"/>
                      <w:b w:val="0"/>
                      <w:bCs/>
                      <w:color w:val="auto"/>
                      <w:kern w:val="0"/>
                      <w:sz w:val="21"/>
                      <w:szCs w:val="21"/>
                      <w:lang w:val="en-US" w:eastAsia="zh-CN" w:bidi="ar"/>
                    </w:rPr>
                    <w:t>两高</w:t>
                  </w:r>
                  <w:r>
                    <w:rPr>
                      <w:rFonts w:hint="eastAsia" w:eastAsia="宋体" w:cs="宋体"/>
                      <w:b w:val="0"/>
                      <w:bCs/>
                      <w:color w:val="auto"/>
                      <w:kern w:val="0"/>
                      <w:sz w:val="21"/>
                      <w:szCs w:val="21"/>
                      <w:lang w:val="en-US" w:eastAsia="zh-CN" w:bidi="ar"/>
                    </w:rPr>
                    <w:t>”</w:t>
                  </w:r>
                  <w:r>
                    <w:rPr>
                      <w:rFonts w:hint="eastAsia" w:ascii="宋体" w:hAnsi="宋体" w:eastAsia="宋体" w:cs="宋体"/>
                      <w:b w:val="0"/>
                      <w:bCs/>
                      <w:color w:val="auto"/>
                      <w:kern w:val="0"/>
                      <w:sz w:val="21"/>
                      <w:szCs w:val="21"/>
                      <w:lang w:val="en-US" w:eastAsia="zh-CN" w:bidi="ar"/>
                    </w:rPr>
                    <w:t>项目。</w:t>
                  </w:r>
                </w:p>
              </w:tc>
              <w:tc>
                <w:tcPr>
                  <w:tcW w:w="894" w:type="dxa"/>
                  <w:tcBorders>
                    <w:top w:val="single" w:color="auto" w:sz="4" w:space="0"/>
                    <w:left w:val="nil"/>
                    <w:bottom w:val="single" w:color="auto" w:sz="4" w:space="0"/>
                    <w:right w:val="nil"/>
                  </w:tcBorders>
                  <w:vAlign w:val="center"/>
                </w:tcPr>
                <w:p>
                  <w:pPr>
                    <w:pStyle w:val="23"/>
                    <w:keepNext w:val="0"/>
                    <w:keepLines w:val="0"/>
                    <w:widowControl w:val="0"/>
                    <w:suppressLineNumbers w:val="0"/>
                    <w:adjustRightInd w:val="0"/>
                    <w:snapToGrid w:val="0"/>
                    <w:spacing w:before="24" w:beforeLines="10" w:beforeAutospacing="0" w:after="24" w:afterLines="10" w:afterAutospacing="0" w:line="252" w:lineRule="auto"/>
                    <w:ind w:left="0" w:right="0" w:firstLine="0" w:firstLineChars="0"/>
                    <w:jc w:val="center"/>
                    <w:rPr>
                      <w:rFonts w:hint="default" w:ascii="Times New Roman" w:hAnsi="Times New Roman" w:eastAsia="宋体" w:cs="Times New Roman"/>
                      <w:b w:val="0"/>
                      <w:bCs/>
                      <w:color w:val="auto"/>
                      <w:kern w:val="0"/>
                      <w:sz w:val="21"/>
                      <w:szCs w:val="21"/>
                      <w:highlight w:val="green"/>
                      <w:lang w:val="en-US" w:eastAsia="zh-CN"/>
                    </w:rPr>
                  </w:pPr>
                  <w:r>
                    <w:rPr>
                      <w:rFonts w:hint="eastAsia" w:ascii="宋体" w:hAnsi="宋体" w:eastAsia="宋体" w:cs="宋体"/>
                      <w:b w:val="0"/>
                      <w:bCs/>
                      <w:color w:val="auto"/>
                      <w:kern w:val="0"/>
                      <w:sz w:val="21"/>
                      <w:szCs w:val="21"/>
                      <w:lang w:val="en-US" w:eastAsia="zh-CN" w:bidi="ar"/>
                    </w:rPr>
                    <w:t>相符</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748" w:type="dxa"/>
                  <w:vMerge w:val="restart"/>
                  <w:tcBorders>
                    <w:top w:val="nil"/>
                    <w:left w:val="nil"/>
                    <w:bottom w:val="single" w:color="auto" w:sz="4" w:space="0"/>
                    <w:right w:val="single" w:color="auto" w:sz="4" w:space="0"/>
                  </w:tcBorders>
                  <w:vAlign w:val="center"/>
                </w:tcPr>
                <w:p>
                  <w:pPr>
                    <w:pStyle w:val="23"/>
                    <w:keepNext w:val="0"/>
                    <w:keepLines w:val="0"/>
                    <w:widowControl w:val="0"/>
                    <w:suppressLineNumbers w:val="0"/>
                    <w:adjustRightInd w:val="0"/>
                    <w:snapToGrid w:val="0"/>
                    <w:spacing w:before="24" w:beforeLines="10" w:beforeAutospacing="0" w:after="24" w:afterLines="10" w:afterAutospacing="0" w:line="252" w:lineRule="auto"/>
                    <w:ind w:left="0" w:right="0" w:firstLine="0" w:firstLineChars="0"/>
                    <w:jc w:val="center"/>
                    <w:rPr>
                      <w:rFonts w:hint="default" w:ascii="Times New Roman" w:hAnsi="Times New Roman" w:eastAsia="宋体" w:cs="Times New Roman"/>
                      <w:b w:val="0"/>
                      <w:bCs/>
                      <w:color w:val="auto"/>
                      <w:kern w:val="0"/>
                      <w:sz w:val="21"/>
                      <w:szCs w:val="21"/>
                      <w:highlight w:val="green"/>
                      <w:lang w:val="en-US" w:eastAsia="zh-CN"/>
                    </w:rPr>
                  </w:pPr>
                  <w:r>
                    <w:rPr>
                      <w:rFonts w:hint="eastAsia" w:ascii="宋体" w:hAnsi="宋体" w:eastAsia="宋体" w:cs="宋体"/>
                      <w:b w:val="0"/>
                      <w:bCs/>
                      <w:color w:val="auto"/>
                      <w:kern w:val="0"/>
                      <w:sz w:val="21"/>
                      <w:szCs w:val="21"/>
                      <w:lang w:val="en-US" w:eastAsia="zh-CN" w:bidi="ar"/>
                    </w:rPr>
                    <w:t>环境风险防控</w:t>
                  </w:r>
                </w:p>
              </w:tc>
              <w:tc>
                <w:tcPr>
                  <w:tcW w:w="4146"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autoSpaceDE w:val="0"/>
                    <w:autoSpaceDN/>
                    <w:adjustRightInd w:val="0"/>
                    <w:snapToGrid w:val="0"/>
                    <w:spacing w:before="0" w:beforeLines="10" w:beforeAutospacing="0" w:after="0" w:afterLines="10" w:afterAutospacing="0" w:line="252" w:lineRule="auto"/>
                    <w:ind w:left="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bidi="ar"/>
                    </w:rPr>
                    <w:t>1</w:t>
                  </w:r>
                  <w:r>
                    <w:rPr>
                      <w:rFonts w:hint="eastAsia" w:ascii="宋体" w:hAnsi="宋体" w:eastAsia="宋体" w:cs="宋体"/>
                      <w:color w:val="auto"/>
                      <w:kern w:val="0"/>
                      <w:sz w:val="21"/>
                      <w:szCs w:val="21"/>
                      <w:lang w:val="en-US" w:eastAsia="zh-CN" w:bidi="ar"/>
                    </w:rPr>
                    <w:t>、加快环境风险预警体系建设，严格危险化学品管理；</w:t>
                  </w:r>
                </w:p>
              </w:tc>
              <w:tc>
                <w:tcPr>
                  <w:tcW w:w="2330" w:type="dxa"/>
                  <w:tcBorders>
                    <w:top w:val="nil"/>
                    <w:left w:val="nil"/>
                    <w:bottom w:val="single" w:color="auto" w:sz="4" w:space="0"/>
                    <w:right w:val="single" w:color="auto" w:sz="4" w:space="0"/>
                  </w:tcBorders>
                  <w:vAlign w:val="center"/>
                </w:tcPr>
                <w:p>
                  <w:pPr>
                    <w:pStyle w:val="23"/>
                    <w:keepNext w:val="0"/>
                    <w:keepLines w:val="0"/>
                    <w:widowControl w:val="0"/>
                    <w:suppressLineNumbers w:val="0"/>
                    <w:adjustRightInd w:val="0"/>
                    <w:snapToGrid w:val="0"/>
                    <w:spacing w:before="24" w:beforeLines="10" w:beforeAutospacing="0" w:after="24" w:afterLines="10" w:afterAutospacing="0" w:line="252" w:lineRule="auto"/>
                    <w:ind w:left="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eastAsia" w:eastAsia="宋体" w:cs="宋体"/>
                      <w:b w:val="0"/>
                      <w:bCs/>
                      <w:color w:val="auto"/>
                      <w:kern w:val="0"/>
                      <w:sz w:val="21"/>
                      <w:szCs w:val="21"/>
                      <w:lang w:val="en-US" w:eastAsia="zh-CN" w:bidi="ar"/>
                    </w:rPr>
                    <w:t>企业已建立</w:t>
                  </w:r>
                  <w:r>
                    <w:rPr>
                      <w:rFonts w:hint="eastAsia" w:ascii="宋体" w:hAnsi="宋体" w:eastAsia="宋体" w:cs="宋体"/>
                      <w:b w:val="0"/>
                      <w:bCs/>
                      <w:color w:val="auto"/>
                      <w:kern w:val="0"/>
                      <w:sz w:val="21"/>
                      <w:szCs w:val="21"/>
                      <w:lang w:val="en-US" w:eastAsia="zh-CN" w:bidi="ar"/>
                    </w:rPr>
                    <w:t>环境风险预警体系，本项目不涉及危险化学品。</w:t>
                  </w:r>
                </w:p>
              </w:tc>
              <w:tc>
                <w:tcPr>
                  <w:tcW w:w="894" w:type="dxa"/>
                  <w:tcBorders>
                    <w:top w:val="nil"/>
                    <w:left w:val="nil"/>
                    <w:bottom w:val="single" w:color="auto" w:sz="4" w:space="0"/>
                    <w:right w:val="nil"/>
                  </w:tcBorders>
                  <w:vAlign w:val="center"/>
                </w:tcPr>
                <w:p>
                  <w:pPr>
                    <w:pStyle w:val="23"/>
                    <w:keepNext w:val="0"/>
                    <w:keepLines w:val="0"/>
                    <w:widowControl w:val="0"/>
                    <w:suppressLineNumbers w:val="0"/>
                    <w:adjustRightInd w:val="0"/>
                    <w:snapToGrid w:val="0"/>
                    <w:spacing w:before="24" w:beforeLines="10" w:beforeAutospacing="0" w:after="24" w:afterLines="10" w:afterAutospacing="0" w:line="252" w:lineRule="auto"/>
                    <w:ind w:left="0" w:right="0" w:firstLine="0" w:firstLineChars="0"/>
                    <w:jc w:val="center"/>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相符</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5" w:hRule="atLeast"/>
                <w:jc w:val="center"/>
              </w:trPr>
              <w:tc>
                <w:tcPr>
                  <w:tcW w:w="748"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lang w:val="en-US" w:eastAsia="zh-CN"/>
                    </w:rPr>
                  </w:pPr>
                </w:p>
              </w:tc>
              <w:tc>
                <w:tcPr>
                  <w:tcW w:w="4146"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autoSpaceDE w:val="0"/>
                    <w:autoSpaceDN/>
                    <w:adjustRightInd w:val="0"/>
                    <w:snapToGrid w:val="0"/>
                    <w:spacing w:before="0" w:beforeLines="10" w:beforeAutospacing="0" w:after="0" w:afterLines="10" w:afterAutospacing="0" w:line="252" w:lineRule="auto"/>
                    <w:ind w:left="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2</w:t>
                  </w:r>
                  <w:r>
                    <w:rPr>
                      <w:rFonts w:hint="eastAsia" w:ascii="宋体" w:hAnsi="宋体" w:eastAsia="宋体" w:cs="宋体"/>
                      <w:b w:val="0"/>
                      <w:bCs/>
                      <w:color w:val="auto"/>
                      <w:kern w:val="0"/>
                      <w:sz w:val="21"/>
                      <w:szCs w:val="21"/>
                      <w:lang w:val="en-US" w:eastAsia="zh-CN" w:bidi="ar"/>
                    </w:rPr>
                    <w:t>、建立完善有效的环境风险防控设施和有效的拦截、降污、导流等措施，防止对地表水环境造成危害；</w:t>
                  </w:r>
                </w:p>
              </w:tc>
              <w:tc>
                <w:tcPr>
                  <w:tcW w:w="2330" w:type="dxa"/>
                  <w:tcBorders>
                    <w:top w:val="nil"/>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cs="Times New Roman"/>
                      <w:color w:val="auto"/>
                      <w:kern w:val="2"/>
                      <w:sz w:val="21"/>
                      <w:szCs w:val="21"/>
                      <w:lang w:val="en-US" w:eastAsia="zh-CN"/>
                    </w:rPr>
                  </w:pPr>
                  <w:r>
                    <w:rPr>
                      <w:rFonts w:hint="eastAsia" w:ascii="宋体" w:hAnsi="宋体" w:eastAsia="宋体" w:cs="宋体"/>
                      <w:color w:val="auto"/>
                      <w:kern w:val="2"/>
                      <w:sz w:val="21"/>
                      <w:szCs w:val="21"/>
                      <w:lang w:val="en-US" w:eastAsia="zh-CN" w:bidi="ar"/>
                    </w:rPr>
                    <w:t>本项目建立完善有效的环境风险防控设施和有效的降污等措施，防止对地表水环境造成危害。</w:t>
                  </w:r>
                </w:p>
              </w:tc>
              <w:tc>
                <w:tcPr>
                  <w:tcW w:w="894" w:type="dxa"/>
                  <w:tcBorders>
                    <w:top w:val="nil"/>
                    <w:left w:val="nil"/>
                    <w:bottom w:val="single" w:color="auto" w:sz="4" w:space="0"/>
                    <w:right w:val="nil"/>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lang w:val="en-US" w:eastAsia="zh-CN"/>
                    </w:rPr>
                  </w:pPr>
                  <w:r>
                    <w:rPr>
                      <w:rFonts w:hint="eastAsia" w:ascii="宋体" w:hAnsi="宋体" w:eastAsia="宋体" w:cs="宋体"/>
                      <w:color w:val="auto"/>
                      <w:kern w:val="2"/>
                      <w:sz w:val="21"/>
                      <w:szCs w:val="21"/>
                      <w:lang w:val="en-US" w:eastAsia="zh-CN" w:bidi="ar"/>
                    </w:rPr>
                    <w:t>相符</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748"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lang w:val="en-US" w:eastAsia="zh-CN"/>
                    </w:rPr>
                  </w:pPr>
                </w:p>
              </w:tc>
              <w:tc>
                <w:tcPr>
                  <w:tcW w:w="4146"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autoSpaceDE w:val="0"/>
                    <w:autoSpaceDN/>
                    <w:adjustRightInd w:val="0"/>
                    <w:snapToGrid w:val="0"/>
                    <w:spacing w:before="0" w:beforeLines="10" w:beforeAutospacing="0" w:after="0" w:afterLines="10" w:afterAutospacing="0" w:line="252" w:lineRule="auto"/>
                    <w:ind w:left="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3</w:t>
                  </w:r>
                  <w:r>
                    <w:rPr>
                      <w:rFonts w:hint="eastAsia" w:ascii="宋体" w:hAnsi="宋体" w:eastAsia="宋体" w:cs="宋体"/>
                      <w:b w:val="0"/>
                      <w:bCs/>
                      <w:color w:val="auto"/>
                      <w:kern w:val="0"/>
                      <w:sz w:val="21"/>
                      <w:szCs w:val="21"/>
                      <w:lang w:val="en-US" w:eastAsia="zh-CN" w:bidi="ar"/>
                    </w:rPr>
                    <w:t>、制定园区级综合环境应急预案，不断完善各类突发环境事件应急预案，有计划地组织应急培训和演练，全面提升园区风险防控和事故应急处置能力。</w:t>
                  </w:r>
                </w:p>
              </w:tc>
              <w:tc>
                <w:tcPr>
                  <w:tcW w:w="2330" w:type="dxa"/>
                  <w:tcBorders>
                    <w:top w:val="nil"/>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cs="Times New Roman"/>
                      <w:color w:val="auto"/>
                      <w:kern w:val="2"/>
                      <w:sz w:val="21"/>
                      <w:szCs w:val="21"/>
                      <w:lang w:val="en-US" w:eastAsia="zh-CN"/>
                    </w:rPr>
                  </w:pPr>
                  <w:r>
                    <w:rPr>
                      <w:rFonts w:hint="eastAsia" w:ascii="宋体" w:hAnsi="宋体" w:eastAsia="宋体" w:cs="宋体"/>
                      <w:color w:val="auto"/>
                      <w:kern w:val="2"/>
                      <w:sz w:val="21"/>
                      <w:szCs w:val="21"/>
                      <w:lang w:val="en-US" w:eastAsia="zh-CN" w:bidi="ar"/>
                    </w:rPr>
                    <w:t>本项目建成后将按照相关法律法规和标准规范的要求，开展突发环境事件风险评估，划分环境风险等级，完善突发环境事件风险防控措施，排查治理环境安全隐患。</w:t>
                  </w:r>
                </w:p>
              </w:tc>
              <w:tc>
                <w:tcPr>
                  <w:tcW w:w="894" w:type="dxa"/>
                  <w:tcBorders>
                    <w:top w:val="nil"/>
                    <w:left w:val="nil"/>
                    <w:bottom w:val="single" w:color="auto" w:sz="4" w:space="0"/>
                    <w:right w:val="nil"/>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lang w:val="en-US" w:eastAsia="zh-CN"/>
                    </w:rPr>
                  </w:pPr>
                  <w:r>
                    <w:rPr>
                      <w:rFonts w:hint="eastAsia" w:ascii="宋体" w:hAnsi="宋体" w:eastAsia="宋体" w:cs="宋体"/>
                      <w:color w:val="auto"/>
                      <w:kern w:val="2"/>
                      <w:sz w:val="21"/>
                      <w:szCs w:val="21"/>
                      <w:lang w:val="en-US" w:eastAsia="zh-CN" w:bidi="ar"/>
                    </w:rPr>
                    <w:t>相符</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748" w:type="dxa"/>
                  <w:vMerge w:val="restart"/>
                  <w:tcBorders>
                    <w:top w:val="nil"/>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rPr>
                  </w:pPr>
                  <w:r>
                    <w:rPr>
                      <w:rFonts w:hint="eastAsia" w:ascii="宋体" w:hAnsi="宋体" w:eastAsia="宋体" w:cs="宋体"/>
                      <w:color w:val="auto"/>
                      <w:kern w:val="2"/>
                      <w:sz w:val="21"/>
                      <w:szCs w:val="21"/>
                      <w:lang w:val="en-US" w:eastAsia="zh-CN" w:bidi="ar"/>
                    </w:rPr>
                    <w:t>资源开发效率要求</w:t>
                  </w:r>
                </w:p>
              </w:tc>
              <w:tc>
                <w:tcPr>
                  <w:tcW w:w="4146"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autoSpaceDE w:val="0"/>
                    <w:autoSpaceDN/>
                    <w:adjustRightInd w:val="0"/>
                    <w:snapToGrid w:val="0"/>
                    <w:spacing w:before="0" w:beforeLines="10" w:beforeAutospacing="0" w:after="0" w:afterLines="10" w:afterAutospacing="0" w:line="252" w:lineRule="auto"/>
                    <w:ind w:left="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1</w:t>
                  </w:r>
                  <w:r>
                    <w:rPr>
                      <w:rFonts w:hint="eastAsia" w:ascii="宋体" w:hAnsi="宋体" w:eastAsia="宋体" w:cs="宋体"/>
                      <w:b w:val="0"/>
                      <w:bCs/>
                      <w:color w:val="auto"/>
                      <w:kern w:val="0"/>
                      <w:sz w:val="21"/>
                      <w:szCs w:val="21"/>
                      <w:lang w:val="en-US" w:eastAsia="zh-CN" w:bidi="ar"/>
                    </w:rPr>
                    <w:t>、新建项目的单位产品水耗、单位产品污染物排放量等清洁生产指标应达到国内同行业领先或国际先进水平，项目整体清洁生产水平应达到或超过国内清洁生产先进水平；退城入园企业的清洁生产指标应达到国内同行业先进或领先水平。</w:t>
                  </w:r>
                </w:p>
              </w:tc>
              <w:tc>
                <w:tcPr>
                  <w:tcW w:w="2330" w:type="dxa"/>
                  <w:tcBorders>
                    <w:top w:val="nil"/>
                    <w:left w:val="nil"/>
                    <w:bottom w:val="single" w:color="auto" w:sz="4" w:space="0"/>
                    <w:right w:val="single" w:color="auto" w:sz="4" w:space="0"/>
                  </w:tcBorders>
                  <w:vAlign w:val="center"/>
                </w:tcPr>
                <w:p>
                  <w:pPr>
                    <w:pStyle w:val="23"/>
                    <w:keepNext w:val="0"/>
                    <w:keepLines w:val="0"/>
                    <w:widowControl w:val="0"/>
                    <w:suppressLineNumbers w:val="0"/>
                    <w:adjustRightInd w:val="0"/>
                    <w:snapToGrid w:val="0"/>
                    <w:spacing w:before="24" w:beforeLines="10" w:beforeAutospacing="0" w:after="24" w:afterLines="10" w:afterAutospacing="0" w:line="252" w:lineRule="auto"/>
                    <w:ind w:left="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color w:val="auto"/>
                      <w:kern w:val="0"/>
                      <w:sz w:val="21"/>
                      <w:szCs w:val="21"/>
                      <w:lang w:val="en-US" w:eastAsia="zh-CN" w:bidi="ar"/>
                    </w:rPr>
                    <w:t>本项目</w:t>
                  </w:r>
                  <w:r>
                    <w:rPr>
                      <w:rFonts w:hint="eastAsia" w:eastAsia="宋体" w:cs="宋体"/>
                      <w:color w:val="auto"/>
                      <w:kern w:val="0"/>
                      <w:sz w:val="21"/>
                      <w:szCs w:val="21"/>
                      <w:lang w:val="en-US" w:eastAsia="zh-CN" w:bidi="ar"/>
                    </w:rPr>
                    <w:t>清洁生产水平</w:t>
                  </w:r>
                  <w:r>
                    <w:rPr>
                      <w:rFonts w:hint="eastAsia" w:ascii="宋体" w:hAnsi="宋体" w:eastAsia="宋体" w:cs="宋体"/>
                      <w:color w:val="auto"/>
                      <w:kern w:val="0"/>
                      <w:sz w:val="21"/>
                      <w:szCs w:val="21"/>
                      <w:lang w:val="en-US" w:eastAsia="zh-CN" w:bidi="ar"/>
                    </w:rPr>
                    <w:t>将以国内同行业领先水平为标准建设。</w:t>
                  </w:r>
                </w:p>
              </w:tc>
              <w:tc>
                <w:tcPr>
                  <w:tcW w:w="894" w:type="dxa"/>
                  <w:tcBorders>
                    <w:top w:val="nil"/>
                    <w:left w:val="nil"/>
                    <w:bottom w:val="single" w:color="auto" w:sz="4" w:space="0"/>
                    <w:right w:val="nil"/>
                  </w:tcBorders>
                  <w:vAlign w:val="center"/>
                </w:tcPr>
                <w:p>
                  <w:pPr>
                    <w:pStyle w:val="23"/>
                    <w:keepNext w:val="0"/>
                    <w:keepLines w:val="0"/>
                    <w:widowControl w:val="0"/>
                    <w:suppressLineNumbers w:val="0"/>
                    <w:adjustRightInd w:val="0"/>
                    <w:snapToGrid w:val="0"/>
                    <w:spacing w:before="24" w:beforeLines="10" w:beforeAutospacing="0" w:after="24" w:afterLines="10" w:afterAutospacing="0" w:line="252" w:lineRule="auto"/>
                    <w:ind w:left="0" w:right="0" w:firstLine="0" w:firstLineChars="0"/>
                    <w:jc w:val="center"/>
                    <w:rPr>
                      <w:rFonts w:hint="default" w:ascii="Times New Roman" w:hAnsi="Times New Roman" w:eastAsia="宋体" w:cs="Times New Roman"/>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bidi="ar"/>
                    </w:rPr>
                    <w:t>相符</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748"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lang w:val="en-US" w:eastAsia="zh-CN"/>
                    </w:rPr>
                  </w:pPr>
                </w:p>
              </w:tc>
              <w:tc>
                <w:tcPr>
                  <w:tcW w:w="4146"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autoSpaceDE w:val="0"/>
                    <w:autoSpaceDN/>
                    <w:adjustRightInd w:val="0"/>
                    <w:snapToGrid w:val="0"/>
                    <w:spacing w:before="0" w:beforeLines="10" w:beforeAutospacing="0" w:after="0" w:afterLines="10" w:afterAutospacing="0" w:line="252" w:lineRule="auto"/>
                    <w:ind w:left="0" w:right="0" w:firstLine="0" w:firstLineChars="0"/>
                    <w:jc w:val="both"/>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bidi="ar"/>
                    </w:rPr>
                    <w:t>2</w:t>
                  </w:r>
                  <w:r>
                    <w:rPr>
                      <w:rFonts w:hint="eastAsia" w:ascii="宋体" w:hAnsi="宋体" w:eastAsia="宋体" w:cs="宋体"/>
                      <w:b w:val="0"/>
                      <w:bCs/>
                      <w:color w:val="auto"/>
                      <w:kern w:val="0"/>
                      <w:sz w:val="21"/>
                      <w:szCs w:val="21"/>
                      <w:lang w:val="en-US" w:eastAsia="zh-CN" w:bidi="ar"/>
                    </w:rPr>
                    <w:t>、开发区单位</w:t>
                  </w:r>
                  <w:r>
                    <w:rPr>
                      <w:rFonts w:hint="default" w:ascii="Times New Roman" w:hAnsi="Times New Roman" w:eastAsia="宋体" w:cs="Times New Roman"/>
                      <w:b w:val="0"/>
                      <w:bCs/>
                      <w:color w:val="auto"/>
                      <w:kern w:val="0"/>
                      <w:sz w:val="21"/>
                      <w:szCs w:val="21"/>
                      <w:lang w:val="en-US" w:eastAsia="zh-CN" w:bidi="ar"/>
                    </w:rPr>
                    <w:t>GDP</w:t>
                  </w:r>
                  <w:r>
                    <w:rPr>
                      <w:rFonts w:hint="eastAsia" w:ascii="宋体" w:hAnsi="宋体" w:eastAsia="宋体" w:cs="宋体"/>
                      <w:b w:val="0"/>
                      <w:bCs/>
                      <w:color w:val="auto"/>
                      <w:kern w:val="0"/>
                      <w:sz w:val="21"/>
                      <w:szCs w:val="21"/>
                      <w:lang w:val="en-US" w:eastAsia="zh-CN" w:bidi="ar"/>
                    </w:rPr>
                    <w:t>新鲜水耗</w:t>
                  </w:r>
                  <w:r>
                    <w:rPr>
                      <w:rFonts w:hint="default" w:ascii="Times New Roman" w:hAnsi="Times New Roman" w:eastAsia="宋体" w:cs="Times New Roman"/>
                      <w:b w:val="0"/>
                      <w:bCs/>
                      <w:color w:val="auto"/>
                      <w:kern w:val="0"/>
                      <w:sz w:val="21"/>
                      <w:szCs w:val="21"/>
                      <w:lang w:val="en-US" w:eastAsia="zh-CN" w:bidi="ar"/>
                    </w:rPr>
                    <w:t>≤9m</w:t>
                  </w:r>
                  <w:r>
                    <w:rPr>
                      <w:rFonts w:hint="default" w:ascii="Times New Roman" w:hAnsi="Times New Roman" w:eastAsia="宋体" w:cs="Times New Roman"/>
                      <w:b w:val="0"/>
                      <w:bCs/>
                      <w:color w:val="auto"/>
                      <w:kern w:val="0"/>
                      <w:sz w:val="21"/>
                      <w:szCs w:val="21"/>
                      <w:vertAlign w:val="superscript"/>
                      <w:lang w:val="en-US" w:eastAsia="zh-CN" w:bidi="ar"/>
                    </w:rPr>
                    <w:t>3</w:t>
                  </w:r>
                  <w:r>
                    <w:rPr>
                      <w:rFonts w:hint="default" w:ascii="Times New Roman" w:hAnsi="Times New Roman" w:eastAsia="宋体" w:cs="Times New Roman"/>
                      <w:b w:val="0"/>
                      <w:bCs/>
                      <w:color w:val="auto"/>
                      <w:kern w:val="0"/>
                      <w:sz w:val="21"/>
                      <w:szCs w:val="21"/>
                      <w:lang w:val="en-US" w:eastAsia="zh-CN" w:bidi="ar"/>
                    </w:rPr>
                    <w:t>/</w:t>
                  </w:r>
                  <w:r>
                    <w:rPr>
                      <w:rFonts w:hint="eastAsia" w:ascii="宋体" w:hAnsi="宋体" w:eastAsia="宋体" w:cs="宋体"/>
                      <w:b w:val="0"/>
                      <w:bCs/>
                      <w:color w:val="auto"/>
                      <w:kern w:val="0"/>
                      <w:sz w:val="21"/>
                      <w:szCs w:val="21"/>
                      <w:lang w:val="en-US" w:eastAsia="zh-CN" w:bidi="ar"/>
                    </w:rPr>
                    <w:t>万元。</w:t>
                  </w:r>
                </w:p>
              </w:tc>
              <w:tc>
                <w:tcPr>
                  <w:tcW w:w="2330" w:type="dxa"/>
                  <w:tcBorders>
                    <w:top w:val="nil"/>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eastAsia="宋体" w:cs="Times New Roman"/>
                      <w:color w:val="auto"/>
                      <w:kern w:val="2"/>
                      <w:sz w:val="21"/>
                      <w:szCs w:val="21"/>
                      <w:lang w:val="en-US" w:eastAsia="zh-CN"/>
                    </w:rPr>
                  </w:pPr>
                  <w:r>
                    <w:rPr>
                      <w:rFonts w:hint="eastAsia" w:ascii="宋体" w:hAnsi="宋体" w:eastAsia="宋体" w:cs="宋体"/>
                      <w:color w:val="auto"/>
                      <w:kern w:val="2"/>
                      <w:sz w:val="21"/>
                      <w:szCs w:val="21"/>
                      <w:lang w:val="en-US" w:eastAsia="zh-CN" w:bidi="ar"/>
                    </w:rPr>
                    <w:t>本项</w:t>
                  </w:r>
                  <w:r>
                    <w:rPr>
                      <w:rFonts w:hint="default" w:ascii="Times New Roman" w:hAnsi="Times New Roman" w:eastAsia="宋体" w:cs="Times New Roman"/>
                      <w:color w:val="auto"/>
                      <w:kern w:val="2"/>
                      <w:sz w:val="21"/>
                      <w:szCs w:val="21"/>
                      <w:lang w:val="en-US" w:eastAsia="zh-CN" w:bidi="ar"/>
                    </w:rPr>
                    <w:t>目单位GDP新鲜水耗约为</w:t>
                  </w:r>
                  <w:r>
                    <w:rPr>
                      <w:rFonts w:hint="eastAsia" w:ascii="Times New Roman" w:hAnsi="Times New Roman" w:eastAsia="宋体" w:cs="Times New Roman"/>
                      <w:color w:val="auto"/>
                      <w:kern w:val="2"/>
                      <w:sz w:val="21"/>
                      <w:szCs w:val="21"/>
                      <w:lang w:val="en-US" w:eastAsia="zh-CN" w:bidi="ar"/>
                    </w:rPr>
                    <w:t>2</w:t>
                  </w:r>
                  <w:r>
                    <w:rPr>
                      <w:rFonts w:hint="default" w:ascii="Times New Roman" w:hAnsi="Times New Roman" w:eastAsia="宋体" w:cs="Times New Roman"/>
                      <w:b w:val="0"/>
                      <w:bCs/>
                      <w:color w:val="auto"/>
                      <w:kern w:val="0"/>
                      <w:sz w:val="21"/>
                      <w:szCs w:val="21"/>
                      <w:lang w:val="en-US" w:eastAsia="zh-CN" w:bidi="ar"/>
                    </w:rPr>
                    <w:t>m</w:t>
                  </w:r>
                  <w:r>
                    <w:rPr>
                      <w:rFonts w:hint="default" w:ascii="Times New Roman" w:hAnsi="Times New Roman" w:eastAsia="宋体" w:cs="Times New Roman"/>
                      <w:b w:val="0"/>
                      <w:bCs/>
                      <w:color w:val="auto"/>
                      <w:kern w:val="0"/>
                      <w:sz w:val="21"/>
                      <w:szCs w:val="21"/>
                      <w:vertAlign w:val="superscript"/>
                      <w:lang w:val="en-US" w:eastAsia="zh-CN" w:bidi="ar"/>
                    </w:rPr>
                    <w:t>3</w:t>
                  </w:r>
                  <w:r>
                    <w:rPr>
                      <w:rFonts w:hint="default" w:ascii="Times New Roman" w:hAnsi="Times New Roman" w:eastAsia="宋体" w:cs="Times New Roman"/>
                      <w:b w:val="0"/>
                      <w:bCs/>
                      <w:color w:val="auto"/>
                      <w:kern w:val="0"/>
                      <w:sz w:val="21"/>
                      <w:szCs w:val="21"/>
                      <w:lang w:val="en-US" w:eastAsia="zh-CN" w:bidi="ar"/>
                    </w:rPr>
                    <w:t>/</w:t>
                  </w:r>
                  <w:r>
                    <w:rPr>
                      <w:rFonts w:hint="eastAsia" w:ascii="宋体" w:hAnsi="宋体" w:eastAsia="宋体" w:cs="宋体"/>
                      <w:b w:val="0"/>
                      <w:bCs/>
                      <w:color w:val="auto"/>
                      <w:kern w:val="0"/>
                      <w:sz w:val="21"/>
                      <w:szCs w:val="21"/>
                      <w:lang w:val="en-US" w:eastAsia="zh-CN" w:bidi="ar"/>
                    </w:rPr>
                    <w:t>万元</w:t>
                  </w:r>
                  <w:r>
                    <w:rPr>
                      <w:rFonts w:hint="eastAsia" w:ascii="宋体" w:hAnsi="宋体" w:eastAsia="宋体" w:cs="宋体"/>
                      <w:color w:val="auto"/>
                      <w:kern w:val="2"/>
                      <w:sz w:val="21"/>
                      <w:szCs w:val="21"/>
                      <w:lang w:val="en-US" w:eastAsia="zh-CN" w:bidi="ar"/>
                    </w:rPr>
                    <w:t>。</w:t>
                  </w:r>
                </w:p>
              </w:tc>
              <w:tc>
                <w:tcPr>
                  <w:tcW w:w="894" w:type="dxa"/>
                  <w:tcBorders>
                    <w:top w:val="nil"/>
                    <w:left w:val="nil"/>
                    <w:bottom w:val="single" w:color="auto" w:sz="4" w:space="0"/>
                    <w:right w:val="nil"/>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lang w:val="en-US" w:eastAsia="zh-CN"/>
                    </w:rPr>
                  </w:pPr>
                  <w:r>
                    <w:rPr>
                      <w:rFonts w:hint="eastAsia" w:ascii="宋体" w:hAnsi="宋体" w:eastAsia="宋体" w:cs="宋体"/>
                      <w:color w:val="auto"/>
                      <w:kern w:val="2"/>
                      <w:sz w:val="21"/>
                      <w:szCs w:val="21"/>
                      <w:lang w:val="en-US" w:eastAsia="zh-CN" w:bidi="ar"/>
                    </w:rPr>
                    <w:t>相符</w:t>
                  </w:r>
                </w:p>
              </w:tc>
            </w:tr>
          </w:tbl>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iCs/>
                <w:color w:val="auto"/>
                <w:sz w:val="24"/>
                <w:szCs w:val="21"/>
                <w:highlight w:val="none"/>
              </w:rPr>
            </w:pPr>
            <w:r>
              <w:rPr>
                <w:rFonts w:hint="default" w:ascii="Times New Roman" w:hAnsi="Times New Roman" w:eastAsia="宋体" w:cs="Times New Roman"/>
                <w:b w:val="0"/>
                <w:bCs/>
                <w:iCs/>
                <w:color w:val="auto"/>
                <w:sz w:val="24"/>
                <w:szCs w:val="21"/>
                <w:highlight w:val="none"/>
                <w:lang w:eastAsia="zh-CN"/>
              </w:rPr>
              <w:t>综上所述，</w:t>
            </w:r>
            <w:r>
              <w:rPr>
                <w:rFonts w:hint="default" w:ascii="Times New Roman" w:hAnsi="Times New Roman" w:eastAsia="宋体" w:cs="Times New Roman"/>
                <w:b w:val="0"/>
                <w:bCs/>
                <w:iCs/>
                <w:color w:val="auto"/>
                <w:sz w:val="24"/>
                <w:szCs w:val="21"/>
                <w:highlight w:val="none"/>
              </w:rPr>
              <w:t>本项目不突破</w:t>
            </w:r>
            <w:r>
              <w:rPr>
                <w:rFonts w:hint="eastAsia" w:ascii="Times New Roman" w:hAnsi="Times New Roman" w:eastAsia="宋体" w:cs="Times New Roman"/>
                <w:b w:val="0"/>
                <w:bCs/>
                <w:iCs/>
                <w:color w:val="auto"/>
                <w:sz w:val="24"/>
                <w:szCs w:val="21"/>
                <w:highlight w:val="none"/>
                <w:lang w:eastAsia="zh-CN"/>
              </w:rPr>
              <w:t>“</w:t>
            </w:r>
            <w:r>
              <w:rPr>
                <w:rFonts w:hint="default" w:ascii="Times New Roman" w:hAnsi="Times New Roman" w:eastAsia="宋体" w:cs="Times New Roman"/>
                <w:b w:val="0"/>
                <w:bCs/>
                <w:iCs/>
                <w:color w:val="auto"/>
                <w:sz w:val="24"/>
                <w:szCs w:val="21"/>
                <w:highlight w:val="none"/>
              </w:rPr>
              <w:t>三线一单</w:t>
            </w:r>
            <w:r>
              <w:rPr>
                <w:rFonts w:hint="eastAsia" w:ascii="Times New Roman" w:hAnsi="Times New Roman" w:eastAsia="宋体" w:cs="Times New Roman"/>
                <w:b w:val="0"/>
                <w:bCs/>
                <w:iCs/>
                <w:color w:val="auto"/>
                <w:sz w:val="24"/>
                <w:szCs w:val="21"/>
                <w:highlight w:val="none"/>
                <w:lang w:eastAsia="zh-CN"/>
              </w:rPr>
              <w:t>”</w:t>
            </w:r>
            <w:r>
              <w:rPr>
                <w:rFonts w:hint="default" w:ascii="Times New Roman" w:hAnsi="Times New Roman" w:eastAsia="宋体" w:cs="Times New Roman"/>
                <w:b w:val="0"/>
                <w:bCs/>
                <w:iCs/>
                <w:color w:val="auto"/>
                <w:sz w:val="24"/>
                <w:szCs w:val="21"/>
                <w:highlight w:val="none"/>
              </w:rPr>
              <w:t>的要求。</w:t>
            </w:r>
          </w:p>
          <w:p>
            <w:pPr>
              <w:keepNext w:val="0"/>
              <w:keepLines w:val="0"/>
              <w:suppressLineNumbers w:val="0"/>
              <w:autoSpaceDE w:val="0"/>
              <w:autoSpaceDN w:val="0"/>
              <w:adjustRightInd w:val="0"/>
              <w:snapToGrid w:val="0"/>
              <w:spacing w:before="0" w:beforeAutospacing="0" w:after="0" w:afterAutospacing="0" w:line="360" w:lineRule="auto"/>
              <w:ind w:left="0" w:right="0"/>
              <w:jc w:val="left"/>
              <w:rPr>
                <w:rFonts w:hint="default" w:ascii="Times New Roman" w:hAnsi="Times New Roman" w:eastAsia="宋体"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4.与严重污染（大气）环境淘汰工艺与设备要求符合性分析</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b/>
                <w:bCs/>
                <w:color w:val="auto"/>
                <w:kern w:val="0"/>
                <w:sz w:val="24"/>
                <w:szCs w:val="24"/>
              </w:rPr>
            </w:pPr>
            <w:r>
              <w:rPr>
                <w:rFonts w:hint="eastAsia" w:ascii="Times New Roman" w:hAnsi="Times New Roman" w:cs="Times New Roman"/>
                <w:b w:val="0"/>
                <w:bCs w:val="0"/>
                <w:color w:val="auto"/>
                <w:kern w:val="0"/>
                <w:sz w:val="24"/>
                <w:szCs w:val="24"/>
              </w:rPr>
              <w:t>根据《中华人民共和国大气污染防治法》（2018年版）中要求：国家对严重污染大气环境的工艺、设备和产品实行淘汰制度。经查阅《严重污染（大气）环境的淘汰工艺与设备名录》（第一批），项目所涉及的工艺、设备不属于名录中淘汰类，符合环保要求。</w:t>
            </w:r>
          </w:p>
          <w:p>
            <w:pPr>
              <w:keepNext w:val="0"/>
              <w:keepLines w:val="0"/>
              <w:numPr>
                <w:ilvl w:val="0"/>
                <w:numId w:val="0"/>
              </w:numPr>
              <w:suppressLineNumbers w:val="0"/>
              <w:tabs>
                <w:tab w:val="clear" w:pos="2040"/>
              </w:tabs>
              <w:adjustRightInd w:val="0"/>
              <w:snapToGrid w:val="0"/>
              <w:spacing w:before="0" w:beforeAutospacing="0" w:after="0" w:afterAutospacing="0" w:line="360" w:lineRule="auto"/>
              <w:ind w:left="0" w:right="0"/>
              <w:rPr>
                <w:rFonts w:hint="eastAsia" w:ascii="Times New Roman" w:hAnsi="Times New Roman" w:cs="Times New Roman"/>
                <w:b/>
                <w:bCs/>
                <w:color w:val="auto"/>
                <w:kern w:val="0"/>
                <w:sz w:val="24"/>
                <w:szCs w:val="24"/>
                <w:lang w:val="en-US" w:eastAsia="zh-CN"/>
              </w:rPr>
            </w:pPr>
            <w:r>
              <w:rPr>
                <w:rFonts w:hint="eastAsia" w:ascii="Times New Roman" w:hAnsi="Times New Roman" w:cs="Times New Roman"/>
                <w:b/>
                <w:bCs/>
                <w:color w:val="auto"/>
                <w:kern w:val="0"/>
                <w:sz w:val="24"/>
                <w:szCs w:val="24"/>
                <w:lang w:val="en-US" w:eastAsia="zh-CN" w:bidi="ar-SA"/>
              </w:rPr>
              <w:t>5.</w:t>
            </w:r>
            <w:r>
              <w:rPr>
                <w:rFonts w:hint="eastAsia" w:ascii="Times New Roman" w:hAnsi="Times New Roman" w:cs="Times New Roman"/>
                <w:b/>
                <w:bCs/>
                <w:color w:val="auto"/>
                <w:kern w:val="0"/>
                <w:sz w:val="24"/>
                <w:szCs w:val="24"/>
                <w:lang w:val="en-US" w:eastAsia="zh-CN"/>
              </w:rPr>
              <w:t>饮用水水源保护区</w:t>
            </w:r>
          </w:p>
          <w:p>
            <w:pPr>
              <w:keepNext w:val="0"/>
              <w:keepLines w:val="0"/>
              <w:numPr>
                <w:ilvl w:val="0"/>
                <w:numId w:val="0"/>
              </w:numPr>
              <w:suppressLineNumbers w:val="0"/>
              <w:tabs>
                <w:tab w:val="clear" w:pos="2040"/>
              </w:tabs>
              <w:adjustRightInd w:val="0"/>
              <w:snapToGrid w:val="0"/>
              <w:spacing w:before="0" w:beforeAutospacing="0" w:after="0" w:afterAutospacing="0" w:line="360" w:lineRule="auto"/>
              <w:ind w:left="0" w:right="0" w:firstLine="241" w:firstLineChars="100"/>
              <w:rPr>
                <w:rFonts w:hint="default" w:ascii="Times New Roman" w:hAnsi="Times New Roman" w:cs="Times New Roman"/>
                <w:b/>
                <w:bCs/>
                <w:color w:val="auto"/>
                <w:kern w:val="0"/>
                <w:sz w:val="24"/>
                <w:szCs w:val="24"/>
                <w:lang w:val="en-US" w:eastAsia="zh-CN"/>
              </w:rPr>
            </w:pPr>
            <w:r>
              <w:rPr>
                <w:rFonts w:hint="eastAsia" w:ascii="Times New Roman" w:hAnsi="Times New Roman" w:cs="Times New Roman"/>
                <w:b/>
                <w:bCs/>
                <w:color w:val="auto"/>
                <w:kern w:val="0"/>
                <w:sz w:val="24"/>
                <w:szCs w:val="24"/>
                <w:lang w:val="en-US" w:eastAsia="zh-CN"/>
              </w:rPr>
              <w:t>5.1汤阴县集中式饮用水水源</w:t>
            </w:r>
          </w:p>
          <w:p>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ascii="Times New Roman" w:hAnsi="Times New Roman" w:eastAsia="宋体" w:cs="Times New Roman"/>
                <w:b w:val="0"/>
                <w:bCs/>
                <w:color w:val="auto"/>
                <w:sz w:val="24"/>
                <w:szCs w:val="21"/>
                <w:highlight w:val="none"/>
                <w:lang w:val="en-US" w:eastAsia="zh-CN"/>
              </w:rPr>
            </w:pPr>
            <w:r>
              <w:rPr>
                <w:rFonts w:hint="default" w:ascii="Times New Roman" w:hAnsi="Times New Roman" w:eastAsia="宋体" w:cs="Times New Roman"/>
                <w:b w:val="0"/>
                <w:bCs/>
                <w:color w:val="auto"/>
                <w:sz w:val="24"/>
                <w:szCs w:val="21"/>
                <w:highlight w:val="none"/>
                <w:lang w:val="en-US" w:eastAsia="zh-CN"/>
              </w:rPr>
              <w:t>根据《汤阴县人民政府关于调整汤阴县城区饮用水源保护区范围通知》（汤政</w:t>
            </w:r>
            <w:r>
              <w:rPr>
                <w:rFonts w:hint="eastAsia" w:ascii="Times New Roman" w:hAnsi="Times New Roman" w:eastAsia="宋体" w:cs="Times New Roman"/>
                <w:b w:val="0"/>
                <w:bCs/>
                <w:color w:val="auto"/>
                <w:sz w:val="24"/>
                <w:szCs w:val="21"/>
                <w:highlight w:val="none"/>
                <w:lang w:val="en-US" w:eastAsia="zh-CN"/>
              </w:rPr>
              <w:t>〔</w:t>
            </w:r>
            <w:r>
              <w:rPr>
                <w:rFonts w:hint="default" w:ascii="Times New Roman" w:hAnsi="Times New Roman" w:eastAsia="宋体" w:cs="Times New Roman"/>
                <w:b w:val="0"/>
                <w:bCs/>
                <w:color w:val="auto"/>
                <w:sz w:val="24"/>
                <w:szCs w:val="21"/>
                <w:highlight w:val="none"/>
                <w:lang w:val="en-US" w:eastAsia="zh-CN"/>
              </w:rPr>
              <w:t>2009</w:t>
            </w:r>
            <w:r>
              <w:rPr>
                <w:rFonts w:hint="eastAsia" w:ascii="Times New Roman" w:hAnsi="Times New Roman" w:eastAsia="宋体" w:cs="Times New Roman"/>
                <w:b w:val="0"/>
                <w:bCs/>
                <w:color w:val="auto"/>
                <w:sz w:val="24"/>
                <w:szCs w:val="21"/>
                <w:highlight w:val="none"/>
                <w:lang w:val="en-US" w:eastAsia="zh-CN"/>
              </w:rPr>
              <w:t>〕</w:t>
            </w:r>
            <w:r>
              <w:rPr>
                <w:rFonts w:hint="default" w:ascii="Times New Roman" w:hAnsi="Times New Roman" w:eastAsia="宋体" w:cs="Times New Roman"/>
                <w:b w:val="0"/>
                <w:bCs/>
                <w:color w:val="auto"/>
                <w:sz w:val="24"/>
                <w:szCs w:val="21"/>
                <w:highlight w:val="none"/>
                <w:lang w:val="en-US" w:eastAsia="zh-CN"/>
              </w:rPr>
              <w:t>43号）和《河南省县级集中式饮用水水源保护区划》（豫政办</w:t>
            </w:r>
            <w:r>
              <w:rPr>
                <w:rFonts w:hint="eastAsia" w:ascii="Times New Roman" w:hAnsi="Times New Roman" w:eastAsia="宋体" w:cs="Times New Roman"/>
                <w:b w:val="0"/>
                <w:bCs/>
                <w:color w:val="auto"/>
                <w:sz w:val="24"/>
                <w:szCs w:val="21"/>
                <w:highlight w:val="none"/>
                <w:lang w:val="en-US" w:eastAsia="zh-CN"/>
              </w:rPr>
              <w:t>〔</w:t>
            </w:r>
            <w:r>
              <w:rPr>
                <w:rFonts w:hint="default" w:ascii="Times New Roman" w:hAnsi="Times New Roman" w:eastAsia="宋体" w:cs="Times New Roman"/>
                <w:b w:val="0"/>
                <w:bCs/>
                <w:color w:val="auto"/>
                <w:sz w:val="24"/>
                <w:szCs w:val="21"/>
                <w:highlight w:val="none"/>
                <w:lang w:val="en-US" w:eastAsia="zh-CN"/>
              </w:rPr>
              <w:t>2013</w:t>
            </w:r>
            <w:r>
              <w:rPr>
                <w:rFonts w:hint="eastAsia" w:ascii="Times New Roman" w:hAnsi="Times New Roman" w:eastAsia="宋体" w:cs="Times New Roman"/>
                <w:b w:val="0"/>
                <w:bCs/>
                <w:color w:val="auto"/>
                <w:sz w:val="24"/>
                <w:szCs w:val="21"/>
                <w:highlight w:val="none"/>
                <w:lang w:val="en-US" w:eastAsia="zh-CN"/>
              </w:rPr>
              <w:t>〕</w:t>
            </w:r>
            <w:r>
              <w:rPr>
                <w:rFonts w:hint="default" w:ascii="Times New Roman" w:hAnsi="Times New Roman" w:eastAsia="宋体" w:cs="Times New Roman"/>
                <w:b w:val="0"/>
                <w:bCs/>
                <w:color w:val="auto"/>
                <w:sz w:val="24"/>
                <w:szCs w:val="21"/>
                <w:highlight w:val="none"/>
                <w:lang w:val="en-US" w:eastAsia="zh-CN"/>
              </w:rPr>
              <w:t>107号），汤阴县集中式饮用水源地位于汤阴县御前路中段，属于地下水井群开采类型，共6眼井，其保护范围为：一级保护区范围：水厂厂区及外围200米、南至汤河、北至人合路的区域。</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b/>
                <w:bCs/>
                <w:color w:val="auto"/>
                <w:kern w:val="0"/>
                <w:sz w:val="24"/>
                <w:szCs w:val="24"/>
              </w:rPr>
            </w:pPr>
            <w:r>
              <w:rPr>
                <w:rFonts w:hint="default" w:ascii="Times New Roman" w:hAnsi="Times New Roman" w:eastAsia="宋体" w:cs="Times New Roman"/>
                <w:b w:val="0"/>
                <w:bCs/>
                <w:color w:val="auto"/>
                <w:sz w:val="24"/>
                <w:szCs w:val="21"/>
                <w:highlight w:val="none"/>
                <w:lang w:val="en-US" w:eastAsia="zh-CN"/>
              </w:rPr>
              <w:t>本项目厂址距离汤阴县集中式饮用水源地最近距离约为</w:t>
            </w:r>
            <w:r>
              <w:rPr>
                <w:rFonts w:hint="eastAsia" w:ascii="Times New Roman" w:hAnsi="Times New Roman" w:eastAsia="宋体" w:cs="Times New Roman"/>
                <w:b w:val="0"/>
                <w:bCs/>
                <w:color w:val="auto"/>
                <w:sz w:val="24"/>
                <w:szCs w:val="21"/>
                <w:highlight w:val="none"/>
                <w:lang w:val="en-US" w:eastAsia="zh-CN"/>
              </w:rPr>
              <w:t>9200</w:t>
            </w:r>
            <w:r>
              <w:rPr>
                <w:rFonts w:hint="default" w:ascii="Times New Roman" w:hAnsi="Times New Roman" w:eastAsia="宋体" w:cs="Times New Roman"/>
                <w:b w:val="0"/>
                <w:bCs/>
                <w:color w:val="auto"/>
                <w:sz w:val="24"/>
                <w:szCs w:val="21"/>
                <w:highlight w:val="none"/>
                <w:lang w:val="en-US" w:eastAsia="zh-CN"/>
              </w:rPr>
              <w:t>m，不在其饮用水源地保护区范围内。</w:t>
            </w:r>
          </w:p>
          <w:p>
            <w:pPr>
              <w:keepNext w:val="0"/>
              <w:keepLines w:val="0"/>
              <w:suppressLineNumbers w:val="0"/>
              <w:adjustRightInd w:val="0"/>
              <w:snapToGrid w:val="0"/>
              <w:spacing w:before="0" w:beforeAutospacing="0" w:after="0" w:afterAutospacing="0" w:line="360" w:lineRule="auto"/>
              <w:ind w:left="0" w:right="0" w:firstLine="241" w:firstLineChars="100"/>
              <w:rPr>
                <w:rFonts w:hint="default" w:ascii="Times New Roman" w:hAnsi="Times New Roman" w:eastAsia="宋体" w:cs="Times New Roman"/>
                <w:b/>
                <w:bCs/>
                <w:color w:val="auto"/>
                <w:kern w:val="0"/>
                <w:sz w:val="24"/>
                <w:szCs w:val="24"/>
                <w:lang w:val="en-US" w:eastAsia="zh-CN"/>
              </w:rPr>
            </w:pPr>
            <w:r>
              <w:rPr>
                <w:rFonts w:hint="eastAsia" w:ascii="Times New Roman" w:hAnsi="Times New Roman" w:cs="Times New Roman"/>
                <w:b/>
                <w:bCs/>
                <w:color w:val="auto"/>
                <w:kern w:val="0"/>
                <w:sz w:val="24"/>
                <w:szCs w:val="24"/>
                <w:lang w:val="en-US" w:eastAsia="zh-CN"/>
              </w:rPr>
              <w:t>5.2乡镇集中式饮用水水源</w:t>
            </w:r>
          </w:p>
          <w:p>
            <w:pPr>
              <w:keepNext w:val="0"/>
              <w:keepLines w:val="0"/>
              <w:suppressLineNumbers w:val="0"/>
              <w:tabs>
                <w:tab w:val="left" w:pos="2520"/>
              </w:tabs>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根据《河南省人民政府办公厅关于印发河南省乡镇集中式饮用水水源保护区划的通知》（豫政办</w:t>
            </w:r>
            <w:r>
              <w:rPr>
                <w:rFonts w:hint="eastAsia" w:ascii="Times New Roman" w:hAnsi="Times New Roman" w:eastAsia="宋体" w:cs="Times New Roman"/>
                <w:color w:val="auto"/>
                <w:sz w:val="24"/>
                <w:szCs w:val="21"/>
                <w:highlight w:val="none"/>
                <w:lang w:eastAsia="zh-CN"/>
              </w:rPr>
              <w:t>〔</w:t>
            </w:r>
            <w:r>
              <w:rPr>
                <w:rFonts w:hint="default" w:ascii="Times New Roman" w:hAnsi="Times New Roman" w:eastAsia="宋体" w:cs="Times New Roman"/>
                <w:color w:val="auto"/>
                <w:sz w:val="24"/>
                <w:szCs w:val="21"/>
                <w:highlight w:val="none"/>
              </w:rPr>
              <w:t>2016</w:t>
            </w:r>
            <w:r>
              <w:rPr>
                <w:rFonts w:hint="eastAsia" w:ascii="Times New Roman" w:hAnsi="Times New Roman" w:eastAsia="宋体" w:cs="Times New Roman"/>
                <w:color w:val="auto"/>
                <w:sz w:val="24"/>
                <w:szCs w:val="21"/>
                <w:highlight w:val="none"/>
                <w:lang w:eastAsia="zh-CN"/>
              </w:rPr>
              <w:t>〕</w:t>
            </w:r>
            <w:r>
              <w:rPr>
                <w:rFonts w:hint="default" w:ascii="Times New Roman" w:hAnsi="Times New Roman" w:eastAsia="宋体" w:cs="Times New Roman"/>
                <w:color w:val="auto"/>
                <w:sz w:val="24"/>
                <w:szCs w:val="21"/>
                <w:highlight w:val="none"/>
              </w:rPr>
              <w:t>23号），汤阴县乡镇级集中式饮用水水源保护区如下：</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①汤阴县古贤乡地下水井（共1眼井）</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一级保护区范围：水管站内及外围东12米、北60米、西49米、南29米的区域。</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②汤阴县菜园镇地下水井（共1眼井）</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一级保护区范围：水厂厂区及外围东30米、西23米、南32米、北33米的区域。</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③汤阴县任固镇地下水井群（共2眼井）</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一级保护区范围：水厂厂区及外围东10米、西16米、南18米、北11米的区域。</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④汤阴县五陵镇地下水井（共1眼井）</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一级保护区范围：水厂厂区及外围西11米、南20米的区域。</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⑤汤阴县瓦岗乡地下水井群（共3眼井）</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一级保护区范围：水厂厂区及外围东8米、西60米、南58米的区域。</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⑥汤阴县伏道镇地下水井（共1眼井）</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一级保护区范围：水厂厂区及外围东6米、西24米、南15米的区域。</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⑦汤阴县白营镇地下水井（共1眼井）</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一级保护区范围：取水井外围30米的区域。</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二级保护区范围：一级保护区外围300米的区域。</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⑧汤阴县宜沟镇地下水井群（共2眼井）</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一级保护区范围：井群外包线内及外围30米的区域。</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二级保护区范围：一级保护区外围300米的区域。</w:t>
            </w:r>
          </w:p>
          <w:p>
            <w:pPr>
              <w:keepNext w:val="0"/>
              <w:keepLines w:val="0"/>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szCs w:val="21"/>
                <w:highlight w:val="none"/>
                <w:lang w:eastAsia="zh-CN"/>
              </w:rPr>
            </w:pPr>
            <w:r>
              <w:rPr>
                <w:rFonts w:hint="eastAsia" w:ascii="Times New Roman" w:hAnsi="Times New Roman" w:eastAsia="宋体" w:cs="Times New Roman"/>
                <w:color w:val="auto"/>
                <w:sz w:val="24"/>
                <w:szCs w:val="21"/>
                <w:highlight w:val="none"/>
                <w:lang w:eastAsia="zh-CN"/>
              </w:rPr>
              <w:t>距离项目最近的乡镇集中式饮用水水源为西南方向</w:t>
            </w:r>
            <w:r>
              <w:rPr>
                <w:rFonts w:hint="eastAsia" w:ascii="Times New Roman" w:hAnsi="Times New Roman" w:eastAsia="宋体" w:cs="Times New Roman"/>
                <w:color w:val="auto"/>
                <w:sz w:val="24"/>
                <w:szCs w:val="21"/>
                <w:highlight w:val="none"/>
                <w:lang w:val="en-US" w:eastAsia="zh-CN"/>
              </w:rPr>
              <w:t>357</w:t>
            </w:r>
            <w:r>
              <w:rPr>
                <w:rFonts w:hint="eastAsia" w:ascii="Times New Roman" w:hAnsi="Times New Roman" w:eastAsia="宋体" w:cs="Times New Roman"/>
                <w:color w:val="auto"/>
                <w:sz w:val="24"/>
                <w:szCs w:val="21"/>
                <w:highlight w:val="none"/>
                <w:lang w:eastAsia="zh-CN"/>
              </w:rPr>
              <w:t>0m的宜沟镇饮用水水源保护区，不在其饮用水水源保护区范围内。</w:t>
            </w:r>
          </w:p>
          <w:p>
            <w:pPr>
              <w:keepNext w:val="0"/>
              <w:keepLines w:val="0"/>
              <w:suppressLineNumbers w:val="0"/>
              <w:adjustRightInd w:val="0"/>
              <w:snapToGrid w:val="0"/>
              <w:spacing w:before="0" w:beforeAutospacing="0" w:after="0" w:afterAutospacing="0" w:line="360" w:lineRule="auto"/>
              <w:ind w:left="0" w:right="0" w:firstLine="241" w:firstLineChars="100"/>
              <w:rPr>
                <w:rFonts w:hint="default" w:ascii="Times New Roman" w:hAnsi="Times New Roman" w:eastAsia="宋体" w:cs="Times New Roman"/>
                <w:b/>
                <w:bCs/>
                <w:color w:val="auto"/>
                <w:kern w:val="0"/>
                <w:sz w:val="24"/>
                <w:szCs w:val="24"/>
                <w:lang w:val="en-US" w:eastAsia="zh-CN"/>
              </w:rPr>
            </w:pPr>
            <w:r>
              <w:rPr>
                <w:rFonts w:hint="eastAsia" w:ascii="Times New Roman" w:hAnsi="Times New Roman" w:cs="Times New Roman"/>
                <w:b/>
                <w:bCs/>
                <w:color w:val="auto"/>
                <w:kern w:val="0"/>
                <w:sz w:val="24"/>
                <w:szCs w:val="24"/>
                <w:lang w:val="en-US" w:eastAsia="zh-CN"/>
              </w:rPr>
              <w:t>5.3南水北调饮用水水源保护区</w:t>
            </w:r>
          </w:p>
          <w:p>
            <w:pPr>
              <w:keepNext w:val="0"/>
              <w:keepLines w:val="0"/>
              <w:numPr>
                <w:ilvl w:val="0"/>
                <w:numId w:val="0"/>
              </w:numPr>
              <w:suppressLineNumbers w:val="0"/>
              <w:tabs>
                <w:tab w:val="clear" w:pos="2040"/>
              </w:tabs>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根据《河南省南水北调中线工程建设领导小组办公室 河南省环境保护厅 河南省水利厅 河南省国土资源厅关于印发南水北调中线一期工程总干渠（河南段）两侧饮用水水源保护区划定的通知》（豫调办</w:t>
            </w:r>
            <w:r>
              <w:rPr>
                <w:rFonts w:hint="eastAsia" w:ascii="Times New Roman" w:hAnsi="Times New Roman" w:eastAsia="宋体" w:cs="Times New Roman"/>
                <w:color w:val="auto"/>
                <w:sz w:val="24"/>
                <w:szCs w:val="21"/>
                <w:highlight w:val="none"/>
                <w:lang w:eastAsia="zh-CN"/>
              </w:rPr>
              <w:t>〔</w:t>
            </w:r>
            <w:r>
              <w:rPr>
                <w:rFonts w:hint="default" w:ascii="Times New Roman" w:hAnsi="Times New Roman" w:eastAsia="宋体" w:cs="Times New Roman"/>
                <w:color w:val="auto"/>
                <w:sz w:val="24"/>
                <w:szCs w:val="21"/>
                <w:highlight w:val="none"/>
              </w:rPr>
              <w:t>2018</w:t>
            </w:r>
            <w:r>
              <w:rPr>
                <w:rFonts w:hint="eastAsia" w:ascii="Times New Roman" w:hAnsi="Times New Roman" w:eastAsia="宋体" w:cs="Times New Roman"/>
                <w:color w:val="auto"/>
                <w:sz w:val="24"/>
                <w:szCs w:val="21"/>
                <w:highlight w:val="none"/>
                <w:lang w:eastAsia="zh-CN"/>
              </w:rPr>
              <w:t>〕</w:t>
            </w:r>
            <w:r>
              <w:rPr>
                <w:rFonts w:hint="default" w:ascii="Times New Roman" w:hAnsi="Times New Roman" w:eastAsia="宋体" w:cs="Times New Roman"/>
                <w:color w:val="auto"/>
                <w:sz w:val="24"/>
                <w:szCs w:val="21"/>
                <w:highlight w:val="none"/>
              </w:rPr>
              <w:t>56号），南水北调中线一期工程总干渠在河南省境内的工程类型分为建筑物段和总干渠明渠段。</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（一）建筑物段（渡槽、倒虹吸、暗涵、涵洞）</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一级保护区范围自总干渠管理范围边线（防护栏网）外延50米，不设二级保护区。</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（二）总干渠明渠段</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根据地下水水位与总干渠渠底高程的关系，分为以下几种类型：</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1、地下水水位低于总干渠渠底的渠段</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一级保护区范围自总干渠管理范围边线（防护栏网）外延50米；二级保护区范围自一级保护区边线外延150米。</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2、地下水水位高于总干渠渠底的渠段</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highlight w:val="none"/>
              </w:rPr>
            </w:pPr>
            <w:r>
              <w:rPr>
                <w:rFonts w:hint="eastAsia" w:ascii="Times New Roman" w:hAnsi="Times New Roman" w:eastAsia="宋体" w:cs="Times New Roman"/>
                <w:color w:val="auto"/>
                <w:sz w:val="24"/>
                <w:szCs w:val="21"/>
                <w:highlight w:val="none"/>
                <w:lang w:eastAsia="zh-CN"/>
              </w:rPr>
              <w:t>（</w:t>
            </w:r>
            <w:r>
              <w:rPr>
                <w:rFonts w:hint="eastAsia" w:ascii="Times New Roman" w:hAnsi="Times New Roman" w:eastAsia="宋体" w:cs="Times New Roman"/>
                <w:color w:val="auto"/>
                <w:sz w:val="24"/>
                <w:szCs w:val="21"/>
                <w:highlight w:val="none"/>
                <w:lang w:val="en-US" w:eastAsia="zh-CN"/>
              </w:rPr>
              <w:t>1</w:t>
            </w:r>
            <w:r>
              <w:rPr>
                <w:rFonts w:hint="eastAsia" w:ascii="Times New Roman" w:hAnsi="Times New Roman" w:eastAsia="宋体" w:cs="Times New Roman"/>
                <w:color w:val="auto"/>
                <w:sz w:val="24"/>
                <w:szCs w:val="21"/>
                <w:highlight w:val="none"/>
                <w:lang w:eastAsia="zh-CN"/>
              </w:rPr>
              <w:t>）</w:t>
            </w:r>
            <w:r>
              <w:rPr>
                <w:rFonts w:hint="default" w:ascii="Times New Roman" w:hAnsi="Times New Roman" w:eastAsia="宋体" w:cs="Times New Roman"/>
                <w:color w:val="auto"/>
                <w:sz w:val="24"/>
                <w:szCs w:val="21"/>
                <w:highlight w:val="none"/>
              </w:rPr>
              <w:t>微~弱透水性地层</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一级保护区范围自总干渠管理范围边线（防护栏网）外延50米；二级保护区范围自一级保护区边线外延500米。</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highlight w:val="none"/>
              </w:rPr>
            </w:pPr>
            <w:r>
              <w:rPr>
                <w:rFonts w:hint="eastAsia" w:ascii="Times New Roman" w:hAnsi="Times New Roman" w:eastAsia="宋体" w:cs="Times New Roman"/>
                <w:color w:val="auto"/>
                <w:sz w:val="24"/>
                <w:szCs w:val="21"/>
                <w:highlight w:val="none"/>
                <w:lang w:eastAsia="zh-CN"/>
              </w:rPr>
              <w:t>（</w:t>
            </w:r>
            <w:r>
              <w:rPr>
                <w:rFonts w:hint="eastAsia" w:ascii="Times New Roman" w:hAnsi="Times New Roman" w:eastAsia="宋体" w:cs="Times New Roman"/>
                <w:color w:val="auto"/>
                <w:sz w:val="24"/>
                <w:szCs w:val="21"/>
                <w:highlight w:val="none"/>
                <w:lang w:val="en-US" w:eastAsia="zh-CN"/>
              </w:rPr>
              <w:t>2</w:t>
            </w:r>
            <w:r>
              <w:rPr>
                <w:rFonts w:hint="eastAsia" w:ascii="Times New Roman" w:hAnsi="Times New Roman" w:eastAsia="宋体" w:cs="Times New Roman"/>
                <w:color w:val="auto"/>
                <w:sz w:val="24"/>
                <w:szCs w:val="21"/>
                <w:highlight w:val="none"/>
                <w:lang w:eastAsia="zh-CN"/>
              </w:rPr>
              <w:t>）</w:t>
            </w:r>
            <w:r>
              <w:rPr>
                <w:rFonts w:hint="default" w:ascii="Times New Roman" w:hAnsi="Times New Roman" w:eastAsia="宋体" w:cs="Times New Roman"/>
                <w:color w:val="auto"/>
                <w:sz w:val="24"/>
                <w:szCs w:val="21"/>
                <w:highlight w:val="none"/>
              </w:rPr>
              <w:t>弱~中透水性地层</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一级保护区范围自总干渠管理范围边线（防护栏网）外延100米；二级保护区范围自一级保护区边线外延1000米。</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highlight w:val="none"/>
              </w:rPr>
            </w:pPr>
            <w:r>
              <w:rPr>
                <w:rFonts w:hint="eastAsia" w:ascii="Times New Roman" w:hAnsi="Times New Roman" w:eastAsia="宋体" w:cs="Times New Roman"/>
                <w:color w:val="auto"/>
                <w:sz w:val="24"/>
                <w:szCs w:val="21"/>
                <w:highlight w:val="none"/>
                <w:lang w:eastAsia="zh-CN"/>
              </w:rPr>
              <w:t>（</w:t>
            </w:r>
            <w:r>
              <w:rPr>
                <w:rFonts w:hint="eastAsia" w:ascii="Times New Roman" w:hAnsi="Times New Roman" w:eastAsia="宋体" w:cs="Times New Roman"/>
                <w:color w:val="auto"/>
                <w:sz w:val="24"/>
                <w:szCs w:val="21"/>
                <w:highlight w:val="none"/>
                <w:lang w:val="en-US" w:eastAsia="zh-CN"/>
              </w:rPr>
              <w:t>3</w:t>
            </w:r>
            <w:r>
              <w:rPr>
                <w:rFonts w:hint="eastAsia" w:ascii="Times New Roman" w:hAnsi="Times New Roman" w:eastAsia="宋体" w:cs="Times New Roman"/>
                <w:color w:val="auto"/>
                <w:sz w:val="24"/>
                <w:szCs w:val="21"/>
                <w:highlight w:val="none"/>
                <w:lang w:eastAsia="zh-CN"/>
              </w:rPr>
              <w:t>）</w:t>
            </w:r>
            <w:r>
              <w:rPr>
                <w:rFonts w:hint="default" w:ascii="Times New Roman" w:hAnsi="Times New Roman" w:eastAsia="宋体" w:cs="Times New Roman"/>
                <w:color w:val="auto"/>
                <w:sz w:val="24"/>
                <w:szCs w:val="21"/>
                <w:highlight w:val="none"/>
              </w:rPr>
              <w:t>强透水性地层</w:t>
            </w:r>
          </w:p>
          <w:p>
            <w:pPr>
              <w:keepNext w:val="0"/>
              <w:keepLines w:val="0"/>
              <w:suppressLineNumbers w:val="0"/>
              <w:tabs>
                <w:tab w:val="left" w:pos="720"/>
              </w:tabs>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一级保护区范围自总干渠管理范围边线（防护栏网）外延200米；二级保护区范围自一级保护区边线外延2000米、1500米。</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b/>
                <w:bCs/>
                <w:color w:val="auto"/>
                <w:kern w:val="0"/>
                <w:sz w:val="24"/>
                <w:szCs w:val="24"/>
              </w:rPr>
            </w:pPr>
            <w:r>
              <w:rPr>
                <w:rFonts w:hint="default" w:ascii="Times New Roman" w:hAnsi="Times New Roman" w:eastAsia="宋体" w:cs="Times New Roman"/>
                <w:color w:val="auto"/>
                <w:kern w:val="0"/>
                <w:sz w:val="24"/>
                <w:szCs w:val="21"/>
                <w:highlight w:val="none"/>
              </w:rPr>
              <w:t>本项目位于</w:t>
            </w:r>
            <w:r>
              <w:rPr>
                <w:rFonts w:hint="default" w:ascii="Times New Roman" w:hAnsi="Times New Roman" w:eastAsia="宋体" w:cs="Times New Roman"/>
                <w:color w:val="auto"/>
                <w:kern w:val="0"/>
                <w:sz w:val="24"/>
                <w:szCs w:val="21"/>
                <w:highlight w:val="none"/>
                <w:lang w:eastAsia="zh-CN"/>
              </w:rPr>
              <w:t>安阳市新型制造业产业园区</w:t>
            </w:r>
            <w:r>
              <w:rPr>
                <w:rFonts w:hint="default" w:ascii="Times New Roman" w:hAnsi="Times New Roman" w:eastAsia="宋体" w:cs="Times New Roman"/>
                <w:color w:val="auto"/>
                <w:kern w:val="0"/>
                <w:sz w:val="24"/>
                <w:szCs w:val="21"/>
                <w:highlight w:val="none"/>
              </w:rPr>
              <w:t>，</w:t>
            </w:r>
            <w:r>
              <w:rPr>
                <w:rFonts w:hint="default" w:ascii="Times New Roman" w:hAnsi="Times New Roman" w:eastAsia="宋体" w:cs="Times New Roman"/>
                <w:color w:val="auto"/>
                <w:sz w:val="24"/>
                <w:szCs w:val="21"/>
                <w:highlight w:val="none"/>
              </w:rPr>
              <w:t>向西距离南水北调中线工程</w:t>
            </w:r>
            <w:r>
              <w:rPr>
                <w:rFonts w:hint="eastAsia" w:ascii="Times New Roman" w:hAnsi="Times New Roman" w:eastAsia="宋体" w:cs="Times New Roman"/>
                <w:color w:val="auto"/>
                <w:sz w:val="24"/>
                <w:szCs w:val="21"/>
                <w:highlight w:val="none"/>
                <w:lang w:eastAsia="zh-CN"/>
              </w:rPr>
              <w:t>二级保护区</w:t>
            </w:r>
            <w:r>
              <w:rPr>
                <w:rFonts w:hint="default" w:ascii="Times New Roman" w:hAnsi="Times New Roman" w:eastAsia="宋体" w:cs="Times New Roman"/>
                <w:color w:val="auto"/>
                <w:sz w:val="24"/>
                <w:szCs w:val="21"/>
                <w:highlight w:val="none"/>
              </w:rPr>
              <w:t>约</w:t>
            </w:r>
            <w:r>
              <w:rPr>
                <w:rFonts w:hint="eastAsia" w:cs="Times New Roman"/>
                <w:color w:val="auto"/>
                <w:sz w:val="24"/>
                <w:szCs w:val="21"/>
                <w:highlight w:val="none"/>
                <w:lang w:val="en-US" w:eastAsia="zh-CN"/>
              </w:rPr>
              <w:t>850</w:t>
            </w:r>
            <w:r>
              <w:rPr>
                <w:rFonts w:hint="default" w:ascii="Times New Roman" w:hAnsi="Times New Roman" w:eastAsia="宋体" w:cs="Times New Roman"/>
                <w:color w:val="auto"/>
                <w:sz w:val="24"/>
                <w:szCs w:val="21"/>
                <w:highlight w:val="none"/>
              </w:rPr>
              <w:t>m，不在其保护区范围内。</w:t>
            </w:r>
          </w:p>
          <w:p>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cs="Times New Roman"/>
                <w:b/>
                <w:bCs/>
                <w:color w:val="auto"/>
                <w:kern w:val="0"/>
                <w:sz w:val="24"/>
                <w:szCs w:val="24"/>
                <w:lang w:val="en-US" w:eastAsia="zh-CN"/>
              </w:rPr>
            </w:pPr>
            <w:r>
              <w:rPr>
                <w:rFonts w:hint="eastAsia" w:ascii="Times New Roman" w:hAnsi="Times New Roman" w:cs="Times New Roman"/>
                <w:b/>
                <w:bCs/>
                <w:color w:val="auto"/>
                <w:kern w:val="0"/>
                <w:sz w:val="24"/>
                <w:szCs w:val="24"/>
                <w:lang w:val="en-US" w:eastAsia="zh-CN"/>
              </w:rPr>
              <w:t>6.与《生态环境系统安全生产治本攻坚三年行动方案（2024-2026年）》（安环文〔2024〕62号）相符性分析</w:t>
            </w:r>
          </w:p>
          <w:p>
            <w:pPr>
              <w:keepNext w:val="0"/>
              <w:keepLines w:val="0"/>
              <w:widowControl w:val="0"/>
              <w:numPr>
                <w:ilvl w:val="0"/>
                <w:numId w:val="0"/>
              </w:numPr>
              <w:suppressLineNumbers w:val="0"/>
              <w:tabs>
                <w:tab w:val="clear" w:pos="2040"/>
              </w:tabs>
              <w:adjustRightInd w:val="0"/>
              <w:snapToGrid w:val="0"/>
              <w:spacing w:before="0" w:beforeAutospacing="0" w:after="0" w:afterAutospacing="0" w:line="360" w:lineRule="auto"/>
              <w:ind w:left="0" w:leftChars="0" w:right="0" w:rightChars="0" w:firstLine="480" w:firstLineChars="200"/>
              <w:jc w:val="both"/>
              <w:rPr>
                <w:rFonts w:hint="default" w:ascii="Times New Roman" w:hAnsi="Times New Roman" w:eastAsia="宋体" w:cs="Times New Roman"/>
                <w:color w:val="auto"/>
                <w:kern w:val="2"/>
                <w:sz w:val="24"/>
                <w:szCs w:val="24"/>
                <w:u w:val="single"/>
              </w:rPr>
            </w:pPr>
            <w:r>
              <w:rPr>
                <w:rFonts w:hint="default" w:ascii="Times New Roman" w:hAnsi="Times New Roman" w:eastAsia="宋体" w:cs="Times New Roman"/>
                <w:color w:val="auto"/>
                <w:kern w:val="2"/>
                <w:sz w:val="24"/>
                <w:szCs w:val="24"/>
                <w:lang w:val="en-US" w:eastAsia="zh-CN" w:bidi="ar"/>
              </w:rPr>
              <w:t>按照《河南省安全生产治本攻坚三年行动方案（2024-2026年）生态环境系统子方案》、市安委会《安阳市安全生产治本攻坚三年行动实施细则（2024-2026年）》总体要求，安阳市生态环境局印发了《生态环境系统安全生产治本攻坚三年行动方案（2024-2026年）》（安环文〔2024〕62号），本项目建设内容与攻坚行动内容进行对照，相符性如下：</w:t>
            </w:r>
          </w:p>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2"/>
                <w:sz w:val="24"/>
                <w:szCs w:val="24"/>
              </w:rPr>
            </w:pPr>
            <w:r>
              <w:rPr>
                <w:rFonts w:hint="default" w:ascii="Times New Roman" w:hAnsi="Times New Roman" w:eastAsia="宋体" w:cs="Times New Roman"/>
                <w:b/>
                <w:bCs/>
                <w:color w:val="auto"/>
                <w:kern w:val="2"/>
                <w:sz w:val="24"/>
                <w:szCs w:val="24"/>
                <w:lang w:val="en-US" w:eastAsia="zh-CN" w:bidi="ar"/>
              </w:rPr>
              <w:t>本项目与生态环境系统安全生产治本攻坚行动方案相符性分析</w:t>
            </w:r>
          </w:p>
          <w:tbl>
            <w:tblPr>
              <w:tblStyle w:val="27"/>
              <w:tblW w:w="8118" w:type="dxa"/>
              <w:jc w:val="center"/>
              <w:tblInd w:w="0" w:type="dxa"/>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847"/>
              <w:gridCol w:w="905"/>
              <w:gridCol w:w="3948"/>
              <w:gridCol w:w="1531"/>
              <w:gridCol w:w="887"/>
            </w:tblGrid>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jc w:val="center"/>
              </w:trPr>
              <w:tc>
                <w:tcPr>
                  <w:tcW w:w="5700" w:type="dxa"/>
                  <w:gridSpan w:val="3"/>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autoSpaceDE w:val="0"/>
                    <w:autoSpaceDN/>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b/>
                      <w:bCs/>
                      <w:color w:val="auto"/>
                      <w:kern w:val="0"/>
                      <w:sz w:val="21"/>
                      <w:szCs w:val="21"/>
                    </w:rPr>
                  </w:pPr>
                  <w:r>
                    <w:rPr>
                      <w:rFonts w:hint="eastAsia" w:ascii="宋体" w:hAnsi="宋体" w:eastAsia="宋体" w:cs="宋体"/>
                      <w:b/>
                      <w:bCs/>
                      <w:color w:val="auto"/>
                      <w:kern w:val="0"/>
                      <w:sz w:val="21"/>
                      <w:szCs w:val="21"/>
                      <w:lang w:val="en-US" w:eastAsia="zh-CN" w:bidi="ar"/>
                    </w:rPr>
                    <w:t>攻坚任务</w:t>
                  </w:r>
                </w:p>
              </w:tc>
              <w:tc>
                <w:tcPr>
                  <w:tcW w:w="1531" w:type="dxa"/>
                  <w:tcBorders>
                    <w:top w:val="single" w:color="auto" w:sz="4" w:space="0"/>
                    <w:left w:val="single" w:color="auto" w:sz="4" w:space="0"/>
                    <w:bottom w:val="single" w:color="auto" w:sz="4" w:space="0"/>
                    <w:right w:val="single" w:color="auto" w:sz="4" w:space="0"/>
                  </w:tcBorders>
                  <w:vAlign w:val="center"/>
                </w:tcPr>
                <w:p>
                  <w:pPr>
                    <w:pStyle w:val="23"/>
                    <w:keepNext w:val="0"/>
                    <w:keepLines w:val="0"/>
                    <w:widowControl w:val="0"/>
                    <w:suppressLineNumbers w:val="0"/>
                    <w:autoSpaceDE w:val="0"/>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本项目</w:t>
                  </w:r>
                </w:p>
              </w:tc>
              <w:tc>
                <w:tcPr>
                  <w:tcW w:w="887" w:type="dxa"/>
                  <w:tcBorders>
                    <w:top w:val="single" w:color="auto" w:sz="4" w:space="0"/>
                    <w:left w:val="single" w:color="auto" w:sz="4" w:space="0"/>
                    <w:bottom w:val="single" w:color="auto" w:sz="4" w:space="0"/>
                    <w:right w:val="nil"/>
                  </w:tcBorders>
                  <w:vAlign w:val="center"/>
                </w:tcPr>
                <w:p>
                  <w:pPr>
                    <w:pStyle w:val="23"/>
                    <w:keepNext w:val="0"/>
                    <w:keepLines w:val="0"/>
                    <w:widowControl w:val="0"/>
                    <w:suppressLineNumbers w:val="0"/>
                    <w:autoSpaceDE w:val="0"/>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相符性</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451" w:hRule="atLeast"/>
                <w:jc w:val="center"/>
              </w:trPr>
              <w:tc>
                <w:tcPr>
                  <w:tcW w:w="847"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autoSpaceDE w:val="0"/>
                    <w:autoSpaceDN/>
                    <w:adjustRightInd w:val="0"/>
                    <w:snapToGrid w:val="0"/>
                    <w:spacing w:before="0" w:beforeAutospacing="0" w:after="0" w:afterAutospacing="0" w:line="240" w:lineRule="auto"/>
                    <w:ind w:left="0" w:right="0" w:firstLine="0" w:firstLineChars="0"/>
                    <w:jc w:val="center"/>
                    <w:rPr>
                      <w:rFonts w:hint="eastAsia" w:ascii="宋体" w:hAnsi="宋体" w:eastAsia="宋体" w:cs="宋体"/>
                      <w:color w:val="auto"/>
                      <w:spacing w:val="0"/>
                      <w:kern w:val="2"/>
                      <w:sz w:val="21"/>
                      <w:szCs w:val="21"/>
                      <w:lang w:val="en-US" w:eastAsia="zh-CN" w:bidi="ar"/>
                    </w:rPr>
                  </w:pPr>
                  <w:r>
                    <w:rPr>
                      <w:rFonts w:hint="eastAsia" w:ascii="宋体" w:hAnsi="宋体" w:eastAsia="宋体" w:cs="宋体"/>
                      <w:color w:val="auto"/>
                      <w:spacing w:val="0"/>
                      <w:kern w:val="2"/>
                      <w:sz w:val="21"/>
                      <w:szCs w:val="21"/>
                      <w:lang w:val="en-US" w:eastAsia="zh-CN" w:bidi="ar"/>
                    </w:rPr>
                    <w:t>（二）强化危险废物环境风险防范</w:t>
                  </w:r>
                </w:p>
              </w:tc>
              <w:tc>
                <w:tcPr>
                  <w:tcW w:w="90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line="240" w:lineRule="auto"/>
                    <w:ind w:left="0" w:right="0" w:firstLine="0" w:firstLineChars="0"/>
                    <w:jc w:val="center"/>
                    <w:rPr>
                      <w:rFonts w:hint="eastAsia" w:ascii="宋体" w:hAnsi="宋体" w:eastAsia="宋体" w:cs="宋体"/>
                      <w:color w:val="auto"/>
                      <w:spacing w:val="0"/>
                      <w:kern w:val="2"/>
                      <w:sz w:val="21"/>
                      <w:szCs w:val="21"/>
                      <w:lang w:val="en-US" w:eastAsia="zh-CN" w:bidi="ar"/>
                    </w:rPr>
                  </w:pPr>
                  <w:r>
                    <w:rPr>
                      <w:rFonts w:hint="eastAsia" w:ascii="宋体" w:hAnsi="宋体" w:eastAsia="宋体" w:cs="宋体"/>
                      <w:color w:val="auto"/>
                      <w:spacing w:val="0"/>
                      <w:kern w:val="2"/>
                      <w:sz w:val="21"/>
                      <w:szCs w:val="21"/>
                      <w:lang w:val="en-US" w:eastAsia="zh-CN" w:bidi="ar"/>
                    </w:rPr>
                    <w:t>完善危险废物管理机制</w:t>
                  </w:r>
                </w:p>
              </w:tc>
              <w:tc>
                <w:tcPr>
                  <w:tcW w:w="394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line="240" w:lineRule="auto"/>
                    <w:ind w:left="0" w:right="0" w:firstLine="0" w:firstLineChars="0"/>
                    <w:jc w:val="both"/>
                    <w:rPr>
                      <w:rFonts w:hint="eastAsia" w:ascii="宋体" w:hAnsi="宋体" w:eastAsia="宋体" w:cs="宋体"/>
                      <w:color w:val="auto"/>
                      <w:spacing w:val="0"/>
                      <w:kern w:val="2"/>
                      <w:sz w:val="21"/>
                      <w:szCs w:val="21"/>
                      <w:lang w:val="en-US" w:eastAsia="zh-CN" w:bidi="ar"/>
                    </w:rPr>
                  </w:pPr>
                  <w:r>
                    <w:rPr>
                      <w:rFonts w:hint="eastAsia" w:ascii="宋体" w:hAnsi="宋体" w:eastAsia="宋体" w:cs="宋体"/>
                      <w:color w:val="auto"/>
                      <w:spacing w:val="0"/>
                      <w:kern w:val="2"/>
                      <w:sz w:val="21"/>
                      <w:szCs w:val="21"/>
                      <w:lang w:val="en-US" w:eastAsia="zh-CN" w:bidi="ar"/>
                    </w:rPr>
                    <w:t>进一步压实危险废物产生、收集、贮存、运输、利用、处置企业的主要负责人(法定代表人、实际控制人)危险废物污染环境防治和安全生产第一责任，督促危险废物产生企业，纳入全国危险废物管理信息系统“一张网”管理，严格落实危险废物在线申报登记和管理计划在线备案，实行危险废物转移电子联单制度。</w:t>
                  </w:r>
                </w:p>
              </w:tc>
              <w:tc>
                <w:tcPr>
                  <w:tcW w:w="1531" w:type="dxa"/>
                  <w:tcBorders>
                    <w:top w:val="single" w:color="auto" w:sz="4" w:space="0"/>
                    <w:left w:val="single" w:color="auto" w:sz="4" w:space="0"/>
                    <w:bottom w:val="single" w:color="auto" w:sz="4" w:space="0"/>
                    <w:right w:val="single" w:color="auto" w:sz="4" w:space="0"/>
                  </w:tcBorders>
                  <w:vAlign w:val="center"/>
                </w:tcPr>
                <w:p>
                  <w:pPr>
                    <w:pStyle w:val="23"/>
                    <w:keepNext w:val="0"/>
                    <w:keepLines w:val="0"/>
                    <w:widowControl w:val="0"/>
                    <w:suppressLineNumbers w:val="0"/>
                    <w:autoSpaceDE w:val="0"/>
                    <w:autoSpaceDN/>
                    <w:adjustRightInd w:val="0"/>
                    <w:snapToGrid w:val="0"/>
                    <w:spacing w:before="0" w:beforeAutospacing="0" w:after="0" w:afterAutospacing="0" w:line="240" w:lineRule="auto"/>
                    <w:ind w:left="0" w:right="0" w:firstLine="0" w:firstLineChars="0"/>
                    <w:jc w:val="both"/>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建设单位纳入全国危险废物管理信息系统“一张网”管理，严格落实危险废物在线申报登记和管理计划在线备案，实行危险废物转移电子联单制度。</w:t>
                  </w:r>
                </w:p>
              </w:tc>
              <w:tc>
                <w:tcPr>
                  <w:tcW w:w="887" w:type="dxa"/>
                  <w:tcBorders>
                    <w:top w:val="single" w:color="auto" w:sz="4" w:space="0"/>
                    <w:left w:val="single" w:color="auto" w:sz="4" w:space="0"/>
                    <w:bottom w:val="single" w:color="auto" w:sz="4" w:space="0"/>
                    <w:right w:val="nil"/>
                  </w:tcBorders>
                  <w:vAlign w:val="center"/>
                </w:tcPr>
                <w:p>
                  <w:pPr>
                    <w:pStyle w:val="23"/>
                    <w:keepNext w:val="0"/>
                    <w:keepLines w:val="0"/>
                    <w:widowControl w:val="0"/>
                    <w:suppressLineNumbers w:val="0"/>
                    <w:autoSpaceDE w:val="0"/>
                    <w:autoSpaceDN/>
                    <w:adjustRightInd w:val="0"/>
                    <w:snapToGrid w:val="0"/>
                    <w:spacing w:before="0" w:beforeAutospacing="0" w:after="0" w:afterAutospacing="0" w:line="240" w:lineRule="auto"/>
                    <w:ind w:left="0" w:right="0" w:firstLine="0" w:firstLineChars="0"/>
                    <w:jc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相符</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451" w:hRule="atLeast"/>
                <w:jc w:val="center"/>
              </w:trPr>
              <w:tc>
                <w:tcPr>
                  <w:tcW w:w="847"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autoSpaceDE w:val="0"/>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pacing w:val="0"/>
                      <w:kern w:val="2"/>
                      <w:sz w:val="21"/>
                      <w:szCs w:val="21"/>
                    </w:rPr>
                  </w:pPr>
                  <w:r>
                    <w:rPr>
                      <w:rFonts w:hint="eastAsia" w:ascii="宋体" w:hAnsi="宋体" w:eastAsia="宋体" w:cs="宋体"/>
                      <w:color w:val="auto"/>
                      <w:spacing w:val="0"/>
                      <w:kern w:val="2"/>
                      <w:sz w:val="21"/>
                      <w:szCs w:val="21"/>
                      <w:lang w:val="en-US" w:eastAsia="zh-CN" w:bidi="ar"/>
                    </w:rPr>
                    <w:t>（四）强化重点环保设施设备环境风险监管</w:t>
                  </w:r>
                </w:p>
              </w:tc>
              <w:tc>
                <w:tcPr>
                  <w:tcW w:w="90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pacing w:val="0"/>
                      <w:kern w:val="2"/>
                      <w:sz w:val="21"/>
                      <w:szCs w:val="21"/>
                    </w:rPr>
                  </w:pPr>
                  <w:r>
                    <w:rPr>
                      <w:rFonts w:hint="eastAsia" w:ascii="宋体" w:hAnsi="宋体" w:eastAsia="宋体" w:cs="宋体"/>
                      <w:color w:val="auto"/>
                      <w:spacing w:val="0"/>
                      <w:kern w:val="2"/>
                      <w:sz w:val="21"/>
                      <w:szCs w:val="21"/>
                      <w:lang w:val="en-US" w:eastAsia="zh-CN" w:bidi="ar"/>
                    </w:rPr>
                    <w:t>强化重点环保设施、项目环境风险评估和隐患排查工作。</w:t>
                  </w:r>
                </w:p>
              </w:tc>
              <w:tc>
                <w:tcPr>
                  <w:tcW w:w="394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spacing w:val="0"/>
                      <w:kern w:val="2"/>
                      <w:sz w:val="21"/>
                      <w:szCs w:val="21"/>
                    </w:rPr>
                  </w:pPr>
                  <w:r>
                    <w:rPr>
                      <w:rFonts w:hint="eastAsia" w:ascii="宋体" w:hAnsi="宋体" w:eastAsia="宋体" w:cs="宋体"/>
                      <w:color w:val="auto"/>
                      <w:spacing w:val="0"/>
                      <w:kern w:val="2"/>
                      <w:sz w:val="21"/>
                      <w:szCs w:val="21"/>
                      <w:lang w:val="en-US" w:eastAsia="zh-CN" w:bidi="ar"/>
                    </w:rPr>
                    <w:t>每年</w:t>
                  </w:r>
                  <w:r>
                    <w:rPr>
                      <w:rFonts w:hint="default" w:ascii="Times New Roman" w:hAnsi="Times New Roman" w:eastAsia="宋体" w:cs="Times New Roman"/>
                      <w:color w:val="auto"/>
                      <w:spacing w:val="0"/>
                      <w:kern w:val="2"/>
                      <w:sz w:val="21"/>
                      <w:szCs w:val="21"/>
                      <w:lang w:val="en-US" w:eastAsia="zh-CN" w:bidi="ar"/>
                    </w:rPr>
                    <w:t>4-10</w:t>
                  </w:r>
                  <w:r>
                    <w:rPr>
                      <w:rFonts w:hint="eastAsia" w:ascii="宋体" w:hAnsi="宋体" w:eastAsia="宋体" w:cs="宋体"/>
                      <w:color w:val="auto"/>
                      <w:spacing w:val="0"/>
                      <w:kern w:val="2"/>
                      <w:sz w:val="21"/>
                      <w:szCs w:val="21"/>
                      <w:lang w:val="en-US" w:eastAsia="zh-CN" w:bidi="ar"/>
                    </w:rPr>
                    <w:t>月组织开展检查。一是对重点排污单位的脱硫脱硝、煤改气、挥发性有机物回收、污水处理、化工行业污染物治理、粉尘治理、</w:t>
                  </w:r>
                  <w:r>
                    <w:rPr>
                      <w:rFonts w:hint="default" w:ascii="Times New Roman" w:hAnsi="Times New Roman" w:eastAsia="宋体" w:cs="Times New Roman"/>
                      <w:color w:val="auto"/>
                      <w:spacing w:val="0"/>
                      <w:kern w:val="2"/>
                      <w:sz w:val="21"/>
                      <w:szCs w:val="21"/>
                      <w:lang w:val="en-US" w:eastAsia="zh-CN" w:bidi="ar"/>
                    </w:rPr>
                    <w:t>RT0</w:t>
                  </w:r>
                  <w:r>
                    <w:rPr>
                      <w:rFonts w:hint="eastAsia" w:ascii="宋体" w:hAnsi="宋体" w:eastAsia="宋体" w:cs="宋体"/>
                      <w:color w:val="auto"/>
                      <w:spacing w:val="0"/>
                      <w:kern w:val="2"/>
                      <w:sz w:val="21"/>
                      <w:szCs w:val="21"/>
                      <w:lang w:val="en-US" w:eastAsia="zh-CN" w:bidi="ar"/>
                    </w:rPr>
                    <w:t>焚烧炉等七类环境治理项目及其配套设施开展日常检查。二是各级生态环境部门帮扶指导辖区内涉及高温、高压、易燃易爆有毒物质等专用设施设备，工业园区污水收集管网及处理设施，危险废物贮存、利用、处置场所等重点排污单位认真做好重点环保设施及项目的安全风险评估和隐患排查治理整改工作，建立台账，对存在问题的跟踪督办，并及时通报应急管理部门。三是帮扶指导重点排污单位对排查出的问题，制定切实可行的整改方案，明确责任人和整改完成时限。</w:t>
                  </w:r>
                </w:p>
              </w:tc>
              <w:tc>
                <w:tcPr>
                  <w:tcW w:w="1531" w:type="dxa"/>
                  <w:tcBorders>
                    <w:top w:val="single" w:color="auto" w:sz="4" w:space="0"/>
                    <w:left w:val="single" w:color="auto" w:sz="4" w:space="0"/>
                    <w:bottom w:val="single" w:color="auto" w:sz="4" w:space="0"/>
                    <w:right w:val="single" w:color="auto" w:sz="4" w:space="0"/>
                  </w:tcBorders>
                  <w:vAlign w:val="center"/>
                </w:tcPr>
                <w:p>
                  <w:pPr>
                    <w:pStyle w:val="23"/>
                    <w:keepNext w:val="0"/>
                    <w:keepLines w:val="0"/>
                    <w:widowControl w:val="0"/>
                    <w:suppressLineNumbers w:val="0"/>
                    <w:autoSpaceDE w:val="0"/>
                    <w:autoSpaceDN/>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kern w:val="0"/>
                      <w:sz w:val="21"/>
                      <w:szCs w:val="21"/>
                    </w:rPr>
                  </w:pPr>
                  <w:r>
                    <w:rPr>
                      <w:rFonts w:hint="eastAsia" w:ascii="宋体" w:hAnsi="宋体" w:eastAsia="宋体" w:cs="宋体"/>
                      <w:color w:val="auto"/>
                      <w:kern w:val="0"/>
                      <w:sz w:val="21"/>
                      <w:szCs w:val="21"/>
                      <w:lang w:val="en-US" w:eastAsia="zh-CN" w:bidi="ar"/>
                    </w:rPr>
                    <w:t>本项目涉及废气排放。项目建成后严格按照相关要求制定废气治理设施及固体废物日常管理及台账管理规范。</w:t>
                  </w:r>
                </w:p>
              </w:tc>
              <w:tc>
                <w:tcPr>
                  <w:tcW w:w="887" w:type="dxa"/>
                  <w:tcBorders>
                    <w:top w:val="single" w:color="auto" w:sz="4" w:space="0"/>
                    <w:left w:val="single" w:color="auto" w:sz="4" w:space="0"/>
                    <w:bottom w:val="single" w:color="auto" w:sz="4" w:space="0"/>
                    <w:right w:val="nil"/>
                  </w:tcBorders>
                  <w:vAlign w:val="center"/>
                </w:tcPr>
                <w:p>
                  <w:pPr>
                    <w:pStyle w:val="23"/>
                    <w:keepNext w:val="0"/>
                    <w:keepLines w:val="0"/>
                    <w:widowControl w:val="0"/>
                    <w:suppressLineNumbers w:val="0"/>
                    <w:autoSpaceDE w:val="0"/>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rPr>
                  </w:pPr>
                  <w:r>
                    <w:rPr>
                      <w:rFonts w:hint="eastAsia" w:ascii="宋体" w:hAnsi="宋体" w:eastAsia="宋体" w:cs="宋体"/>
                      <w:color w:val="auto"/>
                      <w:kern w:val="0"/>
                      <w:sz w:val="21"/>
                      <w:szCs w:val="21"/>
                      <w:lang w:val="en-US" w:eastAsia="zh-CN" w:bidi="ar"/>
                    </w:rPr>
                    <w:t>相符</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451" w:hRule="atLeast"/>
                <w:jc w:val="center"/>
              </w:trPr>
              <w:tc>
                <w:tcPr>
                  <w:tcW w:w="847"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autoSpaceDE w:val="0"/>
                    <w:autoSpaceDN/>
                    <w:adjustRightInd w:val="0"/>
                    <w:snapToGrid w:val="0"/>
                    <w:spacing w:before="0" w:beforeAutospacing="0" w:after="0" w:afterAutospacing="0" w:line="240" w:lineRule="auto"/>
                    <w:ind w:left="0" w:right="0" w:firstLine="0" w:firstLineChars="0"/>
                    <w:jc w:val="center"/>
                    <w:rPr>
                      <w:rFonts w:hint="eastAsia" w:ascii="宋体" w:hAnsi="宋体" w:eastAsia="宋体" w:cs="宋体"/>
                      <w:color w:val="auto"/>
                      <w:spacing w:val="0"/>
                      <w:kern w:val="2"/>
                      <w:sz w:val="21"/>
                      <w:szCs w:val="21"/>
                      <w:lang w:val="en-US" w:eastAsia="zh-CN" w:bidi="ar"/>
                    </w:rPr>
                  </w:pPr>
                  <w:r>
                    <w:rPr>
                      <w:rFonts w:hint="eastAsia" w:ascii="宋体" w:hAnsi="宋体" w:eastAsia="宋体" w:cs="宋体"/>
                      <w:color w:val="auto"/>
                      <w:spacing w:val="0"/>
                      <w:kern w:val="2"/>
                      <w:sz w:val="21"/>
                      <w:szCs w:val="21"/>
                      <w:lang w:val="en-US" w:eastAsia="zh-CN" w:bidi="ar"/>
                    </w:rPr>
                    <w:t>（五）严格审批，守牢底线</w:t>
                  </w:r>
                </w:p>
              </w:tc>
              <w:tc>
                <w:tcPr>
                  <w:tcW w:w="485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line="240" w:lineRule="auto"/>
                    <w:ind w:left="0" w:right="0" w:firstLine="0" w:firstLineChars="0"/>
                    <w:jc w:val="both"/>
                    <w:rPr>
                      <w:rFonts w:hint="eastAsia" w:ascii="宋体" w:hAnsi="宋体" w:eastAsia="宋体" w:cs="宋体"/>
                      <w:color w:val="auto"/>
                      <w:spacing w:val="0"/>
                      <w:kern w:val="2"/>
                      <w:sz w:val="21"/>
                      <w:szCs w:val="21"/>
                      <w:lang w:val="en-US" w:eastAsia="zh-CN" w:bidi="ar"/>
                    </w:rPr>
                  </w:pPr>
                  <w:r>
                    <w:rPr>
                      <w:rFonts w:hint="eastAsia"/>
                      <w:color w:val="auto"/>
                    </w:rPr>
                    <w:t>坚决把严把牢生态环境准入关，推动各类产业园区依法依规开展规划环评，指导督促建设项目环评提出落实环保设施安全生产的工作要求和环境风险防范措施，强化源头防控，防范环境风险。</w:t>
                  </w:r>
                </w:p>
              </w:tc>
              <w:tc>
                <w:tcPr>
                  <w:tcW w:w="1531" w:type="dxa"/>
                  <w:tcBorders>
                    <w:top w:val="single" w:color="auto" w:sz="4" w:space="0"/>
                    <w:left w:val="single" w:color="auto" w:sz="4" w:space="0"/>
                    <w:bottom w:val="single" w:color="auto" w:sz="4" w:space="0"/>
                    <w:right w:val="single" w:color="auto" w:sz="4" w:space="0"/>
                  </w:tcBorders>
                  <w:vAlign w:val="center"/>
                </w:tcPr>
                <w:p>
                  <w:pPr>
                    <w:pStyle w:val="23"/>
                    <w:keepNext w:val="0"/>
                    <w:keepLines w:val="0"/>
                    <w:widowControl w:val="0"/>
                    <w:suppressLineNumbers w:val="0"/>
                    <w:autoSpaceDE w:val="0"/>
                    <w:autoSpaceDN/>
                    <w:adjustRightInd w:val="0"/>
                    <w:snapToGrid w:val="0"/>
                    <w:spacing w:before="0" w:beforeAutospacing="0" w:after="0" w:afterAutospacing="0" w:line="240" w:lineRule="auto"/>
                    <w:ind w:left="0" w:right="0" w:firstLine="0" w:firstLineChars="0"/>
                    <w:jc w:val="both"/>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本评价要求建设项目建成后制定严格的环保设施管理运行制度，并落实环境风险防范措施。</w:t>
                  </w:r>
                </w:p>
              </w:tc>
              <w:tc>
                <w:tcPr>
                  <w:tcW w:w="887" w:type="dxa"/>
                  <w:tcBorders>
                    <w:top w:val="single" w:color="auto" w:sz="4" w:space="0"/>
                    <w:left w:val="single" w:color="auto" w:sz="4" w:space="0"/>
                    <w:bottom w:val="single" w:color="auto" w:sz="4" w:space="0"/>
                    <w:right w:val="nil"/>
                  </w:tcBorders>
                  <w:vAlign w:val="center"/>
                </w:tcPr>
                <w:p>
                  <w:pPr>
                    <w:pStyle w:val="23"/>
                    <w:keepNext w:val="0"/>
                    <w:keepLines w:val="0"/>
                    <w:widowControl w:val="0"/>
                    <w:suppressLineNumbers w:val="0"/>
                    <w:autoSpaceDE w:val="0"/>
                    <w:autoSpaceDN/>
                    <w:adjustRightInd w:val="0"/>
                    <w:snapToGrid w:val="0"/>
                    <w:spacing w:before="0" w:beforeAutospacing="0" w:after="0" w:afterAutospacing="0" w:line="240" w:lineRule="auto"/>
                    <w:ind w:left="0" w:right="0" w:firstLine="0" w:firstLineChars="0"/>
                    <w:jc w:val="center"/>
                    <w:rPr>
                      <w:rFonts w:hint="eastAsia" w:ascii="宋体" w:hAnsi="宋体" w:eastAsia="宋体" w:cs="宋体"/>
                      <w:color w:val="auto"/>
                      <w:kern w:val="0"/>
                      <w:sz w:val="21"/>
                      <w:szCs w:val="21"/>
                      <w:lang w:val="en-US" w:eastAsia="zh-CN" w:bidi="ar"/>
                    </w:rPr>
                  </w:pPr>
                  <w:r>
                    <w:rPr>
                      <w:rFonts w:hint="eastAsia" w:cs="宋体"/>
                      <w:color w:val="auto"/>
                      <w:kern w:val="0"/>
                      <w:sz w:val="21"/>
                      <w:szCs w:val="21"/>
                      <w:lang w:val="en-US" w:eastAsia="zh-CN" w:bidi="ar"/>
                    </w:rPr>
                    <w:t>相符</w:t>
                  </w:r>
                </w:p>
              </w:tc>
            </w:tr>
          </w:tbl>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bCs/>
                <w:color w:val="auto"/>
                <w:sz w:val="24"/>
                <w:szCs w:val="21"/>
                <w:highlight w:val="none"/>
                <w:lang w:val="en-US" w:eastAsia="zh-CN"/>
              </w:rPr>
            </w:pPr>
            <w:r>
              <w:rPr>
                <w:rFonts w:hint="default" w:ascii="Times New Roman" w:hAnsi="Times New Roman" w:eastAsia="宋体" w:cs="Times New Roman"/>
                <w:color w:val="auto"/>
                <w:kern w:val="2"/>
                <w:sz w:val="24"/>
                <w:szCs w:val="24"/>
                <w:lang w:val="en-US" w:eastAsia="zh-CN" w:bidi="ar"/>
              </w:rPr>
              <w:t>本项目建设与《生态环境系统安全生产治本攻坚三年行动方案(2024-2026年）》审批要求及管理要求相符。</w:t>
            </w:r>
          </w:p>
          <w:p>
            <w:pPr>
              <w:keepNext w:val="0"/>
              <w:keepLines w:val="0"/>
              <w:widowControl w:val="0"/>
              <w:suppressLineNumbers w:val="0"/>
              <w:autoSpaceDE w:val="0"/>
              <w:autoSpaceDN w:val="0"/>
              <w:adjustRightInd w:val="0"/>
              <w:snapToGrid w:val="0"/>
              <w:spacing w:before="0" w:beforeAutospacing="0" w:after="0" w:afterAutospacing="0" w:line="360" w:lineRule="auto"/>
              <w:ind w:left="0" w:right="0"/>
              <w:jc w:val="both"/>
              <w:rPr>
                <w:rFonts w:hint="default" w:ascii="Times New Roman" w:hAnsi="Times New Roman" w:eastAsia="宋体" w:cs="Times New Roman"/>
                <w:b/>
                <w:bCs/>
                <w:color w:val="auto"/>
                <w:kern w:val="0"/>
                <w:sz w:val="24"/>
                <w:szCs w:val="24"/>
                <w:lang w:val="en-US" w:eastAsia="zh-CN" w:bidi="ar"/>
              </w:rPr>
            </w:pPr>
            <w:r>
              <w:rPr>
                <w:rFonts w:hint="eastAsia" w:ascii="Times New Roman" w:hAnsi="Times New Roman" w:cs="Times New Roman"/>
                <w:b/>
                <w:bCs/>
                <w:color w:val="auto"/>
                <w:kern w:val="0"/>
                <w:sz w:val="24"/>
                <w:szCs w:val="24"/>
                <w:lang w:val="en-US" w:eastAsia="zh-CN"/>
              </w:rPr>
              <w:t>7.</w:t>
            </w:r>
            <w:r>
              <w:rPr>
                <w:rFonts w:hint="default" w:ascii="Times New Roman" w:hAnsi="Times New Roman" w:eastAsia="宋体" w:cs="Times New Roman"/>
                <w:b/>
                <w:bCs/>
                <w:color w:val="auto"/>
                <w:kern w:val="0"/>
                <w:sz w:val="24"/>
                <w:szCs w:val="24"/>
                <w:lang w:val="en-US" w:eastAsia="zh-CN" w:bidi="ar"/>
              </w:rPr>
              <w:t>本项目与</w:t>
            </w:r>
            <w:r>
              <w:rPr>
                <w:rFonts w:hint="eastAsia" w:ascii="Times New Roman" w:hAnsi="Times New Roman" w:eastAsia="宋体" w:cs="Times New Roman"/>
                <w:b/>
                <w:bCs/>
                <w:color w:val="auto"/>
                <w:kern w:val="0"/>
                <w:sz w:val="24"/>
                <w:szCs w:val="24"/>
                <w:lang w:val="en-US" w:eastAsia="zh-CN" w:bidi="ar"/>
              </w:rPr>
              <w:t>安环委〔2025〕2号</w:t>
            </w:r>
            <w:r>
              <w:rPr>
                <w:rFonts w:hint="default" w:ascii="Times New Roman" w:hAnsi="Times New Roman" w:eastAsia="宋体" w:cs="Times New Roman"/>
                <w:b/>
                <w:bCs/>
                <w:color w:val="auto"/>
                <w:kern w:val="0"/>
                <w:sz w:val="24"/>
                <w:szCs w:val="24"/>
                <w:lang w:val="en-US" w:eastAsia="zh-CN" w:bidi="ar"/>
              </w:rPr>
              <w:t>符合性分析</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auto"/>
                <w:sz w:val="24"/>
                <w:szCs w:val="24"/>
                <w:highlight w:val="none"/>
                <w:lang w:val="en-US" w:eastAsia="zh-CN"/>
              </w:rPr>
              <w:t>2025年4月17日，安阳市生态环境保护委员会印发了《安阳市2025年大气污染防治攻坚行动方案》</w:t>
            </w:r>
            <w:r>
              <w:rPr>
                <w:rFonts w:hint="default" w:ascii="Times New Roman" w:hAnsi="Times New Roman" w:eastAsia="宋体" w:cs="Times New Roman"/>
                <w:color w:val="auto"/>
                <w:sz w:val="24"/>
                <w:szCs w:val="24"/>
                <w:highlight w:val="none"/>
                <w:lang w:val="en-US" w:eastAsia="zh-CN"/>
              </w:rPr>
              <w:t>《安阳市202</w:t>
            </w:r>
            <w:r>
              <w:rPr>
                <w:rFonts w:hint="eastAsia"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lang w:val="en-US" w:eastAsia="zh-CN"/>
              </w:rPr>
              <w:t>年碧水保卫战实施方案》《安阳市202</w:t>
            </w:r>
            <w:r>
              <w:rPr>
                <w:rFonts w:hint="eastAsia"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lang w:val="en-US" w:eastAsia="zh-CN"/>
              </w:rPr>
              <w:t>年净土保卫战实施方案》《安阳市202</w:t>
            </w:r>
            <w:r>
              <w:rPr>
                <w:rFonts w:hint="eastAsia"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lang w:val="en-US" w:eastAsia="zh-CN"/>
              </w:rPr>
              <w:t>年柴油货车污染治理攻坚行动方案》的通知（安环委〔202</w:t>
            </w:r>
            <w:r>
              <w:rPr>
                <w:rFonts w:hint="eastAsia"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val="en-US" w:eastAsia="zh-CN"/>
              </w:rPr>
              <w:t>号），本项目与其相符性分析如下表：</w:t>
            </w:r>
          </w:p>
          <w:p>
            <w:pPr>
              <w:keepNext w:val="0"/>
              <w:keepLines w:val="0"/>
              <w:widowControl w:val="0"/>
              <w:suppressLineNumbers w:val="0"/>
              <w:spacing w:before="0" w:beforeAutospacing="0" w:after="0" w:afterAutospacing="0"/>
              <w:ind w:left="0" w:right="0" w:firstLine="0" w:firstLineChars="0"/>
              <w:jc w:val="center"/>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
              </w:rPr>
              <w:t>本项目与安环委〔202</w:t>
            </w:r>
            <w:r>
              <w:rPr>
                <w:rFonts w:hint="eastAsia" w:ascii="Times New Roman" w:hAnsi="Times New Roman" w:eastAsia="宋体" w:cs="Times New Roman"/>
                <w:b/>
                <w:bCs/>
                <w:color w:val="auto"/>
                <w:kern w:val="2"/>
                <w:sz w:val="24"/>
                <w:szCs w:val="24"/>
                <w:lang w:val="en-US" w:eastAsia="zh-CN" w:bidi="ar"/>
              </w:rPr>
              <w:t>5</w:t>
            </w:r>
            <w:r>
              <w:rPr>
                <w:rFonts w:hint="default" w:ascii="Times New Roman" w:hAnsi="Times New Roman" w:eastAsia="宋体" w:cs="Times New Roman"/>
                <w:b/>
                <w:bCs/>
                <w:color w:val="auto"/>
                <w:kern w:val="2"/>
                <w:sz w:val="24"/>
                <w:szCs w:val="24"/>
                <w:lang w:val="en-US" w:eastAsia="zh-CN" w:bidi="ar"/>
              </w:rPr>
              <w:t>〕</w:t>
            </w:r>
            <w:r>
              <w:rPr>
                <w:rFonts w:hint="eastAsia" w:ascii="Times New Roman" w:hAnsi="Times New Roman" w:eastAsia="宋体" w:cs="Times New Roman"/>
                <w:b/>
                <w:bCs/>
                <w:color w:val="auto"/>
                <w:kern w:val="2"/>
                <w:sz w:val="24"/>
                <w:szCs w:val="24"/>
                <w:lang w:val="en-US" w:eastAsia="zh-CN" w:bidi="ar"/>
              </w:rPr>
              <w:t>2</w:t>
            </w:r>
            <w:r>
              <w:rPr>
                <w:rFonts w:hint="default" w:ascii="Times New Roman" w:hAnsi="Times New Roman" w:eastAsia="宋体" w:cs="Times New Roman"/>
                <w:b/>
                <w:bCs/>
                <w:color w:val="auto"/>
                <w:kern w:val="2"/>
                <w:sz w:val="24"/>
                <w:szCs w:val="24"/>
                <w:lang w:val="en-US" w:eastAsia="zh-CN" w:bidi="ar"/>
              </w:rPr>
              <w:t>号符合性分析</w:t>
            </w:r>
          </w:p>
          <w:tbl>
            <w:tblPr>
              <w:tblStyle w:val="27"/>
              <w:tblW w:w="8121" w:type="dxa"/>
              <w:jc w:val="center"/>
              <w:tblInd w:w="0" w:type="dxa"/>
              <w:tblBorders>
                <w:top w:val="single" w:color="auto" w:sz="4" w:space="0"/>
                <w:left w:val="none" w:color="auto" w:sz="6" w:space="0"/>
                <w:bottom w:val="single" w:color="auto" w:sz="12" w:space="0"/>
                <w:right w:val="none" w:color="auto" w:sz="6" w:space="0"/>
                <w:insideH w:val="single" w:color="auto" w:sz="4" w:space="0"/>
                <w:insideV w:val="single" w:color="auto" w:sz="4" w:space="0"/>
              </w:tblBorders>
              <w:tblLayout w:type="fixed"/>
              <w:tblCellMar>
                <w:top w:w="0" w:type="dxa"/>
                <w:left w:w="68" w:type="dxa"/>
                <w:bottom w:w="0" w:type="dxa"/>
                <w:right w:w="68" w:type="dxa"/>
              </w:tblCellMar>
            </w:tblPr>
            <w:tblGrid>
              <w:gridCol w:w="1183"/>
              <w:gridCol w:w="3973"/>
              <w:gridCol w:w="2295"/>
              <w:gridCol w:w="670"/>
            </w:tblGrid>
            <w:tr>
              <w:tblPrEx>
                <w:tblBorders>
                  <w:top w:val="single" w:color="auto" w:sz="4" w:space="0"/>
                  <w:left w:val="none" w:color="auto" w:sz="6" w:space="0"/>
                  <w:bottom w:val="single" w:color="auto" w:sz="12" w:space="0"/>
                  <w:right w:val="none" w:color="auto" w:sz="6" w:space="0"/>
                  <w:insideH w:val="single" w:color="auto" w:sz="4" w:space="0"/>
                  <w:insideV w:val="single" w:color="auto" w:sz="4" w:space="0"/>
                </w:tblBorders>
                <w:tblLayout w:type="fixed"/>
                <w:tblCellMar>
                  <w:top w:w="0" w:type="dxa"/>
                  <w:left w:w="68" w:type="dxa"/>
                  <w:bottom w:w="0" w:type="dxa"/>
                  <w:right w:w="68" w:type="dxa"/>
                </w:tblCellMar>
              </w:tblPrEx>
              <w:trPr>
                <w:trHeight w:val="614" w:hRule="atLeast"/>
                <w:jc w:val="center"/>
              </w:trPr>
              <w:tc>
                <w:tcPr>
                  <w:tcW w:w="1183" w:type="dxa"/>
                  <w:tcBorders>
                    <w:left w:val="nil"/>
                    <w:bottom w:val="single" w:color="auto" w:sz="4" w:space="0"/>
                    <w:right w:val="single" w:color="auto" w:sz="4" w:space="0"/>
                  </w:tcBorders>
                  <w:vAlign w:val="center"/>
                </w:tcPr>
                <w:p>
                  <w:pPr>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
                    </w:rPr>
                    <w:t>类别</w:t>
                  </w:r>
                </w:p>
              </w:tc>
              <w:tc>
                <w:tcPr>
                  <w:tcW w:w="3973" w:type="dxa"/>
                  <w:tcBorders>
                    <w:left w:val="nil"/>
                    <w:bottom w:val="single" w:color="auto" w:sz="4" w:space="0"/>
                    <w:right w:val="single" w:color="auto" w:sz="4" w:space="0"/>
                  </w:tcBorders>
                  <w:vAlign w:val="center"/>
                </w:tcPr>
                <w:p>
                  <w:pPr>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
                    </w:rPr>
                    <w:t>详细要求</w:t>
                  </w:r>
                </w:p>
              </w:tc>
              <w:tc>
                <w:tcPr>
                  <w:tcW w:w="2295" w:type="dxa"/>
                  <w:tcBorders>
                    <w:left w:val="nil"/>
                    <w:bottom w:val="single" w:color="auto" w:sz="4" w:space="0"/>
                    <w:right w:val="single" w:color="auto" w:sz="4" w:space="0"/>
                  </w:tcBorders>
                  <w:vAlign w:val="center"/>
                </w:tcPr>
                <w:p>
                  <w:pPr>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
                    </w:rPr>
                    <w:t>本项目情况</w:t>
                  </w:r>
                </w:p>
              </w:tc>
              <w:tc>
                <w:tcPr>
                  <w:tcW w:w="670" w:type="dxa"/>
                  <w:tcBorders>
                    <w:left w:val="nil"/>
                    <w:bottom w:val="single" w:color="auto" w:sz="4" w:space="0"/>
                    <w:right w:val="nil"/>
                  </w:tcBorders>
                  <w:vAlign w:val="center"/>
                </w:tcPr>
                <w:p>
                  <w:pPr>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
                    </w:rPr>
                    <w:t>相符性</w:t>
                  </w:r>
                </w:p>
              </w:tc>
            </w:tr>
            <w:tr>
              <w:tblPrEx>
                <w:tblBorders>
                  <w:top w:val="single" w:color="auto" w:sz="4" w:space="0"/>
                  <w:left w:val="none" w:color="auto" w:sz="6" w:space="0"/>
                  <w:bottom w:val="single" w:color="auto" w:sz="12" w:space="0"/>
                  <w:right w:val="none" w:color="auto" w:sz="6" w:space="0"/>
                  <w:insideH w:val="single" w:color="auto" w:sz="4" w:space="0"/>
                  <w:insideV w:val="single" w:color="auto" w:sz="4" w:space="0"/>
                </w:tblBorders>
                <w:tblLayout w:type="fixed"/>
                <w:tblCellMar>
                  <w:top w:w="0" w:type="dxa"/>
                  <w:left w:w="68" w:type="dxa"/>
                  <w:bottom w:w="0" w:type="dxa"/>
                  <w:right w:w="68" w:type="dxa"/>
                </w:tblCellMar>
              </w:tblPrEx>
              <w:trPr>
                <w:jc w:val="center"/>
              </w:trPr>
              <w:tc>
                <w:tcPr>
                  <w:tcW w:w="1183" w:type="dxa"/>
                  <w:vMerge w:val="restart"/>
                  <w:tcBorders>
                    <w:top w:val="nil"/>
                    <w:left w:val="nil"/>
                    <w:bottom w:val="single" w:color="auto" w:sz="4" w:space="0"/>
                    <w:right w:val="single" w:color="auto" w:sz="4" w:space="0"/>
                  </w:tcBorders>
                  <w:vAlign w:val="center"/>
                </w:tcPr>
                <w:p>
                  <w:pPr>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
                    </w:rPr>
                    <w:t>安阳市2025年大气污染防治攻坚行动方案</w:t>
                  </w:r>
                </w:p>
              </w:tc>
              <w:tc>
                <w:tcPr>
                  <w:tcW w:w="3973"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100" w:beforeAutospacing="1" w:after="100" w:afterAutospacing="1"/>
                    <w:ind w:left="0" w:right="0"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b/>
                      <w:bCs/>
                      <w:color w:val="auto"/>
                      <w:kern w:val="0"/>
                      <w:sz w:val="21"/>
                      <w:szCs w:val="21"/>
                      <w:lang w:val="en-US" w:eastAsia="zh-CN" w:bidi="ar"/>
                    </w:rPr>
                    <w:t>6</w:t>
                  </w:r>
                  <w:r>
                    <w:rPr>
                      <w:rFonts w:hint="default" w:ascii="Times New Roman" w:hAnsi="Times New Roman" w:eastAsia="宋体" w:cs="Times New Roman"/>
                      <w:b/>
                      <w:bCs/>
                      <w:color w:val="auto"/>
                      <w:kern w:val="0"/>
                      <w:sz w:val="21"/>
                      <w:szCs w:val="21"/>
                      <w:lang w:val="en-US" w:eastAsia="zh-CN" w:bidi="ar"/>
                    </w:rPr>
                    <w:t>.严格项目源头管控。</w:t>
                  </w:r>
                  <w:r>
                    <w:rPr>
                      <w:rFonts w:hint="default" w:ascii="Times New Roman" w:hAnsi="Times New Roman" w:eastAsia="宋体" w:cs="Times New Roman"/>
                      <w:color w:val="auto"/>
                      <w:kern w:val="0"/>
                      <w:sz w:val="21"/>
                      <w:szCs w:val="21"/>
                      <w:lang w:val="en-US" w:eastAsia="zh-CN" w:bidi="ar"/>
                    </w:rPr>
                    <w:t>坚决遏制“两高”项目盲目发展，严禁新增钢铁、焦化、铸造用生铁、水泥、平板玻璃、有色、煤化工、炭素、烧结砖瓦、耐火材料（含烧结工序的）、铁合金、独立煤炭洗选、以煤为燃料的石灰窑、非矿山配套的机制砂（石料破碎）等行业产能。平板玻璃产业确需新建、改建的，要严格按照国家、省工信部门有关产能置换政策执行。严格控制新建生产和使用高VOCs含量的溶剂型涂料、油墨、胶黏剂、清洗剂等建设项目。禁止新增化工园区。</w:t>
                  </w:r>
                </w:p>
              </w:tc>
              <w:tc>
                <w:tcPr>
                  <w:tcW w:w="2295"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100" w:beforeAutospacing="1" w:after="100" w:afterAutospacing="1"/>
                    <w:ind w:left="0" w:right="0"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
                    </w:rPr>
                    <w:t>本项目属于危险废物治理</w:t>
                  </w:r>
                  <w:r>
                    <w:rPr>
                      <w:rFonts w:hint="eastAsia" w:ascii="Times New Roman" w:hAnsi="Times New Roman" w:eastAsia="宋体" w:cs="Times New Roman"/>
                      <w:color w:val="auto"/>
                      <w:kern w:val="0"/>
                      <w:sz w:val="21"/>
                      <w:szCs w:val="21"/>
                      <w:lang w:val="en-US" w:eastAsia="zh-CN" w:bidi="ar"/>
                    </w:rPr>
                    <w:t>业</w:t>
                  </w:r>
                  <w:r>
                    <w:rPr>
                      <w:rFonts w:hint="default" w:ascii="Times New Roman" w:hAnsi="Times New Roman" w:eastAsia="宋体" w:cs="Times New Roman"/>
                      <w:color w:val="auto"/>
                      <w:kern w:val="0"/>
                      <w:sz w:val="21"/>
                      <w:szCs w:val="21"/>
                      <w:lang w:val="en-US" w:eastAsia="zh-CN" w:bidi="ar"/>
                    </w:rPr>
                    <w:t>，不属于</w:t>
                  </w:r>
                  <w:r>
                    <w:rPr>
                      <w:rFonts w:hint="eastAsia" w:ascii="Times New Roman" w:hAnsi="Times New Roman" w:eastAsia="宋体" w:cs="Times New Roman"/>
                      <w:color w:val="auto"/>
                      <w:kern w:val="0"/>
                      <w:sz w:val="21"/>
                      <w:szCs w:val="21"/>
                      <w:lang w:val="en-US" w:eastAsia="zh-CN" w:bidi="ar"/>
                    </w:rPr>
                    <w:t>“</w:t>
                  </w:r>
                  <w:r>
                    <w:rPr>
                      <w:rFonts w:hint="default" w:ascii="Times New Roman" w:hAnsi="Times New Roman" w:eastAsia="宋体" w:cs="Times New Roman"/>
                      <w:color w:val="auto"/>
                      <w:kern w:val="0"/>
                      <w:sz w:val="21"/>
                      <w:szCs w:val="21"/>
                      <w:lang w:val="en-US" w:eastAsia="zh-CN" w:bidi="ar"/>
                    </w:rPr>
                    <w:t>两高</w:t>
                  </w:r>
                  <w:r>
                    <w:rPr>
                      <w:rFonts w:hint="eastAsia" w:ascii="Times New Roman" w:hAnsi="Times New Roman" w:eastAsia="宋体" w:cs="Times New Roman"/>
                      <w:color w:val="auto"/>
                      <w:kern w:val="0"/>
                      <w:sz w:val="21"/>
                      <w:szCs w:val="21"/>
                      <w:lang w:val="en-US" w:eastAsia="zh-CN" w:bidi="ar"/>
                    </w:rPr>
                    <w:t>”</w:t>
                  </w:r>
                  <w:r>
                    <w:rPr>
                      <w:rFonts w:hint="default" w:ascii="Times New Roman" w:hAnsi="Times New Roman" w:eastAsia="宋体" w:cs="Times New Roman"/>
                      <w:color w:val="auto"/>
                      <w:kern w:val="0"/>
                      <w:sz w:val="21"/>
                      <w:szCs w:val="21"/>
                      <w:lang w:val="en-US" w:eastAsia="zh-CN" w:bidi="ar"/>
                    </w:rPr>
                    <w:t>项目，本项目不涉及高VOCs含量溶剂型涂料、油墨、胶粘剂、清洗剂等。</w:t>
                  </w:r>
                </w:p>
              </w:tc>
              <w:tc>
                <w:tcPr>
                  <w:tcW w:w="670" w:type="dxa"/>
                  <w:tcBorders>
                    <w:top w:val="single" w:color="auto" w:sz="4" w:space="0"/>
                    <w:left w:val="nil"/>
                    <w:bottom w:val="single" w:color="auto" w:sz="4" w:space="0"/>
                    <w:right w:val="nil"/>
                  </w:tcBorders>
                  <w:vAlign w:val="center"/>
                </w:tcPr>
                <w:p>
                  <w:pPr>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
                    </w:rPr>
                    <w:t>相符</w:t>
                  </w:r>
                </w:p>
              </w:tc>
            </w:tr>
            <w:tr>
              <w:tblPrEx>
                <w:tblBorders>
                  <w:top w:val="single" w:color="auto" w:sz="4" w:space="0"/>
                  <w:left w:val="none" w:color="auto" w:sz="6" w:space="0"/>
                  <w:bottom w:val="single" w:color="auto" w:sz="12" w:space="0"/>
                  <w:right w:val="none" w:color="auto" w:sz="6" w:space="0"/>
                  <w:insideH w:val="single" w:color="auto" w:sz="4" w:space="0"/>
                  <w:insideV w:val="single" w:color="auto" w:sz="4" w:space="0"/>
                </w:tblBorders>
                <w:tblLayout w:type="fixed"/>
                <w:tblCellMar>
                  <w:top w:w="0" w:type="dxa"/>
                  <w:left w:w="68" w:type="dxa"/>
                  <w:bottom w:w="0" w:type="dxa"/>
                  <w:right w:w="68" w:type="dxa"/>
                </w:tblCellMar>
              </w:tblPrEx>
              <w:trPr>
                <w:jc w:val="center"/>
              </w:trPr>
              <w:tc>
                <w:tcPr>
                  <w:tcW w:w="1183"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1"/>
                      <w:szCs w:val="21"/>
                    </w:rPr>
                  </w:pPr>
                </w:p>
              </w:tc>
              <w:tc>
                <w:tcPr>
                  <w:tcW w:w="3973"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100" w:beforeAutospacing="1" w:after="100" w:afterAutospacing="1"/>
                    <w:ind w:left="0" w:right="0"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b/>
                      <w:bCs/>
                      <w:color w:val="auto"/>
                      <w:kern w:val="0"/>
                      <w:sz w:val="21"/>
                      <w:szCs w:val="21"/>
                      <w:lang w:val="en-US" w:eastAsia="zh-CN" w:bidi="ar"/>
                    </w:rPr>
                    <w:t>9</w:t>
                  </w:r>
                  <w:r>
                    <w:rPr>
                      <w:rFonts w:hint="default" w:ascii="Times New Roman" w:hAnsi="Times New Roman" w:eastAsia="宋体" w:cs="Times New Roman"/>
                      <w:b/>
                      <w:bCs/>
                      <w:color w:val="auto"/>
                      <w:kern w:val="0"/>
                      <w:sz w:val="21"/>
                      <w:szCs w:val="21"/>
                      <w:lang w:val="en-US" w:eastAsia="zh-CN" w:bidi="ar"/>
                    </w:rPr>
                    <w:t>.强化非道路移动机械综合治理。</w:t>
                  </w:r>
                  <w:r>
                    <w:rPr>
                      <w:rFonts w:hint="default" w:ascii="Times New Roman" w:hAnsi="Times New Roman" w:eastAsia="宋体" w:cs="Times New Roman"/>
                      <w:color w:val="auto"/>
                      <w:kern w:val="0"/>
                      <w:sz w:val="21"/>
                      <w:szCs w:val="21"/>
                      <w:lang w:val="en-US" w:eastAsia="zh-CN" w:bidi="ar"/>
                    </w:rPr>
                    <w:t>加快推动高污染的老旧内燃机车、农业机械和工程机械淘汰更新，推动机场飞机辅助动力装置（APU）替代设备配置使用。对本地非道路移动机械和发动机销售企业开展环保一致性监督检查，基本实现系族全覆盖。规范开展非道路移动机械信息采集和定位联网，强化高排放非道路移动机械禁用区监管，对20%以上的燃油机械开展监督抽测。2025年底前，基本消除铁路内燃机车冒黑烟现象，机场APU替代设备使用率稳定达到100%，完成工程机械环保编码登记三级联网，基本淘汰国一及以下工程机械，争取完成国二非道路移动机械淘汰，新增或更新的3吨以下叉车基本实现新能源化。</w:t>
                  </w:r>
                </w:p>
              </w:tc>
              <w:tc>
                <w:tcPr>
                  <w:tcW w:w="2295"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100" w:beforeAutospacing="1" w:after="100" w:afterAutospacing="1"/>
                    <w:ind w:left="0" w:right="0"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
                    </w:rPr>
                    <w:t>厂内非道路移动机械使用国三及以上排放标准，新增或更新的非道路移动机械全部采用新能源，并按照要求规范非道路移动机械编码登记。</w:t>
                  </w:r>
                </w:p>
              </w:tc>
              <w:tc>
                <w:tcPr>
                  <w:tcW w:w="670" w:type="dxa"/>
                  <w:tcBorders>
                    <w:top w:val="single" w:color="auto" w:sz="4" w:space="0"/>
                    <w:left w:val="nil"/>
                    <w:bottom w:val="single" w:color="auto" w:sz="4" w:space="0"/>
                    <w:right w:val="nil"/>
                  </w:tcBorders>
                  <w:vAlign w:val="center"/>
                </w:tcPr>
                <w:p>
                  <w:pPr>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
                    </w:rPr>
                    <w:t>相符</w:t>
                  </w:r>
                </w:p>
              </w:tc>
            </w:tr>
            <w:tr>
              <w:tblPrEx>
                <w:tblBorders>
                  <w:top w:val="single" w:color="auto" w:sz="4" w:space="0"/>
                  <w:left w:val="none" w:color="auto" w:sz="6" w:space="0"/>
                  <w:bottom w:val="single" w:color="auto" w:sz="12" w:space="0"/>
                  <w:right w:val="none" w:color="auto" w:sz="6" w:space="0"/>
                  <w:insideH w:val="single" w:color="auto" w:sz="4" w:space="0"/>
                  <w:insideV w:val="single" w:color="auto" w:sz="4" w:space="0"/>
                </w:tblBorders>
                <w:tblLayout w:type="fixed"/>
                <w:tblCellMar>
                  <w:top w:w="0" w:type="dxa"/>
                  <w:left w:w="68" w:type="dxa"/>
                  <w:bottom w:w="0" w:type="dxa"/>
                  <w:right w:w="68" w:type="dxa"/>
                </w:tblCellMar>
              </w:tblPrEx>
              <w:trPr>
                <w:jc w:val="center"/>
              </w:trPr>
              <w:tc>
                <w:tcPr>
                  <w:tcW w:w="1183"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1"/>
                      <w:szCs w:val="21"/>
                    </w:rPr>
                  </w:pPr>
                </w:p>
              </w:tc>
              <w:tc>
                <w:tcPr>
                  <w:tcW w:w="3973"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100" w:beforeAutospacing="1" w:after="100" w:afterAutospacing="1"/>
                    <w:ind w:left="0" w:right="0" w:firstLine="0" w:firstLineChars="0"/>
                    <w:jc w:val="both"/>
                    <w:rPr>
                      <w:rFonts w:hint="eastAsia" w:ascii="Times New Roman" w:hAnsi="Times New Roman" w:eastAsia="宋体" w:cs="Times New Roman"/>
                      <w:b/>
                      <w:bCs/>
                      <w:color w:val="auto"/>
                      <w:kern w:val="0"/>
                      <w:sz w:val="21"/>
                      <w:szCs w:val="21"/>
                      <w:lang w:val="en-US" w:eastAsia="zh-CN" w:bidi="ar"/>
                    </w:rPr>
                  </w:pPr>
                  <w:r>
                    <w:rPr>
                      <w:rFonts w:hint="eastAsia" w:ascii="Times New Roman" w:hAnsi="Times New Roman" w:eastAsia="宋体" w:cs="Times New Roman"/>
                      <w:b/>
                      <w:bCs/>
                      <w:color w:val="auto"/>
                      <w:kern w:val="0"/>
                      <w:sz w:val="21"/>
                      <w:szCs w:val="21"/>
                      <w:lang w:val="en-US" w:eastAsia="zh-CN" w:bidi="ar"/>
                    </w:rPr>
                    <w:t>11.合理控制煤炭消费总量。</w:t>
                  </w:r>
                  <w:r>
                    <w:rPr>
                      <w:rFonts w:hint="eastAsia" w:ascii="Times New Roman" w:hAnsi="Times New Roman" w:eastAsia="宋体" w:cs="Times New Roman"/>
                      <w:b w:val="0"/>
                      <w:bCs w:val="0"/>
                      <w:color w:val="auto"/>
                      <w:kern w:val="0"/>
                      <w:sz w:val="21"/>
                      <w:szCs w:val="21"/>
                      <w:lang w:val="en-US" w:eastAsia="zh-CN" w:bidi="ar"/>
                    </w:rPr>
                    <w:t>全市新（改、扩）建用煤项目实施煤炭等量或减量替代，煤炭替代方案不完善的不予审批，不得将石油焦、焦炭、兰炭等高污染燃料作为煤炭减量替代措施。落实“十四五”非电行业燃料煤消费总量控制要求，重点压减非电行业煤炭消费量。</w:t>
                  </w:r>
                </w:p>
              </w:tc>
              <w:tc>
                <w:tcPr>
                  <w:tcW w:w="2295"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100" w:beforeAutospacing="1" w:after="100" w:afterAutospacing="1"/>
                    <w:ind w:left="0" w:right="0" w:firstLine="0" w:firstLineChars="0"/>
                    <w:jc w:val="both"/>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本项目不涉及煤炭使用。</w:t>
                  </w:r>
                </w:p>
              </w:tc>
              <w:tc>
                <w:tcPr>
                  <w:tcW w:w="670" w:type="dxa"/>
                  <w:tcBorders>
                    <w:top w:val="single" w:color="auto" w:sz="4" w:space="0"/>
                    <w:left w:val="nil"/>
                    <w:bottom w:val="single" w:color="auto" w:sz="4" w:space="0"/>
                    <w:right w:val="nil"/>
                  </w:tcBorders>
                  <w:vAlign w:val="center"/>
                </w:tcPr>
                <w:p>
                  <w:pPr>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不涉及</w:t>
                  </w:r>
                </w:p>
              </w:tc>
            </w:tr>
            <w:tr>
              <w:tblPrEx>
                <w:tblBorders>
                  <w:top w:val="single" w:color="auto" w:sz="4" w:space="0"/>
                  <w:left w:val="none" w:color="auto" w:sz="6" w:space="0"/>
                  <w:bottom w:val="single" w:color="auto" w:sz="12" w:space="0"/>
                  <w:right w:val="none" w:color="auto" w:sz="6" w:space="0"/>
                  <w:insideH w:val="single" w:color="auto" w:sz="4" w:space="0"/>
                  <w:insideV w:val="single" w:color="auto" w:sz="4" w:space="0"/>
                </w:tblBorders>
                <w:tblLayout w:type="fixed"/>
                <w:tblCellMar>
                  <w:top w:w="0" w:type="dxa"/>
                  <w:left w:w="68" w:type="dxa"/>
                  <w:bottom w:w="0" w:type="dxa"/>
                  <w:right w:w="68" w:type="dxa"/>
                </w:tblCellMar>
              </w:tblPrEx>
              <w:trPr>
                <w:jc w:val="center"/>
              </w:trPr>
              <w:tc>
                <w:tcPr>
                  <w:tcW w:w="1183"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1"/>
                      <w:szCs w:val="21"/>
                    </w:rPr>
                  </w:pPr>
                </w:p>
              </w:tc>
              <w:tc>
                <w:tcPr>
                  <w:tcW w:w="3973"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100" w:beforeAutospacing="1" w:after="100" w:afterAutospacing="1"/>
                    <w:ind w:left="0" w:right="0" w:firstLine="0" w:firstLineChars="0"/>
                    <w:jc w:val="both"/>
                    <w:rPr>
                      <w:rFonts w:hint="eastAsia" w:ascii="Times New Roman" w:hAnsi="Times New Roman" w:eastAsia="宋体" w:cs="Times New Roman"/>
                      <w:b/>
                      <w:bCs/>
                      <w:color w:val="auto"/>
                      <w:kern w:val="0"/>
                      <w:sz w:val="21"/>
                      <w:szCs w:val="21"/>
                      <w:lang w:val="en-US" w:eastAsia="zh-CN" w:bidi="ar"/>
                    </w:rPr>
                  </w:pPr>
                  <w:r>
                    <w:rPr>
                      <w:rFonts w:hint="eastAsia" w:ascii="Times New Roman" w:hAnsi="Times New Roman" w:eastAsia="宋体" w:cs="Times New Roman"/>
                      <w:b/>
                      <w:bCs/>
                      <w:color w:val="auto"/>
                      <w:kern w:val="0"/>
                      <w:sz w:val="21"/>
                      <w:szCs w:val="21"/>
                      <w:lang w:val="en-US" w:eastAsia="zh-CN" w:bidi="ar"/>
                    </w:rPr>
                    <w:t>12.强化工业窑炉治理。</w:t>
                  </w:r>
                  <w:r>
                    <w:rPr>
                      <w:rFonts w:hint="eastAsia" w:ascii="Times New Roman" w:hAnsi="Times New Roman" w:eastAsia="宋体" w:cs="Times New Roman"/>
                      <w:b w:val="0"/>
                      <w:bCs w:val="0"/>
                      <w:color w:val="auto"/>
                      <w:kern w:val="0"/>
                      <w:sz w:val="21"/>
                      <w:szCs w:val="21"/>
                      <w:lang w:val="en-US" w:eastAsia="zh-CN" w:bidi="ar"/>
                    </w:rPr>
                    <w:t>全市不再新增燃料类煤气发生炉，新（改、扩）建加热炉、热处理炉、干燥炉、熔化炉全部采用清洁低碳能源。以煤为燃料的石灰、砖瓦、陶瓷、水泥制品等行业的加热炉、热处理炉、干燥炉、熔化炉2025年9月底前改用清洁低碳能源，未完成清洁能源改造的，秋冬季实施错峰生产。</w:t>
                  </w:r>
                </w:p>
              </w:tc>
              <w:tc>
                <w:tcPr>
                  <w:tcW w:w="2295"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100" w:beforeAutospacing="1" w:after="100" w:afterAutospacing="1"/>
                    <w:ind w:left="0" w:right="0" w:firstLine="0" w:firstLineChars="0"/>
                    <w:jc w:val="both"/>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本项目</w:t>
                  </w:r>
                  <w:r>
                    <w:rPr>
                      <w:rFonts w:hint="eastAsia" w:cs="Times New Roman"/>
                      <w:color w:val="auto"/>
                      <w:kern w:val="0"/>
                      <w:sz w:val="21"/>
                      <w:szCs w:val="21"/>
                      <w:lang w:val="en-US" w:eastAsia="zh-CN" w:bidi="ar"/>
                    </w:rPr>
                    <w:t>新增炒灰机，仅使用电能</w:t>
                  </w:r>
                  <w:r>
                    <w:rPr>
                      <w:rFonts w:hint="eastAsia" w:ascii="Times New Roman" w:hAnsi="Times New Roman" w:eastAsia="宋体" w:cs="Times New Roman"/>
                      <w:color w:val="auto"/>
                      <w:kern w:val="0"/>
                      <w:sz w:val="21"/>
                      <w:szCs w:val="21"/>
                      <w:lang w:val="en-US" w:eastAsia="zh-CN" w:bidi="ar"/>
                    </w:rPr>
                    <w:t>。</w:t>
                  </w:r>
                </w:p>
              </w:tc>
              <w:tc>
                <w:tcPr>
                  <w:tcW w:w="670" w:type="dxa"/>
                  <w:tcBorders>
                    <w:top w:val="single" w:color="auto" w:sz="4" w:space="0"/>
                    <w:left w:val="nil"/>
                    <w:bottom w:val="single" w:color="auto" w:sz="4" w:space="0"/>
                    <w:right w:val="nil"/>
                  </w:tcBorders>
                  <w:vAlign w:val="center"/>
                </w:tcPr>
                <w:p>
                  <w:pPr>
                    <w:keepNext w:val="0"/>
                    <w:keepLines w:val="0"/>
                    <w:widowControl w:val="0"/>
                    <w:suppressLineNumbers w:val="0"/>
                    <w:spacing w:before="100" w:beforeAutospacing="1" w:after="100" w:afterAutospacing="1"/>
                    <w:ind w:left="0" w:right="0" w:firstLine="0" w:firstLineChars="0"/>
                    <w:jc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不涉及</w:t>
                  </w:r>
                </w:p>
              </w:tc>
            </w:tr>
            <w:tr>
              <w:tblPrEx>
                <w:tblBorders>
                  <w:top w:val="single" w:color="auto" w:sz="4" w:space="0"/>
                  <w:left w:val="none" w:color="auto" w:sz="6" w:space="0"/>
                  <w:bottom w:val="single" w:color="auto" w:sz="12" w:space="0"/>
                  <w:right w:val="none" w:color="auto" w:sz="6" w:space="0"/>
                  <w:insideH w:val="single" w:color="auto" w:sz="4" w:space="0"/>
                  <w:insideV w:val="single" w:color="auto" w:sz="4" w:space="0"/>
                </w:tblBorders>
                <w:tblLayout w:type="fixed"/>
                <w:tblCellMar>
                  <w:top w:w="0" w:type="dxa"/>
                  <w:left w:w="68" w:type="dxa"/>
                  <w:bottom w:w="0" w:type="dxa"/>
                  <w:right w:w="68" w:type="dxa"/>
                </w:tblCellMar>
              </w:tblPrEx>
              <w:trPr>
                <w:jc w:val="center"/>
              </w:trPr>
              <w:tc>
                <w:tcPr>
                  <w:tcW w:w="1183"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1"/>
                      <w:szCs w:val="21"/>
                    </w:rPr>
                  </w:pPr>
                </w:p>
              </w:tc>
              <w:tc>
                <w:tcPr>
                  <w:tcW w:w="3973"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100" w:beforeAutospacing="1" w:after="100" w:afterAutospacing="1"/>
                    <w:ind w:left="0" w:right="0" w:firstLine="0" w:firstLineChars="0"/>
                    <w:jc w:val="both"/>
                    <w:rPr>
                      <w:rFonts w:hint="eastAsia" w:ascii="Times New Roman" w:hAnsi="Times New Roman" w:eastAsia="宋体" w:cs="Times New Roman"/>
                      <w:b/>
                      <w:bCs/>
                      <w:color w:val="auto"/>
                      <w:kern w:val="0"/>
                      <w:sz w:val="21"/>
                      <w:szCs w:val="21"/>
                      <w:lang w:val="en-US" w:eastAsia="zh-CN" w:bidi="ar"/>
                    </w:rPr>
                  </w:pPr>
                  <w:r>
                    <w:rPr>
                      <w:rFonts w:hint="eastAsia" w:ascii="Times New Roman" w:hAnsi="Times New Roman" w:eastAsia="宋体" w:cs="Times New Roman"/>
                      <w:b/>
                      <w:bCs/>
                      <w:color w:val="auto"/>
                      <w:kern w:val="0"/>
                      <w:sz w:val="21"/>
                      <w:szCs w:val="21"/>
                      <w:lang w:val="en-US" w:eastAsia="zh-CN" w:bidi="ar"/>
                    </w:rPr>
                    <w:t>20.规范污染治理设施运行。</w:t>
                  </w:r>
                  <w:r>
                    <w:rPr>
                      <w:rFonts w:hint="eastAsia" w:ascii="Times New Roman" w:hAnsi="Times New Roman" w:eastAsia="宋体" w:cs="Times New Roman"/>
                      <w:b w:val="0"/>
                      <w:bCs w:val="0"/>
                      <w:color w:val="auto"/>
                      <w:kern w:val="0"/>
                      <w:sz w:val="21"/>
                      <w:szCs w:val="21"/>
                      <w:lang w:val="en-US" w:eastAsia="zh-CN" w:bidi="ar"/>
                    </w:rPr>
                    <w:t>加强污染治理设施运行监管，推动各工业企业完善制定环保设施运行维护操作规程，细化落实岗位环保责任制，确保设施安全稳定运行。提高自动监测设备运维管理水平，全市重点排污单位按要求完成污染源自动监测设备安装联网工作。</w:t>
                  </w:r>
                </w:p>
              </w:tc>
              <w:tc>
                <w:tcPr>
                  <w:tcW w:w="2295"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100" w:beforeAutospacing="1" w:after="100" w:afterAutospacing="1"/>
                    <w:ind w:left="0" w:right="0" w:firstLine="0" w:firstLineChars="0"/>
                    <w:jc w:val="both"/>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企业运行后按照要求规范化运行污染治理设施。</w:t>
                  </w:r>
                </w:p>
              </w:tc>
              <w:tc>
                <w:tcPr>
                  <w:tcW w:w="670" w:type="dxa"/>
                  <w:tcBorders>
                    <w:top w:val="single" w:color="auto" w:sz="4" w:space="0"/>
                    <w:left w:val="nil"/>
                    <w:bottom w:val="single" w:color="auto" w:sz="4" w:space="0"/>
                    <w:right w:val="nil"/>
                  </w:tcBorders>
                  <w:vAlign w:val="center"/>
                </w:tcPr>
                <w:p>
                  <w:pPr>
                    <w:keepNext w:val="0"/>
                    <w:keepLines w:val="0"/>
                    <w:widowControl w:val="0"/>
                    <w:suppressLineNumbers w:val="0"/>
                    <w:spacing w:before="100" w:beforeAutospacing="1" w:after="100" w:afterAutospacing="1"/>
                    <w:ind w:left="0" w:right="0" w:firstLine="0" w:firstLineChars="0"/>
                    <w:jc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相符</w:t>
                  </w:r>
                </w:p>
              </w:tc>
            </w:tr>
            <w:tr>
              <w:tblPrEx>
                <w:tblBorders>
                  <w:top w:val="single" w:color="auto" w:sz="4" w:space="0"/>
                  <w:left w:val="none" w:color="auto" w:sz="6" w:space="0"/>
                  <w:bottom w:val="single" w:color="auto" w:sz="12" w:space="0"/>
                  <w:right w:val="none" w:color="auto" w:sz="6" w:space="0"/>
                  <w:insideH w:val="single" w:color="auto" w:sz="4" w:space="0"/>
                  <w:insideV w:val="single" w:color="auto" w:sz="4" w:space="0"/>
                </w:tblBorders>
                <w:tblLayout w:type="fixed"/>
                <w:tblCellMar>
                  <w:top w:w="0" w:type="dxa"/>
                  <w:left w:w="68" w:type="dxa"/>
                  <w:bottom w:w="0" w:type="dxa"/>
                  <w:right w:w="68" w:type="dxa"/>
                </w:tblCellMar>
              </w:tblPrEx>
              <w:trPr>
                <w:jc w:val="center"/>
              </w:trPr>
              <w:tc>
                <w:tcPr>
                  <w:tcW w:w="1183"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1"/>
                      <w:szCs w:val="21"/>
                    </w:rPr>
                  </w:pPr>
                </w:p>
              </w:tc>
              <w:tc>
                <w:tcPr>
                  <w:tcW w:w="3973"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100" w:beforeAutospacing="1" w:after="100" w:afterAutospacing="1"/>
                    <w:ind w:left="0" w:right="0" w:firstLine="0" w:firstLineChars="0"/>
                    <w:jc w:val="both"/>
                    <w:rPr>
                      <w:rFonts w:hint="eastAsia" w:ascii="Times New Roman" w:hAnsi="Times New Roman" w:eastAsia="宋体" w:cs="Times New Roman"/>
                      <w:b/>
                      <w:bCs/>
                      <w:color w:val="auto"/>
                      <w:kern w:val="0"/>
                      <w:sz w:val="21"/>
                      <w:szCs w:val="21"/>
                      <w:lang w:val="en-US" w:eastAsia="zh-CN" w:bidi="ar"/>
                    </w:rPr>
                  </w:pPr>
                  <w:r>
                    <w:rPr>
                      <w:rFonts w:hint="eastAsia" w:ascii="Times New Roman" w:hAnsi="Times New Roman" w:eastAsia="宋体" w:cs="Times New Roman"/>
                      <w:b/>
                      <w:bCs/>
                      <w:color w:val="auto"/>
                      <w:kern w:val="0"/>
                      <w:sz w:val="21"/>
                      <w:szCs w:val="21"/>
                      <w:lang w:val="en-US" w:eastAsia="zh-CN" w:bidi="ar"/>
                    </w:rPr>
                    <w:t>21.开展环保绩效等级提升行动。</w:t>
                  </w:r>
                  <w:r>
                    <w:rPr>
                      <w:rFonts w:hint="eastAsia" w:ascii="Times New Roman" w:hAnsi="Times New Roman" w:eastAsia="宋体" w:cs="Times New Roman"/>
                      <w:b w:val="0"/>
                      <w:bCs w:val="0"/>
                      <w:color w:val="auto"/>
                      <w:kern w:val="0"/>
                      <w:sz w:val="21"/>
                      <w:szCs w:val="21"/>
                      <w:lang w:val="en-US" w:eastAsia="zh-CN" w:bidi="ar"/>
                    </w:rPr>
                    <w:t>加强企业绩效监管，对已评定A级、B级和绩效引领性企业开展“回头看”，对实际绩效水平达不到评定等级要求，或存在严重环境违法违规行为的企业，严格实施降级处理。围绕铁合金、氧化锌、铸造用生铁、耐火材料、铁合金破碎、工业涂装、铸造、水泥粉磨站等重点行业，开展重点行业环保绩效创A行动，充分发挥标杆示范引领作用，以“先进”带动“后进”，鼓励指导企业通过设备更新、技术改造、治理升级等措施，提升环境绩效等级。2025年全市完成新增A级、B级企业及绩效引领性企业100家以上。</w:t>
                  </w:r>
                </w:p>
              </w:tc>
              <w:tc>
                <w:tcPr>
                  <w:tcW w:w="2295"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100" w:beforeAutospacing="1" w:after="100" w:afterAutospacing="1"/>
                    <w:ind w:left="0" w:right="0" w:firstLine="0" w:firstLineChars="0"/>
                    <w:jc w:val="both"/>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本项目绩效水平按照《河南省重污染天气通用行业应急减排措施制定技术指南》（2024年修订版）中涉PM企业引领性指标要求建设。</w:t>
                  </w:r>
                </w:p>
              </w:tc>
              <w:tc>
                <w:tcPr>
                  <w:tcW w:w="670" w:type="dxa"/>
                  <w:tcBorders>
                    <w:top w:val="single" w:color="auto" w:sz="4" w:space="0"/>
                    <w:left w:val="nil"/>
                    <w:bottom w:val="single" w:color="auto" w:sz="4" w:space="0"/>
                    <w:right w:val="nil"/>
                  </w:tcBorders>
                  <w:vAlign w:val="center"/>
                </w:tcPr>
                <w:p>
                  <w:pPr>
                    <w:keepNext w:val="0"/>
                    <w:keepLines w:val="0"/>
                    <w:widowControl w:val="0"/>
                    <w:suppressLineNumbers w:val="0"/>
                    <w:spacing w:before="100" w:beforeAutospacing="1" w:after="100" w:afterAutospacing="1"/>
                    <w:ind w:left="0" w:right="0" w:firstLine="0" w:firstLineChars="0"/>
                    <w:jc w:val="center"/>
                    <w:rPr>
                      <w:rFonts w:hint="eastAsia" w:ascii="Times New Roman" w:hAnsi="Times New Roman" w:eastAsia="宋体" w:cs="Times New Roman"/>
                      <w:color w:val="auto"/>
                      <w:kern w:val="0"/>
                      <w:sz w:val="21"/>
                      <w:szCs w:val="21"/>
                      <w:lang w:val="en-US" w:eastAsia="zh-CN" w:bidi="ar"/>
                    </w:rPr>
                  </w:pPr>
                </w:p>
              </w:tc>
            </w:tr>
            <w:tr>
              <w:tblPrEx>
                <w:tblBorders>
                  <w:top w:val="single" w:color="auto" w:sz="4" w:space="0"/>
                  <w:left w:val="none" w:color="auto" w:sz="6" w:space="0"/>
                  <w:bottom w:val="single" w:color="auto" w:sz="12" w:space="0"/>
                  <w:right w:val="none" w:color="auto" w:sz="6" w:space="0"/>
                  <w:insideH w:val="single" w:color="auto" w:sz="4" w:space="0"/>
                  <w:insideV w:val="single" w:color="auto" w:sz="4" w:space="0"/>
                </w:tblBorders>
                <w:tblLayout w:type="fixed"/>
                <w:tblCellMar>
                  <w:top w:w="0" w:type="dxa"/>
                  <w:left w:w="68" w:type="dxa"/>
                  <w:bottom w:w="0" w:type="dxa"/>
                  <w:right w:w="68" w:type="dxa"/>
                </w:tblCellMar>
              </w:tblPrEx>
              <w:trPr>
                <w:jc w:val="center"/>
              </w:trPr>
              <w:tc>
                <w:tcPr>
                  <w:tcW w:w="1183"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1"/>
                      <w:szCs w:val="21"/>
                    </w:rPr>
                  </w:pPr>
                </w:p>
              </w:tc>
              <w:tc>
                <w:tcPr>
                  <w:tcW w:w="3973"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100" w:beforeAutospacing="1" w:after="100" w:afterAutospacing="1"/>
                    <w:ind w:left="0" w:right="0" w:firstLine="0" w:firstLineChars="0"/>
                    <w:jc w:val="both"/>
                    <w:rPr>
                      <w:rFonts w:hint="eastAsia" w:ascii="Times New Roman" w:hAnsi="Times New Roman" w:eastAsia="宋体" w:cs="Times New Roman"/>
                      <w:b/>
                      <w:bCs/>
                      <w:color w:val="auto"/>
                      <w:kern w:val="0"/>
                      <w:sz w:val="21"/>
                      <w:szCs w:val="21"/>
                      <w:lang w:val="en-US" w:eastAsia="zh-CN" w:bidi="ar"/>
                    </w:rPr>
                  </w:pPr>
                  <w:r>
                    <w:rPr>
                      <w:rFonts w:hint="eastAsia" w:ascii="Times New Roman" w:hAnsi="Times New Roman" w:eastAsia="宋体" w:cs="Times New Roman"/>
                      <w:b/>
                      <w:bCs/>
                      <w:color w:val="auto"/>
                      <w:kern w:val="0"/>
                      <w:sz w:val="21"/>
                      <w:szCs w:val="21"/>
                      <w:lang w:val="en-US" w:eastAsia="zh-CN" w:bidi="ar"/>
                    </w:rPr>
                    <w:t>22.实施挥发性有机物综合治理。</w:t>
                  </w:r>
                  <w:r>
                    <w:rPr>
                      <w:rFonts w:hint="eastAsia" w:ascii="Times New Roman" w:hAnsi="Times New Roman" w:eastAsia="宋体" w:cs="Times New Roman"/>
                      <w:b w:val="0"/>
                      <w:bCs w:val="0"/>
                      <w:color w:val="auto"/>
                      <w:kern w:val="0"/>
                      <w:sz w:val="21"/>
                      <w:szCs w:val="21"/>
                      <w:lang w:val="en-US" w:eastAsia="zh-CN" w:bidi="ar"/>
                    </w:rPr>
                    <w:t>组织涉VOCs企业针对挥发性有机液体储罐、装卸、敞开液面、泄漏检测与修复（LDAR）、废气收集、废气旁路、治理设施、加油站、非正常工况、产品VOCs含量等10个关键环节开展VOCs治理突出问题排查整治。2025年4月底前，在汽车、机械制造、家具、汽修、塑料软包装、印铁制罐、包装印刷等领域深入推广使用低（无）VOCs含量涂料和油墨，完成20家企业低VOCs原辅材料源头替代，同时对已完成源头替代的企业进行质量抽检；487家采用活性炭吸附工艺的企业完成光氧化、光催化、低温等离子治理设施淘汰，一厂一策升级为高效治理设施，同步完成一轮次活性炭更换，并纳入安阳市活性炭“码上换”管理平台日常监管范围，其中颗粒活性炭碘值不宜低于800mg/g，蜂窝活性炭碘值不宜低于650mg/g。监督指导19家重点企业按规定频次和时限开展泄漏检测与修复（LDAR），聘请专业团队对企业LDAR完成情况进行核查，严厉查处不按规定开展检测与修复或弄虚作假行为。焦化企业常态化开展含VOCs废气泄漏排查整治工作，采用红外热成像仪、火焰离子化检测仪（FID）等设备对酚氰废水处理池密闭设施、煤气管线及焦炉炉体等装置，每周至少进行1轮巡检修护，确保密闭设施、管线、炉体不发生VOCs泄漏。</w:t>
                  </w:r>
                </w:p>
              </w:tc>
              <w:tc>
                <w:tcPr>
                  <w:tcW w:w="2295"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100" w:beforeAutospacing="1" w:after="100" w:afterAutospacing="1"/>
                    <w:ind w:left="0" w:leftChars="0" w:right="0" w:rightChars="0" w:firstLine="0" w:firstLineChars="0"/>
                    <w:jc w:val="both"/>
                    <w:rPr>
                      <w:rFonts w:hint="eastAsia" w:ascii="Times New Roman" w:hAnsi="Times New Roman" w:eastAsia="宋体" w:cs="Times New Roman"/>
                      <w:color w:val="auto"/>
                      <w:kern w:val="0"/>
                      <w:sz w:val="21"/>
                      <w:szCs w:val="21"/>
                      <w:lang w:val="en-US" w:eastAsia="zh-CN" w:bidi="ar"/>
                    </w:rPr>
                  </w:pPr>
                  <w:r>
                    <w:rPr>
                      <w:rFonts w:hint="eastAsia" w:ascii="宋体" w:hAnsi="宋体" w:eastAsia="宋体" w:cs="宋体"/>
                      <w:color w:val="auto"/>
                      <w:kern w:val="0"/>
                      <w:sz w:val="21"/>
                      <w:szCs w:val="21"/>
                      <w:lang w:val="en-US" w:eastAsia="zh-CN" w:bidi="ar"/>
                    </w:rPr>
                    <w:t>本项目不涉及</w:t>
                  </w:r>
                  <w:r>
                    <w:rPr>
                      <w:rFonts w:hint="default" w:ascii="Times New Roman" w:hAnsi="Times New Roman" w:eastAsia="宋体" w:cs="Times New Roman"/>
                      <w:color w:val="auto"/>
                      <w:kern w:val="0"/>
                      <w:sz w:val="21"/>
                      <w:szCs w:val="21"/>
                      <w:lang w:val="en-US" w:eastAsia="zh-CN" w:bidi="ar"/>
                    </w:rPr>
                    <w:t>VOCs</w:t>
                  </w:r>
                  <w:r>
                    <w:rPr>
                      <w:rFonts w:hint="eastAsia" w:ascii="宋体" w:hAnsi="宋体" w:eastAsia="宋体" w:cs="宋体"/>
                      <w:color w:val="auto"/>
                      <w:kern w:val="0"/>
                      <w:sz w:val="21"/>
                      <w:szCs w:val="21"/>
                      <w:lang w:val="en-US" w:eastAsia="zh-CN" w:bidi="ar"/>
                    </w:rPr>
                    <w:t>排放。</w:t>
                  </w:r>
                </w:p>
              </w:tc>
              <w:tc>
                <w:tcPr>
                  <w:tcW w:w="670" w:type="dxa"/>
                  <w:tcBorders>
                    <w:top w:val="single" w:color="auto" w:sz="4" w:space="0"/>
                    <w:left w:val="nil"/>
                    <w:bottom w:val="single" w:color="auto" w:sz="4" w:space="0"/>
                    <w:right w:val="nil"/>
                  </w:tcBorders>
                  <w:vAlign w:val="center"/>
                </w:tcPr>
                <w:p>
                  <w:pPr>
                    <w:keepNext w:val="0"/>
                    <w:keepLines w:val="0"/>
                    <w:widowControl w:val="0"/>
                    <w:suppressLineNumbers w:val="0"/>
                    <w:spacing w:before="100" w:beforeAutospacing="1" w:after="100" w:afterAutospacing="1"/>
                    <w:ind w:left="0" w:leftChars="0" w:right="0" w:rightChars="0" w:firstLine="0" w:firstLineChars="0"/>
                    <w:jc w:val="center"/>
                    <w:rPr>
                      <w:rFonts w:hint="eastAsia" w:ascii="Times New Roman" w:hAnsi="Times New Roman" w:eastAsia="宋体" w:cs="Times New Roman"/>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不涉及</w:t>
                  </w:r>
                </w:p>
              </w:tc>
            </w:tr>
            <w:tr>
              <w:tblPrEx>
                <w:tblBorders>
                  <w:top w:val="single" w:color="auto" w:sz="4" w:space="0"/>
                  <w:left w:val="none" w:color="auto" w:sz="6" w:space="0"/>
                  <w:bottom w:val="single" w:color="auto" w:sz="12" w:space="0"/>
                  <w:right w:val="none" w:color="auto" w:sz="6" w:space="0"/>
                  <w:insideH w:val="single" w:color="auto" w:sz="4" w:space="0"/>
                  <w:insideV w:val="single" w:color="auto" w:sz="4" w:space="0"/>
                </w:tblBorders>
                <w:tblLayout w:type="fixed"/>
                <w:tblCellMar>
                  <w:top w:w="0" w:type="dxa"/>
                  <w:left w:w="68" w:type="dxa"/>
                  <w:bottom w:w="0" w:type="dxa"/>
                  <w:right w:w="68" w:type="dxa"/>
                </w:tblCellMar>
              </w:tblPrEx>
              <w:trPr>
                <w:jc w:val="center"/>
              </w:trPr>
              <w:tc>
                <w:tcPr>
                  <w:tcW w:w="1183"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1"/>
                      <w:szCs w:val="21"/>
                    </w:rPr>
                  </w:pPr>
                </w:p>
              </w:tc>
              <w:tc>
                <w:tcPr>
                  <w:tcW w:w="3973"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100" w:beforeAutospacing="1" w:after="100" w:afterAutospacing="1"/>
                    <w:ind w:left="0" w:leftChars="0" w:right="0" w:rightChars="0" w:firstLine="0" w:firstLineChars="0"/>
                    <w:jc w:val="left"/>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
                    </w:rPr>
                    <w:t>26.深化工地扬尘综合治理。</w:t>
                  </w:r>
                  <w:r>
                    <w:rPr>
                      <w:rFonts w:hint="default" w:ascii="Times New Roman" w:hAnsi="Times New Roman" w:eastAsia="宋体" w:cs="Times New Roman"/>
                      <w:b w:val="0"/>
                      <w:bCs w:val="0"/>
                      <w:color w:val="auto"/>
                      <w:kern w:val="0"/>
                      <w:sz w:val="21"/>
                      <w:szCs w:val="21"/>
                      <w:lang w:val="en-US" w:eastAsia="zh-CN" w:bidi="ar"/>
                    </w:rPr>
                    <w:t>持续开展扬尘污染治理提升，以城市建成区及周边房屋建筑、市政工程、拆除工程为重点领域，突出大风沙尘天气、重污染天气等重点时段，加强土石方开挖、回填等施工起尘期间全时段湿法作业，强化产生扬尘环节防治措施落实。施工工地每天至少进行1次清扫、2次冲洗作业，工程主体作业层防尘网全封闭；扬尘责任牌、在线监测设备必须正常使用；根据季节、湿度等，工地适时开启围挡喷淋、低空喷灌。全市施工工地应使用新能源或符合国四排放阶段非道路移动机械，并按规定办理环保编码登记和定位联网；燃油使用国六标准的无烟柴油，严禁作业过程冒黑烟。重点区域范围内所有工地运输车辆（含物料运输车、商砼车、渣土车等）必须100%使用新能源车辆和非道路移动机械。各级督导检查单位按照三个“严控”、九条规定进行全面督导检查。加强重点建设工程开展达标管理，实施分包帮扶，对有土石方作业的工地加强重点监管；进一步推进全市扬尘污染防治智慧化监控平台建设，实现县（市）级平台与市级平台的互联互通和数据上报。</w:t>
                  </w:r>
                </w:p>
              </w:tc>
              <w:tc>
                <w:tcPr>
                  <w:tcW w:w="2295"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100" w:beforeAutospacing="1" w:after="100" w:afterAutospacing="1"/>
                    <w:ind w:left="0" w:leftChars="0" w:right="0" w:rightChars="0" w:firstLine="0" w:firstLineChars="0"/>
                    <w:jc w:val="both"/>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
                    </w:rPr>
                    <w:t>本项目依托现有厂房，施工期仅是设备的安装</w:t>
                  </w:r>
                  <w:r>
                    <w:rPr>
                      <w:rFonts w:hint="eastAsia" w:ascii="Times New Roman" w:hAnsi="Times New Roman" w:eastAsia="宋体" w:cs="Times New Roman"/>
                      <w:color w:val="auto"/>
                      <w:kern w:val="0"/>
                      <w:sz w:val="21"/>
                      <w:szCs w:val="21"/>
                      <w:lang w:val="en-US" w:eastAsia="zh-CN" w:bidi="ar"/>
                    </w:rPr>
                    <w:t>，无施工工地扬尘</w:t>
                  </w:r>
                  <w:r>
                    <w:rPr>
                      <w:rFonts w:hint="default" w:ascii="Times New Roman" w:hAnsi="Times New Roman" w:eastAsia="宋体" w:cs="Times New Roman"/>
                      <w:color w:val="auto"/>
                      <w:kern w:val="0"/>
                      <w:sz w:val="21"/>
                      <w:szCs w:val="21"/>
                      <w:lang w:val="en-US" w:eastAsia="zh-CN" w:bidi="ar"/>
                    </w:rPr>
                    <w:t>。</w:t>
                  </w:r>
                </w:p>
              </w:tc>
              <w:tc>
                <w:tcPr>
                  <w:tcW w:w="670" w:type="dxa"/>
                  <w:tcBorders>
                    <w:top w:val="single" w:color="auto" w:sz="4" w:space="0"/>
                    <w:left w:val="nil"/>
                    <w:bottom w:val="single" w:color="auto" w:sz="4" w:space="0"/>
                    <w:right w:val="nil"/>
                  </w:tcBorders>
                  <w:vAlign w:val="center"/>
                </w:tcPr>
                <w:p>
                  <w:pPr>
                    <w:keepNext w:val="0"/>
                    <w:keepLines w:val="0"/>
                    <w:widowControl w:val="0"/>
                    <w:suppressLineNumbers w:val="0"/>
                    <w:spacing w:before="100" w:beforeAutospacing="1" w:after="100" w:afterAutospacing="1"/>
                    <w:ind w:left="0" w:leftChars="0" w:right="0" w:rightChars="0" w:firstLine="0" w:firstLine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
                    </w:rPr>
                    <w:t>相符</w:t>
                  </w:r>
                </w:p>
              </w:tc>
            </w:tr>
            <w:tr>
              <w:tblPrEx>
                <w:tblBorders>
                  <w:top w:val="single" w:color="auto" w:sz="4" w:space="0"/>
                  <w:left w:val="none" w:color="auto" w:sz="6" w:space="0"/>
                  <w:bottom w:val="single" w:color="auto" w:sz="12" w:space="0"/>
                  <w:right w:val="none" w:color="auto" w:sz="6" w:space="0"/>
                  <w:insideH w:val="single" w:color="auto" w:sz="4" w:space="0"/>
                  <w:insideV w:val="single" w:color="auto" w:sz="4" w:space="0"/>
                </w:tblBorders>
                <w:tblLayout w:type="fixed"/>
                <w:tblCellMar>
                  <w:top w:w="0" w:type="dxa"/>
                  <w:left w:w="68" w:type="dxa"/>
                  <w:bottom w:w="0" w:type="dxa"/>
                  <w:right w:w="68" w:type="dxa"/>
                </w:tblCellMar>
              </w:tblPrEx>
              <w:trPr>
                <w:jc w:val="center"/>
              </w:trPr>
              <w:tc>
                <w:tcPr>
                  <w:tcW w:w="1183" w:type="dxa"/>
                  <w:vMerge w:val="restart"/>
                  <w:tcBorders>
                    <w:top w:val="nil"/>
                    <w:left w:val="nil"/>
                    <w:bottom w:val="single" w:color="auto" w:sz="4" w:space="0"/>
                    <w:right w:val="single" w:color="auto" w:sz="4" w:space="0"/>
                  </w:tcBorders>
                  <w:vAlign w:val="center"/>
                </w:tcPr>
                <w:p>
                  <w:pPr>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
                    </w:rPr>
                    <w:t>安阳市202</w:t>
                  </w:r>
                  <w:r>
                    <w:rPr>
                      <w:rFonts w:hint="eastAsia" w:ascii="Times New Roman" w:hAnsi="Times New Roman" w:eastAsia="宋体" w:cs="Times New Roman"/>
                      <w:color w:val="auto"/>
                      <w:kern w:val="0"/>
                      <w:sz w:val="21"/>
                      <w:szCs w:val="21"/>
                      <w:lang w:val="en-US" w:eastAsia="zh-CN" w:bidi="ar"/>
                    </w:rPr>
                    <w:t>5</w:t>
                  </w:r>
                  <w:r>
                    <w:rPr>
                      <w:rFonts w:hint="default" w:ascii="Times New Roman" w:hAnsi="Times New Roman" w:eastAsia="宋体" w:cs="Times New Roman"/>
                      <w:color w:val="auto"/>
                      <w:kern w:val="0"/>
                      <w:sz w:val="21"/>
                      <w:szCs w:val="21"/>
                      <w:lang w:val="en-US" w:eastAsia="zh-CN" w:bidi="ar"/>
                    </w:rPr>
                    <w:t>年碧水保卫战实施方案</w:t>
                  </w:r>
                </w:p>
              </w:tc>
              <w:tc>
                <w:tcPr>
                  <w:tcW w:w="3973"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100" w:beforeAutospacing="1" w:after="100" w:afterAutospacing="1"/>
                    <w:ind w:left="0" w:right="0"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
                    </w:rPr>
                    <w:t>5.持续加强饮用水水源保护。</w:t>
                  </w:r>
                  <w:r>
                    <w:rPr>
                      <w:rFonts w:hint="default" w:ascii="Times New Roman" w:hAnsi="Times New Roman" w:eastAsia="宋体" w:cs="Times New Roman"/>
                      <w:b w:val="0"/>
                      <w:bCs w:val="0"/>
                      <w:color w:val="auto"/>
                      <w:kern w:val="0"/>
                      <w:sz w:val="21"/>
                      <w:szCs w:val="21"/>
                      <w:lang w:val="en-US" w:eastAsia="zh-CN" w:bidi="ar"/>
                    </w:rPr>
                    <w:t>依法科学划定、调整、取消饮用水水源地保护区（范围）。修订安阳市集中式饮用水水源地环境突发事件应急预案。推进乡镇级饮用水水源保护区标志设置，2025年10月底前完成保护区（范围）划定和勘界立标，其中6月底前完成林州中南铁路排水隧洞水源地保护区划定和勘界立标。开展县级以上集中式饮用水水源地水质专项调查和环境状况调查评估，做好乡镇及以下水源地基础信息调查；持续开展保护区环境风险隐患排查整治，切实保障水源地水质安全。</w:t>
                  </w:r>
                </w:p>
              </w:tc>
              <w:tc>
                <w:tcPr>
                  <w:tcW w:w="2295"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100" w:beforeAutospacing="1" w:after="100" w:afterAutospacing="1"/>
                    <w:ind w:left="0" w:right="0"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
                    </w:rPr>
                    <w:t>本项目位于安阳市汤阴县宜沟镇安阳市新型制造业产业园区中原路与宜兴大道交叉口东北方位。距离项目最近的乡镇饮用水水源保护区为西南方向3570m的宜沟镇饮用水水源保护区，本项目不在其保护区范围内；本项目距离南水北调中线工程干渠二级保护区约为</w:t>
                  </w:r>
                  <w:r>
                    <w:rPr>
                      <w:rFonts w:hint="eastAsia" w:cs="Times New Roman"/>
                      <w:color w:val="auto"/>
                      <w:kern w:val="0"/>
                      <w:sz w:val="21"/>
                      <w:szCs w:val="21"/>
                      <w:lang w:val="en-US" w:eastAsia="zh-CN" w:bidi="ar"/>
                    </w:rPr>
                    <w:t>850</w:t>
                  </w:r>
                  <w:r>
                    <w:rPr>
                      <w:rFonts w:hint="default" w:ascii="Times New Roman" w:hAnsi="Times New Roman" w:eastAsia="宋体" w:cs="Times New Roman"/>
                      <w:color w:val="auto"/>
                      <w:kern w:val="0"/>
                      <w:sz w:val="21"/>
                      <w:szCs w:val="21"/>
                      <w:lang w:val="en-US" w:eastAsia="zh-CN" w:bidi="ar"/>
                    </w:rPr>
                    <w:t>m，不在其保护区范围内。</w:t>
                  </w:r>
                </w:p>
              </w:tc>
              <w:tc>
                <w:tcPr>
                  <w:tcW w:w="670" w:type="dxa"/>
                  <w:tcBorders>
                    <w:top w:val="single" w:color="auto" w:sz="4" w:space="0"/>
                    <w:left w:val="nil"/>
                    <w:bottom w:val="single" w:color="auto" w:sz="4" w:space="0"/>
                    <w:right w:val="nil"/>
                  </w:tcBorders>
                  <w:vAlign w:val="center"/>
                </w:tcPr>
                <w:p>
                  <w:pPr>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
                    </w:rPr>
                    <w:t>相符</w:t>
                  </w:r>
                </w:p>
              </w:tc>
            </w:tr>
            <w:tr>
              <w:tblPrEx>
                <w:tblBorders>
                  <w:top w:val="single" w:color="auto" w:sz="4" w:space="0"/>
                  <w:left w:val="none" w:color="auto" w:sz="6" w:space="0"/>
                  <w:bottom w:val="single" w:color="auto" w:sz="12" w:space="0"/>
                  <w:right w:val="none" w:color="auto" w:sz="6" w:space="0"/>
                  <w:insideH w:val="single" w:color="auto" w:sz="4" w:space="0"/>
                  <w:insideV w:val="single" w:color="auto" w:sz="4" w:space="0"/>
                </w:tblBorders>
                <w:tblLayout w:type="fixed"/>
                <w:tblCellMar>
                  <w:top w:w="0" w:type="dxa"/>
                  <w:left w:w="68" w:type="dxa"/>
                  <w:bottom w:w="0" w:type="dxa"/>
                  <w:right w:w="68" w:type="dxa"/>
                </w:tblCellMar>
              </w:tblPrEx>
              <w:trPr>
                <w:jc w:val="center"/>
              </w:trPr>
              <w:tc>
                <w:tcPr>
                  <w:tcW w:w="1183"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1"/>
                      <w:szCs w:val="21"/>
                    </w:rPr>
                  </w:pPr>
                </w:p>
              </w:tc>
              <w:tc>
                <w:tcPr>
                  <w:tcW w:w="3973"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100" w:beforeAutospacing="1" w:after="100" w:afterAutospacing="1"/>
                    <w:ind w:left="0" w:right="0" w:firstLine="0" w:firstLineChars="0"/>
                    <w:jc w:val="left"/>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
                    </w:rPr>
                    <w:t>8.深入工业园区水污染整治。</w:t>
                  </w:r>
                  <w:r>
                    <w:rPr>
                      <w:rFonts w:hint="default" w:ascii="Times New Roman" w:hAnsi="Times New Roman" w:eastAsia="宋体" w:cs="Times New Roman"/>
                      <w:b w:val="0"/>
                      <w:bCs w:val="0"/>
                      <w:color w:val="auto"/>
                      <w:kern w:val="0"/>
                      <w:sz w:val="21"/>
                      <w:szCs w:val="21"/>
                      <w:lang w:val="en-US" w:eastAsia="zh-CN" w:bidi="ar"/>
                    </w:rPr>
                    <w:t>开展工业园区污水收集处理、资源化利用、监测监管能力提升行动和化工园区“污水零直排区”建设行动，加快推进化工园区集中污水处理设施和配套管网建设，补齐园区污水收集处理设施短板。2025年11月底前省级以上工业园区配套的污水管网质量和污水收集效能明显提升，化工园区建成专业化工生产废水集中处理设施（独立建设或依托骨干企业）。</w:t>
                  </w:r>
                </w:p>
              </w:tc>
              <w:tc>
                <w:tcPr>
                  <w:tcW w:w="2295"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100" w:beforeAutospacing="1" w:after="100" w:afterAutospacing="1"/>
                    <w:ind w:left="0" w:right="0"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
                    </w:rPr>
                    <w:t>本项目员工从现有职工中调配，不新增生活污水；项目生产废水主要为冷灰桶冷却用水及车间冲洗废水。冷灰桶冷却用水经闭式冷却水循环系统收集、处理后循环使用，不外排；车间洒扫废水全部蒸发损耗，不外排</w:t>
                  </w:r>
                </w:p>
              </w:tc>
              <w:tc>
                <w:tcPr>
                  <w:tcW w:w="670" w:type="dxa"/>
                  <w:tcBorders>
                    <w:top w:val="single" w:color="auto" w:sz="4" w:space="0"/>
                    <w:left w:val="nil"/>
                    <w:bottom w:val="single" w:color="auto" w:sz="4" w:space="0"/>
                    <w:right w:val="nil"/>
                  </w:tcBorders>
                  <w:vAlign w:val="center"/>
                </w:tcPr>
                <w:p>
                  <w:pPr>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
                    </w:rPr>
                    <w:t>相符</w:t>
                  </w:r>
                </w:p>
              </w:tc>
            </w:tr>
            <w:tr>
              <w:tblPrEx>
                <w:tblBorders>
                  <w:top w:val="single" w:color="auto" w:sz="4" w:space="0"/>
                  <w:left w:val="none" w:color="auto" w:sz="6" w:space="0"/>
                  <w:bottom w:val="single" w:color="auto" w:sz="12" w:space="0"/>
                  <w:right w:val="none" w:color="auto" w:sz="6" w:space="0"/>
                  <w:insideH w:val="single" w:color="auto" w:sz="4" w:space="0"/>
                  <w:insideV w:val="single" w:color="auto" w:sz="4" w:space="0"/>
                </w:tblBorders>
                <w:tblLayout w:type="fixed"/>
                <w:tblCellMar>
                  <w:top w:w="0" w:type="dxa"/>
                  <w:left w:w="68" w:type="dxa"/>
                  <w:bottom w:w="0" w:type="dxa"/>
                  <w:right w:w="68" w:type="dxa"/>
                </w:tblCellMar>
              </w:tblPrEx>
              <w:trPr>
                <w:jc w:val="center"/>
              </w:trPr>
              <w:tc>
                <w:tcPr>
                  <w:tcW w:w="1183"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
                    </w:rPr>
                    <w:t>安阳市202</w:t>
                  </w:r>
                  <w:r>
                    <w:rPr>
                      <w:rFonts w:hint="eastAsia" w:ascii="Times New Roman" w:hAnsi="Times New Roman" w:eastAsia="宋体" w:cs="Times New Roman"/>
                      <w:color w:val="auto"/>
                      <w:kern w:val="0"/>
                      <w:sz w:val="21"/>
                      <w:szCs w:val="21"/>
                      <w:lang w:val="en-US" w:eastAsia="zh-CN" w:bidi="ar"/>
                    </w:rPr>
                    <w:t>5</w:t>
                  </w:r>
                  <w:r>
                    <w:rPr>
                      <w:rFonts w:hint="default" w:ascii="Times New Roman" w:hAnsi="Times New Roman" w:eastAsia="宋体" w:cs="Times New Roman"/>
                      <w:color w:val="auto"/>
                      <w:kern w:val="0"/>
                      <w:sz w:val="21"/>
                      <w:szCs w:val="21"/>
                      <w:lang w:val="en-US" w:eastAsia="zh-CN" w:bidi="ar"/>
                    </w:rPr>
                    <w:t>年净土保卫战实施方案</w:t>
                  </w:r>
                </w:p>
              </w:tc>
              <w:tc>
                <w:tcPr>
                  <w:tcW w:w="3973"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100" w:beforeAutospacing="1" w:after="100" w:afterAutospacing="1"/>
                    <w:ind w:left="0" w:right="0"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
                    </w:rPr>
                    <w:t>1.强化土壤污染源头防控。</w:t>
                  </w:r>
                  <w:r>
                    <w:rPr>
                      <w:rFonts w:hint="default" w:ascii="Times New Roman" w:hAnsi="Times New Roman" w:eastAsia="宋体" w:cs="Times New Roman"/>
                      <w:b w:val="0"/>
                      <w:bCs w:val="0"/>
                      <w:color w:val="auto"/>
                      <w:kern w:val="0"/>
                      <w:sz w:val="21"/>
                      <w:szCs w:val="21"/>
                      <w:lang w:val="en-US" w:eastAsia="zh-CN" w:bidi="ar"/>
                    </w:rPr>
                    <w:t>落实《河南省土壤污染源头防控行动实施方案》，强化未污染土壤保护，推动污染防治关口前移。2025年5月底前，完成涉镉等重金属行业企业清单更新，按计划完成整治任务。依法对涉镉等重金属的大气、水环境重点排污单位排放口和周边环境进行定期监测，评估对周边农用地土壤重金属累积性风险，对存在风险采取有效防控措施。2025年4月底前，完成土壤污染重点监管单位名录更新，并向社会公开。2025年10月底前，土壤污染重点监管单位按照排污许可证规定和标准规范落实控制有毒有害物质排放、土壤污染隐患排查、自行监测等要求，将隐患排查报告及相关材料上传至重点监管单位土壤和地下水环境管理信息系统。</w:t>
                  </w:r>
                </w:p>
              </w:tc>
              <w:tc>
                <w:tcPr>
                  <w:tcW w:w="2295"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100" w:beforeAutospacing="1" w:after="100" w:afterAutospacing="1"/>
                    <w:ind w:left="0" w:right="0"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
                    </w:rPr>
                    <w:t>安阳神龙腾达新材科技有限公司未列入土壤污染重点监管单位名录，生产车间</w:t>
                  </w:r>
                  <w:r>
                    <w:rPr>
                      <w:rFonts w:hint="eastAsia" w:ascii="Times New Roman" w:hAnsi="Times New Roman" w:eastAsia="宋体" w:cs="Times New Roman"/>
                      <w:color w:val="auto"/>
                      <w:kern w:val="0"/>
                      <w:sz w:val="21"/>
                      <w:szCs w:val="21"/>
                      <w:lang w:val="en-US" w:eastAsia="zh-CN" w:bidi="ar"/>
                    </w:rPr>
                    <w:t>、危废间等</w:t>
                  </w:r>
                  <w:r>
                    <w:rPr>
                      <w:rFonts w:hint="default" w:ascii="Times New Roman" w:hAnsi="Times New Roman" w:eastAsia="宋体" w:cs="Times New Roman"/>
                      <w:color w:val="auto"/>
                      <w:kern w:val="0"/>
                      <w:sz w:val="21"/>
                      <w:szCs w:val="21"/>
                      <w:lang w:val="en-US" w:eastAsia="zh-CN" w:bidi="ar"/>
                    </w:rPr>
                    <w:t>地面</w:t>
                  </w:r>
                  <w:r>
                    <w:rPr>
                      <w:rFonts w:hint="eastAsia" w:ascii="Times New Roman" w:hAnsi="Times New Roman" w:eastAsia="宋体" w:cs="Times New Roman"/>
                      <w:color w:val="auto"/>
                      <w:kern w:val="0"/>
                      <w:sz w:val="21"/>
                      <w:szCs w:val="21"/>
                      <w:lang w:val="en-US" w:eastAsia="zh-CN" w:bidi="ar"/>
                    </w:rPr>
                    <w:t>均</w:t>
                  </w:r>
                  <w:r>
                    <w:rPr>
                      <w:rFonts w:hint="default" w:ascii="Times New Roman" w:hAnsi="Times New Roman" w:eastAsia="宋体" w:cs="Times New Roman"/>
                      <w:color w:val="auto"/>
                      <w:kern w:val="0"/>
                      <w:sz w:val="21"/>
                      <w:szCs w:val="21"/>
                      <w:lang w:val="en-US" w:eastAsia="zh-CN" w:bidi="ar"/>
                    </w:rPr>
                    <w:t>进行防渗硬化，</w:t>
                  </w:r>
                  <w:r>
                    <w:rPr>
                      <w:rFonts w:hint="eastAsia" w:ascii="Times New Roman" w:hAnsi="Times New Roman" w:eastAsia="宋体" w:cs="Times New Roman"/>
                      <w:color w:val="auto"/>
                      <w:kern w:val="0"/>
                      <w:sz w:val="21"/>
                      <w:szCs w:val="21"/>
                      <w:lang w:val="en-US" w:eastAsia="zh-CN" w:bidi="ar"/>
                    </w:rPr>
                    <w:t>正常</w:t>
                  </w:r>
                  <w:r>
                    <w:rPr>
                      <w:rFonts w:hint="default" w:ascii="Times New Roman" w:hAnsi="Times New Roman" w:eastAsia="宋体" w:cs="Times New Roman"/>
                      <w:color w:val="auto"/>
                      <w:kern w:val="0"/>
                      <w:sz w:val="21"/>
                      <w:szCs w:val="21"/>
                      <w:lang w:val="en-US" w:eastAsia="zh-CN" w:bidi="ar"/>
                    </w:rPr>
                    <w:t>生产过程</w:t>
                  </w:r>
                  <w:r>
                    <w:rPr>
                      <w:rFonts w:hint="eastAsia" w:ascii="Times New Roman" w:hAnsi="Times New Roman" w:eastAsia="宋体" w:cs="Times New Roman"/>
                      <w:color w:val="auto"/>
                      <w:kern w:val="0"/>
                      <w:sz w:val="21"/>
                      <w:szCs w:val="21"/>
                      <w:lang w:val="en-US" w:eastAsia="zh-CN" w:bidi="ar"/>
                    </w:rPr>
                    <w:t>不会</w:t>
                  </w:r>
                  <w:r>
                    <w:rPr>
                      <w:rFonts w:hint="default" w:ascii="Times New Roman" w:hAnsi="Times New Roman" w:eastAsia="宋体" w:cs="Times New Roman"/>
                      <w:color w:val="auto"/>
                      <w:kern w:val="0"/>
                      <w:sz w:val="21"/>
                      <w:szCs w:val="21"/>
                      <w:lang w:val="en-US" w:eastAsia="zh-CN" w:bidi="ar"/>
                    </w:rPr>
                    <w:t>对土壤</w:t>
                  </w:r>
                  <w:r>
                    <w:rPr>
                      <w:rFonts w:hint="eastAsia" w:ascii="Times New Roman" w:hAnsi="Times New Roman" w:eastAsia="宋体" w:cs="Times New Roman"/>
                      <w:color w:val="auto"/>
                      <w:kern w:val="0"/>
                      <w:sz w:val="21"/>
                      <w:szCs w:val="21"/>
                      <w:lang w:val="en-US" w:eastAsia="zh-CN" w:bidi="ar"/>
                    </w:rPr>
                    <w:t>造成</w:t>
                  </w:r>
                  <w:r>
                    <w:rPr>
                      <w:rFonts w:hint="default" w:ascii="Times New Roman" w:hAnsi="Times New Roman" w:eastAsia="宋体" w:cs="Times New Roman"/>
                      <w:color w:val="auto"/>
                      <w:kern w:val="0"/>
                      <w:sz w:val="21"/>
                      <w:szCs w:val="21"/>
                      <w:lang w:val="en-US" w:eastAsia="zh-CN" w:bidi="ar"/>
                    </w:rPr>
                    <w:t>影响。</w:t>
                  </w:r>
                </w:p>
              </w:tc>
              <w:tc>
                <w:tcPr>
                  <w:tcW w:w="670" w:type="dxa"/>
                  <w:tcBorders>
                    <w:top w:val="single" w:color="auto" w:sz="4" w:space="0"/>
                    <w:left w:val="nil"/>
                    <w:bottom w:val="single" w:color="auto" w:sz="4" w:space="0"/>
                    <w:right w:val="nil"/>
                  </w:tcBorders>
                  <w:vAlign w:val="center"/>
                </w:tcPr>
                <w:p>
                  <w:pPr>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
                    </w:rPr>
                    <w:t>相符</w:t>
                  </w:r>
                </w:p>
              </w:tc>
            </w:tr>
            <w:tr>
              <w:tblPrEx>
                <w:tblBorders>
                  <w:top w:val="single" w:color="auto" w:sz="4" w:space="0"/>
                  <w:left w:val="none" w:color="auto" w:sz="6" w:space="0"/>
                  <w:bottom w:val="single" w:color="auto" w:sz="12" w:space="0"/>
                  <w:right w:val="none" w:color="auto" w:sz="6" w:space="0"/>
                  <w:insideH w:val="single" w:color="auto" w:sz="4" w:space="0"/>
                  <w:insideV w:val="single" w:color="auto" w:sz="4" w:space="0"/>
                </w:tblBorders>
                <w:tblLayout w:type="fixed"/>
                <w:tblCellMar>
                  <w:top w:w="0" w:type="dxa"/>
                  <w:left w:w="68" w:type="dxa"/>
                  <w:bottom w:w="0" w:type="dxa"/>
                  <w:right w:w="68" w:type="dxa"/>
                </w:tblCellMar>
              </w:tblPrEx>
              <w:trPr>
                <w:jc w:val="center"/>
              </w:trPr>
              <w:tc>
                <w:tcPr>
                  <w:tcW w:w="1183" w:type="dxa"/>
                  <w:vMerge w:val="restart"/>
                  <w:tcBorders>
                    <w:top w:val="nil"/>
                    <w:left w:val="nil"/>
                    <w:bottom w:val="single" w:color="auto" w:sz="4" w:space="0"/>
                    <w:right w:val="single" w:color="auto" w:sz="4" w:space="0"/>
                  </w:tcBorders>
                  <w:vAlign w:val="center"/>
                </w:tcPr>
                <w:p>
                  <w:pPr>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
                    </w:rPr>
                    <w:t>安阳市202</w:t>
                  </w:r>
                  <w:r>
                    <w:rPr>
                      <w:rFonts w:hint="eastAsia" w:ascii="Times New Roman" w:hAnsi="Times New Roman" w:eastAsia="宋体" w:cs="Times New Roman"/>
                      <w:color w:val="auto"/>
                      <w:kern w:val="0"/>
                      <w:sz w:val="21"/>
                      <w:szCs w:val="21"/>
                      <w:lang w:val="en-US" w:eastAsia="zh-CN" w:bidi="ar"/>
                    </w:rPr>
                    <w:t>5</w:t>
                  </w:r>
                  <w:r>
                    <w:rPr>
                      <w:rFonts w:hint="default" w:ascii="Times New Roman" w:hAnsi="Times New Roman" w:eastAsia="宋体" w:cs="Times New Roman"/>
                      <w:color w:val="auto"/>
                      <w:kern w:val="0"/>
                      <w:sz w:val="21"/>
                      <w:szCs w:val="21"/>
                      <w:lang w:val="en-US" w:eastAsia="zh-CN" w:bidi="ar"/>
                    </w:rPr>
                    <w:t>年柴油货车污染治理攻坚战实施方案</w:t>
                  </w:r>
                </w:p>
              </w:tc>
              <w:tc>
                <w:tcPr>
                  <w:tcW w:w="3973"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100" w:beforeAutospacing="1" w:after="100" w:afterAutospacing="1"/>
                    <w:ind w:left="0" w:right="0" w:firstLine="0" w:firstLineChars="0"/>
                    <w:jc w:val="both"/>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
                    </w:rPr>
                    <w:t>12.开展非道路移动机械环保达标监管。</w:t>
                  </w:r>
                  <w:r>
                    <w:rPr>
                      <w:rFonts w:hint="default" w:ascii="Times New Roman" w:hAnsi="Times New Roman" w:eastAsia="宋体" w:cs="Times New Roman"/>
                      <w:b w:val="0"/>
                      <w:bCs w:val="0"/>
                      <w:color w:val="auto"/>
                      <w:kern w:val="0"/>
                      <w:sz w:val="21"/>
                      <w:szCs w:val="21"/>
                      <w:lang w:val="en-US" w:eastAsia="zh-CN" w:bidi="ar"/>
                    </w:rPr>
                    <w:t>对本地非道路移动机械和发动机销售企业开展环保一致性监督检查，基本实现系族全覆盖。规范开展非道路移动机械信息采集和定位联网，2025年底前，完成工程机械环保编码登记三级联网。组织开展非道路移动机械监督性抽测，重点核验信息公开、污染控制装置、编码登记、定位联网等，9月底前完成不少于编码登记非道路移动机械20%监督性抽测任务。对从事非道路移动机械排放检测、编码登记、定位联网等工作的第三方机构严格管理，对不按标准规范开展工作的，依法依规处理，严厉打击伪造排放检验结果和出具虚假排放检验报告行为。</w:t>
                  </w:r>
                </w:p>
              </w:tc>
              <w:tc>
                <w:tcPr>
                  <w:tcW w:w="2295"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100" w:beforeAutospacing="1" w:after="100" w:afterAutospacing="1"/>
                    <w:ind w:left="0" w:right="0"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
                    </w:rPr>
                    <w:t>厂内非道路移动机械使用国三及以上排放标准，新增或更新的非道路移动机械全部采用新能源，并按照要求规范非道路移动机械编码登记。</w:t>
                  </w:r>
                </w:p>
              </w:tc>
              <w:tc>
                <w:tcPr>
                  <w:tcW w:w="670" w:type="dxa"/>
                  <w:tcBorders>
                    <w:top w:val="single" w:color="auto" w:sz="4" w:space="0"/>
                    <w:left w:val="nil"/>
                    <w:bottom w:val="single" w:color="auto" w:sz="4" w:space="0"/>
                    <w:right w:val="nil"/>
                  </w:tcBorders>
                  <w:vAlign w:val="center"/>
                </w:tcPr>
                <w:p>
                  <w:pPr>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
                    </w:rPr>
                    <w:t>相符</w:t>
                  </w:r>
                </w:p>
              </w:tc>
            </w:tr>
            <w:tr>
              <w:tblPrEx>
                <w:tblBorders>
                  <w:top w:val="single" w:color="auto" w:sz="4" w:space="0"/>
                  <w:left w:val="none" w:color="auto" w:sz="6" w:space="0"/>
                  <w:bottom w:val="single" w:color="auto" w:sz="12" w:space="0"/>
                  <w:right w:val="none" w:color="auto" w:sz="6" w:space="0"/>
                  <w:insideH w:val="single" w:color="auto" w:sz="4" w:space="0"/>
                  <w:insideV w:val="single" w:color="auto" w:sz="4" w:space="0"/>
                </w:tblBorders>
                <w:tblLayout w:type="fixed"/>
                <w:tblCellMar>
                  <w:top w:w="0" w:type="dxa"/>
                  <w:left w:w="68" w:type="dxa"/>
                  <w:bottom w:w="0" w:type="dxa"/>
                  <w:right w:w="68" w:type="dxa"/>
                </w:tblCellMar>
              </w:tblPrEx>
              <w:trPr>
                <w:jc w:val="center"/>
              </w:trPr>
              <w:tc>
                <w:tcPr>
                  <w:tcW w:w="1183"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1"/>
                      <w:szCs w:val="21"/>
                    </w:rPr>
                  </w:pPr>
                </w:p>
              </w:tc>
              <w:tc>
                <w:tcPr>
                  <w:tcW w:w="3973" w:type="dxa"/>
                  <w:tcBorders>
                    <w:top w:val="single" w:color="auto" w:sz="4" w:space="0"/>
                    <w:left w:val="nil"/>
                    <w:bottom w:val="single" w:color="auto" w:sz="12" w:space="0"/>
                    <w:right w:val="single" w:color="auto" w:sz="4" w:space="0"/>
                  </w:tcBorders>
                  <w:vAlign w:val="center"/>
                </w:tcPr>
                <w:p>
                  <w:pPr>
                    <w:keepNext w:val="0"/>
                    <w:keepLines w:val="0"/>
                    <w:widowControl w:val="0"/>
                    <w:suppressLineNumbers w:val="0"/>
                    <w:spacing w:before="100" w:beforeAutospacing="1" w:after="100" w:afterAutospacing="1"/>
                    <w:ind w:left="0" w:right="0"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b/>
                      <w:bCs/>
                      <w:color w:val="auto"/>
                      <w:kern w:val="0"/>
                      <w:sz w:val="21"/>
                      <w:szCs w:val="21"/>
                      <w:lang w:val="en-US" w:eastAsia="zh-CN" w:bidi="ar"/>
                    </w:rPr>
                    <w:t>1</w:t>
                  </w:r>
                  <w:r>
                    <w:rPr>
                      <w:rFonts w:hint="default" w:ascii="Times New Roman" w:hAnsi="Times New Roman" w:eastAsia="宋体" w:cs="Times New Roman"/>
                      <w:b/>
                      <w:bCs/>
                      <w:color w:val="auto"/>
                      <w:kern w:val="0"/>
                      <w:sz w:val="21"/>
                      <w:szCs w:val="21"/>
                      <w:lang w:val="en-US" w:eastAsia="zh-CN" w:bidi="ar"/>
                    </w:rPr>
                    <w:t>9.推进门禁系统建设联网。</w:t>
                  </w:r>
                  <w:r>
                    <w:rPr>
                      <w:rFonts w:hint="default" w:ascii="Times New Roman" w:hAnsi="Times New Roman" w:eastAsia="宋体" w:cs="Times New Roman"/>
                      <w:b w:val="0"/>
                      <w:bCs w:val="0"/>
                      <w:color w:val="auto"/>
                      <w:kern w:val="0"/>
                      <w:sz w:val="21"/>
                      <w:szCs w:val="21"/>
                      <w:lang w:val="en-US" w:eastAsia="zh-CN" w:bidi="ar"/>
                    </w:rPr>
                    <w:t>加快推进企业门禁及视频监控系统建设，按照《重点行业移动源监管与核查技术指南》（HJ1321—2023）规定，强化门禁视频监控平台建设和联网工作，对符合安装条件的企业建立动态机制，做到应装尽装。鼓励物流园区等用车大户建设门禁系统，强化运输车辆监管，禁止超标排放、非法改装、拆除后处理装置等问题车辆通行。2025年底前，全市火电、钢铁、煤炭、焦化、有色、化工、水泥等重点行业企业全部与生态环境部联网。</w:t>
                  </w:r>
                </w:p>
              </w:tc>
              <w:tc>
                <w:tcPr>
                  <w:tcW w:w="2295" w:type="dxa"/>
                  <w:tcBorders>
                    <w:top w:val="single" w:color="auto" w:sz="4" w:space="0"/>
                    <w:left w:val="nil"/>
                    <w:bottom w:val="single" w:color="auto" w:sz="12" w:space="0"/>
                    <w:right w:val="single" w:color="auto" w:sz="4" w:space="0"/>
                  </w:tcBorders>
                  <w:vAlign w:val="center"/>
                </w:tcPr>
                <w:p>
                  <w:pPr>
                    <w:keepNext w:val="0"/>
                    <w:keepLines w:val="0"/>
                    <w:widowControl w:val="0"/>
                    <w:suppressLineNumbers w:val="0"/>
                    <w:spacing w:before="100" w:beforeAutospacing="1" w:after="100" w:afterAutospacing="1"/>
                    <w:ind w:left="0" w:leftChars="0" w:right="0"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
                    </w:rPr>
                    <w:t>企业已安装门禁及视频监控系统，强化门禁视频监控平台建设和联网工作，建立动态机制</w:t>
                  </w:r>
                  <w:r>
                    <w:rPr>
                      <w:rFonts w:hint="default" w:ascii="Times New Roman" w:hAnsi="Times New Roman" w:eastAsia="宋体" w:cs="Times New Roman"/>
                      <w:color w:val="auto"/>
                      <w:kern w:val="0"/>
                      <w:sz w:val="21"/>
                      <w:szCs w:val="21"/>
                      <w:lang w:val="en-US" w:eastAsia="zh-CN" w:bidi="ar"/>
                    </w:rPr>
                    <w:t>。</w:t>
                  </w:r>
                </w:p>
              </w:tc>
              <w:tc>
                <w:tcPr>
                  <w:tcW w:w="670" w:type="dxa"/>
                  <w:tcBorders>
                    <w:top w:val="single" w:color="auto" w:sz="4" w:space="0"/>
                    <w:left w:val="nil"/>
                    <w:bottom w:val="single" w:color="auto" w:sz="12" w:space="0"/>
                    <w:right w:val="nil"/>
                  </w:tcBorders>
                  <w:vAlign w:val="center"/>
                </w:tcPr>
                <w:p>
                  <w:pPr>
                    <w:keepNext w:val="0"/>
                    <w:keepLines w:val="0"/>
                    <w:widowControl w:val="0"/>
                    <w:suppressLineNumbers w:val="0"/>
                    <w:spacing w:before="100" w:beforeAutospacing="1" w:after="100" w:afterAutospacing="1"/>
                    <w:ind w:left="0" w:leftChars="0" w:right="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
                    </w:rPr>
                    <w:t>相符</w:t>
                  </w:r>
                </w:p>
              </w:tc>
            </w:tr>
          </w:tbl>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color w:val="auto"/>
                <w:kern w:val="2"/>
                <w:sz w:val="24"/>
                <w:szCs w:val="24"/>
                <w:lang w:val="en-US" w:eastAsia="zh-CN" w:bidi="ar"/>
              </w:rPr>
              <w:t>经对比分析，项目建设符合《安阳市2025年大气污染防治攻坚行动方案》《安阳市2025年碧水保卫战实施方案》《安阳市2025年净土保卫战实施方案》《安阳市2025年柴油货车污染治理攻坚行动方案》的通知（安环委〔2025〕2号）中相关要求。</w:t>
            </w:r>
          </w:p>
          <w:p>
            <w:pPr>
              <w:keepNext w:val="0"/>
              <w:keepLines w:val="0"/>
              <w:numPr>
                <w:ilvl w:val="0"/>
                <w:numId w:val="0"/>
              </w:numPr>
              <w:suppressLineNumbers w:val="0"/>
              <w:tabs>
                <w:tab w:val="left" w:pos="439"/>
                <w:tab w:val="clear" w:pos="2040"/>
              </w:tabs>
              <w:adjustRightInd w:val="0"/>
              <w:snapToGrid w:val="0"/>
              <w:spacing w:before="0" w:beforeAutospacing="0" w:after="0" w:afterAutospacing="0" w:line="360" w:lineRule="auto"/>
              <w:ind w:left="0" w:leftChars="0" w:right="0" w:rightChars="0"/>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8.与《国务院办公厅关于印发强化危险废物监管和利用处置能力改革实施方案的通知》（国办函〔2021〕47号）相符性分析</w:t>
            </w:r>
          </w:p>
          <w:p>
            <w:pPr>
              <w:keepNext w:val="0"/>
              <w:keepLines w:val="0"/>
              <w:numPr>
                <w:ilvl w:val="0"/>
                <w:numId w:val="0"/>
              </w:numPr>
              <w:suppressLineNumbers w:val="0"/>
              <w:tabs>
                <w:tab w:val="left" w:pos="439"/>
                <w:tab w:val="clear" w:pos="2040"/>
              </w:tabs>
              <w:adjustRightInd w:val="0"/>
              <w:snapToGrid w:val="0"/>
              <w:spacing w:before="0" w:beforeAutospacing="0" w:after="0" w:afterAutospacing="0" w:line="360" w:lineRule="auto"/>
              <w:ind w:left="0" w:leftChars="0" w:right="0" w:rightChars="0" w:firstLine="480" w:firstLineChars="200"/>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val="0"/>
                <w:bCs w:val="0"/>
                <w:color w:val="auto"/>
                <w:kern w:val="2"/>
                <w:sz w:val="24"/>
                <w:szCs w:val="24"/>
                <w:lang w:val="en-US" w:eastAsia="zh-CN" w:bidi="ar-SA"/>
              </w:rPr>
              <w:t>为深入贯彻党中央、国务院决策部署，落实《中华人民共和国固体废物污染环境防治法》等法律法规规定，提升危险废物监管和利用处置能力，有效防控危险废物环境与安全风险，制定本方案。本项目与实施方案相符性具体见下表。</w:t>
            </w:r>
          </w:p>
          <w:p>
            <w:pPr>
              <w:keepNext w:val="0"/>
              <w:keepLines w:val="0"/>
              <w:numPr>
                <w:ilvl w:val="0"/>
                <w:numId w:val="0"/>
              </w:numPr>
              <w:suppressLineNumbers w:val="0"/>
              <w:tabs>
                <w:tab w:val="left" w:pos="439"/>
                <w:tab w:val="clear" w:pos="2040"/>
              </w:tabs>
              <w:adjustRightInd w:val="0"/>
              <w:snapToGrid w:val="0"/>
              <w:spacing w:before="0" w:beforeAutospacing="0" w:after="0" w:afterAutospacing="0" w:line="240" w:lineRule="auto"/>
              <w:ind w:left="0" w:right="0"/>
              <w:jc w:val="center"/>
              <w:rPr>
                <w:rFonts w:hint="default" w:ascii="Times New Roman" w:hAnsi="Times New Roman" w:eastAsia="宋体" w:cs="Times New Roman"/>
                <w:b/>
                <w:bCs/>
                <w:color w:val="auto"/>
                <w:kern w:val="2"/>
                <w:sz w:val="24"/>
                <w:szCs w:val="24"/>
                <w:lang w:val="en-US" w:eastAsia="zh-CN" w:bidi="ar-SA"/>
              </w:rPr>
            </w:pPr>
            <w:r>
              <w:rPr>
                <w:rFonts w:hint="eastAsia" w:ascii="Times New Roman" w:hAnsi="Times New Roman" w:cs="Times New Roman"/>
                <w:b/>
                <w:bCs/>
                <w:color w:val="auto"/>
                <w:kern w:val="2"/>
                <w:sz w:val="24"/>
                <w:szCs w:val="24"/>
                <w:lang w:val="en-US" w:eastAsia="zh-CN" w:bidi="ar-SA"/>
              </w:rPr>
              <w:t>本项目</w:t>
            </w:r>
            <w:r>
              <w:rPr>
                <w:rFonts w:hint="default" w:ascii="Times New Roman" w:hAnsi="Times New Roman" w:cs="Times New Roman"/>
                <w:b/>
                <w:bCs/>
                <w:color w:val="auto"/>
                <w:kern w:val="2"/>
                <w:sz w:val="24"/>
                <w:szCs w:val="24"/>
                <w:lang w:val="en-US" w:eastAsia="zh-CN" w:bidi="ar-SA"/>
              </w:rPr>
              <w:t>与国办函</w:t>
            </w:r>
            <w:r>
              <w:rPr>
                <w:rFonts w:hint="default" w:ascii="Times New Roman" w:hAnsi="Times New Roman" w:eastAsia="宋体" w:cs="Times New Roman"/>
                <w:b/>
                <w:bCs/>
                <w:color w:val="auto"/>
                <w:kern w:val="2"/>
                <w:sz w:val="24"/>
                <w:szCs w:val="24"/>
                <w:lang w:val="en-US" w:eastAsia="zh-CN" w:bidi="ar-SA"/>
              </w:rPr>
              <w:t>〔2021〕47号文件相符性</w:t>
            </w:r>
          </w:p>
          <w:tbl>
            <w:tblPr>
              <w:tblStyle w:val="27"/>
              <w:tblW w:w="8118" w:type="dxa"/>
              <w:jc w:val="center"/>
              <w:tblInd w:w="0" w:type="dxa"/>
              <w:tblBorders>
                <w:top w:val="single" w:color="auto" w:sz="4" w:space="0"/>
                <w:left w:val="none" w:color="auto" w:sz="6" w:space="0"/>
                <w:bottom w:val="single" w:color="auto" w:sz="12" w:space="0"/>
                <w:right w:val="none" w:color="auto" w:sz="6" w:space="0"/>
                <w:insideH w:val="single" w:color="auto" w:sz="4" w:space="0"/>
                <w:insideV w:val="single" w:color="auto" w:sz="4" w:space="0"/>
              </w:tblBorders>
              <w:shd w:val="clear" w:color="auto" w:fill="auto"/>
              <w:tblLayout w:type="fixed"/>
              <w:tblCellMar>
                <w:top w:w="0" w:type="dxa"/>
                <w:left w:w="68" w:type="dxa"/>
                <w:bottom w:w="0" w:type="dxa"/>
                <w:right w:w="68" w:type="dxa"/>
              </w:tblCellMar>
            </w:tblPr>
            <w:tblGrid>
              <w:gridCol w:w="1181"/>
              <w:gridCol w:w="3972"/>
              <w:gridCol w:w="2296"/>
              <w:gridCol w:w="669"/>
            </w:tblGrid>
            <w:tr>
              <w:tblPrEx>
                <w:tblBorders>
                  <w:top w:val="single" w:color="auto" w:sz="4" w:space="0"/>
                  <w:left w:val="none" w:color="auto" w:sz="6" w:space="0"/>
                  <w:bottom w:val="single" w:color="auto" w:sz="12" w:space="0"/>
                  <w:right w:val="none" w:color="auto" w:sz="6" w:space="0"/>
                  <w:insideH w:val="single" w:color="auto" w:sz="4" w:space="0"/>
                  <w:insideV w:val="single" w:color="auto" w:sz="4" w:space="0"/>
                </w:tblBorders>
                <w:shd w:val="clear" w:color="auto" w:fill="auto"/>
                <w:tblLayout w:type="fixed"/>
                <w:tblCellMar>
                  <w:top w:w="0" w:type="dxa"/>
                  <w:left w:w="68" w:type="dxa"/>
                  <w:bottom w:w="0" w:type="dxa"/>
                  <w:right w:w="68" w:type="dxa"/>
                </w:tblCellMar>
              </w:tblPrEx>
              <w:trPr>
                <w:trHeight w:val="614" w:hRule="atLeast"/>
                <w:jc w:val="center"/>
              </w:trPr>
              <w:tc>
                <w:tcPr>
                  <w:tcW w:w="1181" w:type="dxa"/>
                  <w:tcBorders>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1" w:after="0" w:afterAutospacing="1"/>
                    <w:ind w:left="0" w:right="0" w:firstLine="0" w:firstLineChars="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类别</w:t>
                  </w:r>
                </w:p>
              </w:tc>
              <w:tc>
                <w:tcPr>
                  <w:tcW w:w="3972" w:type="dxa"/>
                  <w:tcBorders>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1" w:after="0" w:afterAutospacing="1"/>
                    <w:ind w:left="0" w:right="0" w:firstLine="0" w:firstLineChars="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详细要求</w:t>
                  </w:r>
                </w:p>
              </w:tc>
              <w:tc>
                <w:tcPr>
                  <w:tcW w:w="2296" w:type="dxa"/>
                  <w:tcBorders>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1" w:after="0" w:afterAutospacing="1"/>
                    <w:ind w:left="0" w:right="0" w:firstLine="0" w:firstLineChars="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本项目情况</w:t>
                  </w:r>
                </w:p>
              </w:tc>
              <w:tc>
                <w:tcPr>
                  <w:tcW w:w="669" w:type="dxa"/>
                  <w:tcBorders>
                    <w:left w:val="nil"/>
                    <w:bottom w:val="single" w:color="auto" w:sz="4" w:space="0"/>
                    <w:right w:val="nil"/>
                  </w:tcBorders>
                  <w:shd w:val="clear" w:color="auto" w:fill="auto"/>
                  <w:vAlign w:val="center"/>
                </w:tcPr>
                <w:p>
                  <w:pPr>
                    <w:keepNext w:val="0"/>
                    <w:keepLines w:val="0"/>
                    <w:widowControl w:val="0"/>
                    <w:suppressLineNumbers w:val="0"/>
                    <w:spacing w:before="0" w:beforeAutospacing="1" w:after="0" w:afterAutospacing="1"/>
                    <w:ind w:left="0" w:right="0" w:firstLine="0" w:firstLineChars="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相符性</w:t>
                  </w:r>
                </w:p>
              </w:tc>
            </w:tr>
            <w:tr>
              <w:tblPrEx>
                <w:tblBorders>
                  <w:top w:val="single" w:color="auto" w:sz="4" w:space="0"/>
                  <w:left w:val="none" w:color="auto" w:sz="6" w:space="0"/>
                  <w:bottom w:val="single" w:color="auto" w:sz="12" w:space="0"/>
                  <w:right w:val="none" w:color="auto" w:sz="6" w:space="0"/>
                  <w:insideH w:val="single" w:color="auto" w:sz="4" w:space="0"/>
                  <w:insideV w:val="single" w:color="auto" w:sz="4" w:space="0"/>
                </w:tblBorders>
                <w:tblLayout w:type="fixed"/>
                <w:tblCellMar>
                  <w:top w:w="0" w:type="dxa"/>
                  <w:left w:w="68" w:type="dxa"/>
                  <w:bottom w:w="0" w:type="dxa"/>
                  <w:right w:w="68" w:type="dxa"/>
                </w:tblCellMar>
              </w:tblPrEx>
              <w:trPr>
                <w:jc w:val="center"/>
              </w:trPr>
              <w:tc>
                <w:tcPr>
                  <w:tcW w:w="1181" w:type="dxa"/>
                  <w:tcBorders>
                    <w:top w:val="nil"/>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1" w:after="0" w:afterAutospacing="1"/>
                    <w:ind w:left="0" w:right="0" w:firstLine="0" w:firstLineChars="0"/>
                    <w:jc w:val="center"/>
                    <w:rPr>
                      <w:rFonts w:hint="default" w:ascii="Times New Roman" w:hAnsi="Times New Roman" w:eastAsia="宋体" w:cs="Times New Roman"/>
                      <w:color w:val="auto"/>
                      <w:kern w:val="0"/>
                      <w:sz w:val="21"/>
                      <w:szCs w:val="21"/>
                    </w:rPr>
                  </w:pPr>
                  <w:r>
                    <w:rPr>
                      <w:rFonts w:hint="eastAsia" w:ascii="宋体" w:hAnsi="宋体" w:eastAsia="宋体" w:cs="宋体"/>
                      <w:color w:val="auto"/>
                      <w:kern w:val="0"/>
                      <w:sz w:val="21"/>
                      <w:szCs w:val="21"/>
                      <w:lang w:val="en-US" w:eastAsia="zh-CN" w:bidi="ar"/>
                    </w:rPr>
                    <w:t>（九）严格环境准入</w:t>
                  </w:r>
                </w:p>
              </w:tc>
              <w:tc>
                <w:tcPr>
                  <w:tcW w:w="397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1" w:after="0" w:afterAutospacing="1"/>
                    <w:ind w:left="0" w:right="0" w:firstLine="0" w:firstLineChars="0"/>
                    <w:jc w:val="both"/>
                    <w:rPr>
                      <w:rFonts w:hint="default" w:ascii="Times New Roman" w:hAnsi="Times New Roman" w:eastAsia="宋体" w:cs="Times New Roman"/>
                      <w:color w:val="auto"/>
                      <w:kern w:val="0"/>
                      <w:sz w:val="21"/>
                      <w:szCs w:val="21"/>
                    </w:rPr>
                  </w:pPr>
                  <w:r>
                    <w:rPr>
                      <w:rFonts w:hint="default" w:ascii="Times New Roman" w:hAnsi="Times New Roman" w:eastAsia="宋体" w:cs="Times New Roman"/>
                      <w:b w:val="0"/>
                      <w:bCs w:val="0"/>
                      <w:color w:val="auto"/>
                      <w:kern w:val="0"/>
                      <w:sz w:val="21"/>
                      <w:szCs w:val="21"/>
                      <w:lang w:val="en-US" w:eastAsia="zh-CN" w:bidi="ar"/>
                    </w:rPr>
                    <w:t>新改扩建项目要依法开展环境影响评价，严格危险废物污染环境防治设施“三同时”管理。推进危险废物规范化环境管理</w:t>
                  </w:r>
                  <w:r>
                    <w:rPr>
                      <w:rFonts w:hint="eastAsia" w:ascii="Times New Roman" w:hAnsi="Times New Roman" w:eastAsia="宋体" w:cs="Times New Roman"/>
                      <w:b w:val="0"/>
                      <w:bCs w:val="0"/>
                      <w:color w:val="auto"/>
                      <w:kern w:val="0"/>
                      <w:sz w:val="21"/>
                      <w:szCs w:val="21"/>
                      <w:lang w:val="en-US" w:eastAsia="zh-CN" w:bidi="ar"/>
                    </w:rPr>
                    <w:t>。</w:t>
                  </w:r>
                </w:p>
              </w:tc>
              <w:tc>
                <w:tcPr>
                  <w:tcW w:w="2296"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1" w:after="0" w:afterAutospacing="1"/>
                    <w:ind w:left="0" w:right="0" w:firstLine="0" w:firstLineChars="0"/>
                    <w:jc w:val="both"/>
                    <w:rPr>
                      <w:rFonts w:hint="default" w:ascii="Times New Roman" w:hAnsi="Times New Roman" w:eastAsia="宋体" w:cs="Times New Roman"/>
                      <w:color w:val="auto"/>
                      <w:kern w:val="0"/>
                      <w:sz w:val="21"/>
                      <w:szCs w:val="21"/>
                    </w:rPr>
                  </w:pPr>
                  <w:r>
                    <w:rPr>
                      <w:rFonts w:hint="eastAsia" w:ascii="宋体" w:hAnsi="宋体" w:eastAsia="宋体" w:cs="宋体"/>
                      <w:color w:val="auto"/>
                      <w:kern w:val="0"/>
                      <w:sz w:val="21"/>
                      <w:szCs w:val="21"/>
                      <w:lang w:val="en-US" w:eastAsia="zh-CN" w:bidi="ar"/>
                    </w:rPr>
                    <w:t>本项目为改扩建项目，本次按照相关要求依法开展环境影响评价，评价要求严格执行危险废物污染环境防治设施“三同时”管理。项目建成后将按规定进行排污许可证变更。</w:t>
                  </w:r>
                </w:p>
              </w:tc>
              <w:tc>
                <w:tcPr>
                  <w:tcW w:w="669" w:type="dxa"/>
                  <w:tcBorders>
                    <w:top w:val="single" w:color="auto" w:sz="4" w:space="0"/>
                    <w:left w:val="nil"/>
                    <w:bottom w:val="single" w:color="auto" w:sz="4" w:space="0"/>
                    <w:right w:val="nil"/>
                  </w:tcBorders>
                  <w:shd w:val="clear" w:color="auto" w:fill="auto"/>
                  <w:vAlign w:val="center"/>
                </w:tcPr>
                <w:p>
                  <w:pPr>
                    <w:keepNext w:val="0"/>
                    <w:keepLines w:val="0"/>
                    <w:widowControl w:val="0"/>
                    <w:suppressLineNumbers w:val="0"/>
                    <w:spacing w:before="0" w:beforeAutospacing="1" w:after="0" w:afterAutospacing="1"/>
                    <w:ind w:left="0" w:right="0" w:firstLine="0" w:firstLineChars="0"/>
                    <w:jc w:val="center"/>
                    <w:rPr>
                      <w:rFonts w:hint="default" w:ascii="Times New Roman" w:hAnsi="Times New Roman" w:eastAsia="宋体" w:cs="Times New Roman"/>
                      <w:color w:val="auto"/>
                      <w:kern w:val="0"/>
                      <w:sz w:val="21"/>
                      <w:szCs w:val="21"/>
                    </w:rPr>
                  </w:pPr>
                  <w:r>
                    <w:rPr>
                      <w:rFonts w:hint="eastAsia" w:ascii="宋体" w:hAnsi="宋体" w:eastAsia="宋体" w:cs="宋体"/>
                      <w:color w:val="auto"/>
                      <w:kern w:val="0"/>
                      <w:sz w:val="21"/>
                      <w:szCs w:val="21"/>
                      <w:lang w:val="en-US" w:eastAsia="zh-CN" w:bidi="ar"/>
                    </w:rPr>
                    <w:t>相符</w:t>
                  </w:r>
                </w:p>
              </w:tc>
            </w:tr>
            <w:tr>
              <w:tblPrEx>
                <w:tblBorders>
                  <w:top w:val="single" w:color="auto" w:sz="4" w:space="0"/>
                  <w:left w:val="none" w:color="auto" w:sz="6" w:space="0"/>
                  <w:bottom w:val="single" w:color="auto" w:sz="12" w:space="0"/>
                  <w:right w:val="none" w:color="auto" w:sz="6" w:space="0"/>
                  <w:insideH w:val="single" w:color="auto" w:sz="4" w:space="0"/>
                  <w:insideV w:val="single" w:color="auto" w:sz="4" w:space="0"/>
                </w:tblBorders>
                <w:tblLayout w:type="fixed"/>
                <w:tblCellMar>
                  <w:top w:w="0" w:type="dxa"/>
                  <w:left w:w="68" w:type="dxa"/>
                  <w:bottom w:w="0" w:type="dxa"/>
                  <w:right w:w="68" w:type="dxa"/>
                </w:tblCellMar>
              </w:tblPrEx>
              <w:trPr>
                <w:jc w:val="center"/>
              </w:trPr>
              <w:tc>
                <w:tcPr>
                  <w:tcW w:w="1181" w:type="dxa"/>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（十）推动源头减量化</w:t>
                  </w:r>
                </w:p>
              </w:tc>
              <w:tc>
                <w:tcPr>
                  <w:tcW w:w="397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1" w:after="0" w:afterAutospacing="1"/>
                    <w:ind w:left="0" w:right="0" w:firstLine="0" w:firstLineChars="0"/>
                    <w:jc w:val="both"/>
                    <w:rPr>
                      <w:rFonts w:hint="eastAsia" w:ascii="Times New Roman" w:hAnsi="Times New Roman" w:eastAsia="宋体" w:cs="Times New Roman"/>
                      <w:color w:val="auto"/>
                      <w:kern w:val="0"/>
                      <w:sz w:val="21"/>
                      <w:szCs w:val="21"/>
                      <w:lang w:eastAsia="zh-CN"/>
                    </w:rPr>
                  </w:pPr>
                  <w:r>
                    <w:rPr>
                      <w:rFonts w:hint="eastAsia"/>
                      <w:color w:val="auto"/>
                    </w:rPr>
                    <w:t>支持研发、推广减少工业危险废物产生量和降低工业危险废物危害性的生产工艺和设备，促进从源头上减少危险废物产生量、降低危害性</w:t>
                  </w:r>
                  <w:r>
                    <w:rPr>
                      <w:rFonts w:hint="eastAsia"/>
                      <w:color w:val="auto"/>
                      <w:lang w:eastAsia="zh-CN"/>
                    </w:rPr>
                    <w:t>。</w:t>
                  </w:r>
                </w:p>
              </w:tc>
              <w:tc>
                <w:tcPr>
                  <w:tcW w:w="2296"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1" w:after="0" w:afterAutospacing="1"/>
                    <w:ind w:left="0" w:right="0" w:firstLine="0" w:firstLineChars="0"/>
                    <w:jc w:val="both"/>
                    <w:rPr>
                      <w:rFonts w:hint="default" w:ascii="Times New Roman" w:hAnsi="Times New Roman" w:eastAsia="宋体" w:cs="Times New Roman"/>
                      <w:color w:val="auto"/>
                      <w:kern w:val="0"/>
                      <w:sz w:val="21"/>
                      <w:szCs w:val="21"/>
                    </w:rPr>
                  </w:pPr>
                  <w:r>
                    <w:rPr>
                      <w:rFonts w:hint="eastAsia" w:ascii="宋体" w:hAnsi="宋体" w:eastAsia="宋体" w:cs="宋体"/>
                      <w:color w:val="auto"/>
                      <w:kern w:val="0"/>
                      <w:sz w:val="21"/>
                      <w:szCs w:val="21"/>
                      <w:lang w:val="en-US" w:eastAsia="zh-CN" w:bidi="ar"/>
                    </w:rPr>
                    <w:t>本项目属于对现有工程产生的熔炼渣回收利用项目，采用先进工艺对熔炼渣进行减量化、资源化综合利用。</w:t>
                  </w:r>
                </w:p>
              </w:tc>
              <w:tc>
                <w:tcPr>
                  <w:tcW w:w="669" w:type="dxa"/>
                  <w:tcBorders>
                    <w:top w:val="single" w:color="auto" w:sz="4" w:space="0"/>
                    <w:left w:val="nil"/>
                    <w:bottom w:val="single" w:color="auto" w:sz="4" w:space="0"/>
                    <w:right w:val="nil"/>
                  </w:tcBorders>
                  <w:shd w:val="clear" w:color="auto" w:fill="auto"/>
                  <w:vAlign w:val="center"/>
                </w:tcPr>
                <w:p>
                  <w:pPr>
                    <w:keepNext w:val="0"/>
                    <w:keepLines w:val="0"/>
                    <w:widowControl w:val="0"/>
                    <w:suppressLineNumbers w:val="0"/>
                    <w:spacing w:before="0" w:beforeAutospacing="1" w:after="0" w:afterAutospacing="1"/>
                    <w:ind w:left="0" w:right="0" w:firstLine="0" w:firstLineChars="0"/>
                    <w:jc w:val="center"/>
                    <w:rPr>
                      <w:rFonts w:hint="default" w:ascii="Times New Roman" w:hAnsi="Times New Roman" w:eastAsia="宋体" w:cs="Times New Roman"/>
                      <w:color w:val="auto"/>
                      <w:kern w:val="0"/>
                      <w:sz w:val="21"/>
                      <w:szCs w:val="21"/>
                    </w:rPr>
                  </w:pPr>
                  <w:r>
                    <w:rPr>
                      <w:rFonts w:hint="eastAsia" w:ascii="宋体" w:hAnsi="宋体" w:eastAsia="宋体" w:cs="宋体"/>
                      <w:color w:val="auto"/>
                      <w:kern w:val="0"/>
                      <w:sz w:val="21"/>
                      <w:szCs w:val="21"/>
                      <w:lang w:val="en-US" w:eastAsia="zh-CN" w:bidi="ar"/>
                    </w:rPr>
                    <w:t>相符</w:t>
                  </w:r>
                </w:p>
              </w:tc>
            </w:tr>
            <w:tr>
              <w:tblPrEx>
                <w:tblBorders>
                  <w:top w:val="single" w:color="auto" w:sz="4" w:space="0"/>
                  <w:left w:val="none" w:color="auto" w:sz="6" w:space="0"/>
                  <w:bottom w:val="single" w:color="auto" w:sz="12" w:space="0"/>
                  <w:right w:val="none" w:color="auto" w:sz="6" w:space="0"/>
                  <w:insideH w:val="single" w:color="auto" w:sz="4" w:space="0"/>
                  <w:insideV w:val="single" w:color="auto" w:sz="4" w:space="0"/>
                </w:tblBorders>
                <w:tblLayout w:type="fixed"/>
                <w:tblCellMar>
                  <w:top w:w="0" w:type="dxa"/>
                  <w:left w:w="68" w:type="dxa"/>
                  <w:bottom w:w="0" w:type="dxa"/>
                  <w:right w:w="68" w:type="dxa"/>
                </w:tblCellMar>
              </w:tblPrEx>
              <w:trPr>
                <w:jc w:val="center"/>
              </w:trPr>
              <w:tc>
                <w:tcPr>
                  <w:tcW w:w="1181" w:type="dxa"/>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（十二）推进转移运输便捷化</w:t>
                  </w:r>
                </w:p>
              </w:tc>
              <w:tc>
                <w:tcPr>
                  <w:tcW w:w="397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1" w:after="0" w:afterAutospacing="1"/>
                    <w:ind w:left="0" w:right="0" w:firstLine="0" w:firstLineChars="0"/>
                    <w:jc w:val="both"/>
                    <w:rPr>
                      <w:rFonts w:hint="eastAsia" w:ascii="Times New Roman" w:hAnsi="Times New Roman" w:eastAsia="宋体" w:cs="Times New Roman"/>
                      <w:b/>
                      <w:bCs/>
                      <w:color w:val="auto"/>
                      <w:kern w:val="0"/>
                      <w:sz w:val="21"/>
                      <w:szCs w:val="21"/>
                    </w:rPr>
                  </w:pPr>
                  <w:r>
                    <w:rPr>
                      <w:rFonts w:hint="default" w:ascii="Times New Roman" w:hAnsi="Times New Roman" w:eastAsia="宋体" w:cs="Times New Roman"/>
                      <w:b w:val="0"/>
                      <w:bCs w:val="0"/>
                      <w:color w:val="auto"/>
                      <w:kern w:val="0"/>
                      <w:sz w:val="21"/>
                      <w:szCs w:val="21"/>
                      <w:lang w:val="en-US" w:eastAsia="zh-CN" w:bidi="ar"/>
                    </w:rPr>
                    <w:t>建立危险废物和医疗废物运输车辆备案制度，完善“点对点”的常备通行路线，实现危险废物和医疗废物运输车辆规范有序、安全便捷通行。根据企业环境信用记录和环境风险可控程度等，以“白名单”方式简化危险废物跨省转移审批程序。维护危险废物跨区域转移公平竞争市场秩序，各地不得设置不合理行政壁垒。</w:t>
                  </w:r>
                </w:p>
              </w:tc>
              <w:tc>
                <w:tcPr>
                  <w:tcW w:w="2296"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1" w:after="0" w:afterAutospacing="1"/>
                    <w:ind w:left="0" w:right="0" w:firstLine="0" w:firstLineChars="0"/>
                    <w:jc w:val="both"/>
                    <w:rPr>
                      <w:rFonts w:hint="default" w:ascii="Times New Roman" w:hAnsi="Times New Roman" w:eastAsia="宋体" w:cs="Times New Roman"/>
                      <w:color w:val="auto"/>
                      <w:kern w:val="0"/>
                      <w:sz w:val="21"/>
                      <w:szCs w:val="21"/>
                    </w:rPr>
                  </w:pPr>
                  <w:r>
                    <w:rPr>
                      <w:rFonts w:hint="eastAsia" w:ascii="宋体" w:hAnsi="宋体" w:eastAsia="宋体" w:cs="宋体"/>
                      <w:color w:val="auto"/>
                      <w:kern w:val="0"/>
                      <w:sz w:val="21"/>
                      <w:szCs w:val="21"/>
                      <w:lang w:val="en-US" w:eastAsia="zh-CN" w:bidi="ar"/>
                    </w:rPr>
                    <w:t>本项目危险废物的运输委托具有相应资质的专业运输公司车辆运输；本项目原料来自现有工程，不涉及跨省转移。</w:t>
                  </w:r>
                </w:p>
              </w:tc>
              <w:tc>
                <w:tcPr>
                  <w:tcW w:w="669" w:type="dxa"/>
                  <w:tcBorders>
                    <w:top w:val="single" w:color="auto" w:sz="4" w:space="0"/>
                    <w:left w:val="nil"/>
                    <w:bottom w:val="single" w:color="auto" w:sz="4" w:space="0"/>
                    <w:right w:val="nil"/>
                  </w:tcBorders>
                  <w:shd w:val="clear" w:color="auto" w:fill="auto"/>
                  <w:vAlign w:val="center"/>
                </w:tcPr>
                <w:p>
                  <w:pPr>
                    <w:keepNext w:val="0"/>
                    <w:keepLines w:val="0"/>
                    <w:widowControl w:val="0"/>
                    <w:suppressLineNumbers w:val="0"/>
                    <w:spacing w:before="0" w:beforeAutospacing="1" w:after="0" w:afterAutospacing="1"/>
                    <w:ind w:left="0" w:right="0" w:firstLine="0" w:firstLineChars="0"/>
                    <w:jc w:val="center"/>
                    <w:rPr>
                      <w:rFonts w:hint="default" w:ascii="Times New Roman" w:hAnsi="Times New Roman" w:eastAsia="宋体" w:cs="Times New Roman"/>
                      <w:color w:val="auto"/>
                      <w:kern w:val="0"/>
                      <w:sz w:val="21"/>
                      <w:szCs w:val="21"/>
                    </w:rPr>
                  </w:pPr>
                  <w:r>
                    <w:rPr>
                      <w:rFonts w:hint="eastAsia" w:ascii="宋体" w:hAnsi="宋体" w:eastAsia="宋体" w:cs="宋体"/>
                      <w:color w:val="auto"/>
                      <w:kern w:val="0"/>
                      <w:sz w:val="21"/>
                      <w:szCs w:val="21"/>
                      <w:lang w:val="en-US" w:eastAsia="zh-CN" w:bidi="ar"/>
                    </w:rPr>
                    <w:t>不涉及</w:t>
                  </w:r>
                </w:p>
              </w:tc>
            </w:tr>
          </w:tbl>
          <w:p>
            <w:pPr>
              <w:keepNext w:val="0"/>
              <w:keepLines w:val="0"/>
              <w:numPr>
                <w:ilvl w:val="0"/>
                <w:numId w:val="0"/>
              </w:numPr>
              <w:suppressLineNumbers w:val="0"/>
              <w:tabs>
                <w:tab w:val="left" w:pos="439"/>
                <w:tab w:val="clear" w:pos="2040"/>
              </w:tabs>
              <w:adjustRightInd w:val="0"/>
              <w:snapToGrid w:val="0"/>
              <w:spacing w:before="0" w:beforeAutospacing="0" w:after="0" w:afterAutospacing="0" w:line="360" w:lineRule="auto"/>
              <w:ind w:left="0" w:right="0" w:firstLine="480" w:firstLineChars="200"/>
              <w:rPr>
                <w:rFonts w:hint="eastAsia" w:cs="Times New Roman"/>
                <w:b/>
                <w:bCs/>
                <w:color w:val="auto"/>
                <w:kern w:val="2"/>
                <w:sz w:val="24"/>
                <w:szCs w:val="24"/>
                <w:lang w:val="en-US" w:eastAsia="zh-CN" w:bidi="ar-SA"/>
              </w:rPr>
            </w:pPr>
            <w:r>
              <w:rPr>
                <w:rFonts w:hint="eastAsia" w:cs="Times New Roman"/>
                <w:b w:val="0"/>
                <w:bCs w:val="0"/>
                <w:color w:val="auto"/>
                <w:kern w:val="2"/>
                <w:sz w:val="24"/>
                <w:szCs w:val="24"/>
                <w:lang w:val="en-US" w:eastAsia="zh-CN" w:bidi="ar-SA"/>
              </w:rPr>
              <w:t>综上，本项目符合《国务院办公厅关于印发强化危险废物监管和利用处置能力改革实施方案的通知》（国办函〔2021〕47号）的相关要求。</w:t>
            </w:r>
          </w:p>
          <w:p>
            <w:pPr>
              <w:keepNext w:val="0"/>
              <w:keepLines w:val="0"/>
              <w:numPr>
                <w:ilvl w:val="0"/>
                <w:numId w:val="0"/>
              </w:numPr>
              <w:suppressLineNumbers w:val="0"/>
              <w:tabs>
                <w:tab w:val="left" w:pos="439"/>
                <w:tab w:val="clear" w:pos="2040"/>
              </w:tabs>
              <w:adjustRightInd w:val="0"/>
              <w:snapToGrid w:val="0"/>
              <w:spacing w:before="0" w:beforeAutospacing="0" w:after="0" w:afterAutospacing="0" w:line="360" w:lineRule="auto"/>
              <w:ind w:left="0" w:right="0"/>
              <w:rPr>
                <w:rFonts w:hint="eastAsia" w:cs="Times New Roman"/>
                <w:b/>
                <w:bCs/>
                <w:color w:val="auto"/>
                <w:kern w:val="2"/>
                <w:sz w:val="24"/>
                <w:szCs w:val="24"/>
                <w:lang w:val="en-US" w:eastAsia="zh-CN" w:bidi="ar-SA"/>
              </w:rPr>
            </w:pPr>
            <w:r>
              <w:rPr>
                <w:rFonts w:hint="eastAsia" w:cs="Times New Roman"/>
                <w:b/>
                <w:bCs/>
                <w:color w:val="auto"/>
                <w:kern w:val="2"/>
                <w:sz w:val="24"/>
                <w:szCs w:val="24"/>
                <w:lang w:val="en-US" w:eastAsia="zh-CN" w:bidi="ar-SA"/>
              </w:rPr>
              <w:t>9.与《关于印发提升危险废物环境监管能力、利用处置能力和环境风险防范能力工作方案的通知》（豫环文[2019]245号）相符性分析</w:t>
            </w:r>
          </w:p>
          <w:p>
            <w:pPr>
              <w:keepNext w:val="0"/>
              <w:keepLines w:val="0"/>
              <w:numPr>
                <w:ilvl w:val="0"/>
                <w:numId w:val="0"/>
              </w:numPr>
              <w:suppressLineNumbers w:val="0"/>
              <w:tabs>
                <w:tab w:val="left" w:pos="439"/>
                <w:tab w:val="clear" w:pos="2040"/>
              </w:tabs>
              <w:adjustRightInd w:val="0"/>
              <w:snapToGrid w:val="0"/>
              <w:spacing w:before="0" w:beforeAutospacing="0" w:after="0" w:afterAutospacing="0" w:line="360" w:lineRule="auto"/>
              <w:ind w:left="0" w:right="0" w:firstLine="480" w:firstLineChars="200"/>
              <w:rPr>
                <w:rFonts w:hint="eastAsia" w:cs="Times New Roman"/>
                <w:b w:val="0"/>
                <w:bCs w:val="0"/>
                <w:color w:val="auto"/>
                <w:kern w:val="2"/>
                <w:sz w:val="24"/>
                <w:szCs w:val="24"/>
                <w:lang w:val="en-US" w:eastAsia="zh-CN" w:bidi="ar-SA"/>
              </w:rPr>
            </w:pPr>
            <w:r>
              <w:rPr>
                <w:rFonts w:hint="eastAsia" w:cs="Times New Roman"/>
                <w:b w:val="0"/>
                <w:bCs w:val="0"/>
                <w:color w:val="auto"/>
                <w:kern w:val="2"/>
                <w:sz w:val="24"/>
                <w:szCs w:val="24"/>
                <w:lang w:val="en-US" w:eastAsia="zh-CN" w:bidi="ar-SA"/>
              </w:rPr>
              <w:t>为防范环境风险、维护生态环境安全，依据生态环境部《关于提升危险废物环境监管能力、利用处置能力和环境风险防范能力的指导意见》（环固体〔2019〕92号），结合实际，河南省生态环境厅制定了《河南省提升危险物环境监管能力、利用处置能力和环境风险防范能力工作方案》。本项目与其符合性见下表。</w:t>
            </w:r>
          </w:p>
          <w:p>
            <w:pPr>
              <w:keepNext w:val="0"/>
              <w:keepLines w:val="0"/>
              <w:numPr>
                <w:ilvl w:val="0"/>
                <w:numId w:val="0"/>
              </w:numPr>
              <w:suppressLineNumbers w:val="0"/>
              <w:tabs>
                <w:tab w:val="left" w:pos="439"/>
                <w:tab w:val="clear" w:pos="2040"/>
              </w:tabs>
              <w:adjustRightInd w:val="0"/>
              <w:snapToGrid w:val="0"/>
              <w:spacing w:before="0" w:beforeAutospacing="0" w:after="0" w:afterAutospacing="0" w:line="240" w:lineRule="auto"/>
              <w:ind w:left="0" w:right="0"/>
              <w:jc w:val="center"/>
              <w:rPr>
                <w:rFonts w:hint="default" w:ascii="Times New Roman" w:hAnsi="Times New Roman" w:eastAsia="宋体" w:cs="Times New Roman"/>
                <w:b/>
                <w:bCs/>
                <w:color w:val="auto"/>
                <w:kern w:val="2"/>
                <w:sz w:val="24"/>
                <w:szCs w:val="24"/>
                <w:lang w:val="en-US" w:eastAsia="zh-CN" w:bidi="ar-SA"/>
              </w:rPr>
            </w:pPr>
            <w:r>
              <w:rPr>
                <w:rFonts w:hint="eastAsia" w:ascii="Times New Roman" w:hAnsi="Times New Roman" w:cs="Times New Roman"/>
                <w:b/>
                <w:bCs/>
                <w:color w:val="auto"/>
                <w:kern w:val="2"/>
                <w:sz w:val="24"/>
                <w:szCs w:val="24"/>
                <w:lang w:val="en-US" w:eastAsia="zh-CN" w:bidi="ar-SA"/>
              </w:rPr>
              <w:t>本项目</w:t>
            </w:r>
            <w:r>
              <w:rPr>
                <w:rFonts w:hint="default" w:ascii="Times New Roman" w:hAnsi="Times New Roman" w:cs="Times New Roman"/>
                <w:b/>
                <w:bCs/>
                <w:color w:val="auto"/>
                <w:kern w:val="2"/>
                <w:sz w:val="24"/>
                <w:szCs w:val="24"/>
                <w:lang w:val="en-US" w:eastAsia="zh-CN" w:bidi="ar-SA"/>
              </w:rPr>
              <w:t>与国办函</w:t>
            </w:r>
            <w:r>
              <w:rPr>
                <w:rFonts w:hint="default" w:ascii="Times New Roman" w:hAnsi="Times New Roman" w:eastAsia="宋体" w:cs="Times New Roman"/>
                <w:b/>
                <w:bCs/>
                <w:color w:val="auto"/>
                <w:kern w:val="2"/>
                <w:sz w:val="24"/>
                <w:szCs w:val="24"/>
                <w:lang w:val="en-US" w:eastAsia="zh-CN" w:bidi="ar-SA"/>
              </w:rPr>
              <w:t>〔2021〕47号文件相符性</w:t>
            </w:r>
          </w:p>
          <w:tbl>
            <w:tblPr>
              <w:tblStyle w:val="27"/>
              <w:tblW w:w="8118" w:type="dxa"/>
              <w:jc w:val="center"/>
              <w:tblInd w:w="0" w:type="dxa"/>
              <w:tblBorders>
                <w:top w:val="single" w:color="auto" w:sz="4" w:space="0"/>
                <w:left w:val="none" w:color="auto" w:sz="6" w:space="0"/>
                <w:bottom w:val="single" w:color="auto" w:sz="4" w:space="0"/>
                <w:right w:val="none" w:color="auto" w:sz="6" w:space="0"/>
                <w:insideH w:val="single" w:color="auto" w:sz="4" w:space="0"/>
                <w:insideV w:val="single" w:color="auto" w:sz="4" w:space="0"/>
              </w:tblBorders>
              <w:shd w:val="clear" w:color="auto" w:fill="auto"/>
              <w:tblLayout w:type="fixed"/>
              <w:tblCellMar>
                <w:top w:w="0" w:type="dxa"/>
                <w:left w:w="68" w:type="dxa"/>
                <w:bottom w:w="0" w:type="dxa"/>
                <w:right w:w="68" w:type="dxa"/>
              </w:tblCellMar>
            </w:tblPr>
            <w:tblGrid>
              <w:gridCol w:w="960"/>
              <w:gridCol w:w="3687"/>
              <w:gridCol w:w="2613"/>
              <w:gridCol w:w="858"/>
            </w:tblGrid>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shd w:val="clear" w:color="auto" w:fill="auto"/>
                <w:tblLayout w:type="fixed"/>
                <w:tblCellMar>
                  <w:top w:w="0" w:type="dxa"/>
                  <w:left w:w="68" w:type="dxa"/>
                  <w:bottom w:w="0" w:type="dxa"/>
                  <w:right w:w="68" w:type="dxa"/>
                </w:tblCellMar>
              </w:tblPrEx>
              <w:trPr>
                <w:trHeight w:val="614" w:hRule="atLeast"/>
                <w:jc w:val="center"/>
              </w:trPr>
              <w:tc>
                <w:tcPr>
                  <w:tcW w:w="960" w:type="dxa"/>
                  <w:tcBorders>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1" w:after="0" w:afterAutospacing="1"/>
                    <w:ind w:left="0" w:right="0" w:firstLine="0" w:firstLineChars="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类别</w:t>
                  </w:r>
                </w:p>
              </w:tc>
              <w:tc>
                <w:tcPr>
                  <w:tcW w:w="3687" w:type="dxa"/>
                  <w:tcBorders>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1" w:after="0" w:afterAutospacing="1"/>
                    <w:ind w:left="0" w:right="0" w:firstLine="0" w:firstLineChars="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详细要求</w:t>
                  </w:r>
                </w:p>
              </w:tc>
              <w:tc>
                <w:tcPr>
                  <w:tcW w:w="2613" w:type="dxa"/>
                  <w:tcBorders>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1" w:after="0" w:afterAutospacing="1"/>
                    <w:ind w:left="0" w:right="0" w:firstLine="0" w:firstLineChars="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本项目情况</w:t>
                  </w:r>
                </w:p>
              </w:tc>
              <w:tc>
                <w:tcPr>
                  <w:tcW w:w="858" w:type="dxa"/>
                  <w:tcBorders>
                    <w:left w:val="nil"/>
                    <w:bottom w:val="single" w:color="auto" w:sz="4" w:space="0"/>
                    <w:right w:val="nil"/>
                  </w:tcBorders>
                  <w:shd w:val="clear" w:color="auto" w:fill="auto"/>
                  <w:vAlign w:val="center"/>
                </w:tcPr>
                <w:p>
                  <w:pPr>
                    <w:keepNext w:val="0"/>
                    <w:keepLines w:val="0"/>
                    <w:widowControl w:val="0"/>
                    <w:suppressLineNumbers w:val="0"/>
                    <w:spacing w:before="0" w:beforeAutospacing="1" w:after="0" w:afterAutospacing="1"/>
                    <w:ind w:left="0" w:right="0" w:firstLine="0" w:firstLineChars="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相符性</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68" w:type="dxa"/>
                  <w:bottom w:w="0" w:type="dxa"/>
                  <w:right w:w="68" w:type="dxa"/>
                </w:tblCellMar>
              </w:tblPrEx>
              <w:trPr>
                <w:jc w:val="center"/>
              </w:trPr>
              <w:tc>
                <w:tcPr>
                  <w:tcW w:w="960" w:type="dxa"/>
                  <w:vMerge w:val="restart"/>
                  <w:tcBorders>
                    <w:top w:val="nil"/>
                    <w:left w:val="nil"/>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color w:val="auto"/>
                      <w:kern w:val="2"/>
                      <w:sz w:val="20"/>
                      <w:szCs w:val="20"/>
                      <w:lang w:eastAsia="zh-CN"/>
                    </w:rPr>
                  </w:pPr>
                  <w:r>
                    <w:rPr>
                      <w:rFonts w:hint="eastAsia" w:cs="Times New Roman"/>
                      <w:color w:val="auto"/>
                      <w:kern w:val="2"/>
                      <w:sz w:val="21"/>
                      <w:szCs w:val="21"/>
                      <w:lang w:eastAsia="zh-CN"/>
                    </w:rPr>
                    <w:t>强化危险废物利用处置能力</w:t>
                  </w:r>
                </w:p>
              </w:tc>
              <w:tc>
                <w:tcPr>
                  <w:tcW w:w="368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1" w:after="0" w:afterAutospacing="1"/>
                    <w:ind w:left="0" w:right="0" w:firstLine="0" w:firstLineChars="0"/>
                    <w:jc w:val="both"/>
                    <w:rPr>
                      <w:rFonts w:hint="default" w:ascii="Times New Roman" w:hAnsi="Times New Roman" w:eastAsia="宋体" w:cs="Times New Roman"/>
                      <w:color w:val="auto"/>
                      <w:kern w:val="0"/>
                      <w:sz w:val="21"/>
                      <w:szCs w:val="21"/>
                    </w:rPr>
                  </w:pPr>
                  <w:r>
                    <w:rPr>
                      <w:rFonts w:hint="default" w:ascii="Times New Roman" w:hAnsi="Times New Roman" w:eastAsia="宋体" w:cs="Times New Roman"/>
                      <w:b w:val="0"/>
                      <w:bCs w:val="0"/>
                      <w:color w:val="auto"/>
                      <w:kern w:val="0"/>
                      <w:sz w:val="21"/>
                      <w:szCs w:val="21"/>
                      <w:lang w:val="en-US" w:eastAsia="zh-CN" w:bidi="ar"/>
                    </w:rPr>
                    <w:t>统筹危险废物处置能力建设。2020年底前，完成辖区内危险废物产生、利用处置能力和设施运行情况评估。根据本辖区危险废物情况评估结果，引导危险废物综合利用项目建设运营。加强废酸、废盐、生活垃圾焚烧飞灰等危险废物利用处置能力建设。鼓励石油开采、石化、化工、有色等产业基地、大型企业集团根据需要自行配套建设高标准的危险废物利用处置设施。</w:t>
                  </w:r>
                </w:p>
              </w:tc>
              <w:tc>
                <w:tcPr>
                  <w:tcW w:w="261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1" w:after="0" w:afterAutospacing="1"/>
                    <w:ind w:left="0" w:right="0" w:firstLine="0" w:firstLineChars="0"/>
                    <w:jc w:val="both"/>
                    <w:rPr>
                      <w:rFonts w:hint="default" w:ascii="Times New Roman" w:hAnsi="Times New Roman" w:eastAsia="宋体" w:cs="Times New Roman"/>
                      <w:color w:val="auto"/>
                      <w:kern w:val="0"/>
                      <w:sz w:val="21"/>
                      <w:szCs w:val="21"/>
                    </w:rPr>
                  </w:pPr>
                  <w:r>
                    <w:rPr>
                      <w:rFonts w:hint="eastAsia" w:ascii="宋体" w:hAnsi="宋体" w:eastAsia="宋体" w:cs="宋体"/>
                      <w:color w:val="auto"/>
                      <w:kern w:val="0"/>
                      <w:sz w:val="21"/>
                      <w:szCs w:val="21"/>
                      <w:lang w:val="en-US" w:eastAsia="zh-CN" w:bidi="ar"/>
                    </w:rPr>
                    <w:t>本项目位于</w:t>
                  </w:r>
                  <w:r>
                    <w:rPr>
                      <w:rFonts w:hint="eastAsia" w:ascii="宋体" w:hAnsi="宋体" w:cs="宋体"/>
                      <w:color w:val="auto"/>
                      <w:kern w:val="0"/>
                      <w:sz w:val="21"/>
                      <w:szCs w:val="21"/>
                      <w:lang w:val="en-US" w:eastAsia="zh-CN" w:bidi="ar"/>
                    </w:rPr>
                    <w:t>安阳市汤阴县中原路与宜兴大道交叉口东北方位</w:t>
                  </w:r>
                  <w:r>
                    <w:rPr>
                      <w:rFonts w:hint="eastAsia" w:ascii="宋体" w:hAnsi="宋体" w:eastAsia="宋体" w:cs="宋体"/>
                      <w:color w:val="auto"/>
                      <w:kern w:val="0"/>
                      <w:sz w:val="21"/>
                      <w:szCs w:val="21"/>
                      <w:lang w:val="en-US" w:eastAsia="zh-CN" w:bidi="ar"/>
                    </w:rPr>
                    <w:t>现有厂区内，原料为现有工程产生的熔炼渣，属于对现有工程铝锌合金生产线的环保提升改造项目。</w:t>
                  </w:r>
                </w:p>
              </w:tc>
              <w:tc>
                <w:tcPr>
                  <w:tcW w:w="858" w:type="dxa"/>
                  <w:tcBorders>
                    <w:top w:val="single" w:color="auto" w:sz="4" w:space="0"/>
                    <w:left w:val="nil"/>
                    <w:bottom w:val="single" w:color="auto" w:sz="4" w:space="0"/>
                    <w:right w:val="nil"/>
                  </w:tcBorders>
                  <w:shd w:val="clear" w:color="auto" w:fill="auto"/>
                  <w:vAlign w:val="center"/>
                </w:tcPr>
                <w:p>
                  <w:pPr>
                    <w:keepNext w:val="0"/>
                    <w:keepLines w:val="0"/>
                    <w:widowControl w:val="0"/>
                    <w:suppressLineNumbers w:val="0"/>
                    <w:spacing w:before="0" w:beforeAutospacing="1" w:after="0" w:afterAutospacing="1"/>
                    <w:ind w:left="0" w:right="0" w:firstLine="0" w:firstLineChars="0"/>
                    <w:jc w:val="center"/>
                    <w:rPr>
                      <w:rFonts w:hint="default" w:ascii="Times New Roman" w:hAnsi="Times New Roman" w:eastAsia="宋体" w:cs="Times New Roman"/>
                      <w:color w:val="auto"/>
                      <w:kern w:val="0"/>
                      <w:sz w:val="21"/>
                      <w:szCs w:val="21"/>
                    </w:rPr>
                  </w:pPr>
                  <w:r>
                    <w:rPr>
                      <w:rFonts w:hint="eastAsia" w:ascii="宋体" w:hAnsi="宋体" w:eastAsia="宋体" w:cs="宋体"/>
                      <w:color w:val="auto"/>
                      <w:kern w:val="0"/>
                      <w:sz w:val="21"/>
                      <w:szCs w:val="21"/>
                      <w:lang w:val="en-US" w:eastAsia="zh-CN" w:bidi="ar"/>
                    </w:rPr>
                    <w:t>相符</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68" w:type="dxa"/>
                  <w:bottom w:w="0" w:type="dxa"/>
                  <w:right w:w="68" w:type="dxa"/>
                </w:tblCellMar>
              </w:tblPrEx>
              <w:trPr>
                <w:jc w:val="center"/>
              </w:trPr>
              <w:tc>
                <w:tcPr>
                  <w:tcW w:w="960" w:type="dxa"/>
                  <w:vMerge w:val="continue"/>
                  <w:tcBorders>
                    <w:left w:val="nil"/>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0"/>
                      <w:szCs w:val="20"/>
                    </w:rPr>
                  </w:pPr>
                </w:p>
              </w:tc>
              <w:tc>
                <w:tcPr>
                  <w:tcW w:w="3687" w:type="dxa"/>
                  <w:tcBorders>
                    <w:top w:val="single" w:color="auto" w:sz="4" w:space="0"/>
                    <w:left w:val="nil"/>
                    <w:right w:val="single" w:color="auto" w:sz="4" w:space="0"/>
                  </w:tcBorders>
                  <w:shd w:val="clear" w:color="auto" w:fill="auto"/>
                  <w:vAlign w:val="center"/>
                </w:tcPr>
                <w:p>
                  <w:pPr>
                    <w:keepNext w:val="0"/>
                    <w:keepLines w:val="0"/>
                    <w:widowControl w:val="0"/>
                    <w:suppressLineNumbers w:val="0"/>
                    <w:spacing w:before="0" w:beforeAutospacing="1" w:after="0" w:afterAutospacing="1"/>
                    <w:ind w:left="0" w:right="0" w:firstLine="0" w:firstLineChars="0"/>
                    <w:jc w:val="both"/>
                    <w:rPr>
                      <w:rFonts w:hint="eastAsia" w:ascii="Times New Roman" w:hAnsi="Times New Roman" w:eastAsia="宋体" w:cs="Times New Roman"/>
                      <w:color w:val="auto"/>
                      <w:kern w:val="0"/>
                      <w:sz w:val="21"/>
                      <w:szCs w:val="21"/>
                    </w:rPr>
                  </w:pPr>
                  <w:r>
                    <w:rPr>
                      <w:rFonts w:hint="eastAsia" w:ascii="宋体" w:hAnsi="宋体" w:eastAsia="宋体" w:cs="宋体"/>
                      <w:color w:val="auto"/>
                      <w:kern w:val="2"/>
                      <w:sz w:val="21"/>
                      <w:szCs w:val="21"/>
                      <w:lang w:val="en-US" w:eastAsia="zh-CN" w:bidi="ar"/>
                    </w:rPr>
                    <w:t>促进危险废物源头减量与资源化利用。督促企业采取清洁生产等措施，从源头减少危险废物的产生量和危害性，优先实行企业内部资源化利用危险废物。研究实施河南省地方固体废物（危险废物）技术规范，包括废矿物油、废铅蓄电池、铝灰、精（蒸）馏残渣、废催化剂、废酸碱、含重金属灰渣等，为有效处置危险废物提供坚实的技术支撑。</w:t>
                  </w:r>
                </w:p>
              </w:tc>
              <w:tc>
                <w:tcPr>
                  <w:tcW w:w="2613" w:type="dxa"/>
                  <w:tcBorders>
                    <w:top w:val="single" w:color="auto" w:sz="4" w:space="0"/>
                    <w:left w:val="nil"/>
                    <w:right w:val="single" w:color="auto" w:sz="4" w:space="0"/>
                  </w:tcBorders>
                  <w:shd w:val="clear" w:color="auto" w:fill="auto"/>
                  <w:vAlign w:val="center"/>
                </w:tcPr>
                <w:p>
                  <w:pPr>
                    <w:keepNext w:val="0"/>
                    <w:keepLines w:val="0"/>
                    <w:widowControl w:val="0"/>
                    <w:suppressLineNumbers w:val="0"/>
                    <w:spacing w:before="0" w:beforeAutospacing="1" w:after="0" w:afterAutospacing="1"/>
                    <w:ind w:left="0" w:right="0" w:firstLine="0" w:firstLineChars="0"/>
                    <w:jc w:val="both"/>
                    <w:rPr>
                      <w:rFonts w:hint="default" w:ascii="Times New Roman" w:hAnsi="Times New Roman" w:eastAsia="宋体" w:cs="Times New Roman"/>
                      <w:color w:val="auto"/>
                      <w:kern w:val="0"/>
                      <w:sz w:val="21"/>
                      <w:szCs w:val="21"/>
                    </w:rPr>
                  </w:pPr>
                  <w:r>
                    <w:rPr>
                      <w:rFonts w:hint="eastAsia" w:ascii="宋体" w:hAnsi="宋体" w:eastAsia="宋体" w:cs="宋体"/>
                      <w:color w:val="auto"/>
                      <w:kern w:val="0"/>
                      <w:sz w:val="21"/>
                      <w:szCs w:val="21"/>
                      <w:lang w:val="en-US" w:eastAsia="zh-CN" w:bidi="ar"/>
                    </w:rPr>
                    <w:t>本项目原料为熔炼渣，来自现有工程铝锌合金生产线，本项目属于对现有工程铝锌合金生产线的环保提升改造项目，项目实施后有利于危废的减量化及资源化综合利用。</w:t>
                  </w:r>
                </w:p>
              </w:tc>
              <w:tc>
                <w:tcPr>
                  <w:tcW w:w="858" w:type="dxa"/>
                  <w:tcBorders>
                    <w:top w:val="single" w:color="auto" w:sz="4" w:space="0"/>
                    <w:left w:val="nil"/>
                    <w:right w:val="nil"/>
                  </w:tcBorders>
                  <w:shd w:val="clear" w:color="auto" w:fill="auto"/>
                  <w:vAlign w:val="center"/>
                </w:tcPr>
                <w:p>
                  <w:pPr>
                    <w:keepNext w:val="0"/>
                    <w:keepLines w:val="0"/>
                    <w:widowControl w:val="0"/>
                    <w:suppressLineNumbers w:val="0"/>
                    <w:spacing w:before="0" w:beforeAutospacing="1" w:after="0" w:afterAutospacing="1"/>
                    <w:ind w:left="0" w:right="0" w:firstLine="0" w:firstLineChars="0"/>
                    <w:jc w:val="center"/>
                    <w:rPr>
                      <w:rFonts w:hint="default" w:ascii="Times New Roman" w:hAnsi="Times New Roman" w:eastAsia="宋体" w:cs="Times New Roman"/>
                      <w:color w:val="auto"/>
                      <w:kern w:val="0"/>
                      <w:sz w:val="21"/>
                      <w:szCs w:val="21"/>
                    </w:rPr>
                  </w:pPr>
                  <w:r>
                    <w:rPr>
                      <w:rFonts w:hint="eastAsia" w:ascii="宋体" w:hAnsi="宋体" w:eastAsia="宋体" w:cs="宋体"/>
                      <w:color w:val="auto"/>
                      <w:kern w:val="0"/>
                      <w:sz w:val="21"/>
                      <w:szCs w:val="21"/>
                      <w:lang w:val="en-US" w:eastAsia="zh-CN" w:bidi="ar"/>
                    </w:rPr>
                    <w:t>相符</w:t>
                  </w:r>
                </w:p>
              </w:tc>
            </w:tr>
          </w:tbl>
          <w:p>
            <w:pPr>
              <w:keepNext w:val="0"/>
              <w:keepLines w:val="0"/>
              <w:numPr>
                <w:ilvl w:val="0"/>
                <w:numId w:val="0"/>
              </w:numPr>
              <w:suppressLineNumbers w:val="0"/>
              <w:tabs>
                <w:tab w:val="left" w:pos="439"/>
                <w:tab w:val="clear" w:pos="2040"/>
              </w:tabs>
              <w:adjustRightInd w:val="0"/>
              <w:snapToGrid w:val="0"/>
              <w:spacing w:before="0" w:beforeAutospacing="0" w:after="0" w:afterAutospacing="0" w:line="360" w:lineRule="auto"/>
              <w:ind w:left="0" w:right="0" w:firstLine="480" w:firstLineChars="200"/>
              <w:jc w:val="both"/>
              <w:rPr>
                <w:rFonts w:hint="eastAsia" w:cs="Times New Roman"/>
                <w:b/>
                <w:bCs/>
                <w:color w:val="auto"/>
                <w:kern w:val="2"/>
                <w:sz w:val="24"/>
                <w:szCs w:val="24"/>
                <w:lang w:val="en-US" w:eastAsia="zh-CN" w:bidi="ar-SA"/>
              </w:rPr>
            </w:pPr>
            <w:r>
              <w:rPr>
                <w:rFonts w:hint="eastAsia" w:cs="Times New Roman"/>
                <w:b w:val="0"/>
                <w:bCs w:val="0"/>
                <w:color w:val="auto"/>
                <w:kern w:val="2"/>
                <w:sz w:val="24"/>
                <w:szCs w:val="24"/>
                <w:lang w:val="en-US" w:eastAsia="zh-CN" w:bidi="ar-SA"/>
              </w:rPr>
              <w:t>综上，本项目建设符合《关于印发提升危险废物环境监管能力、利用处置能力和环境风险防范能力工作方案的通知》（豫环文[2019]245号）相关要求。</w:t>
            </w:r>
          </w:p>
          <w:p>
            <w:pPr>
              <w:keepNext w:val="0"/>
              <w:keepLines w:val="0"/>
              <w:numPr>
                <w:ilvl w:val="0"/>
                <w:numId w:val="0"/>
              </w:numPr>
              <w:suppressLineNumbers w:val="0"/>
              <w:tabs>
                <w:tab w:val="left" w:pos="439"/>
                <w:tab w:val="clear" w:pos="2040"/>
              </w:tabs>
              <w:adjustRightInd w:val="0"/>
              <w:snapToGrid w:val="0"/>
              <w:spacing w:before="0" w:beforeAutospacing="0" w:after="0" w:afterAutospacing="0" w:line="240" w:lineRule="auto"/>
              <w:ind w:left="0" w:right="0"/>
              <w:rPr>
                <w:rFonts w:hint="eastAsia" w:cs="Times New Roman"/>
                <w:b/>
                <w:bCs/>
                <w:color w:val="auto"/>
                <w:kern w:val="2"/>
                <w:sz w:val="24"/>
                <w:szCs w:val="24"/>
                <w:lang w:val="en-US" w:eastAsia="zh-CN" w:bidi="ar-SA"/>
              </w:rPr>
            </w:pPr>
          </w:p>
          <w:p>
            <w:pPr>
              <w:keepNext w:val="0"/>
              <w:keepLines w:val="0"/>
              <w:numPr>
                <w:ilvl w:val="0"/>
                <w:numId w:val="0"/>
              </w:numPr>
              <w:suppressLineNumbers w:val="0"/>
              <w:tabs>
                <w:tab w:val="left" w:pos="439"/>
                <w:tab w:val="clear" w:pos="2040"/>
              </w:tabs>
              <w:adjustRightInd w:val="0"/>
              <w:snapToGrid w:val="0"/>
              <w:spacing w:before="0" w:beforeAutospacing="0" w:after="0" w:afterAutospacing="0" w:line="240" w:lineRule="auto"/>
              <w:ind w:left="0" w:right="0"/>
              <w:rPr>
                <w:rFonts w:hint="eastAsia" w:cs="Times New Roman"/>
                <w:b/>
                <w:bCs/>
                <w:color w:val="auto"/>
                <w:kern w:val="2"/>
                <w:sz w:val="24"/>
                <w:szCs w:val="24"/>
                <w:lang w:val="en-US" w:eastAsia="zh-CN" w:bidi="ar-SA"/>
              </w:rPr>
            </w:pPr>
          </w:p>
          <w:p>
            <w:pPr>
              <w:keepNext w:val="0"/>
              <w:keepLines w:val="0"/>
              <w:numPr>
                <w:ilvl w:val="0"/>
                <w:numId w:val="0"/>
              </w:numPr>
              <w:suppressLineNumbers w:val="0"/>
              <w:tabs>
                <w:tab w:val="left" w:pos="439"/>
                <w:tab w:val="clear" w:pos="2040"/>
              </w:tabs>
              <w:adjustRightInd w:val="0"/>
              <w:snapToGrid w:val="0"/>
              <w:spacing w:before="0" w:beforeAutospacing="0" w:after="0" w:afterAutospacing="0" w:line="360" w:lineRule="auto"/>
              <w:ind w:left="0" w:right="0"/>
              <w:rPr>
                <w:rFonts w:hint="default" w:ascii="Times New Roman" w:hAnsi="Times New Roman" w:eastAsia="宋体" w:cs="Times New Roman"/>
                <w:color w:val="auto"/>
                <w:sz w:val="24"/>
                <w:szCs w:val="24"/>
              </w:rPr>
            </w:pPr>
            <w:r>
              <w:rPr>
                <w:rFonts w:hint="eastAsia" w:cs="Times New Roman"/>
                <w:b/>
                <w:bCs/>
                <w:color w:val="auto"/>
                <w:kern w:val="2"/>
                <w:sz w:val="24"/>
                <w:szCs w:val="24"/>
                <w:lang w:val="en-US" w:eastAsia="zh-CN" w:bidi="ar-SA"/>
              </w:rPr>
              <w:t>10.</w:t>
            </w:r>
            <w:r>
              <w:rPr>
                <w:rFonts w:hint="default" w:ascii="Times New Roman" w:hAnsi="Times New Roman" w:eastAsia="宋体" w:cs="Times New Roman"/>
                <w:b/>
                <w:bCs/>
                <w:color w:val="auto"/>
                <w:kern w:val="0"/>
                <w:sz w:val="24"/>
                <w:szCs w:val="24"/>
                <w:lang w:val="en-US" w:eastAsia="zh-CN"/>
              </w:rPr>
              <w:t>清洁生产分析</w:t>
            </w:r>
          </w:p>
          <w:p>
            <w:pPr>
              <w:keepNext w:val="0"/>
              <w:keepLines w:val="0"/>
              <w:numPr>
                <w:ilvl w:val="0"/>
                <w:numId w:val="0"/>
              </w:numPr>
              <w:suppressLineNumbers w:val="0"/>
              <w:tabs>
                <w:tab w:val="left" w:pos="439"/>
                <w:tab w:val="clear" w:pos="2040"/>
              </w:tabs>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eastAsia="zh-CN"/>
              </w:rPr>
              <w:t>对比河南盛世中鼎铝业有限公司回收金属铝项目，该项目废水仅为冷灰桶冷却循环水，循环使用不外排；该项目是对铝灰渣进行加工后铝液回用，二次铝灰作为危废暂存于危险废物暂存间内，定期由有资质单位拉运处置，与本项目工艺及产品类似，可类比分析。该项目单位产品水耗约为</w:t>
            </w:r>
            <w:r>
              <w:rPr>
                <w:rFonts w:hint="eastAsia" w:ascii="Times New Roman" w:hAnsi="Times New Roman" w:eastAsia="宋体" w:cs="Times New Roman"/>
                <w:color w:val="auto"/>
                <w:sz w:val="24"/>
                <w:szCs w:val="24"/>
                <w:lang w:val="en-US" w:eastAsia="zh-CN"/>
              </w:rPr>
              <w:t>3.03t，单位产品能耗约为1.05kgce/kg，综合能耗约为1.3097kgce/kg。本项目单位产品水耗约为0.24t，单位产品能耗约为0.39kgce/kg，综合能耗约为0.41kgce/kg，本项目单位产品水耗、能耗，综合能耗均低于河南盛世中鼎铝业有限公司。</w:t>
            </w:r>
          </w:p>
          <w:p>
            <w:pPr>
              <w:keepNext w:val="0"/>
              <w:keepLines w:val="0"/>
              <w:numPr>
                <w:ilvl w:val="0"/>
                <w:numId w:val="0"/>
              </w:numPr>
              <w:suppressLineNumbers w:val="0"/>
              <w:tabs>
                <w:tab w:val="left" w:pos="439"/>
                <w:tab w:val="clear" w:pos="2040"/>
              </w:tabs>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综上所述，本项目清洁生产水平能够达到国内同行业领先水平。</w:t>
            </w:r>
          </w:p>
          <w:p>
            <w:pPr>
              <w:keepNext w:val="0"/>
              <w:keepLines w:val="0"/>
              <w:numPr>
                <w:ilvl w:val="0"/>
                <w:numId w:val="0"/>
              </w:numPr>
              <w:suppressLineNumbers w:val="0"/>
              <w:tabs>
                <w:tab w:val="left" w:pos="439"/>
                <w:tab w:val="clear" w:pos="2040"/>
              </w:tabs>
              <w:adjustRightInd w:val="0"/>
              <w:snapToGrid w:val="0"/>
              <w:spacing w:before="0" w:beforeAutospacing="0" w:after="0" w:afterAutospacing="0" w:line="360" w:lineRule="auto"/>
              <w:ind w:left="0" w:right="0"/>
              <w:rPr>
                <w:rFonts w:hint="default" w:ascii="Times New Roman" w:hAnsi="Times New Roman" w:eastAsia="宋体" w:cs="Times New Roman"/>
                <w:color w:val="auto"/>
                <w:sz w:val="24"/>
                <w:szCs w:val="24"/>
                <w:lang w:val="en-US" w:eastAsia="zh-CN"/>
              </w:rPr>
            </w:pPr>
            <w:r>
              <w:rPr>
                <w:rFonts w:hint="eastAsia" w:cs="Times New Roman"/>
                <w:b/>
                <w:bCs/>
                <w:color w:val="auto"/>
                <w:sz w:val="24"/>
                <w:szCs w:val="24"/>
                <w:lang w:val="en-US" w:eastAsia="zh-CN"/>
              </w:rPr>
              <w:t>11</w:t>
            </w:r>
            <w:r>
              <w:rPr>
                <w:rFonts w:hint="default" w:ascii="Times New Roman" w:hAnsi="Times New Roman" w:eastAsia="宋体" w:cs="Times New Roman"/>
                <w:b/>
                <w:bCs/>
                <w:color w:val="auto"/>
                <w:sz w:val="24"/>
                <w:szCs w:val="24"/>
                <w:lang w:val="en-US" w:eastAsia="zh-CN"/>
              </w:rPr>
              <w:t>.备案相符性分析</w:t>
            </w:r>
          </w:p>
          <w:p>
            <w:pPr>
              <w:keepNext w:val="0"/>
              <w:keepLines w:val="0"/>
              <w:suppressLineNumbers w:val="0"/>
              <w:tabs>
                <w:tab w:val="left" w:pos="439"/>
              </w:tabs>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b/>
                <w:bCs/>
                <w:color w:val="auto"/>
                <w:kern w:val="0"/>
                <w:sz w:val="24"/>
                <w:szCs w:val="24"/>
                <w:lang w:val="en-US" w:eastAsia="zh-CN"/>
              </w:rPr>
            </w:pPr>
            <w:r>
              <w:rPr>
                <w:rFonts w:hint="default" w:ascii="Times New Roman" w:hAnsi="Times New Roman" w:eastAsia="宋体" w:cs="Times New Roman"/>
                <w:b w:val="0"/>
                <w:bCs w:val="0"/>
                <w:color w:val="auto"/>
                <w:kern w:val="0"/>
                <w:sz w:val="24"/>
                <w:szCs w:val="24"/>
                <w:lang w:val="en-US" w:eastAsia="zh-CN"/>
              </w:rPr>
              <w:t>本项目与备案证明相符性分析见下表。</w:t>
            </w:r>
          </w:p>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2"/>
                <w:sz w:val="24"/>
                <w:szCs w:val="24"/>
              </w:rPr>
            </w:pPr>
            <w:r>
              <w:rPr>
                <w:rFonts w:hint="default" w:ascii="Times New Roman" w:hAnsi="Times New Roman" w:eastAsia="宋体" w:cs="Times New Roman"/>
                <w:b/>
                <w:bCs/>
                <w:color w:val="auto"/>
                <w:kern w:val="2"/>
                <w:sz w:val="24"/>
                <w:szCs w:val="24"/>
                <w:lang w:val="en-US" w:eastAsia="zh-CN" w:bidi="ar"/>
              </w:rPr>
              <w:t>本项目与备案符合性分析表</w:t>
            </w:r>
          </w:p>
          <w:tbl>
            <w:tblPr>
              <w:tblStyle w:val="28"/>
              <w:tblW w:w="8118" w:type="dxa"/>
              <w:jc w:val="center"/>
              <w:tblInd w:w="0" w:type="dxa"/>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3"/>
              <w:gridCol w:w="837"/>
              <w:gridCol w:w="2871"/>
              <w:gridCol w:w="2921"/>
              <w:gridCol w:w="1006"/>
            </w:tblGrid>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483"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pacing w:before="0" w:beforeAutospacing="0" w:after="0" w:afterAutospacing="0"/>
                    <w:ind w:left="0" w:right="0"/>
                    <w:jc w:val="center"/>
                    <w:rPr>
                      <w:rFonts w:hint="default" w:ascii="Times New Roman" w:hAnsi="Times New Roman" w:cs="Times New Roman"/>
                      <w:b/>
                      <w:bCs/>
                      <w:color w:val="auto"/>
                      <w:kern w:val="2"/>
                      <w:sz w:val="21"/>
                      <w:szCs w:val="21"/>
                      <w:lang w:val="en-US" w:eastAsia="zh-CN"/>
                    </w:rPr>
                  </w:pPr>
                  <w:r>
                    <w:rPr>
                      <w:rFonts w:hint="default" w:ascii="Times New Roman" w:hAnsi="Times New Roman" w:eastAsia="宋体" w:cs="Times New Roman"/>
                      <w:b/>
                      <w:bCs/>
                      <w:color w:val="auto"/>
                      <w:kern w:val="2"/>
                      <w:sz w:val="21"/>
                      <w:szCs w:val="21"/>
                      <w:lang w:val="en-US" w:eastAsia="zh-CN" w:bidi="ar"/>
                    </w:rPr>
                    <w:t>序号</w:t>
                  </w:r>
                </w:p>
              </w:tc>
              <w:tc>
                <w:tcPr>
                  <w:tcW w:w="837"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pacing w:before="0" w:beforeAutospacing="0" w:after="0" w:afterAutospacing="0"/>
                    <w:ind w:left="0" w:right="0"/>
                    <w:jc w:val="center"/>
                    <w:rPr>
                      <w:rFonts w:hint="default" w:ascii="Times New Roman" w:hAnsi="Times New Roman" w:cs="Times New Roman"/>
                      <w:b/>
                      <w:bCs/>
                      <w:color w:val="auto"/>
                      <w:kern w:val="2"/>
                      <w:sz w:val="21"/>
                      <w:szCs w:val="21"/>
                      <w:lang w:val="en-US" w:eastAsia="zh-CN"/>
                    </w:rPr>
                  </w:pPr>
                  <w:r>
                    <w:rPr>
                      <w:rFonts w:hint="default" w:ascii="Times New Roman" w:hAnsi="Times New Roman" w:eastAsia="宋体" w:cs="Times New Roman"/>
                      <w:b/>
                      <w:bCs/>
                      <w:color w:val="auto"/>
                      <w:kern w:val="2"/>
                      <w:sz w:val="21"/>
                      <w:szCs w:val="21"/>
                      <w:lang w:val="en-US" w:eastAsia="zh-CN" w:bidi="ar"/>
                    </w:rPr>
                    <w:t>类别</w:t>
                  </w:r>
                </w:p>
              </w:tc>
              <w:tc>
                <w:tcPr>
                  <w:tcW w:w="2871"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pacing w:before="0" w:beforeAutospacing="0" w:after="0" w:afterAutospacing="0"/>
                    <w:ind w:left="0" w:right="0"/>
                    <w:jc w:val="center"/>
                    <w:rPr>
                      <w:rFonts w:hint="default" w:ascii="Times New Roman" w:hAnsi="Times New Roman" w:cs="Times New Roman"/>
                      <w:b/>
                      <w:bCs/>
                      <w:color w:val="auto"/>
                      <w:kern w:val="2"/>
                      <w:sz w:val="21"/>
                      <w:szCs w:val="21"/>
                      <w:lang w:val="en-US" w:eastAsia="zh-CN"/>
                    </w:rPr>
                  </w:pPr>
                  <w:r>
                    <w:rPr>
                      <w:rFonts w:hint="default" w:ascii="Times New Roman" w:hAnsi="Times New Roman" w:eastAsia="宋体" w:cs="Times New Roman"/>
                      <w:b/>
                      <w:bCs/>
                      <w:color w:val="auto"/>
                      <w:kern w:val="2"/>
                      <w:sz w:val="21"/>
                      <w:szCs w:val="21"/>
                      <w:lang w:val="en-US" w:eastAsia="zh-CN" w:bidi="ar"/>
                    </w:rPr>
                    <w:t>备案内容</w:t>
                  </w:r>
                </w:p>
              </w:tc>
              <w:tc>
                <w:tcPr>
                  <w:tcW w:w="2921"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pacing w:before="0" w:beforeAutospacing="0" w:after="0" w:afterAutospacing="0"/>
                    <w:ind w:left="0" w:right="0"/>
                    <w:jc w:val="center"/>
                    <w:rPr>
                      <w:rFonts w:hint="default" w:ascii="Times New Roman" w:hAnsi="Times New Roman" w:cs="Times New Roman"/>
                      <w:b/>
                      <w:bCs/>
                      <w:color w:val="auto"/>
                      <w:kern w:val="2"/>
                      <w:sz w:val="21"/>
                      <w:szCs w:val="21"/>
                      <w:lang w:val="en-US" w:eastAsia="zh-CN"/>
                    </w:rPr>
                  </w:pPr>
                  <w:r>
                    <w:rPr>
                      <w:rFonts w:hint="default" w:ascii="Times New Roman" w:hAnsi="Times New Roman" w:eastAsia="宋体" w:cs="Times New Roman"/>
                      <w:b/>
                      <w:bCs/>
                      <w:color w:val="auto"/>
                      <w:kern w:val="2"/>
                      <w:sz w:val="21"/>
                      <w:szCs w:val="21"/>
                      <w:lang w:val="en-US" w:eastAsia="zh-CN" w:bidi="ar"/>
                    </w:rPr>
                    <w:t>拟建内容</w:t>
                  </w:r>
                </w:p>
              </w:tc>
              <w:tc>
                <w:tcPr>
                  <w:tcW w:w="1006" w:type="dxa"/>
                  <w:tcBorders>
                    <w:top w:val="single" w:color="auto" w:sz="4" w:space="0"/>
                    <w:left w:val="nil"/>
                    <w:bottom w:val="single" w:color="auto" w:sz="4" w:space="0"/>
                    <w:right w:val="nil"/>
                  </w:tcBorders>
                  <w:vAlign w:val="center"/>
                </w:tcPr>
                <w:p>
                  <w:pPr>
                    <w:keepNext w:val="0"/>
                    <w:keepLines w:val="0"/>
                    <w:widowControl w:val="0"/>
                    <w:suppressLineNumbers w:val="0"/>
                    <w:adjustRightInd w:val="0"/>
                    <w:spacing w:before="0" w:beforeAutospacing="0" w:after="0" w:afterAutospacing="0"/>
                    <w:ind w:left="0" w:right="0"/>
                    <w:jc w:val="center"/>
                    <w:rPr>
                      <w:rFonts w:hint="default" w:ascii="Times New Roman" w:hAnsi="Times New Roman" w:cs="Times New Roman"/>
                      <w:b/>
                      <w:bCs/>
                      <w:color w:val="auto"/>
                      <w:kern w:val="2"/>
                      <w:sz w:val="21"/>
                      <w:szCs w:val="21"/>
                      <w:lang w:val="en-US" w:eastAsia="zh-CN"/>
                    </w:rPr>
                  </w:pPr>
                  <w:r>
                    <w:rPr>
                      <w:rFonts w:hint="default" w:ascii="Times New Roman" w:hAnsi="Times New Roman" w:eastAsia="宋体" w:cs="Times New Roman"/>
                      <w:b/>
                      <w:bCs/>
                      <w:color w:val="auto"/>
                      <w:kern w:val="2"/>
                      <w:sz w:val="21"/>
                      <w:szCs w:val="21"/>
                      <w:lang w:val="en-US" w:eastAsia="zh-CN" w:bidi="ar"/>
                    </w:rPr>
                    <w:t>相符性</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jc w:val="center"/>
              </w:trPr>
              <w:tc>
                <w:tcPr>
                  <w:tcW w:w="483"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pacing w:before="0" w:beforeAutospacing="0" w:after="0" w:afterAutospacing="0"/>
                    <w:ind w:left="0" w:right="0"/>
                    <w:jc w:val="center"/>
                    <w:rPr>
                      <w:rFonts w:hint="default" w:ascii="Times New Roman" w:hAnsi="Times New Roman" w:cs="Times New Roman"/>
                      <w:color w:val="auto"/>
                      <w:kern w:val="2"/>
                      <w:sz w:val="21"/>
                      <w:szCs w:val="21"/>
                      <w:lang w:val="en-US" w:eastAsia="zh-CN"/>
                    </w:rPr>
                  </w:pPr>
                  <w:r>
                    <w:rPr>
                      <w:rFonts w:hint="default" w:ascii="Times New Roman" w:hAnsi="Times New Roman" w:cs="Times New Roman"/>
                      <w:color w:val="auto"/>
                      <w:kern w:val="2"/>
                      <w:sz w:val="21"/>
                      <w:szCs w:val="21"/>
                      <w:lang w:val="en-US" w:eastAsia="zh-CN" w:bidi="ar"/>
                    </w:rPr>
                    <w:t>1</w:t>
                  </w:r>
                </w:p>
              </w:tc>
              <w:tc>
                <w:tcPr>
                  <w:tcW w:w="837"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pacing w:before="0" w:beforeAutospacing="0" w:after="0" w:afterAutospacing="0"/>
                    <w:ind w:left="0" w:right="0"/>
                    <w:jc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bidi="ar"/>
                    </w:rPr>
                    <w:t>项目名称</w:t>
                  </w:r>
                </w:p>
              </w:tc>
              <w:tc>
                <w:tcPr>
                  <w:tcW w:w="2871"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pacing w:before="0" w:beforeAutospacing="0" w:after="0" w:afterAutospacing="0"/>
                    <w:ind w:left="0" w:right="0"/>
                    <w:jc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bidi="ar"/>
                    </w:rPr>
                    <w:t>年产6万吨铝锌合金配套炒灰机项目</w:t>
                  </w:r>
                </w:p>
              </w:tc>
              <w:tc>
                <w:tcPr>
                  <w:tcW w:w="2921"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pacing w:before="0" w:beforeAutospacing="0" w:after="0" w:afterAutospacing="0"/>
                    <w:ind w:left="0" w:right="0"/>
                    <w:jc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bidi="ar"/>
                    </w:rPr>
                    <w:t>年产6万吨铝锌合金配套炒灰机项目</w:t>
                  </w:r>
                </w:p>
              </w:tc>
              <w:tc>
                <w:tcPr>
                  <w:tcW w:w="1006" w:type="dxa"/>
                  <w:tcBorders>
                    <w:top w:val="single" w:color="auto" w:sz="4" w:space="0"/>
                    <w:left w:val="nil"/>
                    <w:bottom w:val="single" w:color="auto" w:sz="4" w:space="0"/>
                    <w:right w:val="nil"/>
                  </w:tcBorders>
                  <w:vAlign w:val="center"/>
                </w:tcPr>
                <w:p>
                  <w:pPr>
                    <w:keepNext w:val="0"/>
                    <w:keepLines w:val="0"/>
                    <w:widowControl w:val="0"/>
                    <w:suppressLineNumbers w:val="0"/>
                    <w:adjustRightInd w:val="0"/>
                    <w:spacing w:before="0" w:beforeAutospacing="0" w:after="0" w:afterAutospacing="0"/>
                    <w:ind w:left="0" w:right="0"/>
                    <w:jc w:val="center"/>
                    <w:rPr>
                      <w:rFonts w:hint="default" w:ascii="Times New Roman" w:hAnsi="Times New Roman" w:eastAsia="宋体" w:cs="Times New Roman"/>
                      <w:b/>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bidi="ar"/>
                    </w:rPr>
                    <w:t>相符</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jc w:val="center"/>
              </w:trPr>
              <w:tc>
                <w:tcPr>
                  <w:tcW w:w="483"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cs="Times New Roman"/>
                      <w:color w:val="auto"/>
                      <w:kern w:val="2"/>
                      <w:sz w:val="21"/>
                      <w:szCs w:val="21"/>
                      <w:lang w:val="en-US" w:eastAsia="zh-CN" w:bidi="ar"/>
                    </w:rPr>
                    <w:t>2</w:t>
                  </w:r>
                </w:p>
              </w:tc>
              <w:tc>
                <w:tcPr>
                  <w:tcW w:w="837"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pacing w:before="0" w:beforeAutospacing="0" w:after="0" w:afterAutospacing="0"/>
                    <w:ind w:left="0" w:right="0"/>
                    <w:jc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bidi="ar"/>
                    </w:rPr>
                    <w:t>企业名称</w:t>
                  </w:r>
                </w:p>
              </w:tc>
              <w:tc>
                <w:tcPr>
                  <w:tcW w:w="2871"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pacing w:before="0" w:beforeAutospacing="0" w:after="0" w:afterAutospacing="0"/>
                    <w:ind w:left="0" w:right="0"/>
                    <w:jc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bidi="ar"/>
                    </w:rPr>
                    <w:t>安阳神龙腾达新材料科技有限公司</w:t>
                  </w:r>
                </w:p>
              </w:tc>
              <w:tc>
                <w:tcPr>
                  <w:tcW w:w="2921"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pacing w:before="0" w:beforeAutospacing="0" w:after="0" w:afterAutospacing="0"/>
                    <w:ind w:left="0" w:right="0"/>
                    <w:jc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bidi="ar"/>
                    </w:rPr>
                    <w:t>安阳神龙腾达新材料科技有限公司</w:t>
                  </w:r>
                </w:p>
              </w:tc>
              <w:tc>
                <w:tcPr>
                  <w:tcW w:w="1006" w:type="dxa"/>
                  <w:tcBorders>
                    <w:top w:val="single" w:color="auto" w:sz="4" w:space="0"/>
                    <w:left w:val="nil"/>
                    <w:bottom w:val="single" w:color="auto" w:sz="4" w:space="0"/>
                    <w:right w:val="nil"/>
                  </w:tcBorders>
                  <w:vAlign w:val="center"/>
                </w:tcPr>
                <w:p>
                  <w:pPr>
                    <w:keepNext w:val="0"/>
                    <w:keepLines w:val="0"/>
                    <w:widowControl w:val="0"/>
                    <w:suppressLineNumbers w:val="0"/>
                    <w:adjustRightInd w:val="0"/>
                    <w:spacing w:before="0" w:beforeAutospacing="0" w:after="0" w:afterAutospacing="0"/>
                    <w:ind w:left="0" w:right="0"/>
                    <w:jc w:val="center"/>
                    <w:rPr>
                      <w:rFonts w:hint="default" w:ascii="Times New Roman" w:hAnsi="Times New Roman"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bidi="ar"/>
                    </w:rPr>
                    <w:t>相符</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2" w:hRule="atLeast"/>
                <w:jc w:val="center"/>
              </w:trPr>
              <w:tc>
                <w:tcPr>
                  <w:tcW w:w="483"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cs="Times New Roman"/>
                      <w:color w:val="auto"/>
                      <w:kern w:val="2"/>
                      <w:sz w:val="21"/>
                      <w:szCs w:val="21"/>
                      <w:lang w:val="en-US" w:eastAsia="zh-CN" w:bidi="ar"/>
                    </w:rPr>
                    <w:t>3</w:t>
                  </w:r>
                </w:p>
              </w:tc>
              <w:tc>
                <w:tcPr>
                  <w:tcW w:w="837"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pacing w:before="0" w:beforeAutospacing="0" w:after="0" w:afterAutospacing="0"/>
                    <w:ind w:left="0" w:right="0"/>
                    <w:jc w:val="center"/>
                    <w:rPr>
                      <w:rFonts w:hint="default" w:ascii="Times New Roman" w:hAnsi="Times New Roman"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bidi="ar"/>
                    </w:rPr>
                    <w:t>建设</w:t>
                  </w:r>
                </w:p>
                <w:p>
                  <w:pPr>
                    <w:keepNext w:val="0"/>
                    <w:keepLines w:val="0"/>
                    <w:widowControl w:val="0"/>
                    <w:suppressLineNumbers w:val="0"/>
                    <w:adjustRightInd w:val="0"/>
                    <w:spacing w:before="0" w:beforeAutospacing="0" w:after="0" w:afterAutospacing="0"/>
                    <w:ind w:left="0" w:right="0"/>
                    <w:jc w:val="center"/>
                    <w:rPr>
                      <w:rFonts w:hint="default" w:ascii="Times New Roman" w:hAnsi="Times New Roman"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bidi="ar"/>
                    </w:rPr>
                    <w:t>地点</w:t>
                  </w:r>
                </w:p>
              </w:tc>
              <w:tc>
                <w:tcPr>
                  <w:tcW w:w="2871"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pacing w:before="0" w:beforeAutospacing="0" w:after="0" w:afterAutospacing="0"/>
                    <w:ind w:left="0" w:right="0"/>
                    <w:jc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bidi="ar"/>
                    </w:rPr>
                    <w:t>安阳市汤阴县宜沟镇安阳市新型制造业产业园区中原路与宜兴大道交叉口东北方位</w:t>
                  </w:r>
                </w:p>
              </w:tc>
              <w:tc>
                <w:tcPr>
                  <w:tcW w:w="2921"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pacing w:before="0" w:beforeAutospacing="0" w:after="0" w:afterAutospacing="0"/>
                    <w:ind w:left="0" w:right="0"/>
                    <w:jc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bidi="ar"/>
                    </w:rPr>
                    <w:t>安阳市汤阴县宜沟镇安阳市新型制造业产业园区中原路与宜兴大道交叉口东北方位</w:t>
                  </w:r>
                </w:p>
              </w:tc>
              <w:tc>
                <w:tcPr>
                  <w:tcW w:w="1006" w:type="dxa"/>
                  <w:tcBorders>
                    <w:top w:val="single" w:color="auto" w:sz="4" w:space="0"/>
                    <w:left w:val="nil"/>
                    <w:bottom w:val="single" w:color="auto" w:sz="4" w:space="0"/>
                    <w:right w:val="nil"/>
                  </w:tcBorders>
                  <w:vAlign w:val="center"/>
                </w:tcPr>
                <w:p>
                  <w:pPr>
                    <w:keepNext w:val="0"/>
                    <w:keepLines w:val="0"/>
                    <w:widowControl w:val="0"/>
                    <w:suppressLineNumbers w:val="0"/>
                    <w:adjustRightInd w:val="0"/>
                    <w:spacing w:before="0" w:beforeAutospacing="0" w:after="0" w:afterAutospacing="0"/>
                    <w:ind w:left="0" w:right="0"/>
                    <w:jc w:val="center"/>
                    <w:rPr>
                      <w:rFonts w:hint="default" w:ascii="Times New Roman" w:hAnsi="Times New Roman" w:cs="Times New Roman"/>
                      <w:b/>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bidi="ar"/>
                    </w:rPr>
                    <w:t>相符</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9" w:hRule="atLeast"/>
                <w:jc w:val="center"/>
              </w:trPr>
              <w:tc>
                <w:tcPr>
                  <w:tcW w:w="483"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cs="Times New Roman"/>
                      <w:color w:val="auto"/>
                      <w:kern w:val="2"/>
                      <w:sz w:val="21"/>
                      <w:szCs w:val="21"/>
                      <w:lang w:val="en-US" w:eastAsia="zh-CN" w:bidi="ar"/>
                    </w:rPr>
                    <w:t>4</w:t>
                  </w:r>
                </w:p>
              </w:tc>
              <w:tc>
                <w:tcPr>
                  <w:tcW w:w="837"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pacing w:before="0" w:beforeAutospacing="0" w:after="0" w:afterAutospacing="0"/>
                    <w:ind w:left="0" w:right="0"/>
                    <w:jc w:val="center"/>
                    <w:rPr>
                      <w:rFonts w:hint="default" w:ascii="Times New Roman" w:hAnsi="Times New Roman"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bidi="ar"/>
                    </w:rPr>
                    <w:t>建设</w:t>
                  </w:r>
                </w:p>
                <w:p>
                  <w:pPr>
                    <w:keepNext w:val="0"/>
                    <w:keepLines w:val="0"/>
                    <w:widowControl w:val="0"/>
                    <w:suppressLineNumbers w:val="0"/>
                    <w:adjustRightInd w:val="0"/>
                    <w:spacing w:before="0" w:beforeAutospacing="0" w:after="0" w:afterAutospacing="0"/>
                    <w:ind w:left="0" w:right="0"/>
                    <w:jc w:val="center"/>
                    <w:rPr>
                      <w:rFonts w:hint="default" w:ascii="Times New Roman" w:hAnsi="Times New Roman"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bidi="ar"/>
                    </w:rPr>
                    <w:t>性质</w:t>
                  </w:r>
                </w:p>
              </w:tc>
              <w:tc>
                <w:tcPr>
                  <w:tcW w:w="2871"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pacing w:before="0" w:beforeAutospacing="0" w:after="0" w:afterAutospacing="0"/>
                    <w:ind w:left="0" w:right="0"/>
                    <w:jc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bidi="ar"/>
                    </w:rPr>
                    <w:t>改建</w:t>
                  </w:r>
                </w:p>
              </w:tc>
              <w:tc>
                <w:tcPr>
                  <w:tcW w:w="2921"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pacing w:before="0" w:beforeAutospacing="0" w:after="0" w:afterAutospacing="0"/>
                    <w:ind w:left="0" w:right="0"/>
                    <w:jc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bidi="ar"/>
                    </w:rPr>
                    <w:t>改建</w:t>
                  </w:r>
                </w:p>
              </w:tc>
              <w:tc>
                <w:tcPr>
                  <w:tcW w:w="1006" w:type="dxa"/>
                  <w:tcBorders>
                    <w:top w:val="single" w:color="auto" w:sz="4" w:space="0"/>
                    <w:left w:val="nil"/>
                    <w:bottom w:val="single" w:color="auto" w:sz="4" w:space="0"/>
                    <w:right w:val="nil"/>
                  </w:tcBorders>
                  <w:vAlign w:val="center"/>
                </w:tcPr>
                <w:p>
                  <w:pPr>
                    <w:keepNext w:val="0"/>
                    <w:keepLines w:val="0"/>
                    <w:widowControl w:val="0"/>
                    <w:suppressLineNumbers w:val="0"/>
                    <w:adjustRightInd w:val="0"/>
                    <w:spacing w:before="0" w:beforeAutospacing="0" w:after="0" w:afterAutospacing="0"/>
                    <w:ind w:left="0" w:right="0"/>
                    <w:jc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bidi="ar"/>
                    </w:rPr>
                    <w:t>相符</w:t>
                  </w:r>
                </w:p>
              </w:tc>
            </w:tr>
            <w:tr>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Layout w:type="fixed"/>
              </w:tblPrEx>
              <w:trPr>
                <w:trHeight w:val="862" w:hRule="atLeast"/>
                <w:jc w:val="center"/>
              </w:trPr>
              <w:tc>
                <w:tcPr>
                  <w:tcW w:w="483"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pacing w:before="0" w:beforeAutospacing="0" w:after="0" w:afterAutospacing="0"/>
                    <w:ind w:left="0" w:right="0"/>
                    <w:jc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cs="Times New Roman"/>
                      <w:bCs/>
                      <w:color w:val="auto"/>
                      <w:kern w:val="2"/>
                      <w:sz w:val="21"/>
                      <w:szCs w:val="21"/>
                      <w:lang w:val="en-US" w:eastAsia="zh-CN" w:bidi="ar"/>
                    </w:rPr>
                    <w:t>5</w:t>
                  </w:r>
                </w:p>
              </w:tc>
              <w:tc>
                <w:tcPr>
                  <w:tcW w:w="837"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bidi="ar"/>
                    </w:rPr>
                    <w:t>建设</w:t>
                  </w:r>
                </w:p>
                <w:p>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bidi="ar"/>
                    </w:rPr>
                    <w:t>内容</w:t>
                  </w:r>
                </w:p>
              </w:tc>
              <w:tc>
                <w:tcPr>
                  <w:tcW w:w="2871"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cs="Times New Roman"/>
                      <w:color w:val="auto"/>
                      <w:kern w:val="2"/>
                      <w:sz w:val="21"/>
                      <w:szCs w:val="21"/>
                      <w:lang w:val="en-US" w:eastAsia="zh-CN"/>
                    </w:rPr>
                  </w:pPr>
                  <w:r>
                    <w:rPr>
                      <w:rFonts w:hint="default" w:ascii="Times New Roman" w:hAnsi="Times New Roman" w:cs="Times New Roman"/>
                      <w:color w:val="auto"/>
                      <w:kern w:val="2"/>
                      <w:sz w:val="21"/>
                      <w:szCs w:val="21"/>
                      <w:lang w:val="en-US" w:eastAsia="zh-CN"/>
                    </w:rPr>
                    <w:t>在现有年产6万吨铝锌合金生产线新增1台铝灰炒灰机，1台冷灰桶。</w:t>
                  </w:r>
                </w:p>
              </w:tc>
              <w:tc>
                <w:tcPr>
                  <w:tcW w:w="2921"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bidi="ar"/>
                    </w:rPr>
                    <w:t>在现有年产6万吨铝锌合金生产线新增1台铝灰炒灰机，1台冷灰桶。</w:t>
                  </w:r>
                </w:p>
              </w:tc>
              <w:tc>
                <w:tcPr>
                  <w:tcW w:w="1006" w:type="dxa"/>
                  <w:tcBorders>
                    <w:top w:val="single" w:color="auto" w:sz="4" w:space="0"/>
                    <w:left w:val="nil"/>
                    <w:bottom w:val="single" w:color="auto" w:sz="4" w:space="0"/>
                    <w:right w:val="nil"/>
                  </w:tcBorders>
                  <w:vAlign w:val="center"/>
                </w:tcPr>
                <w:p>
                  <w:pPr>
                    <w:keepNext w:val="0"/>
                    <w:keepLines w:val="0"/>
                    <w:widowControl w:val="0"/>
                    <w:suppressLineNumbers w:val="0"/>
                    <w:adjustRightInd w:val="0"/>
                    <w:spacing w:before="0" w:beforeAutospacing="0" w:after="0" w:afterAutospacing="0"/>
                    <w:ind w:left="0" w:right="0"/>
                    <w:jc w:val="center"/>
                    <w:rPr>
                      <w:rFonts w:hint="default" w:ascii="Times New Roman" w:hAnsi="Times New Roman"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bidi="ar"/>
                    </w:rPr>
                    <w:t>相符</w:t>
                  </w:r>
                </w:p>
              </w:tc>
            </w:tr>
          </w:tbl>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eastAsia="zh-CN"/>
              </w:rPr>
              <w:t>本项目在现有厂区的现有厂房内建设，不新增用地。由上表可知，本项目拟建内容与备案内容一致。</w:t>
            </w:r>
          </w:p>
          <w:p>
            <w:pPr>
              <w:keepNext w:val="0"/>
              <w:keepLines w:val="0"/>
              <w:numPr>
                <w:ilvl w:val="0"/>
                <w:numId w:val="0"/>
              </w:numPr>
              <w:suppressLineNumbers w:val="0"/>
              <w:tabs>
                <w:tab w:val="clear" w:pos="2040"/>
              </w:tabs>
              <w:adjustRightInd w:val="0"/>
              <w:snapToGrid w:val="0"/>
              <w:spacing w:before="0" w:beforeLines="0" w:beforeAutospacing="0" w:after="0" w:afterLines="0" w:afterAutospacing="0" w:line="360" w:lineRule="auto"/>
              <w:ind w:left="0" w:leftChars="0" w:right="0" w:rightChars="0"/>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kern w:val="2"/>
                <w:sz w:val="24"/>
                <w:szCs w:val="24"/>
                <w:lang w:val="en-US" w:eastAsia="zh-CN" w:bidi="ar-SA"/>
              </w:rPr>
              <w:t>1</w:t>
            </w:r>
            <w:r>
              <w:rPr>
                <w:rFonts w:hint="eastAsia" w:cs="Times New Roman"/>
                <w:b/>
                <w:color w:val="auto"/>
                <w:kern w:val="2"/>
                <w:sz w:val="24"/>
                <w:szCs w:val="24"/>
                <w:lang w:val="en-US" w:eastAsia="zh-CN" w:bidi="ar-SA"/>
              </w:rPr>
              <w:t>2</w:t>
            </w:r>
            <w:r>
              <w:rPr>
                <w:rFonts w:hint="default" w:ascii="Times New Roman" w:hAnsi="Times New Roman" w:eastAsia="宋体" w:cs="Times New Roman"/>
                <w:b/>
                <w:color w:val="auto"/>
                <w:kern w:val="2"/>
                <w:sz w:val="24"/>
                <w:szCs w:val="24"/>
                <w:lang w:val="en-US" w:eastAsia="zh-CN" w:bidi="ar-SA"/>
              </w:rPr>
              <w:t>.</w:t>
            </w:r>
            <w:r>
              <w:rPr>
                <w:rFonts w:hint="default" w:ascii="Times New Roman" w:hAnsi="Times New Roman" w:eastAsia="宋体" w:cs="Times New Roman"/>
                <w:b/>
                <w:color w:val="auto"/>
                <w:sz w:val="24"/>
                <w:szCs w:val="24"/>
              </w:rPr>
              <w:t>与河南省重污染天气</w:t>
            </w:r>
            <w:r>
              <w:rPr>
                <w:rFonts w:hint="eastAsia" w:ascii="Times New Roman" w:hAnsi="Times New Roman" w:eastAsia="宋体" w:cs="Times New Roman"/>
                <w:b/>
                <w:color w:val="auto"/>
                <w:sz w:val="24"/>
                <w:szCs w:val="24"/>
                <w:lang w:eastAsia="zh-CN"/>
              </w:rPr>
              <w:t>通用</w:t>
            </w:r>
            <w:r>
              <w:rPr>
                <w:rFonts w:hint="default" w:ascii="Times New Roman" w:hAnsi="Times New Roman" w:eastAsia="宋体" w:cs="Times New Roman"/>
                <w:b/>
                <w:color w:val="auto"/>
                <w:sz w:val="24"/>
                <w:szCs w:val="24"/>
              </w:rPr>
              <w:t>行业应急减排措施制定技术指南（2024年修订版）相关要求相符性分析</w:t>
            </w:r>
          </w:p>
          <w:p>
            <w:pPr>
              <w:keepNext w:val="0"/>
              <w:keepLines w:val="0"/>
              <w:widowControl w:val="0"/>
              <w:suppressLineNumbers w:val="0"/>
              <w:spacing w:before="37" w:beforeAutospacing="0" w:after="0" w:afterAutospacing="0" w:line="360" w:lineRule="auto"/>
              <w:ind w:left="0" w:right="0" w:firstLine="480" w:firstLineChars="200"/>
              <w:jc w:val="left"/>
              <w:rPr>
                <w:rFonts w:hint="eastAsia" w:ascii="Times New Roman" w:hAnsi="Times New Roman" w:eastAsia="宋体" w:cs="Times New Roman"/>
                <w:b/>
                <w:color w:val="auto"/>
                <w:sz w:val="24"/>
                <w:szCs w:val="24"/>
                <w:lang w:val="en-US" w:eastAsia="zh-CN"/>
              </w:rPr>
            </w:pPr>
            <w:r>
              <w:rPr>
                <w:rFonts w:hint="default" w:ascii="Times New Roman" w:hAnsi="Times New Roman" w:eastAsia="宋体" w:cs="Times New Roman"/>
                <w:b w:val="0"/>
                <w:bCs w:val="0"/>
                <w:color w:val="auto"/>
                <w:kern w:val="2"/>
                <w:sz w:val="24"/>
                <w:szCs w:val="24"/>
                <w:lang w:val="en-US" w:eastAsia="zh-CN" w:bidi="ar-SA"/>
              </w:rPr>
              <w:t>根据《河南省重污染天气通用行业应急减排措施制定技术指南（2024年修订版）》，按照通用行业-涉PM</w:t>
            </w:r>
            <w:r>
              <w:rPr>
                <w:rFonts w:hint="eastAsia" w:ascii="Times New Roman" w:hAnsi="Times New Roman" w:eastAsia="宋体" w:cs="Times New Roman"/>
                <w:b w:val="0"/>
                <w:bCs w:val="0"/>
                <w:color w:val="auto"/>
                <w:kern w:val="2"/>
                <w:sz w:val="24"/>
                <w:szCs w:val="24"/>
                <w:lang w:val="en-US" w:eastAsia="zh-CN" w:bidi="ar-SA"/>
              </w:rPr>
              <w:t>企业引领性指标</w:t>
            </w:r>
            <w:r>
              <w:rPr>
                <w:rFonts w:hint="default" w:ascii="Times New Roman" w:hAnsi="Times New Roman" w:eastAsia="宋体" w:cs="Times New Roman"/>
                <w:b w:val="0"/>
                <w:bCs w:val="0"/>
                <w:color w:val="auto"/>
                <w:kern w:val="2"/>
                <w:sz w:val="24"/>
                <w:szCs w:val="24"/>
                <w:lang w:val="en-US" w:eastAsia="zh-CN" w:bidi="ar-SA"/>
              </w:rPr>
              <w:t>要求进行对比分析。</w:t>
            </w:r>
          </w:p>
          <w:p>
            <w:pPr>
              <w:keepNext w:val="0"/>
              <w:keepLines w:val="0"/>
              <w:widowControl w:val="0"/>
              <w:suppressLineNumbers w:val="0"/>
              <w:spacing w:before="0" w:beforeLines="0" w:beforeAutospacing="0" w:after="0" w:afterLines="0" w:afterAutospacing="0"/>
              <w:ind w:left="0" w:right="0"/>
              <w:jc w:val="center"/>
              <w:rPr>
                <w:rFonts w:hint="default" w:ascii="Times New Roman" w:hAnsi="Times New Roman" w:eastAsia="宋体" w:cs="Times New Roman"/>
                <w:b/>
                <w:color w:val="auto"/>
                <w:kern w:val="2"/>
                <w:sz w:val="24"/>
                <w:szCs w:val="24"/>
                <w:lang w:val="en-US" w:eastAsia="zh-CN" w:bidi="ar-SA"/>
              </w:rPr>
            </w:pPr>
          </w:p>
          <w:p>
            <w:pPr>
              <w:keepNext w:val="0"/>
              <w:keepLines w:val="0"/>
              <w:widowControl w:val="0"/>
              <w:suppressLineNumbers w:val="0"/>
              <w:spacing w:before="0" w:beforeLines="0" w:beforeAutospacing="0" w:after="0" w:afterLines="0" w:afterAutospacing="0"/>
              <w:ind w:left="0" w:right="0"/>
              <w:jc w:val="center"/>
              <w:rPr>
                <w:rFonts w:hint="default" w:ascii="Times New Roman" w:hAnsi="Times New Roman" w:eastAsia="宋体" w:cs="Times New Roman"/>
                <w:b/>
                <w:color w:val="auto"/>
                <w:kern w:val="2"/>
                <w:sz w:val="24"/>
                <w:szCs w:val="24"/>
                <w:lang w:val="en-US" w:eastAsia="zh-CN" w:bidi="ar-SA"/>
              </w:rPr>
            </w:pPr>
          </w:p>
          <w:p>
            <w:pPr>
              <w:keepNext w:val="0"/>
              <w:keepLines w:val="0"/>
              <w:widowControl w:val="0"/>
              <w:suppressLineNumbers w:val="0"/>
              <w:spacing w:before="0" w:beforeLines="0" w:beforeAutospacing="0" w:after="0" w:afterLines="0" w:afterAutospacing="0"/>
              <w:ind w:left="0" w:right="0"/>
              <w:jc w:val="center"/>
              <w:rPr>
                <w:rFonts w:hint="default" w:ascii="Times New Roman" w:hAnsi="Times New Roman" w:eastAsia="宋体" w:cs="Times New Roman"/>
                <w:b/>
                <w:color w:val="auto"/>
                <w:kern w:val="2"/>
                <w:sz w:val="24"/>
                <w:szCs w:val="24"/>
                <w:lang w:val="en-US" w:eastAsia="zh-CN" w:bidi="ar-SA"/>
              </w:rPr>
            </w:pPr>
          </w:p>
          <w:p>
            <w:pPr>
              <w:keepNext w:val="0"/>
              <w:keepLines w:val="0"/>
              <w:widowControl w:val="0"/>
              <w:suppressLineNumbers w:val="0"/>
              <w:spacing w:before="0" w:beforeLines="0" w:beforeAutospacing="0" w:after="0" w:afterLines="0" w:afterAutospacing="0"/>
              <w:ind w:left="0" w:right="0"/>
              <w:jc w:val="center"/>
              <w:rPr>
                <w:rFonts w:hint="default" w:ascii="Times New Roman" w:hAnsi="Times New Roman" w:eastAsia="宋体" w:cs="Times New Roman"/>
                <w:b/>
                <w:color w:val="auto"/>
                <w:kern w:val="2"/>
                <w:sz w:val="24"/>
                <w:szCs w:val="24"/>
                <w:lang w:val="en-US" w:eastAsia="zh-CN" w:bidi="ar-SA"/>
              </w:rPr>
            </w:pPr>
            <w:r>
              <w:rPr>
                <w:rFonts w:hint="default" w:ascii="Times New Roman" w:hAnsi="Times New Roman" w:eastAsia="宋体" w:cs="Times New Roman"/>
                <w:b/>
                <w:color w:val="auto"/>
                <w:kern w:val="2"/>
                <w:sz w:val="24"/>
                <w:szCs w:val="24"/>
                <w:lang w:val="en-US" w:eastAsia="zh-CN" w:bidi="ar-SA"/>
              </w:rPr>
              <w:t>企业绩效分级指标要求相符性分析</w:t>
            </w:r>
          </w:p>
          <w:tbl>
            <w:tblPr>
              <w:tblStyle w:val="27"/>
              <w:tblW w:w="8118" w:type="dxa"/>
              <w:jc w:val="center"/>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70"/>
              <w:gridCol w:w="575"/>
              <w:gridCol w:w="3338"/>
              <w:gridCol w:w="2696"/>
              <w:gridCol w:w="93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jc w:val="center"/>
              </w:trPr>
              <w:tc>
                <w:tcPr>
                  <w:tcW w:w="1145" w:type="dxa"/>
                  <w:gridSpan w:val="2"/>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i w:val="0"/>
                      <w:iCs w:val="0"/>
                      <w:color w:val="auto"/>
                      <w:kern w:val="2"/>
                      <w:sz w:val="21"/>
                      <w:szCs w:val="21"/>
                    </w:rPr>
                  </w:pPr>
                  <w:r>
                    <w:rPr>
                      <w:rFonts w:hint="eastAsia" w:ascii="宋体" w:hAnsi="宋体" w:eastAsia="宋体" w:cs="宋体"/>
                      <w:b/>
                      <w:bCs/>
                      <w:color w:val="auto"/>
                      <w:kern w:val="2"/>
                      <w:sz w:val="21"/>
                      <w:szCs w:val="21"/>
                      <w:lang w:val="en-US" w:eastAsia="zh-CN" w:bidi="ar"/>
                    </w:rPr>
                    <w:t>引领性指标</w:t>
                  </w:r>
                </w:p>
              </w:tc>
              <w:tc>
                <w:tcPr>
                  <w:tcW w:w="3338"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i w:val="0"/>
                      <w:iCs w:val="0"/>
                      <w:color w:val="auto"/>
                      <w:kern w:val="2"/>
                      <w:sz w:val="21"/>
                      <w:szCs w:val="21"/>
                    </w:rPr>
                  </w:pPr>
                  <w:r>
                    <w:rPr>
                      <w:rFonts w:hint="eastAsia" w:ascii="宋体" w:hAnsi="宋体" w:eastAsia="宋体" w:cs="宋体"/>
                      <w:b/>
                      <w:bCs/>
                      <w:color w:val="auto"/>
                      <w:kern w:val="2"/>
                      <w:sz w:val="21"/>
                      <w:szCs w:val="21"/>
                      <w:lang w:val="en-US" w:eastAsia="zh-CN" w:bidi="ar"/>
                    </w:rPr>
                    <w:t>企业要求</w:t>
                  </w:r>
                </w:p>
              </w:tc>
              <w:tc>
                <w:tcPr>
                  <w:tcW w:w="269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i w:val="0"/>
                      <w:iCs w:val="0"/>
                      <w:color w:val="auto"/>
                      <w:kern w:val="2"/>
                      <w:sz w:val="21"/>
                      <w:szCs w:val="21"/>
                    </w:rPr>
                  </w:pPr>
                  <w:r>
                    <w:rPr>
                      <w:rFonts w:hint="eastAsia" w:ascii="宋体" w:hAnsi="宋体" w:eastAsia="宋体" w:cs="宋体"/>
                      <w:b/>
                      <w:bCs/>
                      <w:color w:val="auto"/>
                      <w:kern w:val="2"/>
                      <w:sz w:val="21"/>
                      <w:szCs w:val="21"/>
                      <w:lang w:val="en-US" w:eastAsia="zh-CN" w:bidi="ar"/>
                    </w:rPr>
                    <w:t>本项目</w:t>
                  </w:r>
                </w:p>
              </w:tc>
              <w:tc>
                <w:tcPr>
                  <w:tcW w:w="939" w:type="dxa"/>
                  <w:tcBorders>
                    <w:top w:val="single" w:color="auto" w:sz="4" w:space="0"/>
                    <w:left w:val="nil"/>
                    <w:bottom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1"/>
                      <w:szCs w:val="21"/>
                    </w:rPr>
                  </w:pPr>
                  <w:r>
                    <w:rPr>
                      <w:rFonts w:hint="eastAsia" w:ascii="宋体" w:hAnsi="宋体" w:eastAsia="宋体" w:cs="宋体"/>
                      <w:b/>
                      <w:bCs/>
                      <w:color w:val="auto"/>
                      <w:kern w:val="2"/>
                      <w:sz w:val="21"/>
                      <w:szCs w:val="21"/>
                      <w:lang w:val="en-US" w:eastAsia="zh-CN" w:bidi="ar"/>
                    </w:rPr>
                    <w:t>相符性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89" w:hRule="atLeast"/>
                <w:jc w:val="center"/>
              </w:trPr>
              <w:tc>
                <w:tcPr>
                  <w:tcW w:w="8118" w:type="dxa"/>
                  <w:gridSpan w:val="5"/>
                  <w:tcBorders>
                    <w:top w:val="single" w:color="auto" w:sz="4" w:space="0"/>
                    <w:bottom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i w:val="0"/>
                      <w:iCs w:val="0"/>
                      <w:color w:val="auto"/>
                      <w:kern w:val="2"/>
                      <w:sz w:val="21"/>
                      <w:szCs w:val="21"/>
                    </w:rPr>
                  </w:pPr>
                  <w:r>
                    <w:rPr>
                      <w:rFonts w:hint="eastAsia" w:ascii="宋体" w:hAnsi="宋体" w:eastAsia="宋体" w:cs="宋体"/>
                      <w:b/>
                      <w:bCs/>
                      <w:i w:val="0"/>
                      <w:iCs w:val="0"/>
                      <w:color w:val="auto"/>
                      <w:kern w:val="2"/>
                      <w:sz w:val="21"/>
                      <w:szCs w:val="21"/>
                      <w:lang w:val="en-US" w:eastAsia="zh-CN" w:bidi="ar"/>
                    </w:rPr>
                    <w:t>涉颗粒物企业基本要求</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52" w:hRule="atLeast"/>
                <w:jc w:val="center"/>
              </w:trPr>
              <w:tc>
                <w:tcPr>
                  <w:tcW w:w="1145" w:type="dxa"/>
                  <w:gridSpan w:val="2"/>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rPr>
                  </w:pPr>
                  <w:r>
                    <w:rPr>
                      <w:rFonts w:hint="eastAsia" w:ascii="宋体" w:hAnsi="宋体" w:eastAsia="宋体" w:cs="宋体"/>
                      <w:b w:val="0"/>
                      <w:bCs w:val="0"/>
                      <w:color w:val="auto"/>
                      <w:kern w:val="2"/>
                      <w:sz w:val="21"/>
                      <w:szCs w:val="21"/>
                      <w:lang w:val="en-US" w:eastAsia="zh-CN" w:bidi="ar"/>
                    </w:rPr>
                    <w:t>生产工艺和装备</w:t>
                  </w:r>
                </w:p>
              </w:tc>
              <w:tc>
                <w:tcPr>
                  <w:tcW w:w="3338"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rPr>
                  </w:pPr>
                  <w:r>
                    <w:rPr>
                      <w:rFonts w:hint="eastAsia" w:ascii="宋体" w:hAnsi="宋体" w:eastAsia="宋体" w:cs="宋体"/>
                      <w:b w:val="0"/>
                      <w:bCs w:val="0"/>
                      <w:color w:val="auto"/>
                      <w:kern w:val="2"/>
                      <w:sz w:val="21"/>
                      <w:szCs w:val="21"/>
                      <w:lang w:val="en-US" w:eastAsia="zh-CN" w:bidi="ar"/>
                    </w:rPr>
                    <w:t>不属于《产业结构调整指导目录（</w:t>
                  </w:r>
                  <w:r>
                    <w:rPr>
                      <w:rFonts w:hint="default" w:ascii="Times New Roman" w:hAnsi="Times New Roman" w:eastAsia="宋体" w:cs="Times New Roman"/>
                      <w:b w:val="0"/>
                      <w:bCs w:val="0"/>
                      <w:color w:val="auto"/>
                      <w:kern w:val="2"/>
                      <w:sz w:val="21"/>
                      <w:szCs w:val="21"/>
                      <w:lang w:val="en-US" w:eastAsia="zh-CN" w:bidi="ar"/>
                    </w:rPr>
                    <w:t>2024</w:t>
                  </w:r>
                  <w:r>
                    <w:rPr>
                      <w:rFonts w:hint="eastAsia" w:ascii="宋体" w:hAnsi="宋体" w:eastAsia="宋体" w:cs="宋体"/>
                      <w:b w:val="0"/>
                      <w:bCs w:val="0"/>
                      <w:color w:val="auto"/>
                      <w:kern w:val="2"/>
                      <w:sz w:val="21"/>
                      <w:szCs w:val="21"/>
                      <w:lang w:val="en-US" w:eastAsia="zh-CN" w:bidi="ar"/>
                    </w:rPr>
                    <w:t>年版）》淘汰类，不属于省级和市级政府部门明确列入已经限期淘汰类项目。</w:t>
                  </w:r>
                </w:p>
              </w:tc>
              <w:tc>
                <w:tcPr>
                  <w:tcW w:w="269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rPr>
                  </w:pPr>
                  <w:r>
                    <w:rPr>
                      <w:rFonts w:hint="eastAsia" w:ascii="宋体" w:hAnsi="宋体" w:eastAsia="宋体" w:cs="宋体"/>
                      <w:color w:val="auto"/>
                      <w:kern w:val="2"/>
                      <w:sz w:val="21"/>
                      <w:szCs w:val="21"/>
                      <w:lang w:val="en-US" w:eastAsia="zh-CN" w:bidi="ar"/>
                    </w:rPr>
                    <w:t>本项目不属于《产业结构调整指导目录（</w:t>
                  </w:r>
                  <w:r>
                    <w:rPr>
                      <w:rFonts w:hint="default" w:ascii="Times New Roman" w:hAnsi="Times New Roman" w:eastAsia="宋体" w:cs="Times New Roman"/>
                      <w:color w:val="auto"/>
                      <w:kern w:val="2"/>
                      <w:sz w:val="21"/>
                      <w:szCs w:val="21"/>
                      <w:lang w:val="en-US" w:eastAsia="zh-CN" w:bidi="ar"/>
                    </w:rPr>
                    <w:t>2024</w:t>
                  </w:r>
                  <w:r>
                    <w:rPr>
                      <w:rFonts w:hint="eastAsia" w:ascii="宋体" w:hAnsi="宋体" w:eastAsia="宋体" w:cs="宋体"/>
                      <w:color w:val="auto"/>
                      <w:kern w:val="2"/>
                      <w:sz w:val="21"/>
                      <w:szCs w:val="21"/>
                      <w:lang w:val="en-US" w:eastAsia="zh-CN" w:bidi="ar"/>
                    </w:rPr>
                    <w:t>年版）》中限制类、淘汰类项目，为鼓励类项目，不属于省级和市级政府部门明确列入已经限期淘汰类项目。</w:t>
                  </w:r>
                </w:p>
              </w:tc>
              <w:tc>
                <w:tcPr>
                  <w:tcW w:w="939" w:type="dxa"/>
                  <w:tcBorders>
                    <w:top w:val="single" w:color="auto" w:sz="4" w:space="0"/>
                    <w:left w:val="nil"/>
                    <w:bottom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rPr>
                  </w:pPr>
                  <w:r>
                    <w:rPr>
                      <w:rFonts w:hint="eastAsia" w:ascii="宋体" w:hAnsi="宋体" w:eastAsia="宋体" w:cs="宋体"/>
                      <w:b w:val="0"/>
                      <w:bCs w:val="0"/>
                      <w:color w:val="auto"/>
                      <w:kern w:val="2"/>
                      <w:sz w:val="21"/>
                      <w:szCs w:val="21"/>
                      <w:lang w:val="en-US" w:eastAsia="zh-CN" w:bidi="ar"/>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084" w:hRule="atLeast"/>
                <w:jc w:val="center"/>
              </w:trPr>
              <w:tc>
                <w:tcPr>
                  <w:tcW w:w="1145" w:type="dxa"/>
                  <w:gridSpan w:val="2"/>
                  <w:vMerge w:val="restart"/>
                  <w:tcBorders>
                    <w:top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i w:val="0"/>
                      <w:iCs w:val="0"/>
                      <w:color w:val="auto"/>
                      <w:kern w:val="2"/>
                      <w:sz w:val="21"/>
                      <w:szCs w:val="21"/>
                    </w:rPr>
                  </w:pPr>
                  <w:r>
                    <w:rPr>
                      <w:rFonts w:hint="eastAsia" w:ascii="宋体" w:hAnsi="宋体" w:eastAsia="宋体" w:cs="宋体"/>
                      <w:b w:val="0"/>
                      <w:bCs w:val="0"/>
                      <w:color w:val="auto"/>
                      <w:kern w:val="2"/>
                      <w:sz w:val="21"/>
                      <w:szCs w:val="21"/>
                      <w:lang w:val="en-US" w:eastAsia="zh-CN" w:bidi="ar"/>
                    </w:rPr>
                    <w:t>物料装卸</w:t>
                  </w:r>
                </w:p>
              </w:tc>
              <w:tc>
                <w:tcPr>
                  <w:tcW w:w="3338" w:type="dxa"/>
                  <w:vMerge w:val="restart"/>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bidi="ar"/>
                    </w:rPr>
                    <w:t>1.</w:t>
                  </w:r>
                  <w:r>
                    <w:rPr>
                      <w:rFonts w:hint="eastAsia" w:ascii="宋体" w:hAnsi="宋体" w:eastAsia="宋体" w:cs="宋体"/>
                      <w:b w:val="0"/>
                      <w:bCs w:val="0"/>
                      <w:color w:val="auto"/>
                      <w:kern w:val="2"/>
                      <w:sz w:val="21"/>
                      <w:szCs w:val="21"/>
                      <w:lang w:val="en-US" w:eastAsia="zh-CN" w:bidi="ar"/>
                    </w:rPr>
                    <w:t>车辆运输的物料应采取封闭措施。粉状、粒状、块状散装物料在封闭料场内装卸，装卸过程中产尘点应设置集气除尘装置，料堆应采取有效抑尘措施；</w:t>
                  </w:r>
                </w:p>
                <w:p>
                  <w:pPr>
                    <w:keepNext w:val="0"/>
                    <w:keepLines w:val="0"/>
                    <w:widowControl/>
                    <w:suppressLineNumbers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bidi="ar"/>
                    </w:rPr>
                    <w:t>2.</w:t>
                  </w:r>
                  <w:r>
                    <w:rPr>
                      <w:rFonts w:hint="eastAsia" w:ascii="宋体" w:hAnsi="宋体" w:eastAsia="宋体" w:cs="宋体"/>
                      <w:b w:val="0"/>
                      <w:bCs w:val="0"/>
                      <w:color w:val="auto"/>
                      <w:kern w:val="2"/>
                      <w:sz w:val="21"/>
                      <w:szCs w:val="21"/>
                      <w:lang w:val="en-US" w:eastAsia="zh-CN" w:bidi="ar"/>
                    </w:rPr>
                    <w:t>不易产尘的袋装物料宜在料棚中装卸，如需露天装卸应采取防止破袋及粉尘外逸措施。</w:t>
                  </w:r>
                </w:p>
              </w:tc>
              <w:tc>
                <w:tcPr>
                  <w:tcW w:w="269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both"/>
                    <w:rPr>
                      <w:rFonts w:hint="default" w:ascii="Times New Roman" w:hAnsi="Times New Roman" w:eastAsia="宋体" w:cs="Times New Roman"/>
                      <w:b w:val="0"/>
                      <w:bCs w:val="0"/>
                      <w:i w:val="0"/>
                      <w:i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bidi="ar"/>
                    </w:rPr>
                    <w:t>1.本项目原料来自于</w:t>
                  </w:r>
                  <w:r>
                    <w:rPr>
                      <w:rFonts w:hint="eastAsia" w:ascii="Times New Roman" w:hAnsi="Times New Roman" w:eastAsia="宋体" w:cs="Times New Roman"/>
                      <w:b w:val="0"/>
                      <w:bCs w:val="0"/>
                      <w:color w:val="auto"/>
                      <w:kern w:val="2"/>
                      <w:sz w:val="21"/>
                      <w:szCs w:val="21"/>
                      <w:lang w:val="en-US" w:eastAsia="zh-CN" w:bidi="ar"/>
                    </w:rPr>
                    <w:t>“</w:t>
                  </w:r>
                  <w:r>
                    <w:rPr>
                      <w:rFonts w:hint="default" w:ascii="Times New Roman" w:hAnsi="Times New Roman" w:eastAsia="宋体" w:cs="Times New Roman"/>
                      <w:b w:val="0"/>
                      <w:bCs w:val="0"/>
                      <w:color w:val="auto"/>
                      <w:kern w:val="2"/>
                      <w:sz w:val="21"/>
                      <w:szCs w:val="21"/>
                      <w:lang w:val="en-US" w:eastAsia="zh-CN" w:bidi="ar"/>
                    </w:rPr>
                    <w:t>年产6万吨铝锌合金项目</w:t>
                  </w:r>
                  <w:r>
                    <w:rPr>
                      <w:rFonts w:hint="eastAsia" w:ascii="Times New Roman" w:hAnsi="Times New Roman" w:eastAsia="宋体" w:cs="Times New Roman"/>
                      <w:b w:val="0"/>
                      <w:bCs w:val="0"/>
                      <w:color w:val="auto"/>
                      <w:kern w:val="2"/>
                      <w:sz w:val="21"/>
                      <w:szCs w:val="21"/>
                      <w:lang w:val="en-US" w:eastAsia="zh-CN" w:bidi="ar"/>
                    </w:rPr>
                    <w:t>”</w:t>
                  </w:r>
                  <w:r>
                    <w:rPr>
                      <w:rFonts w:hint="default" w:ascii="Times New Roman" w:hAnsi="Times New Roman" w:eastAsia="宋体" w:cs="Times New Roman"/>
                      <w:b w:val="0"/>
                      <w:bCs w:val="0"/>
                      <w:color w:val="auto"/>
                      <w:kern w:val="2"/>
                      <w:sz w:val="21"/>
                      <w:szCs w:val="21"/>
                      <w:lang w:val="en-US" w:eastAsia="zh-CN" w:bidi="ar"/>
                    </w:rPr>
                    <w:t>扒渣工序产生的炉渣，产生后直接进入铝灰炒灰机进行回收利用，利用后产生的二次铝灰</w:t>
                  </w:r>
                  <w:r>
                    <w:rPr>
                      <w:rFonts w:hint="eastAsia" w:cs="Times New Roman"/>
                      <w:b w:val="0"/>
                      <w:bCs w:val="0"/>
                      <w:color w:val="auto"/>
                      <w:kern w:val="2"/>
                      <w:sz w:val="21"/>
                      <w:szCs w:val="21"/>
                      <w:lang w:val="en-US" w:eastAsia="zh-CN" w:bidi="ar"/>
                    </w:rPr>
                    <w:t>经冷灰桶冷却后温度较低且不易结块，</w:t>
                  </w:r>
                  <w:r>
                    <w:rPr>
                      <w:rFonts w:hint="default" w:ascii="Times New Roman" w:hAnsi="Times New Roman" w:eastAsia="宋体" w:cs="Times New Roman"/>
                      <w:b w:val="0"/>
                      <w:bCs w:val="0"/>
                      <w:color w:val="auto"/>
                      <w:kern w:val="2"/>
                      <w:sz w:val="21"/>
                      <w:szCs w:val="21"/>
                      <w:lang w:val="en-US" w:eastAsia="zh-CN" w:bidi="ar"/>
                    </w:rPr>
                    <w:t>采用</w:t>
                  </w:r>
                  <w:r>
                    <w:rPr>
                      <w:rFonts w:hint="eastAsia" w:cs="Times New Roman"/>
                      <w:b w:val="0"/>
                      <w:bCs w:val="0"/>
                      <w:color w:val="auto"/>
                      <w:kern w:val="2"/>
                      <w:sz w:val="21"/>
                      <w:szCs w:val="21"/>
                      <w:lang w:val="en-US" w:eastAsia="zh-CN" w:bidi="ar"/>
                    </w:rPr>
                    <w:t>防水</w:t>
                  </w:r>
                  <w:r>
                    <w:rPr>
                      <w:rFonts w:hint="default" w:ascii="Times New Roman" w:hAnsi="Times New Roman" w:eastAsia="宋体" w:cs="Times New Roman"/>
                      <w:b w:val="0"/>
                      <w:bCs w:val="0"/>
                      <w:color w:val="auto"/>
                      <w:kern w:val="2"/>
                      <w:sz w:val="21"/>
                      <w:szCs w:val="21"/>
                      <w:lang w:val="en-US" w:eastAsia="zh-CN" w:bidi="ar"/>
                    </w:rPr>
                    <w:t>吨包袋密闭存放于危险废物暂存间内</w:t>
                  </w:r>
                  <w:r>
                    <w:rPr>
                      <w:rFonts w:hint="eastAsia" w:ascii="宋体" w:hAnsi="宋体" w:eastAsia="宋体" w:cs="宋体"/>
                      <w:b w:val="0"/>
                      <w:bCs w:val="0"/>
                      <w:color w:val="auto"/>
                      <w:kern w:val="2"/>
                      <w:sz w:val="21"/>
                      <w:szCs w:val="21"/>
                      <w:lang w:val="en-US" w:eastAsia="zh-CN" w:bidi="ar"/>
                    </w:rPr>
                    <w:t>；炒灰剂使用量较小，存放于封闭料库内。</w:t>
                  </w:r>
                </w:p>
              </w:tc>
              <w:tc>
                <w:tcPr>
                  <w:tcW w:w="939" w:type="dxa"/>
                  <w:tcBorders>
                    <w:top w:val="single" w:color="auto" w:sz="4" w:space="0"/>
                    <w:left w:val="nil"/>
                    <w:bottom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rPr>
                  </w:pPr>
                  <w:r>
                    <w:rPr>
                      <w:rFonts w:hint="eastAsia" w:ascii="宋体" w:hAnsi="宋体" w:eastAsia="宋体" w:cs="宋体"/>
                      <w:b w:val="0"/>
                      <w:bCs w:val="0"/>
                      <w:color w:val="auto"/>
                      <w:kern w:val="2"/>
                      <w:sz w:val="21"/>
                      <w:szCs w:val="21"/>
                      <w:lang w:val="en-US" w:eastAsia="zh-CN" w:bidi="ar"/>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084" w:hRule="atLeast"/>
                <w:jc w:val="center"/>
              </w:trPr>
              <w:tc>
                <w:tcPr>
                  <w:tcW w:w="1145" w:type="dxa"/>
                  <w:gridSpan w:val="2"/>
                  <w:vMerge w:val="continue"/>
                  <w:tcBorders>
                    <w:top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c>
                <w:tcPr>
                  <w:tcW w:w="3338"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c>
                <w:tcPr>
                  <w:tcW w:w="269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bidi="ar"/>
                    </w:rPr>
                    <w:t>2.</w:t>
                  </w:r>
                  <w:r>
                    <w:rPr>
                      <w:rFonts w:hint="eastAsia" w:ascii="宋体" w:hAnsi="宋体" w:eastAsia="宋体" w:cs="宋体"/>
                      <w:b w:val="0"/>
                      <w:bCs w:val="0"/>
                      <w:color w:val="auto"/>
                      <w:kern w:val="2"/>
                      <w:sz w:val="21"/>
                      <w:szCs w:val="21"/>
                      <w:lang w:val="en-US" w:eastAsia="zh-CN" w:bidi="ar"/>
                    </w:rPr>
                    <w:t>本项目不涉及。</w:t>
                  </w:r>
                </w:p>
              </w:tc>
              <w:tc>
                <w:tcPr>
                  <w:tcW w:w="939" w:type="dxa"/>
                  <w:tcBorders>
                    <w:top w:val="single" w:color="auto" w:sz="4" w:space="0"/>
                    <w:left w:val="nil"/>
                    <w:bottom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rPr>
                  </w:pPr>
                  <w:r>
                    <w:rPr>
                      <w:rFonts w:hint="eastAsia" w:ascii="宋体" w:hAnsi="宋体" w:eastAsia="宋体" w:cs="宋体"/>
                      <w:b w:val="0"/>
                      <w:bCs w:val="0"/>
                      <w:color w:val="auto"/>
                      <w:kern w:val="2"/>
                      <w:sz w:val="21"/>
                      <w:szCs w:val="21"/>
                      <w:lang w:val="en-US" w:eastAsia="zh-CN" w:bidi="ar"/>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145" w:type="dxa"/>
                  <w:gridSpan w:val="2"/>
                  <w:vMerge w:val="restart"/>
                  <w:tcBorders>
                    <w:top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i w:val="0"/>
                      <w:iCs w:val="0"/>
                      <w:color w:val="auto"/>
                      <w:kern w:val="2"/>
                      <w:sz w:val="21"/>
                      <w:szCs w:val="21"/>
                    </w:rPr>
                  </w:pPr>
                  <w:r>
                    <w:rPr>
                      <w:rFonts w:hint="eastAsia" w:ascii="宋体" w:hAnsi="宋体" w:eastAsia="宋体" w:cs="宋体"/>
                      <w:b w:val="0"/>
                      <w:bCs w:val="0"/>
                      <w:color w:val="auto"/>
                      <w:kern w:val="2"/>
                      <w:sz w:val="21"/>
                      <w:szCs w:val="21"/>
                      <w:lang w:val="en-US" w:eastAsia="zh-CN" w:bidi="ar"/>
                    </w:rPr>
                    <w:t>物料储存</w:t>
                  </w:r>
                </w:p>
              </w:tc>
              <w:tc>
                <w:tcPr>
                  <w:tcW w:w="3338"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b w:val="0"/>
                      <w:bCs w:val="0"/>
                      <w:i w:val="0"/>
                      <w:i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bidi="ar"/>
                    </w:rPr>
                    <w:t>1.</w:t>
                  </w:r>
                  <w:r>
                    <w:rPr>
                      <w:rFonts w:hint="eastAsia" w:ascii="宋体" w:hAnsi="宋体" w:eastAsia="宋体" w:cs="宋体"/>
                      <w:b w:val="0"/>
                      <w:bCs w:val="0"/>
                      <w:color w:val="auto"/>
                      <w:kern w:val="2"/>
                      <w:sz w:val="21"/>
                      <w:szCs w:val="21"/>
                      <w:lang w:val="en-US" w:eastAsia="zh-CN" w:bidi="ar"/>
                    </w:rPr>
                    <w:t>一般物料。粉状物料应储存于密闭</w:t>
                  </w:r>
                  <w:r>
                    <w:rPr>
                      <w:rFonts w:hint="default" w:ascii="Times New Roman" w:hAnsi="Times New Roman" w:eastAsia="宋体" w:cs="Times New Roman"/>
                      <w:b w:val="0"/>
                      <w:bCs w:val="0"/>
                      <w:color w:val="auto"/>
                      <w:kern w:val="2"/>
                      <w:sz w:val="21"/>
                      <w:szCs w:val="21"/>
                      <w:lang w:val="en-US" w:eastAsia="zh-CN" w:bidi="ar"/>
                    </w:rPr>
                    <w:t>/</w:t>
                  </w:r>
                  <w:r>
                    <w:rPr>
                      <w:rFonts w:hint="eastAsia" w:ascii="宋体" w:hAnsi="宋体" w:eastAsia="宋体" w:cs="宋体"/>
                      <w:b w:val="0"/>
                      <w:bCs w:val="0"/>
                      <w:color w:val="auto"/>
                      <w:kern w:val="2"/>
                      <w:sz w:val="21"/>
                      <w:szCs w:val="21"/>
                      <w:lang w:val="en-US" w:eastAsia="zh-CN" w:bidi="ar"/>
                    </w:rPr>
                    <w:t>封闭料仓中；粒状、块状物料应储存于封闭料场中，并采取喷淋、清扫或其他有效抑尘措施；袋装物料应储存于封闭</w:t>
                  </w:r>
                  <w:r>
                    <w:rPr>
                      <w:rFonts w:hint="default" w:ascii="Times New Roman" w:hAnsi="Times New Roman" w:eastAsia="宋体" w:cs="Times New Roman"/>
                      <w:b w:val="0"/>
                      <w:bCs w:val="0"/>
                      <w:color w:val="auto"/>
                      <w:kern w:val="2"/>
                      <w:sz w:val="21"/>
                      <w:szCs w:val="21"/>
                      <w:lang w:val="en-US" w:eastAsia="zh-CN" w:bidi="ar"/>
                    </w:rPr>
                    <w:t>/</w:t>
                  </w:r>
                  <w:r>
                    <w:rPr>
                      <w:rFonts w:hint="eastAsia" w:ascii="宋体" w:hAnsi="宋体" w:eastAsia="宋体" w:cs="宋体"/>
                      <w:b w:val="0"/>
                      <w:bCs w:val="0"/>
                      <w:color w:val="auto"/>
                      <w:kern w:val="2"/>
                      <w:sz w:val="21"/>
                      <w:szCs w:val="21"/>
                      <w:lang w:val="en-US" w:eastAsia="zh-CN" w:bidi="ar"/>
                    </w:rPr>
                    <w:t>半封闭料场中。封闭料场顶棚和四周围墙完整，料场内地面全部硬化，料场货物进出大门为硬质材料门或自动感应门，在确保安全的情况下，所有门窗保持常闭状态。不产尘物料（如钢材、管件）及产品如露天储存应在规定的存储区域码放整齐；</w:t>
                  </w:r>
                </w:p>
              </w:tc>
              <w:tc>
                <w:tcPr>
                  <w:tcW w:w="2696" w:type="dxa"/>
                  <w:tcBorders>
                    <w:top w:val="single" w:color="auto" w:sz="4" w:space="0"/>
                    <w:left w:val="nil"/>
                    <w:bottom w:val="single" w:color="auto" w:sz="4" w:space="0"/>
                    <w:right w:val="single" w:color="auto" w:sz="4" w:space="0"/>
                  </w:tcBorders>
                  <w:vAlign w:val="center"/>
                </w:tcPr>
                <w:p>
                  <w:pPr>
                    <w:keepNext w:val="0"/>
                    <w:keepLines w:val="0"/>
                    <w:widowControl w:val="0"/>
                    <w:numPr>
                      <w:ilvl w:val="0"/>
                      <w:numId w:val="0"/>
                    </w:numPr>
                    <w:suppressLineNumbers w:val="0"/>
                    <w:tabs>
                      <w:tab w:val="clear" w:pos="2040"/>
                    </w:tabs>
                    <w:adjustRightInd w:val="0"/>
                    <w:snapToGrid w:val="0"/>
                    <w:spacing w:before="0" w:beforeLines="0" w:beforeAutospacing="0" w:after="0" w:afterLines="0" w:afterAutospacing="0"/>
                    <w:ind w:left="0" w:leftChars="0" w:right="0" w:rightChars="0"/>
                    <w:jc w:val="both"/>
                    <w:rPr>
                      <w:rFonts w:hint="default" w:ascii="Times New Roman" w:hAnsi="Times New Roman" w:eastAsia="宋体" w:cs="Times New Roman"/>
                      <w:b w:val="0"/>
                      <w:bCs w:val="0"/>
                      <w:i w:val="0"/>
                      <w:iCs w:val="0"/>
                      <w:color w:val="auto"/>
                      <w:kern w:val="2"/>
                      <w:sz w:val="21"/>
                      <w:szCs w:val="21"/>
                    </w:rPr>
                  </w:pPr>
                  <w:r>
                    <w:rPr>
                      <w:rFonts w:hint="default" w:ascii="Times New Roman" w:hAnsi="Times New Roman" w:eastAsia="宋体" w:cs="Times New Roman"/>
                      <w:color w:val="auto"/>
                      <w:kern w:val="2"/>
                      <w:sz w:val="21"/>
                      <w:szCs w:val="21"/>
                      <w:lang w:val="en-US" w:eastAsia="zh-CN" w:bidi="ar"/>
                    </w:rPr>
                    <w:t>1.本项目原料来自于</w:t>
                  </w:r>
                  <w:r>
                    <w:rPr>
                      <w:rFonts w:hint="eastAsia" w:ascii="Times New Roman" w:hAnsi="Times New Roman" w:eastAsia="宋体" w:cs="Times New Roman"/>
                      <w:color w:val="auto"/>
                      <w:kern w:val="2"/>
                      <w:sz w:val="21"/>
                      <w:szCs w:val="21"/>
                      <w:lang w:val="en-US" w:eastAsia="zh-CN" w:bidi="ar"/>
                    </w:rPr>
                    <w:t>“</w:t>
                  </w:r>
                  <w:r>
                    <w:rPr>
                      <w:rFonts w:hint="default" w:ascii="Times New Roman" w:hAnsi="Times New Roman" w:eastAsia="宋体" w:cs="Times New Roman"/>
                      <w:color w:val="auto"/>
                      <w:kern w:val="2"/>
                      <w:sz w:val="21"/>
                      <w:szCs w:val="21"/>
                      <w:lang w:val="en-US" w:eastAsia="zh-CN" w:bidi="ar"/>
                    </w:rPr>
                    <w:t>年产6万吨铝锌合金项目</w:t>
                  </w:r>
                  <w:r>
                    <w:rPr>
                      <w:rFonts w:hint="eastAsia" w:ascii="Times New Roman" w:hAnsi="Times New Roman" w:eastAsia="宋体" w:cs="Times New Roman"/>
                      <w:color w:val="auto"/>
                      <w:kern w:val="2"/>
                      <w:sz w:val="21"/>
                      <w:szCs w:val="21"/>
                      <w:lang w:val="en-US" w:eastAsia="zh-CN" w:bidi="ar"/>
                    </w:rPr>
                    <w:t>”</w:t>
                  </w:r>
                  <w:r>
                    <w:rPr>
                      <w:rFonts w:hint="default" w:ascii="Times New Roman" w:hAnsi="Times New Roman" w:eastAsia="宋体" w:cs="Times New Roman"/>
                      <w:color w:val="auto"/>
                      <w:kern w:val="2"/>
                      <w:sz w:val="21"/>
                      <w:szCs w:val="21"/>
                      <w:lang w:val="en-US" w:eastAsia="zh-CN" w:bidi="ar"/>
                    </w:rPr>
                    <w:t>扒渣工序产生的炉渣，产生后直接进入铝灰炒灰机进行回收利用，</w:t>
                  </w:r>
                  <w:r>
                    <w:rPr>
                      <w:rFonts w:hint="eastAsia" w:ascii="Times New Roman" w:hAnsi="Times New Roman" w:eastAsia="宋体" w:cs="Times New Roman"/>
                      <w:color w:val="auto"/>
                      <w:kern w:val="2"/>
                      <w:sz w:val="21"/>
                      <w:szCs w:val="21"/>
                      <w:lang w:val="en-US" w:eastAsia="zh-CN" w:bidi="ar"/>
                    </w:rPr>
                    <w:t>利用后产生的二次铝灰采用吨包袋密闭存放于危险废物暂存间内；炒灰剂使用量较小，使用25kg袋装存放于封闭料库内，料库及车间地面全部硬化，进出大门为硬质材料门，所有门窗处于常闭状态。</w:t>
                  </w:r>
                </w:p>
              </w:tc>
              <w:tc>
                <w:tcPr>
                  <w:tcW w:w="939" w:type="dxa"/>
                  <w:tcBorders>
                    <w:top w:val="single" w:color="auto" w:sz="4" w:space="0"/>
                    <w:left w:val="nil"/>
                    <w:bottom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rPr>
                  </w:pPr>
                  <w:r>
                    <w:rPr>
                      <w:rFonts w:hint="eastAsia" w:ascii="宋体" w:hAnsi="宋体" w:eastAsia="宋体" w:cs="宋体"/>
                      <w:b w:val="0"/>
                      <w:bCs w:val="0"/>
                      <w:color w:val="auto"/>
                      <w:kern w:val="2"/>
                      <w:sz w:val="21"/>
                      <w:szCs w:val="21"/>
                      <w:lang w:val="en-US" w:eastAsia="zh-CN" w:bidi="ar"/>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145" w:type="dxa"/>
                  <w:gridSpan w:val="2"/>
                  <w:vMerge w:val="continue"/>
                  <w:tcBorders>
                    <w:top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c>
                <w:tcPr>
                  <w:tcW w:w="3338"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bidi="ar"/>
                    </w:rPr>
                    <w:t>2.</w:t>
                  </w:r>
                  <w:r>
                    <w:rPr>
                      <w:rFonts w:hint="eastAsia" w:ascii="宋体" w:hAnsi="宋体" w:eastAsia="宋体" w:cs="宋体"/>
                      <w:b w:val="0"/>
                      <w:bCs w:val="0"/>
                      <w:color w:val="auto"/>
                      <w:kern w:val="2"/>
                      <w:sz w:val="21"/>
                      <w:szCs w:val="21"/>
                      <w:lang w:val="en-US" w:eastAsia="zh-CN" w:bidi="ar"/>
                    </w:rPr>
                    <w:t>危险废物。应有符合规范要求的危险废物储存间，危险废物储存间门口应张贴标准规范的危险废物标识和危废信息板，建立台账并挂于危废间内，危险废物管理台账和危险废物转移情况信息表保存</w:t>
                  </w:r>
                  <w:r>
                    <w:rPr>
                      <w:rFonts w:hint="default" w:ascii="Times New Roman" w:hAnsi="Times New Roman" w:eastAsia="宋体" w:cs="Times New Roman"/>
                      <w:b w:val="0"/>
                      <w:bCs w:val="0"/>
                      <w:color w:val="auto"/>
                      <w:kern w:val="2"/>
                      <w:sz w:val="21"/>
                      <w:szCs w:val="21"/>
                      <w:lang w:val="en-US" w:eastAsia="zh-CN" w:bidi="ar"/>
                    </w:rPr>
                    <w:t>5</w:t>
                  </w:r>
                  <w:r>
                    <w:rPr>
                      <w:rFonts w:hint="eastAsia" w:ascii="宋体" w:hAnsi="宋体" w:eastAsia="宋体" w:cs="宋体"/>
                      <w:b w:val="0"/>
                      <w:bCs w:val="0"/>
                      <w:color w:val="auto"/>
                      <w:kern w:val="2"/>
                      <w:sz w:val="21"/>
                      <w:szCs w:val="21"/>
                      <w:lang w:val="en-US" w:eastAsia="zh-CN" w:bidi="ar"/>
                    </w:rPr>
                    <w:t>年以上。危废间内禁止存放除危险废物和应急工具外的其他物品。涉大气污染物排放的，应设置对应污染治理设施。</w:t>
                  </w:r>
                </w:p>
              </w:tc>
              <w:tc>
                <w:tcPr>
                  <w:tcW w:w="2696"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color w:val="auto"/>
                      <w:kern w:val="2"/>
                      <w:sz w:val="21"/>
                      <w:szCs w:val="21"/>
                      <w:lang w:val="en-US" w:eastAsia="zh-CN" w:bidi="ar"/>
                    </w:rPr>
                    <w:t>2.</w:t>
                  </w:r>
                  <w:r>
                    <w:rPr>
                      <w:rFonts w:hint="eastAsia" w:ascii="Times New Roman" w:hAnsi="Times New Roman" w:eastAsia="宋体" w:cs="Times New Roman"/>
                      <w:color w:val="auto"/>
                      <w:kern w:val="2"/>
                      <w:sz w:val="21"/>
                      <w:szCs w:val="21"/>
                      <w:lang w:val="en-US" w:eastAsia="zh-CN" w:bidi="ar"/>
                    </w:rPr>
                    <w:t>本项目依托现有厂区建设，厂内设有危险废物暂存间，并按要求张贴了危险废物标识和危废信息版，建立台账挂于危废间内，管理台账及危废转移情况信息表保存5年以上</w:t>
                  </w:r>
                  <w:r>
                    <w:rPr>
                      <w:rFonts w:hint="default" w:ascii="Times New Roman" w:hAnsi="Times New Roman" w:eastAsia="宋体" w:cs="Times New Roman"/>
                      <w:color w:val="auto"/>
                      <w:kern w:val="2"/>
                      <w:sz w:val="21"/>
                      <w:szCs w:val="21"/>
                      <w:lang w:val="en-US" w:eastAsia="zh-CN" w:bidi="ar"/>
                    </w:rPr>
                    <w:t>。</w:t>
                  </w:r>
                  <w:r>
                    <w:rPr>
                      <w:rFonts w:hint="eastAsia" w:ascii="Times New Roman" w:hAnsi="Times New Roman" w:eastAsia="宋体" w:cs="Times New Roman"/>
                      <w:color w:val="auto"/>
                      <w:kern w:val="2"/>
                      <w:sz w:val="21"/>
                      <w:szCs w:val="21"/>
                      <w:lang w:val="en-US" w:eastAsia="zh-CN" w:bidi="ar"/>
                    </w:rPr>
                    <w:t>危废间内除危险废物和应急工具外，无其他物品。本项目涉及的危险废物暂存间内安装有光氧活性炭一体机处理后通过一根15m高排气筒（DA063）排放。</w:t>
                  </w:r>
                </w:p>
              </w:tc>
              <w:tc>
                <w:tcPr>
                  <w:tcW w:w="939" w:type="dxa"/>
                  <w:tcBorders>
                    <w:top w:val="single" w:color="auto" w:sz="4" w:space="0"/>
                    <w:left w:val="nil"/>
                    <w:bottom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rPr>
                  </w:pPr>
                  <w:r>
                    <w:rPr>
                      <w:rFonts w:hint="eastAsia" w:ascii="宋体" w:hAnsi="宋体" w:eastAsia="宋体" w:cs="宋体"/>
                      <w:b w:val="0"/>
                      <w:bCs w:val="0"/>
                      <w:color w:val="auto"/>
                      <w:kern w:val="2"/>
                      <w:sz w:val="21"/>
                      <w:szCs w:val="21"/>
                      <w:lang w:val="en-US" w:eastAsia="zh-CN" w:bidi="ar"/>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145" w:type="dxa"/>
                  <w:gridSpan w:val="2"/>
                  <w:vMerge w:val="restart"/>
                  <w:tcBorders>
                    <w:top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i w:val="0"/>
                      <w:iCs w:val="0"/>
                      <w:color w:val="auto"/>
                      <w:kern w:val="2"/>
                      <w:sz w:val="21"/>
                      <w:szCs w:val="21"/>
                    </w:rPr>
                  </w:pPr>
                  <w:r>
                    <w:rPr>
                      <w:rFonts w:hint="eastAsia" w:ascii="宋体" w:hAnsi="宋体" w:eastAsia="宋体" w:cs="宋体"/>
                      <w:b w:val="0"/>
                      <w:bCs w:val="0"/>
                      <w:color w:val="auto"/>
                      <w:kern w:val="2"/>
                      <w:sz w:val="21"/>
                      <w:szCs w:val="21"/>
                      <w:lang w:val="en-US" w:eastAsia="zh-CN" w:bidi="ar"/>
                    </w:rPr>
                    <w:t>物料转移和输送</w:t>
                  </w:r>
                </w:p>
              </w:tc>
              <w:tc>
                <w:tcPr>
                  <w:tcW w:w="3338"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b w:val="0"/>
                      <w:bCs w:val="0"/>
                      <w:i w:val="0"/>
                      <w:i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bidi="ar"/>
                    </w:rPr>
                    <w:t>1.</w:t>
                  </w:r>
                  <w:r>
                    <w:rPr>
                      <w:rFonts w:hint="eastAsia" w:ascii="宋体" w:hAnsi="宋体" w:eastAsia="宋体" w:cs="宋体"/>
                      <w:b w:val="0"/>
                      <w:bCs w:val="0"/>
                      <w:color w:val="auto"/>
                      <w:kern w:val="2"/>
                      <w:sz w:val="21"/>
                      <w:szCs w:val="21"/>
                      <w:lang w:val="en-US" w:eastAsia="zh-CN" w:bidi="ar"/>
                    </w:rPr>
                    <w:t>粉状、粒状等易产尘物料厂内转移、输送过程应采用气力输送、密闭输送，块状和粘湿粉状物料采用封闭输送；</w:t>
                  </w:r>
                </w:p>
              </w:tc>
              <w:tc>
                <w:tcPr>
                  <w:tcW w:w="2696" w:type="dxa"/>
                  <w:tcBorders>
                    <w:top w:val="nil"/>
                    <w:left w:val="nil"/>
                    <w:bottom w:val="single" w:color="auto" w:sz="4" w:space="0"/>
                    <w:right w:val="single" w:color="auto" w:sz="4" w:space="0"/>
                  </w:tcBorders>
                  <w:vAlign w:val="center"/>
                </w:tcPr>
                <w:p>
                  <w:pPr>
                    <w:pStyle w:val="23"/>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both"/>
                    <w:textAlignment w:val="auto"/>
                    <w:outlineLvl w:val="3"/>
                    <w:rPr>
                      <w:rFonts w:hint="default" w:ascii="Times New Roman" w:hAnsi="Times New Roman" w:eastAsia="宋体" w:cs="Times New Roman"/>
                      <w:b/>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bidi="ar"/>
                    </w:rPr>
                    <w:t>1.本项目熔炼渣上料采用</w:t>
                  </w:r>
                  <w:r>
                    <w:rPr>
                      <w:rFonts w:hint="eastAsia" w:ascii="Times New Roman" w:hAnsi="Times New Roman" w:cs="Times New Roman"/>
                      <w:b w:val="0"/>
                      <w:bCs w:val="0"/>
                      <w:color w:val="auto"/>
                      <w:kern w:val="2"/>
                      <w:sz w:val="21"/>
                      <w:szCs w:val="21"/>
                      <w:lang w:val="en-US" w:eastAsia="zh-CN" w:bidi="ar"/>
                    </w:rPr>
                    <w:t>叉车</w:t>
                  </w:r>
                  <w:r>
                    <w:rPr>
                      <w:rFonts w:hint="default" w:ascii="Times New Roman" w:hAnsi="Times New Roman" w:eastAsia="宋体" w:cs="Times New Roman"/>
                      <w:b w:val="0"/>
                      <w:bCs w:val="0"/>
                      <w:color w:val="auto"/>
                      <w:kern w:val="2"/>
                      <w:sz w:val="21"/>
                      <w:szCs w:val="21"/>
                      <w:lang w:val="en-US" w:eastAsia="zh-CN" w:bidi="ar"/>
                    </w:rPr>
                    <w:t>运输，产生的二次熔炼渣</w:t>
                  </w:r>
                  <w:r>
                    <w:rPr>
                      <w:rFonts w:hint="eastAsia" w:ascii="Times New Roman" w:hAnsi="Times New Roman" w:cs="Times New Roman"/>
                      <w:b w:val="0"/>
                      <w:bCs w:val="0"/>
                      <w:color w:val="auto"/>
                      <w:kern w:val="2"/>
                      <w:sz w:val="21"/>
                      <w:szCs w:val="21"/>
                      <w:lang w:val="en-US" w:eastAsia="zh-CN" w:bidi="ar"/>
                    </w:rPr>
                    <w:t>经冷灰桶冷却后</w:t>
                  </w:r>
                  <w:r>
                    <w:rPr>
                      <w:rFonts w:hint="default" w:ascii="Times New Roman" w:hAnsi="Times New Roman" w:eastAsia="宋体" w:cs="Times New Roman"/>
                      <w:b w:val="0"/>
                      <w:bCs w:val="0"/>
                      <w:color w:val="auto"/>
                      <w:kern w:val="2"/>
                      <w:sz w:val="21"/>
                      <w:szCs w:val="21"/>
                      <w:lang w:val="en-US" w:eastAsia="zh-CN" w:bidi="ar"/>
                    </w:rPr>
                    <w:t>采用</w:t>
                  </w:r>
                  <w:r>
                    <w:rPr>
                      <w:rFonts w:hint="eastAsia" w:ascii="Times New Roman" w:hAnsi="Times New Roman" w:cs="Times New Roman"/>
                      <w:b w:val="0"/>
                      <w:bCs w:val="0"/>
                      <w:color w:val="auto"/>
                      <w:kern w:val="2"/>
                      <w:sz w:val="21"/>
                      <w:szCs w:val="21"/>
                      <w:lang w:val="en-US" w:eastAsia="zh-CN" w:bidi="ar"/>
                    </w:rPr>
                    <w:t>防水</w:t>
                  </w:r>
                  <w:r>
                    <w:rPr>
                      <w:rFonts w:hint="default" w:ascii="Times New Roman" w:hAnsi="Times New Roman" w:eastAsia="宋体" w:cs="Times New Roman"/>
                      <w:b w:val="0"/>
                      <w:bCs w:val="0"/>
                      <w:color w:val="auto"/>
                      <w:kern w:val="2"/>
                      <w:sz w:val="21"/>
                      <w:szCs w:val="21"/>
                      <w:lang w:val="en-US" w:eastAsia="zh-CN" w:bidi="ar"/>
                    </w:rPr>
                    <w:t>吨包袋密闭运输至危险废物暂存间内暂存，定期委托有处置资质的单位拉运处理；</w:t>
                  </w:r>
                </w:p>
              </w:tc>
              <w:tc>
                <w:tcPr>
                  <w:tcW w:w="939" w:type="dxa"/>
                  <w:vMerge w:val="restart"/>
                  <w:tcBorders>
                    <w:top w:val="nil"/>
                    <w:left w:val="nil"/>
                    <w:bottom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rPr>
                  </w:pPr>
                  <w:r>
                    <w:rPr>
                      <w:rFonts w:hint="eastAsia" w:ascii="宋体" w:hAnsi="宋体" w:eastAsia="宋体" w:cs="宋体"/>
                      <w:color w:val="auto"/>
                      <w:kern w:val="2"/>
                      <w:sz w:val="21"/>
                      <w:szCs w:val="21"/>
                      <w:lang w:val="en-US" w:eastAsia="zh-CN" w:bidi="ar"/>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145" w:type="dxa"/>
                  <w:gridSpan w:val="2"/>
                  <w:vMerge w:val="continue"/>
                  <w:tcBorders>
                    <w:top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c>
                <w:tcPr>
                  <w:tcW w:w="3338"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bidi="ar"/>
                    </w:rPr>
                    <w:t>2.</w:t>
                  </w:r>
                  <w:r>
                    <w:rPr>
                      <w:rFonts w:hint="eastAsia" w:ascii="宋体" w:hAnsi="宋体" w:eastAsia="宋体" w:cs="宋体"/>
                      <w:b w:val="0"/>
                      <w:bCs w:val="0"/>
                      <w:color w:val="auto"/>
                      <w:kern w:val="2"/>
                      <w:sz w:val="21"/>
                      <w:szCs w:val="21"/>
                      <w:lang w:val="en-US" w:eastAsia="zh-CN" w:bidi="ar"/>
                    </w:rPr>
                    <w:t>无法封闭的产尘点（物料转载、下料口等）应采取集气除尘措施，或有效抑尘措施。</w:t>
                  </w:r>
                </w:p>
              </w:tc>
              <w:tc>
                <w:tcPr>
                  <w:tcW w:w="2696" w:type="dxa"/>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both"/>
                    <w:rPr>
                      <w:rFonts w:hint="default" w:ascii="Calibri" w:hAnsi="Calibri" w:eastAsia="宋体" w:cs="Times New Roman"/>
                      <w:color w:val="auto"/>
                      <w:kern w:val="2"/>
                      <w:sz w:val="21"/>
                      <w:szCs w:val="21"/>
                    </w:rPr>
                  </w:pPr>
                  <w:r>
                    <w:rPr>
                      <w:rFonts w:hint="default" w:ascii="Calibri" w:hAnsi="Calibri" w:eastAsia="宋体" w:cs="Times New Roman"/>
                      <w:color w:val="auto"/>
                      <w:kern w:val="2"/>
                      <w:sz w:val="21"/>
                      <w:szCs w:val="21"/>
                    </w:rPr>
                    <w:t>2.本项目</w:t>
                  </w:r>
                  <w:r>
                    <w:rPr>
                      <w:rFonts w:hint="eastAsia" w:ascii="Calibri" w:hAnsi="Calibri" w:eastAsia="宋体" w:cs="Times New Roman"/>
                      <w:color w:val="auto"/>
                      <w:kern w:val="2"/>
                      <w:sz w:val="21"/>
                      <w:szCs w:val="21"/>
                      <w:lang w:eastAsia="zh-CN"/>
                    </w:rPr>
                    <w:t>上料口</w:t>
                  </w:r>
                  <w:r>
                    <w:rPr>
                      <w:rFonts w:hint="default" w:ascii="Calibri" w:hAnsi="Calibri" w:eastAsia="宋体" w:cs="Times New Roman"/>
                      <w:color w:val="auto"/>
                      <w:kern w:val="2"/>
                      <w:sz w:val="21"/>
                      <w:szCs w:val="21"/>
                    </w:rPr>
                    <w:t>设集气设施，与年产6万吨铝锌合金项目</w:t>
                  </w:r>
                  <w:r>
                    <w:rPr>
                      <w:rFonts w:hint="eastAsia" w:ascii="Calibri" w:hAnsi="Calibri" w:cs="Times New Roman"/>
                      <w:color w:val="auto"/>
                      <w:kern w:val="2"/>
                      <w:sz w:val="21"/>
                      <w:szCs w:val="21"/>
                      <w:lang w:eastAsia="zh-CN"/>
                    </w:rPr>
                    <w:t>扒渣工序</w:t>
                  </w:r>
                  <w:r>
                    <w:rPr>
                      <w:rFonts w:hint="default" w:ascii="Calibri" w:hAnsi="Calibri" w:eastAsia="宋体" w:cs="Times New Roman"/>
                      <w:color w:val="auto"/>
                      <w:kern w:val="2"/>
                      <w:sz w:val="21"/>
                      <w:szCs w:val="21"/>
                    </w:rPr>
                    <w:t>共用</w:t>
                  </w:r>
                  <w:r>
                    <w:rPr>
                      <w:rFonts w:hint="eastAsia" w:ascii="Calibri" w:hAnsi="Calibri" w:eastAsia="宋体" w:cs="Times New Roman"/>
                      <w:color w:val="auto"/>
                      <w:kern w:val="2"/>
                      <w:sz w:val="21"/>
                      <w:szCs w:val="21"/>
                      <w:lang w:eastAsia="zh-CN"/>
                    </w:rPr>
                    <w:t>“</w:t>
                  </w:r>
                  <w:r>
                    <w:rPr>
                      <w:rFonts w:hint="default" w:ascii="Calibri" w:hAnsi="Calibri" w:eastAsia="宋体" w:cs="Times New Roman"/>
                      <w:color w:val="auto"/>
                      <w:kern w:val="2"/>
                      <w:sz w:val="21"/>
                      <w:szCs w:val="21"/>
                    </w:rPr>
                    <w:t>1台</w:t>
                  </w:r>
                  <w:r>
                    <w:rPr>
                      <w:rFonts w:hint="eastAsia" w:ascii="Calibri" w:hAnsi="Calibri" w:eastAsia="宋体" w:cs="Times New Roman"/>
                      <w:color w:val="auto"/>
                      <w:kern w:val="2"/>
                      <w:sz w:val="21"/>
                      <w:szCs w:val="21"/>
                      <w:lang w:eastAsia="zh-CN"/>
                    </w:rPr>
                    <w:t>耐高温高效覆膜袋式除尘器”</w:t>
                  </w:r>
                  <w:r>
                    <w:rPr>
                      <w:rFonts w:hint="default" w:ascii="Calibri" w:hAnsi="Calibri" w:eastAsia="宋体" w:cs="Times New Roman"/>
                      <w:color w:val="auto"/>
                      <w:kern w:val="2"/>
                      <w:sz w:val="21"/>
                      <w:szCs w:val="21"/>
                    </w:rPr>
                    <w:t>处理后通过一根18m高排气筒（DA066）排放</w:t>
                  </w:r>
                  <w:r>
                    <w:rPr>
                      <w:rFonts w:hint="eastAsia" w:ascii="Calibri" w:hAnsi="Calibri" w:eastAsia="宋体" w:cs="Times New Roman"/>
                      <w:color w:val="auto"/>
                      <w:kern w:val="2"/>
                      <w:sz w:val="21"/>
                      <w:szCs w:val="21"/>
                      <w:lang w:eastAsia="zh-CN"/>
                    </w:rPr>
                    <w:t>；下料口做封闭处理，无粉尘外逸</w:t>
                  </w:r>
                  <w:r>
                    <w:rPr>
                      <w:rFonts w:hint="default" w:ascii="Calibri" w:hAnsi="Calibri" w:eastAsia="宋体" w:cs="Times New Roman"/>
                      <w:color w:val="auto"/>
                      <w:kern w:val="2"/>
                      <w:sz w:val="21"/>
                      <w:szCs w:val="21"/>
                    </w:rPr>
                    <w:t>。</w:t>
                  </w:r>
                </w:p>
              </w:tc>
              <w:tc>
                <w:tcPr>
                  <w:tcW w:w="939" w:type="dxa"/>
                  <w:vMerge w:val="continue"/>
                  <w:tcBorders>
                    <w:top w:val="nil"/>
                    <w:left w:val="nil"/>
                    <w:bottom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145" w:type="dxa"/>
                  <w:gridSpan w:val="2"/>
                  <w:vMerge w:val="restart"/>
                  <w:tcBorders>
                    <w:top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i w:val="0"/>
                      <w:iCs w:val="0"/>
                      <w:color w:val="auto"/>
                      <w:kern w:val="2"/>
                      <w:sz w:val="21"/>
                      <w:szCs w:val="21"/>
                    </w:rPr>
                  </w:pPr>
                  <w:r>
                    <w:rPr>
                      <w:rFonts w:hint="eastAsia" w:ascii="宋体" w:hAnsi="宋体" w:eastAsia="宋体" w:cs="宋体"/>
                      <w:b w:val="0"/>
                      <w:bCs w:val="0"/>
                      <w:color w:val="auto"/>
                      <w:kern w:val="2"/>
                      <w:sz w:val="21"/>
                      <w:szCs w:val="21"/>
                      <w:lang w:val="en-US" w:eastAsia="zh-CN" w:bidi="ar"/>
                    </w:rPr>
                    <w:t>工艺过程</w:t>
                  </w:r>
                </w:p>
              </w:tc>
              <w:tc>
                <w:tcPr>
                  <w:tcW w:w="3338" w:type="dxa"/>
                  <w:tcBorders>
                    <w:top w:val="single" w:color="auto" w:sz="4" w:space="0"/>
                    <w:left w:val="nil"/>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leftChars="0" w:right="0" w:firstLine="0" w:firstLineChars="0"/>
                    <w:jc w:val="both"/>
                    <w:rPr>
                      <w:rFonts w:hint="default" w:ascii="Times New Roman" w:hAnsi="Times New Roman" w:eastAsia="宋体" w:cs="Times New Roman"/>
                      <w:b w:val="0"/>
                      <w:bCs w:val="0"/>
                      <w:color w:val="auto"/>
                      <w:kern w:val="2"/>
                      <w:sz w:val="21"/>
                      <w:szCs w:val="21"/>
                      <w:lang w:val="en-US" w:eastAsia="zh-CN" w:bidi="ar"/>
                    </w:rPr>
                  </w:pPr>
                  <w:r>
                    <w:rPr>
                      <w:rFonts w:hint="default" w:ascii="Times New Roman" w:hAnsi="Times New Roman" w:eastAsia="宋体" w:cs="Times New Roman"/>
                      <w:b w:val="0"/>
                      <w:bCs w:val="0"/>
                      <w:color w:val="auto"/>
                      <w:kern w:val="2"/>
                      <w:sz w:val="21"/>
                      <w:szCs w:val="21"/>
                      <w:lang w:val="en-US" w:eastAsia="zh-CN" w:bidi="ar"/>
                    </w:rPr>
                    <w:t>1.</w:t>
                  </w:r>
                  <w:r>
                    <w:rPr>
                      <w:rFonts w:hint="eastAsia" w:ascii="宋体" w:hAnsi="宋体" w:eastAsia="宋体" w:cs="宋体"/>
                      <w:b w:val="0"/>
                      <w:bCs w:val="0"/>
                      <w:color w:val="auto"/>
                      <w:kern w:val="2"/>
                      <w:sz w:val="21"/>
                      <w:szCs w:val="21"/>
                      <w:lang w:val="en-US" w:eastAsia="zh-CN" w:bidi="ar"/>
                    </w:rPr>
                    <w:t>各种物料破碎、筛分、配料、混料等过程应在封闭厂房内进行，并采取收尘</w:t>
                  </w:r>
                  <w:r>
                    <w:rPr>
                      <w:rFonts w:hint="default" w:ascii="Times New Roman" w:hAnsi="Times New Roman" w:eastAsia="宋体" w:cs="Times New Roman"/>
                      <w:b w:val="0"/>
                      <w:bCs w:val="0"/>
                      <w:color w:val="auto"/>
                      <w:kern w:val="2"/>
                      <w:sz w:val="21"/>
                      <w:szCs w:val="21"/>
                      <w:lang w:val="en-US" w:eastAsia="zh-CN" w:bidi="ar"/>
                    </w:rPr>
                    <w:t>/</w:t>
                  </w:r>
                  <w:r>
                    <w:rPr>
                      <w:rFonts w:hint="eastAsia" w:ascii="宋体" w:hAnsi="宋体" w:eastAsia="宋体" w:cs="宋体"/>
                      <w:b w:val="0"/>
                      <w:bCs w:val="0"/>
                      <w:color w:val="auto"/>
                      <w:kern w:val="2"/>
                      <w:sz w:val="21"/>
                      <w:szCs w:val="21"/>
                      <w:lang w:val="en-US" w:eastAsia="zh-CN" w:bidi="ar"/>
                    </w:rPr>
                    <w:t>抑尘措施；</w:t>
                  </w:r>
                </w:p>
                <w:p>
                  <w:pPr>
                    <w:keepNext w:val="0"/>
                    <w:keepLines w:val="0"/>
                    <w:widowControl w:val="0"/>
                    <w:suppressLineNumbers w:val="0"/>
                    <w:adjustRightInd w:val="0"/>
                    <w:snapToGrid w:val="0"/>
                    <w:spacing w:before="0" w:beforeAutospacing="0" w:after="0" w:afterAutospacing="0"/>
                    <w:ind w:left="0" w:leftChars="0" w:right="0" w:firstLine="0" w:firstLineChars="0"/>
                    <w:jc w:val="both"/>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bidi="ar"/>
                    </w:rPr>
                    <w:t>2.</w:t>
                  </w:r>
                  <w:r>
                    <w:rPr>
                      <w:rFonts w:hint="eastAsia" w:ascii="宋体" w:hAnsi="宋体" w:eastAsia="宋体" w:cs="宋体"/>
                      <w:b w:val="0"/>
                      <w:bCs w:val="0"/>
                      <w:color w:val="auto"/>
                      <w:kern w:val="2"/>
                      <w:sz w:val="21"/>
                      <w:szCs w:val="21"/>
                      <w:lang w:val="en-US" w:eastAsia="zh-CN" w:bidi="ar"/>
                    </w:rPr>
                    <w:t>破碎筛分设备在进、出料口和配料混料过程等产尘点应设置集气除尘设施。</w:t>
                  </w:r>
                </w:p>
              </w:tc>
              <w:tc>
                <w:tcPr>
                  <w:tcW w:w="2696" w:type="dxa"/>
                  <w:vMerge w:val="restart"/>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leftChars="0" w:right="0" w:firstLine="0" w:firstLineChars="0"/>
                    <w:jc w:val="both"/>
                    <w:rPr>
                      <w:rFonts w:hint="default" w:ascii="Times New Roman" w:hAnsi="Times New Roman" w:eastAsia="宋体" w:cs="Times New Roman"/>
                      <w:b w:val="0"/>
                      <w:bCs w:val="0"/>
                      <w:color w:val="auto"/>
                      <w:kern w:val="2"/>
                      <w:sz w:val="21"/>
                      <w:szCs w:val="21"/>
                    </w:rPr>
                  </w:pPr>
                  <w:r>
                    <w:rPr>
                      <w:rFonts w:hint="eastAsia" w:ascii="Times New Roman" w:hAnsi="Times New Roman" w:cs="Times New Roman"/>
                      <w:color w:val="auto"/>
                    </w:rPr>
                    <w:t>本项目生产均在封闭厂房内进行，上料口设有集气罩收集。各生产工序的车间地面定期清洁打扫，确保干净，无积料、积灰现象。本项目生产车间定期打扫，设备定期维护，确保生产设施和污染防治设施运行正产，确保生产车间无可见烟粉尘外逸。</w:t>
                  </w:r>
                </w:p>
              </w:tc>
              <w:tc>
                <w:tcPr>
                  <w:tcW w:w="939" w:type="dxa"/>
                  <w:vMerge w:val="restart"/>
                  <w:tcBorders>
                    <w:top w:val="nil"/>
                    <w:left w:val="nil"/>
                    <w:bottom w:val="single" w:color="auto" w:sz="4" w:space="0"/>
                  </w:tcBorders>
                  <w:vAlign w:val="center"/>
                </w:tcPr>
                <w:p>
                  <w:pPr>
                    <w:keepNext w:val="0"/>
                    <w:keepLines w:val="0"/>
                    <w:widowControl/>
                    <w:suppressLineNumbers w:val="0"/>
                    <w:spacing w:before="0" w:beforeAutospacing="0" w:after="0" w:afterAutospacing="0"/>
                    <w:ind w:left="0" w:leftChars="0" w:right="0" w:firstLine="0" w:firstLineChars="0"/>
                    <w:jc w:val="center"/>
                    <w:rPr>
                      <w:rFonts w:hint="default" w:ascii="Times New Roman" w:hAnsi="Times New Roman" w:eastAsia="宋体" w:cs="Times New Roman"/>
                      <w:b w:val="0"/>
                      <w:bCs w:val="0"/>
                      <w:color w:val="auto"/>
                      <w:kern w:val="2"/>
                      <w:sz w:val="21"/>
                      <w:szCs w:val="21"/>
                    </w:rPr>
                  </w:pPr>
                  <w:r>
                    <w:rPr>
                      <w:rFonts w:hint="eastAsia" w:ascii="宋体" w:hAnsi="宋体" w:eastAsia="宋体" w:cs="宋体"/>
                      <w:color w:val="auto"/>
                      <w:kern w:val="2"/>
                      <w:sz w:val="21"/>
                      <w:szCs w:val="21"/>
                      <w:lang w:val="en-US" w:eastAsia="zh-CN" w:bidi="ar"/>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166" w:hRule="atLeast"/>
                <w:jc w:val="center"/>
              </w:trPr>
              <w:tc>
                <w:tcPr>
                  <w:tcW w:w="1145" w:type="dxa"/>
                  <w:gridSpan w:val="2"/>
                  <w:vMerge w:val="restart"/>
                  <w:tcBorders>
                    <w:top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i w:val="0"/>
                      <w:iCs w:val="0"/>
                      <w:color w:val="auto"/>
                      <w:kern w:val="2"/>
                      <w:sz w:val="21"/>
                      <w:szCs w:val="21"/>
                    </w:rPr>
                  </w:pPr>
                  <w:r>
                    <w:rPr>
                      <w:rFonts w:hint="eastAsia" w:ascii="宋体" w:hAnsi="宋体" w:eastAsia="宋体" w:cs="宋体"/>
                      <w:b w:val="0"/>
                      <w:bCs w:val="0"/>
                      <w:color w:val="auto"/>
                      <w:kern w:val="2"/>
                      <w:sz w:val="21"/>
                      <w:szCs w:val="21"/>
                      <w:lang w:val="en-US" w:eastAsia="zh-CN" w:bidi="ar"/>
                    </w:rPr>
                    <w:t>成品包装</w:t>
                  </w:r>
                </w:p>
              </w:tc>
              <w:tc>
                <w:tcPr>
                  <w:tcW w:w="3338"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b w:val="0"/>
                      <w:bCs w:val="0"/>
                      <w:i w:val="0"/>
                      <w:i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bidi="ar"/>
                    </w:rPr>
                    <w:t>1.</w:t>
                  </w:r>
                  <w:r>
                    <w:rPr>
                      <w:rFonts w:hint="eastAsia" w:ascii="宋体" w:hAnsi="宋体" w:eastAsia="宋体" w:cs="宋体"/>
                      <w:b w:val="0"/>
                      <w:bCs w:val="0"/>
                      <w:color w:val="auto"/>
                      <w:kern w:val="2"/>
                      <w:sz w:val="21"/>
                      <w:szCs w:val="21"/>
                      <w:lang w:val="en-US" w:eastAsia="zh-CN" w:bidi="ar"/>
                    </w:rPr>
                    <w:t>粉状、粒状产品包装卸料口应完全封闭，如不能封闭应采取局部集气除尘措施。卸料口地面应及时清扫，地面无明显积尘；</w:t>
                  </w:r>
                </w:p>
              </w:tc>
              <w:tc>
                <w:tcPr>
                  <w:tcW w:w="2696" w:type="dxa"/>
                  <w:vMerge w:val="restart"/>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both"/>
                    <w:rPr>
                      <w:rFonts w:hint="default" w:ascii="Times New Roman" w:hAnsi="Times New Roman" w:eastAsia="宋体" w:cs="Times New Roman"/>
                      <w:b w:val="0"/>
                      <w:bCs w:val="0"/>
                      <w:i w:val="0"/>
                      <w:iCs w:val="0"/>
                      <w:color w:val="auto"/>
                      <w:kern w:val="2"/>
                      <w:sz w:val="21"/>
                      <w:szCs w:val="21"/>
                    </w:rPr>
                  </w:pPr>
                  <w:r>
                    <w:rPr>
                      <w:rFonts w:hint="eastAsia" w:ascii="宋体" w:hAnsi="宋体" w:eastAsia="宋体" w:cs="宋体"/>
                      <w:b w:val="0"/>
                      <w:bCs w:val="0"/>
                      <w:color w:val="auto"/>
                      <w:kern w:val="2"/>
                      <w:sz w:val="21"/>
                      <w:szCs w:val="21"/>
                      <w:lang w:val="en-US" w:eastAsia="zh-CN" w:bidi="ar"/>
                    </w:rPr>
                    <w:t>本项目卸料口采用吨包袋密闭收集，无可见粉尘外逸，及时清扫，确保地面无积尘，生产车间无可见烟（粉）尘外逸。</w:t>
                  </w:r>
                </w:p>
              </w:tc>
              <w:tc>
                <w:tcPr>
                  <w:tcW w:w="939" w:type="dxa"/>
                  <w:vMerge w:val="restart"/>
                  <w:tcBorders>
                    <w:top w:val="nil"/>
                    <w:left w:val="nil"/>
                    <w:bottom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rPr>
                  </w:pPr>
                  <w:r>
                    <w:rPr>
                      <w:rFonts w:hint="eastAsia" w:ascii="宋体" w:hAnsi="宋体" w:eastAsia="宋体" w:cs="宋体"/>
                      <w:b w:val="0"/>
                      <w:bCs w:val="0"/>
                      <w:color w:val="auto"/>
                      <w:kern w:val="2"/>
                      <w:sz w:val="21"/>
                      <w:szCs w:val="21"/>
                      <w:lang w:val="en-US" w:eastAsia="zh-CN" w:bidi="ar"/>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jc w:val="center"/>
              </w:trPr>
              <w:tc>
                <w:tcPr>
                  <w:tcW w:w="1145" w:type="dxa"/>
                  <w:gridSpan w:val="2"/>
                  <w:vMerge w:val="continue"/>
                  <w:tcBorders>
                    <w:top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c>
                <w:tcPr>
                  <w:tcW w:w="3338"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bidi="ar"/>
                    </w:rPr>
                    <w:t>2.</w:t>
                  </w:r>
                  <w:r>
                    <w:rPr>
                      <w:rFonts w:hint="eastAsia" w:ascii="宋体" w:hAnsi="宋体" w:eastAsia="宋体" w:cs="宋体"/>
                      <w:b w:val="0"/>
                      <w:bCs w:val="0"/>
                      <w:color w:val="auto"/>
                      <w:kern w:val="2"/>
                      <w:sz w:val="21"/>
                      <w:szCs w:val="21"/>
                      <w:lang w:val="en-US" w:eastAsia="zh-CN" w:bidi="ar"/>
                    </w:rPr>
                    <w:t>各生产工序的车间地面干净，无积料、积灰现象；</w:t>
                  </w:r>
                </w:p>
              </w:tc>
              <w:tc>
                <w:tcPr>
                  <w:tcW w:w="2696"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c>
                <w:tcPr>
                  <w:tcW w:w="939" w:type="dxa"/>
                  <w:vMerge w:val="continue"/>
                  <w:tcBorders>
                    <w:top w:val="nil"/>
                    <w:left w:val="nil"/>
                    <w:bottom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jc w:val="center"/>
              </w:trPr>
              <w:tc>
                <w:tcPr>
                  <w:tcW w:w="1145" w:type="dxa"/>
                  <w:gridSpan w:val="2"/>
                  <w:vMerge w:val="continue"/>
                  <w:tcBorders>
                    <w:top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c>
                <w:tcPr>
                  <w:tcW w:w="3338"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bidi="ar"/>
                    </w:rPr>
                    <w:t>3.</w:t>
                  </w:r>
                  <w:r>
                    <w:rPr>
                      <w:rFonts w:hint="eastAsia" w:ascii="宋体" w:hAnsi="宋体" w:eastAsia="宋体" w:cs="宋体"/>
                      <w:b w:val="0"/>
                      <w:bCs w:val="0"/>
                      <w:color w:val="auto"/>
                      <w:kern w:val="2"/>
                      <w:sz w:val="21"/>
                      <w:szCs w:val="21"/>
                      <w:lang w:val="en-US" w:eastAsia="zh-CN" w:bidi="ar"/>
                    </w:rPr>
                    <w:t>生产车间不得有可见烟（粉）尘外逸。</w:t>
                  </w:r>
                </w:p>
              </w:tc>
              <w:tc>
                <w:tcPr>
                  <w:tcW w:w="2696"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c>
                <w:tcPr>
                  <w:tcW w:w="939" w:type="dxa"/>
                  <w:vMerge w:val="continue"/>
                  <w:tcBorders>
                    <w:top w:val="nil"/>
                    <w:left w:val="nil"/>
                    <w:bottom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145" w:type="dxa"/>
                  <w:gridSpan w:val="2"/>
                  <w:tcBorders>
                    <w:top w:val="single" w:color="auto" w:sz="4" w:space="0"/>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rPr>
                  </w:pPr>
                  <w:r>
                    <w:rPr>
                      <w:rFonts w:hint="eastAsia" w:ascii="宋体" w:hAnsi="宋体" w:eastAsia="宋体" w:cs="宋体"/>
                      <w:b w:val="0"/>
                      <w:bCs w:val="0"/>
                      <w:color w:val="auto"/>
                      <w:kern w:val="2"/>
                      <w:sz w:val="21"/>
                      <w:szCs w:val="21"/>
                      <w:lang w:val="en-US" w:eastAsia="zh-CN" w:bidi="ar"/>
                    </w:rPr>
                    <w:t>排放限值</w:t>
                  </w:r>
                </w:p>
              </w:tc>
              <w:tc>
                <w:tcPr>
                  <w:tcW w:w="3338"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bidi="ar"/>
                    </w:rPr>
                    <w:t>PM</w:t>
                  </w:r>
                  <w:r>
                    <w:rPr>
                      <w:rFonts w:hint="eastAsia" w:ascii="宋体" w:hAnsi="宋体" w:eastAsia="宋体" w:cs="宋体"/>
                      <w:b w:val="0"/>
                      <w:bCs w:val="0"/>
                      <w:color w:val="auto"/>
                      <w:kern w:val="2"/>
                      <w:sz w:val="21"/>
                      <w:szCs w:val="21"/>
                      <w:lang w:val="en-US" w:eastAsia="zh-CN" w:bidi="ar"/>
                    </w:rPr>
                    <w:t>排放限值不高于</w:t>
                  </w:r>
                  <w:r>
                    <w:rPr>
                      <w:rFonts w:hint="default" w:ascii="Times New Roman" w:hAnsi="Times New Roman" w:eastAsia="宋体" w:cs="Times New Roman"/>
                      <w:b w:val="0"/>
                      <w:bCs w:val="0"/>
                      <w:color w:val="auto"/>
                      <w:kern w:val="2"/>
                      <w:sz w:val="21"/>
                      <w:szCs w:val="21"/>
                      <w:lang w:val="en-US" w:eastAsia="zh-CN" w:bidi="ar"/>
                    </w:rPr>
                    <w:t>10mg/m</w:t>
                  </w:r>
                  <w:r>
                    <w:rPr>
                      <w:rFonts w:hint="default" w:ascii="Times New Roman" w:hAnsi="Times New Roman" w:eastAsia="宋体" w:cs="Times New Roman"/>
                      <w:b w:val="0"/>
                      <w:bCs w:val="0"/>
                      <w:color w:val="auto"/>
                      <w:kern w:val="2"/>
                      <w:sz w:val="21"/>
                      <w:szCs w:val="21"/>
                      <w:vertAlign w:val="superscript"/>
                      <w:lang w:val="en-US" w:eastAsia="zh-CN" w:bidi="ar"/>
                    </w:rPr>
                    <w:t>3</w:t>
                  </w:r>
                  <w:r>
                    <w:rPr>
                      <w:rFonts w:hint="eastAsia" w:ascii="宋体" w:hAnsi="宋体" w:eastAsia="宋体" w:cs="宋体"/>
                      <w:b w:val="0"/>
                      <w:bCs w:val="0"/>
                      <w:color w:val="auto"/>
                      <w:kern w:val="2"/>
                      <w:sz w:val="21"/>
                      <w:szCs w:val="21"/>
                      <w:lang w:val="en-US" w:eastAsia="zh-CN" w:bidi="ar"/>
                    </w:rPr>
                    <w:t>；其他污染物排放浓度达到相关污染物排放标准。</w:t>
                  </w:r>
                </w:p>
              </w:tc>
              <w:tc>
                <w:tcPr>
                  <w:tcW w:w="269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rPr>
                  </w:pPr>
                  <w:r>
                    <w:rPr>
                      <w:rFonts w:hint="eastAsia" w:ascii="宋体" w:hAnsi="宋体" w:eastAsia="宋体" w:cs="宋体"/>
                      <w:color w:val="auto"/>
                      <w:kern w:val="2"/>
                      <w:sz w:val="21"/>
                      <w:szCs w:val="21"/>
                      <w:lang w:val="en-US" w:eastAsia="zh-CN" w:bidi="ar"/>
                    </w:rPr>
                    <w:t>本项目</w:t>
                  </w:r>
                  <w:r>
                    <w:rPr>
                      <w:rFonts w:hint="default" w:ascii="Times New Roman" w:hAnsi="Times New Roman" w:eastAsia="宋体" w:cs="Times New Roman"/>
                      <w:color w:val="auto"/>
                      <w:kern w:val="2"/>
                      <w:sz w:val="21"/>
                      <w:szCs w:val="21"/>
                      <w:lang w:val="en-US" w:eastAsia="zh-CN" w:bidi="ar"/>
                    </w:rPr>
                    <w:t>PM</w:t>
                  </w:r>
                  <w:r>
                    <w:rPr>
                      <w:rFonts w:hint="eastAsia" w:ascii="宋体" w:hAnsi="宋体" w:eastAsia="宋体" w:cs="宋体"/>
                      <w:color w:val="auto"/>
                      <w:kern w:val="2"/>
                      <w:sz w:val="21"/>
                      <w:szCs w:val="21"/>
                      <w:lang w:val="en-US" w:eastAsia="zh-CN" w:bidi="ar"/>
                    </w:rPr>
                    <w:t>排放限值不高于</w:t>
                  </w:r>
                  <w:r>
                    <w:rPr>
                      <w:rFonts w:hint="default" w:ascii="Times New Roman" w:hAnsi="Times New Roman" w:eastAsia="宋体" w:cs="Times New Roman"/>
                      <w:color w:val="auto"/>
                      <w:kern w:val="2"/>
                      <w:sz w:val="21"/>
                      <w:szCs w:val="21"/>
                      <w:lang w:val="en-US" w:eastAsia="zh-CN" w:bidi="ar"/>
                    </w:rPr>
                    <w:t>10mg/m</w:t>
                  </w:r>
                  <w:r>
                    <w:rPr>
                      <w:rFonts w:hint="default" w:ascii="Times New Roman" w:hAnsi="Times New Roman" w:eastAsia="宋体" w:cs="Times New Roman"/>
                      <w:color w:val="auto"/>
                      <w:kern w:val="2"/>
                      <w:sz w:val="21"/>
                      <w:szCs w:val="21"/>
                      <w:vertAlign w:val="superscript"/>
                      <w:lang w:val="en-US" w:eastAsia="zh-CN" w:bidi="ar"/>
                    </w:rPr>
                    <w:t>3</w:t>
                  </w:r>
                  <w:r>
                    <w:rPr>
                      <w:rFonts w:hint="eastAsia" w:ascii="Times New Roman" w:hAnsi="Times New Roman" w:eastAsia="宋体" w:cs="Times New Roman"/>
                      <w:color w:val="auto"/>
                      <w:kern w:val="2"/>
                      <w:sz w:val="21"/>
                      <w:szCs w:val="21"/>
                      <w:vertAlign w:val="baseline"/>
                      <w:lang w:val="en-US" w:eastAsia="zh-CN" w:bidi="ar"/>
                    </w:rPr>
                    <w:t>。</w:t>
                  </w:r>
                </w:p>
              </w:tc>
              <w:tc>
                <w:tcPr>
                  <w:tcW w:w="939" w:type="dxa"/>
                  <w:tcBorders>
                    <w:top w:val="single" w:color="auto" w:sz="4" w:space="0"/>
                    <w:left w:val="nil"/>
                    <w:bottom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rPr>
                  </w:pPr>
                  <w:r>
                    <w:rPr>
                      <w:rFonts w:hint="eastAsia" w:ascii="宋体" w:hAnsi="宋体" w:eastAsia="宋体" w:cs="宋体"/>
                      <w:b w:val="0"/>
                      <w:bCs w:val="0"/>
                      <w:color w:val="auto"/>
                      <w:kern w:val="2"/>
                      <w:sz w:val="21"/>
                      <w:szCs w:val="21"/>
                      <w:lang w:val="en-US" w:eastAsia="zh-CN" w:bidi="ar"/>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099" w:hRule="atLeast"/>
                <w:jc w:val="center"/>
              </w:trPr>
              <w:tc>
                <w:tcPr>
                  <w:tcW w:w="1145" w:type="dxa"/>
                  <w:gridSpan w:val="2"/>
                  <w:vMerge w:val="restart"/>
                  <w:tcBorders>
                    <w:top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rPr>
                  </w:pPr>
                  <w:r>
                    <w:rPr>
                      <w:rFonts w:hint="eastAsia" w:ascii="宋体" w:hAnsi="宋体" w:eastAsia="宋体" w:cs="宋体"/>
                      <w:b w:val="0"/>
                      <w:bCs w:val="0"/>
                      <w:color w:val="auto"/>
                      <w:kern w:val="2"/>
                      <w:sz w:val="21"/>
                      <w:szCs w:val="21"/>
                      <w:lang w:val="en-US" w:eastAsia="zh-CN" w:bidi="ar"/>
                    </w:rPr>
                    <w:t>无组织管控</w:t>
                  </w:r>
                </w:p>
              </w:tc>
              <w:tc>
                <w:tcPr>
                  <w:tcW w:w="3338" w:type="dxa"/>
                  <w:vMerge w:val="restart"/>
                  <w:tcBorders>
                    <w:top w:val="single" w:color="auto" w:sz="4" w:space="0"/>
                    <w:left w:val="nil"/>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lang w:val="en-US" w:eastAsia="zh-CN" w:bidi="ar"/>
                    </w:rPr>
                  </w:pPr>
                  <w:r>
                    <w:rPr>
                      <w:rFonts w:hint="default" w:ascii="Times New Roman" w:hAnsi="Times New Roman" w:eastAsia="宋体" w:cs="Times New Roman"/>
                      <w:b w:val="0"/>
                      <w:bCs w:val="0"/>
                      <w:color w:val="auto"/>
                      <w:kern w:val="2"/>
                      <w:sz w:val="21"/>
                      <w:szCs w:val="21"/>
                      <w:lang w:val="en-US" w:eastAsia="zh-CN" w:bidi="ar"/>
                    </w:rPr>
                    <w:t>1.</w:t>
                  </w:r>
                  <w:r>
                    <w:rPr>
                      <w:rFonts w:hint="eastAsia" w:ascii="宋体" w:hAnsi="宋体" w:eastAsia="宋体" w:cs="宋体"/>
                      <w:b w:val="0"/>
                      <w:bCs w:val="0"/>
                      <w:color w:val="auto"/>
                      <w:kern w:val="2"/>
                      <w:sz w:val="21"/>
                      <w:szCs w:val="21"/>
                      <w:lang w:val="en-US" w:eastAsia="zh-CN" w:bidi="ar"/>
                    </w:rPr>
                    <w:t>除尘器应设置密闭灰仓并及时卸灰，除尘灰应通过气力输送、罐车、吨包袋等封闭方式卸灰，不得直接卸落到地面；</w:t>
                  </w:r>
                </w:p>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bidi="ar"/>
                    </w:rPr>
                    <w:t>2.</w:t>
                  </w:r>
                  <w:r>
                    <w:rPr>
                      <w:rFonts w:hint="eastAsia" w:ascii="宋体" w:hAnsi="宋体" w:eastAsia="宋体" w:cs="宋体"/>
                      <w:b w:val="0"/>
                      <w:bCs w:val="0"/>
                      <w:color w:val="auto"/>
                      <w:kern w:val="2"/>
                      <w:sz w:val="21"/>
                      <w:szCs w:val="21"/>
                      <w:lang w:val="en-US" w:eastAsia="zh-CN" w:bidi="ar"/>
                    </w:rPr>
                    <w:t>除尘灰如果转运应采用气力输送、封闭传送带方式，如果直接外运应采用罐车或袋装后运输，并在装车过程中采取抑尘措施，除尘灰在厂区内应密闭</w:t>
                  </w:r>
                  <w:r>
                    <w:rPr>
                      <w:rFonts w:hint="default" w:ascii="Times New Roman" w:hAnsi="Times New Roman" w:eastAsia="宋体" w:cs="Times New Roman"/>
                      <w:b w:val="0"/>
                      <w:bCs w:val="0"/>
                      <w:color w:val="auto"/>
                      <w:kern w:val="2"/>
                      <w:sz w:val="21"/>
                      <w:szCs w:val="21"/>
                      <w:lang w:val="en-US" w:eastAsia="zh-CN" w:bidi="ar"/>
                    </w:rPr>
                    <w:t>/</w:t>
                  </w:r>
                  <w:r>
                    <w:rPr>
                      <w:rFonts w:hint="eastAsia" w:ascii="宋体" w:hAnsi="宋体" w:eastAsia="宋体" w:cs="宋体"/>
                      <w:b w:val="0"/>
                      <w:bCs w:val="0"/>
                      <w:color w:val="auto"/>
                      <w:kern w:val="2"/>
                      <w:sz w:val="21"/>
                      <w:szCs w:val="21"/>
                      <w:lang w:val="en-US" w:eastAsia="zh-CN" w:bidi="ar"/>
                    </w:rPr>
                    <w:t>封闭储存；</w:t>
                  </w:r>
                </w:p>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bidi="ar"/>
                    </w:rPr>
                    <w:t>3.</w:t>
                  </w:r>
                  <w:r>
                    <w:rPr>
                      <w:rFonts w:hint="eastAsia" w:ascii="宋体" w:hAnsi="宋体" w:eastAsia="宋体" w:cs="宋体"/>
                      <w:b w:val="0"/>
                      <w:bCs w:val="0"/>
                      <w:color w:val="auto"/>
                      <w:kern w:val="2"/>
                      <w:sz w:val="21"/>
                      <w:szCs w:val="21"/>
                      <w:lang w:val="en-US" w:eastAsia="zh-CN" w:bidi="ar"/>
                    </w:rPr>
                    <w:t>脱硫石膏和脱硫废渣等固体废物在厂区内应封闭储存，在转运过程中应采取封闭抑尘措施并应封闭储存。</w:t>
                  </w:r>
                </w:p>
              </w:tc>
              <w:tc>
                <w:tcPr>
                  <w:tcW w:w="2696" w:type="dxa"/>
                  <w:vMerge w:val="restart"/>
                  <w:tcBorders>
                    <w:top w:val="single" w:color="auto" w:sz="4" w:space="0"/>
                    <w:left w:val="nil"/>
                    <w:right w:val="single" w:color="auto" w:sz="4" w:space="0"/>
                  </w:tcBorders>
                  <w:vAlign w:val="center"/>
                </w:tcPr>
                <w:p>
                  <w:pPr>
                    <w:keepNext w:val="0"/>
                    <w:keepLines w:val="0"/>
                    <w:widowControl/>
                    <w:suppressLineNumbers w:val="0"/>
                    <w:spacing w:before="0" w:beforeLines="0" w:beforeAutospacing="0" w:after="0" w:afterLines="0" w:afterAutospacing="0"/>
                    <w:ind w:left="0" w:right="0"/>
                    <w:jc w:val="both"/>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1-2</w:t>
                  </w:r>
                  <w:r>
                    <w:rPr>
                      <w:rFonts w:hint="eastAsia" w:ascii="宋体" w:hAnsi="宋体" w:eastAsia="宋体" w:cs="宋体"/>
                      <w:color w:val="auto"/>
                      <w:kern w:val="2"/>
                      <w:sz w:val="21"/>
                      <w:szCs w:val="21"/>
                      <w:lang w:val="en-US" w:eastAsia="zh-CN" w:bidi="ar"/>
                    </w:rPr>
                    <w:t>本项目除尘器设有密闭灰仓，及时卸灰，除尘灰产生后采用吨包袋密闭收集，不直接卸落到地面，暂存于危废间内，定期由有相关处置资质的单位拉运处理。</w:t>
                  </w:r>
                </w:p>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color w:val="auto"/>
                      <w:kern w:val="2"/>
                      <w:sz w:val="21"/>
                      <w:szCs w:val="21"/>
                      <w:lang w:val="en-US" w:eastAsia="zh-CN" w:bidi="ar"/>
                    </w:rPr>
                    <w:t>3.</w:t>
                  </w:r>
                  <w:r>
                    <w:rPr>
                      <w:rFonts w:hint="eastAsia" w:ascii="宋体" w:hAnsi="宋体" w:eastAsia="宋体" w:cs="宋体"/>
                      <w:color w:val="auto"/>
                      <w:kern w:val="2"/>
                      <w:sz w:val="21"/>
                      <w:szCs w:val="21"/>
                      <w:lang w:val="en-US" w:eastAsia="zh-CN" w:bidi="ar"/>
                    </w:rPr>
                    <w:t>不涉及。</w:t>
                  </w:r>
                </w:p>
              </w:tc>
              <w:tc>
                <w:tcPr>
                  <w:tcW w:w="939" w:type="dxa"/>
                  <w:tcBorders>
                    <w:top w:val="single" w:color="auto" w:sz="4" w:space="0"/>
                    <w:left w:val="nil"/>
                    <w:bottom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rPr>
                  </w:pPr>
                  <w:r>
                    <w:rPr>
                      <w:rFonts w:hint="eastAsia" w:ascii="宋体" w:hAnsi="宋体" w:eastAsia="宋体" w:cs="宋体"/>
                      <w:b w:val="0"/>
                      <w:bCs w:val="0"/>
                      <w:color w:val="auto"/>
                      <w:kern w:val="2"/>
                      <w:sz w:val="21"/>
                      <w:szCs w:val="21"/>
                      <w:lang w:val="en-US" w:eastAsia="zh-CN" w:bidi="ar"/>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561" w:hRule="atLeast"/>
                <w:jc w:val="center"/>
              </w:trPr>
              <w:tc>
                <w:tcPr>
                  <w:tcW w:w="1145" w:type="dxa"/>
                  <w:gridSpan w:val="2"/>
                  <w:vMerge w:val="continue"/>
                  <w:tcBorders>
                    <w:top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c>
                <w:tcPr>
                  <w:tcW w:w="3338" w:type="dxa"/>
                  <w:vMerge w:val="continue"/>
                  <w:tcBorders>
                    <w:left w:val="nil"/>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rPr>
                  </w:pPr>
                </w:p>
              </w:tc>
              <w:tc>
                <w:tcPr>
                  <w:tcW w:w="2696" w:type="dxa"/>
                  <w:vMerge w:val="continue"/>
                  <w:tcBorders>
                    <w:left w:val="nil"/>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rPr>
                  </w:pPr>
                </w:p>
              </w:tc>
              <w:tc>
                <w:tcPr>
                  <w:tcW w:w="939" w:type="dxa"/>
                  <w:tcBorders>
                    <w:top w:val="single" w:color="auto" w:sz="4" w:space="0"/>
                    <w:left w:val="nil"/>
                    <w:bottom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rPr>
                  </w:pPr>
                  <w:r>
                    <w:rPr>
                      <w:rFonts w:hint="eastAsia" w:ascii="宋体" w:hAnsi="宋体" w:eastAsia="宋体" w:cs="宋体"/>
                      <w:b w:val="0"/>
                      <w:bCs w:val="0"/>
                      <w:color w:val="auto"/>
                      <w:kern w:val="2"/>
                      <w:sz w:val="21"/>
                      <w:szCs w:val="21"/>
                      <w:lang w:val="en-US" w:eastAsia="zh-CN" w:bidi="ar"/>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854" w:hRule="atLeast"/>
                <w:jc w:val="center"/>
              </w:trPr>
              <w:tc>
                <w:tcPr>
                  <w:tcW w:w="1145" w:type="dxa"/>
                  <w:gridSpan w:val="2"/>
                  <w:vMerge w:val="continue"/>
                  <w:tcBorders>
                    <w:top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c>
                <w:tcPr>
                  <w:tcW w:w="3338" w:type="dxa"/>
                  <w:vMerge w:val="continue"/>
                  <w:tcBorders>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rPr>
                  </w:pPr>
                </w:p>
              </w:tc>
              <w:tc>
                <w:tcPr>
                  <w:tcW w:w="2696" w:type="dxa"/>
                  <w:vMerge w:val="continue"/>
                  <w:tcBorders>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rPr>
                  </w:pPr>
                </w:p>
              </w:tc>
              <w:tc>
                <w:tcPr>
                  <w:tcW w:w="939" w:type="dxa"/>
                  <w:tcBorders>
                    <w:top w:val="single" w:color="auto" w:sz="4" w:space="0"/>
                    <w:left w:val="nil"/>
                    <w:bottom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rPr>
                  </w:pPr>
                  <w:r>
                    <w:rPr>
                      <w:rFonts w:hint="eastAsia" w:ascii="宋体" w:hAnsi="宋体" w:eastAsia="宋体" w:cs="宋体"/>
                      <w:b w:val="0"/>
                      <w:bCs w:val="0"/>
                      <w:color w:val="auto"/>
                      <w:kern w:val="2"/>
                      <w:sz w:val="21"/>
                      <w:szCs w:val="21"/>
                      <w:lang w:val="en-US" w:eastAsia="zh-CN" w:bidi="ar"/>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145" w:type="dxa"/>
                  <w:gridSpan w:val="2"/>
                  <w:tcBorders>
                    <w:top w:val="single" w:color="auto" w:sz="4" w:space="0"/>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rPr>
                  </w:pPr>
                  <w:r>
                    <w:rPr>
                      <w:rFonts w:hint="eastAsia" w:ascii="宋体" w:hAnsi="宋体" w:eastAsia="宋体" w:cs="宋体"/>
                      <w:b w:val="0"/>
                      <w:bCs w:val="0"/>
                      <w:color w:val="auto"/>
                      <w:kern w:val="2"/>
                      <w:sz w:val="21"/>
                      <w:szCs w:val="21"/>
                      <w:lang w:val="en-US" w:eastAsia="zh-CN" w:bidi="ar"/>
                    </w:rPr>
                    <w:t>视频监管</w:t>
                  </w:r>
                </w:p>
              </w:tc>
              <w:tc>
                <w:tcPr>
                  <w:tcW w:w="3338"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rPr>
                  </w:pPr>
                  <w:r>
                    <w:rPr>
                      <w:rFonts w:hint="eastAsia" w:ascii="宋体" w:hAnsi="宋体" w:eastAsia="宋体" w:cs="宋体"/>
                      <w:b w:val="0"/>
                      <w:bCs w:val="0"/>
                      <w:color w:val="auto"/>
                      <w:kern w:val="2"/>
                      <w:sz w:val="21"/>
                      <w:szCs w:val="21"/>
                      <w:lang w:val="en-US" w:eastAsia="zh-CN" w:bidi="ar"/>
                    </w:rPr>
                    <w:t>未安装自动在线监控的企业，应在主要生产设备（投料口、卸料口等位置）安装视频监控设施，相关数据保存</w:t>
                  </w:r>
                  <w:r>
                    <w:rPr>
                      <w:rFonts w:hint="default" w:ascii="Times New Roman" w:hAnsi="Times New Roman" w:eastAsia="宋体" w:cs="Times New Roman"/>
                      <w:b w:val="0"/>
                      <w:bCs w:val="0"/>
                      <w:color w:val="auto"/>
                      <w:kern w:val="2"/>
                      <w:sz w:val="21"/>
                      <w:szCs w:val="21"/>
                      <w:lang w:val="en-US" w:eastAsia="zh-CN" w:bidi="ar"/>
                    </w:rPr>
                    <w:t>6</w:t>
                  </w:r>
                  <w:r>
                    <w:rPr>
                      <w:rFonts w:hint="eastAsia" w:ascii="宋体" w:hAnsi="宋体" w:eastAsia="宋体" w:cs="宋体"/>
                      <w:b w:val="0"/>
                      <w:bCs w:val="0"/>
                      <w:color w:val="auto"/>
                      <w:kern w:val="2"/>
                      <w:sz w:val="21"/>
                      <w:szCs w:val="21"/>
                      <w:lang w:val="en-US" w:eastAsia="zh-CN" w:bidi="ar"/>
                    </w:rPr>
                    <w:t>个月以上。</w:t>
                  </w:r>
                </w:p>
              </w:tc>
              <w:tc>
                <w:tcPr>
                  <w:tcW w:w="269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rPr>
                  </w:pPr>
                  <w:r>
                    <w:rPr>
                      <w:rFonts w:hint="eastAsia" w:ascii="宋体" w:hAnsi="宋体" w:eastAsia="宋体" w:cs="宋体"/>
                      <w:color w:val="auto"/>
                      <w:kern w:val="2"/>
                      <w:sz w:val="21"/>
                      <w:szCs w:val="21"/>
                      <w:lang w:val="en-US" w:eastAsia="zh-CN" w:bidi="ar"/>
                    </w:rPr>
                    <w:t>按要求安装视频监控措施，相关数据应保存</w:t>
                  </w:r>
                  <w:r>
                    <w:rPr>
                      <w:rFonts w:hint="default" w:ascii="Times New Roman" w:hAnsi="Times New Roman" w:eastAsia="宋体" w:cs="Times New Roman"/>
                      <w:color w:val="auto"/>
                      <w:kern w:val="2"/>
                      <w:sz w:val="21"/>
                      <w:szCs w:val="21"/>
                      <w:lang w:val="en-US" w:eastAsia="zh-CN" w:bidi="ar"/>
                    </w:rPr>
                    <w:t>6</w:t>
                  </w:r>
                  <w:r>
                    <w:rPr>
                      <w:rFonts w:hint="eastAsia" w:ascii="宋体" w:hAnsi="宋体" w:eastAsia="宋体" w:cs="宋体"/>
                      <w:color w:val="auto"/>
                      <w:kern w:val="2"/>
                      <w:sz w:val="21"/>
                      <w:szCs w:val="21"/>
                      <w:lang w:val="en-US" w:eastAsia="zh-CN" w:bidi="ar"/>
                    </w:rPr>
                    <w:t>个月以上。</w:t>
                  </w:r>
                </w:p>
              </w:tc>
              <w:tc>
                <w:tcPr>
                  <w:tcW w:w="939" w:type="dxa"/>
                  <w:tcBorders>
                    <w:top w:val="single" w:color="auto" w:sz="4" w:space="0"/>
                    <w:left w:val="nil"/>
                    <w:bottom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rPr>
                  </w:pPr>
                  <w:r>
                    <w:rPr>
                      <w:rFonts w:hint="eastAsia" w:ascii="宋体" w:hAnsi="宋体" w:eastAsia="宋体" w:cs="宋体"/>
                      <w:b w:val="0"/>
                      <w:bCs w:val="0"/>
                      <w:color w:val="auto"/>
                      <w:kern w:val="2"/>
                      <w:sz w:val="21"/>
                      <w:szCs w:val="21"/>
                      <w:lang w:val="en-US" w:eastAsia="zh-CN" w:bidi="ar"/>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768" w:hRule="atLeast"/>
                <w:jc w:val="center"/>
              </w:trPr>
              <w:tc>
                <w:tcPr>
                  <w:tcW w:w="1145" w:type="dxa"/>
                  <w:gridSpan w:val="2"/>
                  <w:tcBorders>
                    <w:top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rPr>
                  </w:pPr>
                  <w:r>
                    <w:rPr>
                      <w:rFonts w:hint="eastAsia" w:ascii="宋体" w:hAnsi="宋体" w:eastAsia="宋体" w:cs="宋体"/>
                      <w:b w:val="0"/>
                      <w:bCs w:val="0"/>
                      <w:color w:val="auto"/>
                      <w:kern w:val="2"/>
                      <w:sz w:val="21"/>
                      <w:szCs w:val="21"/>
                      <w:lang w:val="en-US" w:eastAsia="zh-CN" w:bidi="ar"/>
                    </w:rPr>
                    <w:t>厂容厂貌</w:t>
                  </w:r>
                </w:p>
              </w:tc>
              <w:tc>
                <w:tcPr>
                  <w:tcW w:w="3338" w:type="dxa"/>
                  <w:tcBorders>
                    <w:top w:val="single" w:color="auto" w:sz="4" w:space="0"/>
                    <w:left w:val="nil"/>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lang w:val="en-US" w:eastAsia="zh-CN" w:bidi="ar"/>
                    </w:rPr>
                  </w:pPr>
                  <w:r>
                    <w:rPr>
                      <w:rFonts w:hint="default" w:ascii="Times New Roman" w:hAnsi="Times New Roman" w:eastAsia="宋体" w:cs="Times New Roman"/>
                      <w:b w:val="0"/>
                      <w:bCs w:val="0"/>
                      <w:color w:val="auto"/>
                      <w:kern w:val="2"/>
                      <w:sz w:val="21"/>
                      <w:szCs w:val="21"/>
                      <w:lang w:val="en-US" w:eastAsia="zh-CN" w:bidi="ar"/>
                    </w:rPr>
                    <w:t>1.</w:t>
                  </w:r>
                  <w:r>
                    <w:rPr>
                      <w:rFonts w:hint="eastAsia" w:ascii="宋体" w:hAnsi="宋体" w:eastAsia="宋体" w:cs="宋体"/>
                      <w:b w:val="0"/>
                      <w:bCs w:val="0"/>
                      <w:color w:val="auto"/>
                      <w:kern w:val="2"/>
                      <w:sz w:val="21"/>
                      <w:szCs w:val="21"/>
                      <w:lang w:val="en-US" w:eastAsia="zh-CN" w:bidi="ar"/>
                    </w:rPr>
                    <w:t>厂区内道路、原辅材料和燃料堆场等路面应硬化；</w:t>
                  </w:r>
                </w:p>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bidi="ar"/>
                    </w:rPr>
                    <w:t>2.</w:t>
                  </w:r>
                  <w:r>
                    <w:rPr>
                      <w:rFonts w:hint="eastAsia" w:ascii="宋体" w:hAnsi="宋体" w:eastAsia="宋体" w:cs="宋体"/>
                      <w:b w:val="0"/>
                      <w:bCs w:val="0"/>
                      <w:color w:val="auto"/>
                      <w:kern w:val="2"/>
                      <w:sz w:val="21"/>
                      <w:szCs w:val="21"/>
                      <w:lang w:val="en-US" w:eastAsia="zh-CN" w:bidi="ar"/>
                    </w:rPr>
                    <w:t>厂区内道路采取定期清扫、洒水等措施，保持清洁，路面无明显可见积尘；</w:t>
                  </w:r>
                </w:p>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bidi="ar"/>
                    </w:rPr>
                    <w:t>3.</w:t>
                  </w:r>
                  <w:r>
                    <w:rPr>
                      <w:rFonts w:hint="eastAsia" w:ascii="宋体" w:hAnsi="宋体" w:eastAsia="宋体" w:cs="宋体"/>
                      <w:b w:val="0"/>
                      <w:bCs w:val="0"/>
                      <w:color w:val="auto"/>
                      <w:kern w:val="2"/>
                      <w:sz w:val="21"/>
                      <w:szCs w:val="21"/>
                      <w:lang w:val="en-US" w:eastAsia="zh-CN" w:bidi="ar"/>
                    </w:rPr>
                    <w:t>其他未利用地优先绿化，或进行硬化，无成片裸露土地。</w:t>
                  </w:r>
                </w:p>
              </w:tc>
              <w:tc>
                <w:tcPr>
                  <w:tcW w:w="2696"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color w:val="auto"/>
                      <w:kern w:val="2"/>
                      <w:sz w:val="21"/>
                      <w:szCs w:val="21"/>
                    </w:rPr>
                  </w:pPr>
                  <w:r>
                    <w:rPr>
                      <w:rFonts w:hint="eastAsia" w:ascii="Times New Roman" w:hAnsi="Times New Roman" w:cs="Times New Roman"/>
                      <w:color w:val="auto"/>
                    </w:rPr>
                    <w:t>厂区内道路、生产车间地面硬化；厂区道路采取定期清扫、洒水等措施，保持清洁，路面无明显可见积尘；其他未利用地优先绿化，或进行硬化，无成片裸露土地。</w:t>
                  </w:r>
                </w:p>
              </w:tc>
              <w:tc>
                <w:tcPr>
                  <w:tcW w:w="939" w:type="dxa"/>
                  <w:tcBorders>
                    <w:top w:val="nil"/>
                    <w:left w:val="nil"/>
                    <w:bottom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rPr>
                  </w:pPr>
                  <w:r>
                    <w:rPr>
                      <w:rFonts w:hint="eastAsia" w:ascii="宋体" w:hAnsi="宋体" w:eastAsia="宋体" w:cs="宋体"/>
                      <w:b w:val="0"/>
                      <w:bCs w:val="0"/>
                      <w:color w:val="auto"/>
                      <w:kern w:val="2"/>
                      <w:sz w:val="21"/>
                      <w:szCs w:val="21"/>
                      <w:lang w:val="en-US" w:eastAsia="zh-CN" w:bidi="ar"/>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70" w:type="dxa"/>
                  <w:vMerge w:val="restart"/>
                  <w:tcBorders>
                    <w:top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rPr>
                  </w:pPr>
                  <w:r>
                    <w:rPr>
                      <w:rFonts w:hint="eastAsia" w:ascii="宋体" w:hAnsi="宋体" w:eastAsia="宋体" w:cs="宋体"/>
                      <w:b w:val="0"/>
                      <w:bCs w:val="0"/>
                      <w:color w:val="auto"/>
                      <w:kern w:val="2"/>
                      <w:sz w:val="21"/>
                      <w:szCs w:val="21"/>
                      <w:lang w:val="en-US" w:eastAsia="zh-CN" w:bidi="ar"/>
                    </w:rPr>
                    <w:t>环境管理水平</w:t>
                  </w:r>
                </w:p>
              </w:tc>
              <w:tc>
                <w:tcPr>
                  <w:tcW w:w="575"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rPr>
                  </w:pPr>
                  <w:r>
                    <w:rPr>
                      <w:rFonts w:hint="eastAsia" w:ascii="宋体" w:hAnsi="宋体" w:eastAsia="宋体" w:cs="宋体"/>
                      <w:b w:val="0"/>
                      <w:bCs w:val="0"/>
                      <w:color w:val="auto"/>
                      <w:kern w:val="2"/>
                      <w:sz w:val="21"/>
                      <w:szCs w:val="21"/>
                      <w:lang w:val="en-US" w:eastAsia="zh-CN" w:bidi="ar"/>
                    </w:rPr>
                    <w:t>环保档案</w:t>
                  </w:r>
                </w:p>
              </w:tc>
              <w:tc>
                <w:tcPr>
                  <w:tcW w:w="3338"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bidi="ar"/>
                    </w:rPr>
                    <w:t>1.</w:t>
                  </w:r>
                  <w:r>
                    <w:rPr>
                      <w:rFonts w:hint="eastAsia" w:ascii="宋体" w:hAnsi="宋体" w:eastAsia="宋体" w:cs="宋体"/>
                      <w:b w:val="0"/>
                      <w:bCs w:val="0"/>
                      <w:color w:val="auto"/>
                      <w:kern w:val="2"/>
                      <w:sz w:val="21"/>
                      <w:szCs w:val="21"/>
                      <w:lang w:val="en-US" w:eastAsia="zh-CN" w:bidi="ar"/>
                    </w:rPr>
                    <w:t>环评批复文件和竣工验收文件</w:t>
                  </w:r>
                  <w:r>
                    <w:rPr>
                      <w:rFonts w:hint="default" w:ascii="Times New Roman" w:hAnsi="Times New Roman" w:eastAsia="宋体" w:cs="Times New Roman"/>
                      <w:b w:val="0"/>
                      <w:bCs w:val="0"/>
                      <w:color w:val="auto"/>
                      <w:kern w:val="2"/>
                      <w:sz w:val="21"/>
                      <w:szCs w:val="21"/>
                      <w:lang w:val="en-US" w:eastAsia="zh-CN" w:bidi="ar"/>
                    </w:rPr>
                    <w:t>/</w:t>
                  </w:r>
                  <w:r>
                    <w:rPr>
                      <w:rFonts w:hint="eastAsia" w:ascii="宋体" w:hAnsi="宋体" w:eastAsia="宋体" w:cs="宋体"/>
                      <w:b w:val="0"/>
                      <w:bCs w:val="0"/>
                      <w:color w:val="auto"/>
                      <w:kern w:val="2"/>
                      <w:sz w:val="21"/>
                      <w:szCs w:val="21"/>
                      <w:lang w:val="en-US" w:eastAsia="zh-CN" w:bidi="ar"/>
                    </w:rPr>
                    <w:t>现状评估文件；</w:t>
                  </w:r>
                </w:p>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bidi="ar"/>
                    </w:rPr>
                    <w:t>2.</w:t>
                  </w:r>
                  <w:r>
                    <w:rPr>
                      <w:rFonts w:hint="eastAsia" w:ascii="宋体" w:hAnsi="宋体" w:eastAsia="宋体" w:cs="宋体"/>
                      <w:b w:val="0"/>
                      <w:bCs w:val="0"/>
                      <w:color w:val="auto"/>
                      <w:kern w:val="2"/>
                      <w:sz w:val="21"/>
                      <w:szCs w:val="21"/>
                      <w:lang w:val="en-US" w:eastAsia="zh-CN" w:bidi="ar"/>
                    </w:rPr>
                    <w:t>废气治理设施运行管理规程；</w:t>
                  </w:r>
                </w:p>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bidi="ar"/>
                    </w:rPr>
                    <w:t>3.</w:t>
                  </w:r>
                  <w:r>
                    <w:rPr>
                      <w:rFonts w:hint="eastAsia" w:ascii="宋体" w:hAnsi="宋体" w:eastAsia="宋体" w:cs="宋体"/>
                      <w:b w:val="0"/>
                      <w:bCs w:val="0"/>
                      <w:color w:val="auto"/>
                      <w:kern w:val="2"/>
                      <w:sz w:val="21"/>
                      <w:szCs w:val="21"/>
                      <w:lang w:val="en-US" w:eastAsia="zh-CN" w:bidi="ar"/>
                    </w:rPr>
                    <w:t>一年内废气监测报告；</w:t>
                  </w:r>
                </w:p>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bidi="ar"/>
                    </w:rPr>
                    <w:t>4.</w:t>
                  </w:r>
                  <w:r>
                    <w:rPr>
                      <w:rFonts w:hint="eastAsia" w:ascii="宋体" w:hAnsi="宋体" w:eastAsia="宋体" w:cs="宋体"/>
                      <w:b w:val="0"/>
                      <w:bCs w:val="0"/>
                      <w:color w:val="auto"/>
                      <w:kern w:val="2"/>
                      <w:sz w:val="21"/>
                      <w:szCs w:val="21"/>
                      <w:lang w:val="en-US" w:eastAsia="zh-CN" w:bidi="ar"/>
                    </w:rPr>
                    <w:t>国家版排污许可证，并按要求开展自行监测和信息披露，规范设置废气排放口标志牌、二维码标识和采样平台、采样孔。</w:t>
                  </w:r>
                </w:p>
              </w:tc>
              <w:tc>
                <w:tcPr>
                  <w:tcW w:w="269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rPr>
                  </w:pPr>
                  <w:r>
                    <w:rPr>
                      <w:rFonts w:hint="eastAsia" w:ascii="宋体" w:hAnsi="宋体" w:eastAsia="宋体" w:cs="宋体"/>
                      <w:b w:val="0"/>
                      <w:bCs w:val="0"/>
                      <w:color w:val="auto"/>
                      <w:kern w:val="2"/>
                      <w:sz w:val="21"/>
                      <w:szCs w:val="21"/>
                      <w:lang w:val="en-US" w:eastAsia="zh-CN" w:bidi="ar"/>
                    </w:rPr>
                    <w:t>企业对环保档案进行整理归档：①环评批复文件、竣工验收文件；②废气治理设施运行管理规程；③一年内废气检测报告；④排污许可证，按要求开展自行检测，规范的排气筒监测平台和排污口标识。</w:t>
                  </w:r>
                </w:p>
              </w:tc>
              <w:tc>
                <w:tcPr>
                  <w:tcW w:w="939" w:type="dxa"/>
                  <w:tcBorders>
                    <w:top w:val="single" w:color="auto" w:sz="4" w:space="0"/>
                    <w:left w:val="nil"/>
                    <w:bottom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rPr>
                  </w:pPr>
                  <w:r>
                    <w:rPr>
                      <w:rFonts w:hint="eastAsia" w:ascii="宋体" w:hAnsi="宋体" w:eastAsia="宋体" w:cs="宋体"/>
                      <w:b w:val="0"/>
                      <w:bCs w:val="0"/>
                      <w:color w:val="auto"/>
                      <w:kern w:val="2"/>
                      <w:sz w:val="21"/>
                      <w:szCs w:val="21"/>
                      <w:lang w:val="en-US" w:eastAsia="zh-CN" w:bidi="ar"/>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70" w:type="dxa"/>
                  <w:vMerge w:val="continue"/>
                  <w:tcBorders>
                    <w:top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c>
                <w:tcPr>
                  <w:tcW w:w="575"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rPr>
                  </w:pPr>
                  <w:r>
                    <w:rPr>
                      <w:rFonts w:hint="eastAsia" w:ascii="宋体" w:hAnsi="宋体" w:eastAsia="宋体" w:cs="宋体"/>
                      <w:b w:val="0"/>
                      <w:bCs w:val="0"/>
                      <w:color w:val="auto"/>
                      <w:kern w:val="2"/>
                      <w:sz w:val="21"/>
                      <w:szCs w:val="21"/>
                      <w:lang w:val="en-US" w:eastAsia="zh-CN" w:bidi="ar"/>
                    </w:rPr>
                    <w:t>台账记录</w:t>
                  </w:r>
                </w:p>
              </w:tc>
              <w:tc>
                <w:tcPr>
                  <w:tcW w:w="3338"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bidi="ar"/>
                    </w:rPr>
                    <w:t>1.</w:t>
                  </w:r>
                  <w:r>
                    <w:rPr>
                      <w:rFonts w:hint="eastAsia" w:ascii="宋体" w:hAnsi="宋体" w:eastAsia="宋体" w:cs="宋体"/>
                      <w:b w:val="0"/>
                      <w:bCs w:val="0"/>
                      <w:color w:val="auto"/>
                      <w:kern w:val="2"/>
                      <w:sz w:val="21"/>
                      <w:szCs w:val="21"/>
                      <w:lang w:val="en-US" w:eastAsia="zh-CN" w:bidi="ar"/>
                    </w:rPr>
                    <w:t>生产设施运行管理信息（生产时间、运行负荷、产品产量等）；</w:t>
                  </w:r>
                </w:p>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bidi="ar"/>
                    </w:rPr>
                    <w:t>2.</w:t>
                  </w:r>
                  <w:r>
                    <w:rPr>
                      <w:rFonts w:hint="eastAsia" w:ascii="宋体" w:hAnsi="宋体" w:eastAsia="宋体" w:cs="宋体"/>
                      <w:b w:val="0"/>
                      <w:bCs w:val="0"/>
                      <w:color w:val="auto"/>
                      <w:kern w:val="2"/>
                      <w:sz w:val="21"/>
                      <w:szCs w:val="21"/>
                      <w:lang w:val="en-US" w:eastAsia="zh-CN" w:bidi="ar"/>
                    </w:rPr>
                    <w:t>废气污染治理设施运行管理信息（除尘滤料等更换量和时间）；</w:t>
                  </w:r>
                </w:p>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bidi="ar"/>
                    </w:rPr>
                    <w:t>3.</w:t>
                  </w:r>
                  <w:r>
                    <w:rPr>
                      <w:rFonts w:hint="eastAsia" w:ascii="宋体" w:hAnsi="宋体" w:eastAsia="宋体" w:cs="宋体"/>
                      <w:b w:val="0"/>
                      <w:bCs w:val="0"/>
                      <w:color w:val="auto"/>
                      <w:kern w:val="2"/>
                      <w:sz w:val="21"/>
                      <w:szCs w:val="21"/>
                      <w:lang w:val="en-US" w:eastAsia="zh-CN" w:bidi="ar"/>
                    </w:rPr>
                    <w:t>监测记录信息（主要污染排放口废气排放记录（手工监测和在线监测）等）；</w:t>
                  </w:r>
                </w:p>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bidi="ar"/>
                    </w:rPr>
                    <w:t>4.</w:t>
                  </w:r>
                  <w:r>
                    <w:rPr>
                      <w:rFonts w:hint="eastAsia" w:ascii="宋体" w:hAnsi="宋体" w:eastAsia="宋体" w:cs="宋体"/>
                      <w:b w:val="0"/>
                      <w:bCs w:val="0"/>
                      <w:color w:val="auto"/>
                      <w:kern w:val="2"/>
                      <w:sz w:val="21"/>
                      <w:szCs w:val="21"/>
                      <w:lang w:val="en-US" w:eastAsia="zh-CN" w:bidi="ar"/>
                    </w:rPr>
                    <w:t>主要原辅材料、燃料消耗记录；</w:t>
                  </w:r>
                </w:p>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bidi="ar"/>
                    </w:rPr>
                    <w:t>5.</w:t>
                  </w:r>
                  <w:r>
                    <w:rPr>
                      <w:rFonts w:hint="eastAsia" w:ascii="宋体" w:hAnsi="宋体" w:eastAsia="宋体" w:cs="宋体"/>
                      <w:b w:val="0"/>
                      <w:bCs w:val="0"/>
                      <w:color w:val="auto"/>
                      <w:kern w:val="2"/>
                      <w:sz w:val="21"/>
                      <w:szCs w:val="21"/>
                      <w:lang w:val="en-US" w:eastAsia="zh-CN" w:bidi="ar"/>
                    </w:rPr>
                    <w:t>电消耗记录。</w:t>
                  </w:r>
                </w:p>
              </w:tc>
              <w:tc>
                <w:tcPr>
                  <w:tcW w:w="269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both"/>
                    <w:rPr>
                      <w:rFonts w:hint="default" w:ascii="Times New Roman" w:hAnsi="Times New Roman" w:eastAsia="宋体" w:cs="Times New Roman"/>
                      <w:b w:val="0"/>
                      <w:bCs w:val="0"/>
                      <w:color w:val="auto"/>
                      <w:kern w:val="2"/>
                      <w:sz w:val="21"/>
                      <w:szCs w:val="21"/>
                    </w:rPr>
                  </w:pPr>
                  <w:r>
                    <w:rPr>
                      <w:rFonts w:hint="eastAsia" w:ascii="宋体" w:hAnsi="宋体" w:eastAsia="宋体" w:cs="宋体"/>
                      <w:b w:val="0"/>
                      <w:bCs w:val="0"/>
                      <w:color w:val="auto"/>
                      <w:kern w:val="2"/>
                      <w:sz w:val="21"/>
                      <w:szCs w:val="21"/>
                      <w:lang w:val="en-US" w:eastAsia="zh-CN" w:bidi="ar"/>
                    </w:rPr>
                    <w:t>企业按照要求进行台账记录，保证信息完整：①生产设施运行管理记录；②废气污染治理设施运行管理信息记录；③监测记录信息；④主要原辅材料；⑤电消耗记录。</w:t>
                  </w:r>
                </w:p>
              </w:tc>
              <w:tc>
                <w:tcPr>
                  <w:tcW w:w="939" w:type="dxa"/>
                  <w:tcBorders>
                    <w:top w:val="single" w:color="auto" w:sz="4" w:space="0"/>
                    <w:left w:val="nil"/>
                    <w:bottom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rPr>
                  </w:pPr>
                  <w:r>
                    <w:rPr>
                      <w:rFonts w:hint="eastAsia" w:ascii="宋体" w:hAnsi="宋体" w:eastAsia="宋体" w:cs="宋体"/>
                      <w:b w:val="0"/>
                      <w:bCs w:val="0"/>
                      <w:color w:val="auto"/>
                      <w:kern w:val="2"/>
                      <w:sz w:val="21"/>
                      <w:szCs w:val="21"/>
                      <w:lang w:val="en-US" w:eastAsia="zh-CN" w:bidi="ar"/>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70" w:type="dxa"/>
                  <w:vMerge w:val="continue"/>
                  <w:tcBorders>
                    <w:top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c>
                <w:tcPr>
                  <w:tcW w:w="575"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rPr>
                  </w:pPr>
                  <w:r>
                    <w:rPr>
                      <w:rFonts w:hint="eastAsia" w:ascii="宋体" w:hAnsi="宋体" w:eastAsia="宋体" w:cs="宋体"/>
                      <w:b w:val="0"/>
                      <w:bCs w:val="0"/>
                      <w:color w:val="auto"/>
                      <w:kern w:val="2"/>
                      <w:sz w:val="21"/>
                      <w:szCs w:val="21"/>
                      <w:lang w:val="en-US" w:eastAsia="zh-CN" w:bidi="ar"/>
                    </w:rPr>
                    <w:t>人员配置</w:t>
                  </w:r>
                </w:p>
              </w:tc>
              <w:tc>
                <w:tcPr>
                  <w:tcW w:w="3338"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rPr>
                  </w:pPr>
                  <w:r>
                    <w:rPr>
                      <w:rFonts w:hint="eastAsia" w:ascii="宋体" w:hAnsi="宋体" w:eastAsia="宋体" w:cs="宋体"/>
                      <w:b w:val="0"/>
                      <w:bCs w:val="0"/>
                      <w:color w:val="auto"/>
                      <w:kern w:val="2"/>
                      <w:sz w:val="21"/>
                      <w:szCs w:val="21"/>
                      <w:lang w:val="en-US" w:eastAsia="zh-CN" w:bidi="ar"/>
                    </w:rPr>
                    <w:t>配备专职环保人员，并具备相应的环境管理能力（学历、培训、从业经验等）。</w:t>
                  </w:r>
                </w:p>
              </w:tc>
              <w:tc>
                <w:tcPr>
                  <w:tcW w:w="269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rPr>
                  </w:pPr>
                  <w:r>
                    <w:rPr>
                      <w:rFonts w:hint="eastAsia" w:ascii="宋体" w:hAnsi="宋体" w:eastAsia="宋体" w:cs="宋体"/>
                      <w:b w:val="0"/>
                      <w:bCs w:val="0"/>
                      <w:color w:val="auto"/>
                      <w:kern w:val="2"/>
                      <w:sz w:val="21"/>
                      <w:szCs w:val="21"/>
                      <w:lang w:val="en-US" w:eastAsia="zh-CN" w:bidi="ar"/>
                    </w:rPr>
                    <w:t>企业配备专职环保人员，并具备相应的环境管理能力。</w:t>
                  </w:r>
                </w:p>
              </w:tc>
              <w:tc>
                <w:tcPr>
                  <w:tcW w:w="939" w:type="dxa"/>
                  <w:tcBorders>
                    <w:top w:val="single" w:color="auto" w:sz="4" w:space="0"/>
                    <w:left w:val="nil"/>
                    <w:bottom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rPr>
                  </w:pPr>
                  <w:r>
                    <w:rPr>
                      <w:rFonts w:hint="eastAsia" w:ascii="宋体" w:hAnsi="宋体" w:eastAsia="宋体" w:cs="宋体"/>
                      <w:b w:val="0"/>
                      <w:bCs w:val="0"/>
                      <w:color w:val="auto"/>
                      <w:kern w:val="2"/>
                      <w:sz w:val="21"/>
                      <w:szCs w:val="21"/>
                      <w:lang w:val="en-US" w:eastAsia="zh-CN" w:bidi="ar"/>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48" w:hRule="atLeast"/>
                <w:jc w:val="center"/>
              </w:trPr>
              <w:tc>
                <w:tcPr>
                  <w:tcW w:w="1145" w:type="dxa"/>
                  <w:gridSpan w:val="2"/>
                  <w:vMerge w:val="restart"/>
                  <w:tcBorders>
                    <w:top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rPr>
                  </w:pPr>
                  <w:r>
                    <w:rPr>
                      <w:rFonts w:hint="eastAsia" w:ascii="宋体" w:hAnsi="宋体" w:eastAsia="宋体" w:cs="宋体"/>
                      <w:color w:val="auto"/>
                      <w:kern w:val="2"/>
                      <w:sz w:val="21"/>
                      <w:szCs w:val="21"/>
                      <w:lang w:val="en-US" w:eastAsia="zh-CN" w:bidi="ar"/>
                    </w:rPr>
                    <w:t>运输方式</w:t>
                  </w:r>
                </w:p>
              </w:tc>
              <w:tc>
                <w:tcPr>
                  <w:tcW w:w="3338"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both"/>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color w:val="auto"/>
                      <w:kern w:val="2"/>
                      <w:sz w:val="21"/>
                      <w:szCs w:val="21"/>
                      <w:lang w:val="en-US" w:eastAsia="zh-CN" w:bidi="ar"/>
                    </w:rPr>
                    <w:t>1.</w:t>
                  </w:r>
                  <w:r>
                    <w:rPr>
                      <w:rFonts w:hint="eastAsia" w:ascii="宋体" w:hAnsi="宋体" w:eastAsia="宋体" w:cs="宋体"/>
                      <w:color w:val="auto"/>
                      <w:kern w:val="2"/>
                      <w:sz w:val="21"/>
                      <w:szCs w:val="21"/>
                      <w:lang w:val="en-US" w:eastAsia="zh-CN" w:bidi="ar"/>
                    </w:rPr>
                    <w:t>物料、产品等公路运输全部使用国五及以上排放标准重型载货车辆（重型燃气车辆达到国六排放标准）或新能源车辆；</w:t>
                  </w:r>
                </w:p>
              </w:tc>
              <w:tc>
                <w:tcPr>
                  <w:tcW w:w="269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both"/>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1.物料公路运输使用达到国五及以上排放标准重型载货车辆（含燃气）或新能源车辆</w:t>
                  </w:r>
                  <w:r>
                    <w:rPr>
                      <w:rFonts w:hint="eastAsia" w:ascii="Times New Roman" w:hAnsi="Times New Roman" w:eastAsia="宋体" w:cs="Times New Roman"/>
                      <w:color w:val="auto"/>
                      <w:kern w:val="2"/>
                      <w:sz w:val="21"/>
                      <w:szCs w:val="21"/>
                      <w:lang w:val="en-US" w:eastAsia="zh-CN" w:bidi="ar"/>
                    </w:rPr>
                    <w:t>。</w:t>
                  </w:r>
                </w:p>
              </w:tc>
              <w:tc>
                <w:tcPr>
                  <w:tcW w:w="939" w:type="dxa"/>
                  <w:vMerge w:val="restart"/>
                  <w:tcBorders>
                    <w:top w:val="nil"/>
                    <w:left w:val="nil"/>
                    <w:bottom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ascii="宋体" w:hAnsi="宋体" w:eastAsia="宋体" w:cs="宋体"/>
                      <w:color w:val="auto"/>
                      <w:kern w:val="2"/>
                      <w:sz w:val="21"/>
                      <w:szCs w:val="21"/>
                      <w:lang w:val="en-US" w:eastAsia="zh-CN" w:bidi="ar"/>
                    </w:rPr>
                    <w:t>相符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145" w:type="dxa"/>
                  <w:gridSpan w:val="2"/>
                  <w:vMerge w:val="continue"/>
                  <w:tcBorders>
                    <w:top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c>
                <w:tcPr>
                  <w:tcW w:w="3338"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both"/>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2.</w:t>
                  </w:r>
                  <w:r>
                    <w:rPr>
                      <w:rFonts w:hint="eastAsia" w:ascii="宋体" w:hAnsi="宋体" w:eastAsia="宋体" w:cs="宋体"/>
                      <w:color w:val="auto"/>
                      <w:kern w:val="2"/>
                      <w:sz w:val="21"/>
                      <w:szCs w:val="21"/>
                      <w:lang w:val="en-US" w:eastAsia="zh-CN" w:bidi="ar"/>
                    </w:rPr>
                    <w:t>厂内运输全部使用国五及以上排放标准（重型燃气车辆达到国六排放标准）或使用新能源车辆；</w:t>
                  </w:r>
                </w:p>
              </w:tc>
              <w:tc>
                <w:tcPr>
                  <w:tcW w:w="2696"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both"/>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2.厂内运输使用车辆满足国五及以上排放标准（重型燃气车辆达到国六排放标准）及新能源车辆</w:t>
                  </w:r>
                  <w:r>
                    <w:rPr>
                      <w:rFonts w:hint="eastAsia" w:ascii="Times New Roman" w:hAnsi="Times New Roman" w:eastAsia="宋体" w:cs="Times New Roman"/>
                      <w:color w:val="auto"/>
                      <w:kern w:val="2"/>
                      <w:sz w:val="21"/>
                      <w:szCs w:val="21"/>
                      <w:lang w:val="en-US" w:eastAsia="zh-CN" w:bidi="ar"/>
                    </w:rPr>
                    <w:t>。</w:t>
                  </w:r>
                </w:p>
              </w:tc>
              <w:tc>
                <w:tcPr>
                  <w:tcW w:w="939" w:type="dxa"/>
                  <w:vMerge w:val="continue"/>
                  <w:tcBorders>
                    <w:top w:val="nil"/>
                    <w:left w:val="nil"/>
                    <w:bottom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145" w:type="dxa"/>
                  <w:gridSpan w:val="2"/>
                  <w:vMerge w:val="continue"/>
                  <w:tcBorders>
                    <w:top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c>
                <w:tcPr>
                  <w:tcW w:w="3338"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both"/>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3.</w:t>
                  </w:r>
                  <w:r>
                    <w:rPr>
                      <w:rFonts w:hint="eastAsia" w:ascii="宋体" w:hAnsi="宋体" w:eastAsia="宋体" w:cs="宋体"/>
                      <w:color w:val="auto"/>
                      <w:kern w:val="2"/>
                      <w:sz w:val="21"/>
                      <w:szCs w:val="21"/>
                      <w:lang w:val="en-US" w:eastAsia="zh-CN" w:bidi="ar"/>
                    </w:rPr>
                    <w:t>危险品及危废运输全部使用国五及以上排放标准（重型燃气车辆达到国六排放标准）或新能源车辆；</w:t>
                  </w:r>
                </w:p>
              </w:tc>
              <w:tc>
                <w:tcPr>
                  <w:tcW w:w="2696"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both"/>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3.本项目不涉及</w:t>
                  </w:r>
                  <w:r>
                    <w:rPr>
                      <w:rFonts w:hint="eastAsia" w:ascii="Times New Roman" w:hAnsi="Times New Roman" w:eastAsia="宋体" w:cs="Times New Roman"/>
                      <w:color w:val="auto"/>
                      <w:kern w:val="2"/>
                      <w:sz w:val="21"/>
                      <w:szCs w:val="21"/>
                      <w:lang w:val="en-US" w:eastAsia="zh-CN" w:bidi="ar"/>
                    </w:rPr>
                    <w:t>危险品运输，危废委托有处置资质的单位拉运，车辆使用国五及以上排放标准或新能源车辆</w:t>
                  </w:r>
                  <w:r>
                    <w:rPr>
                      <w:rFonts w:hint="eastAsia" w:ascii="宋体" w:hAnsi="宋体" w:eastAsia="宋体" w:cs="宋体"/>
                      <w:color w:val="auto"/>
                      <w:kern w:val="2"/>
                      <w:sz w:val="21"/>
                      <w:szCs w:val="21"/>
                      <w:lang w:val="en-US" w:eastAsia="zh-CN" w:bidi="ar"/>
                    </w:rPr>
                    <w:t>。</w:t>
                  </w:r>
                </w:p>
              </w:tc>
              <w:tc>
                <w:tcPr>
                  <w:tcW w:w="939" w:type="dxa"/>
                  <w:vMerge w:val="continue"/>
                  <w:tcBorders>
                    <w:top w:val="nil"/>
                    <w:left w:val="nil"/>
                    <w:bottom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008" w:hRule="atLeast"/>
                <w:jc w:val="center"/>
              </w:trPr>
              <w:tc>
                <w:tcPr>
                  <w:tcW w:w="1145" w:type="dxa"/>
                  <w:gridSpan w:val="2"/>
                  <w:vMerge w:val="continue"/>
                  <w:tcBorders>
                    <w:top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c>
                <w:tcPr>
                  <w:tcW w:w="3338"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both"/>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4.</w:t>
                  </w:r>
                  <w:r>
                    <w:rPr>
                      <w:rFonts w:hint="eastAsia" w:ascii="宋体" w:hAnsi="宋体" w:eastAsia="宋体" w:cs="宋体"/>
                      <w:color w:val="auto"/>
                      <w:kern w:val="2"/>
                      <w:sz w:val="21"/>
                      <w:szCs w:val="21"/>
                      <w:lang w:val="en-US" w:eastAsia="zh-CN" w:bidi="ar"/>
                    </w:rPr>
                    <w:t>厂内非道路移动机械全部使用国三及以上排放标准或使用新能源（电动、氢能）机械。</w:t>
                  </w:r>
                </w:p>
              </w:tc>
              <w:tc>
                <w:tcPr>
                  <w:tcW w:w="2696"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both"/>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4.</w:t>
                  </w:r>
                  <w:r>
                    <w:rPr>
                      <w:rFonts w:hint="eastAsia" w:ascii="宋体" w:hAnsi="宋体" w:eastAsia="宋体" w:cs="宋体"/>
                      <w:color w:val="auto"/>
                      <w:kern w:val="2"/>
                      <w:sz w:val="21"/>
                      <w:szCs w:val="21"/>
                      <w:lang w:val="en-US" w:eastAsia="zh-CN" w:bidi="ar"/>
                    </w:rPr>
                    <w:t>厂内非道路移动机械全部使用国三及以上排放标准或使用新能源（电动、氢能）机械。</w:t>
                  </w:r>
                </w:p>
              </w:tc>
              <w:tc>
                <w:tcPr>
                  <w:tcW w:w="939" w:type="dxa"/>
                  <w:vMerge w:val="continue"/>
                  <w:tcBorders>
                    <w:top w:val="nil"/>
                    <w:left w:val="nil"/>
                    <w:bottom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jc w:val="center"/>
              </w:trPr>
              <w:tc>
                <w:tcPr>
                  <w:tcW w:w="1145" w:type="dxa"/>
                  <w:gridSpan w:val="2"/>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rPr>
                  </w:pPr>
                  <w:r>
                    <w:rPr>
                      <w:rFonts w:hint="eastAsia" w:ascii="宋体" w:hAnsi="宋体" w:eastAsia="宋体" w:cs="宋体"/>
                      <w:b w:val="0"/>
                      <w:bCs w:val="0"/>
                      <w:color w:val="auto"/>
                      <w:kern w:val="2"/>
                      <w:sz w:val="21"/>
                      <w:szCs w:val="21"/>
                      <w:lang w:val="en-US" w:eastAsia="zh-CN" w:bidi="ar"/>
                    </w:rPr>
                    <w:t>运输监管</w:t>
                  </w:r>
                </w:p>
              </w:tc>
              <w:tc>
                <w:tcPr>
                  <w:tcW w:w="3338"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both"/>
                    <w:rPr>
                      <w:rFonts w:hint="default" w:ascii="Times New Roman" w:hAnsi="Times New Roman" w:eastAsia="宋体" w:cs="Times New Roman"/>
                      <w:b w:val="0"/>
                      <w:bCs w:val="0"/>
                      <w:color w:val="auto"/>
                      <w:kern w:val="2"/>
                      <w:sz w:val="21"/>
                      <w:szCs w:val="21"/>
                    </w:rPr>
                  </w:pPr>
                  <w:r>
                    <w:rPr>
                      <w:rFonts w:hint="eastAsia" w:ascii="宋体" w:hAnsi="宋体" w:eastAsia="宋体" w:cs="宋体"/>
                      <w:color w:val="auto"/>
                      <w:kern w:val="2"/>
                      <w:sz w:val="21"/>
                      <w:szCs w:val="21"/>
                      <w:lang w:val="en-US" w:eastAsia="zh-CN" w:bidi="ar"/>
                    </w:rPr>
                    <w:t>日均进出货物</w:t>
                  </w:r>
                  <w:r>
                    <w:rPr>
                      <w:rFonts w:hint="default" w:ascii="Times New Roman" w:hAnsi="Times New Roman" w:eastAsia="宋体" w:cs="Times New Roman"/>
                      <w:color w:val="auto"/>
                      <w:kern w:val="2"/>
                      <w:sz w:val="21"/>
                      <w:szCs w:val="21"/>
                      <w:lang w:val="en-US" w:eastAsia="zh-CN" w:bidi="ar"/>
                    </w:rPr>
                    <w:t>150</w:t>
                  </w:r>
                  <w:r>
                    <w:rPr>
                      <w:rFonts w:hint="eastAsia" w:ascii="宋体" w:hAnsi="宋体" w:eastAsia="宋体" w:cs="宋体"/>
                      <w:color w:val="auto"/>
                      <w:kern w:val="2"/>
                      <w:sz w:val="21"/>
                      <w:szCs w:val="21"/>
                      <w:lang w:val="en-US" w:eastAsia="zh-CN" w:bidi="ar"/>
                    </w:rPr>
                    <w:t>吨（或载货车辆日进出</w:t>
                  </w:r>
                  <w:r>
                    <w:rPr>
                      <w:rFonts w:hint="default" w:ascii="Times New Roman" w:hAnsi="Times New Roman" w:eastAsia="宋体" w:cs="Times New Roman"/>
                      <w:color w:val="auto"/>
                      <w:kern w:val="2"/>
                      <w:sz w:val="21"/>
                      <w:szCs w:val="21"/>
                      <w:lang w:val="en-US" w:eastAsia="zh-CN" w:bidi="ar"/>
                    </w:rPr>
                    <w:t>10</w:t>
                  </w:r>
                  <w:r>
                    <w:rPr>
                      <w:rFonts w:hint="eastAsia" w:ascii="宋体" w:hAnsi="宋体" w:eastAsia="宋体" w:cs="宋体"/>
                      <w:color w:val="auto"/>
                      <w:kern w:val="2"/>
                      <w:sz w:val="21"/>
                      <w:szCs w:val="21"/>
                      <w:lang w:val="en-US" w:eastAsia="zh-CN" w:bidi="ar"/>
                    </w:rPr>
                    <w:t>辆次）及以上（货物包括原料、辅料、燃料、产品和其他与生产相关物料）的企业，参照《重污染天气重点行业移动源应急管理技术指南》建立门禁视频监控系统和电子台账；其他企业安装车辆运输视频监控（数据能保存</w:t>
                  </w:r>
                  <w:r>
                    <w:rPr>
                      <w:rFonts w:hint="default" w:ascii="Times New Roman" w:hAnsi="Times New Roman" w:eastAsia="宋体" w:cs="Times New Roman"/>
                      <w:color w:val="auto"/>
                      <w:kern w:val="2"/>
                      <w:sz w:val="21"/>
                      <w:szCs w:val="21"/>
                      <w:lang w:val="en-US" w:eastAsia="zh-CN" w:bidi="ar"/>
                    </w:rPr>
                    <w:t>6</w:t>
                  </w:r>
                  <w:r>
                    <w:rPr>
                      <w:rFonts w:hint="eastAsia" w:ascii="宋体" w:hAnsi="宋体" w:eastAsia="宋体" w:cs="宋体"/>
                      <w:color w:val="auto"/>
                      <w:kern w:val="2"/>
                      <w:sz w:val="21"/>
                      <w:szCs w:val="21"/>
                      <w:lang w:val="en-US" w:eastAsia="zh-CN" w:bidi="ar"/>
                    </w:rPr>
                    <w:t>个月），并建立车辆运输手工台账。</w:t>
                  </w:r>
                </w:p>
              </w:tc>
              <w:tc>
                <w:tcPr>
                  <w:tcW w:w="269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both"/>
                    <w:rPr>
                      <w:rFonts w:hint="default" w:ascii="Times New Roman" w:hAnsi="Times New Roman" w:eastAsia="宋体" w:cs="Times New Roman"/>
                      <w:color w:val="auto"/>
                      <w:kern w:val="2"/>
                      <w:sz w:val="21"/>
                      <w:szCs w:val="21"/>
                    </w:rPr>
                  </w:pPr>
                  <w:r>
                    <w:rPr>
                      <w:rFonts w:hint="eastAsia" w:ascii="宋体" w:hAnsi="宋体" w:eastAsia="宋体" w:cs="宋体"/>
                      <w:color w:val="auto"/>
                      <w:kern w:val="2"/>
                      <w:sz w:val="21"/>
                      <w:szCs w:val="21"/>
                      <w:lang w:val="en-US" w:eastAsia="zh-CN" w:bidi="ar"/>
                    </w:rPr>
                    <w:t>已建立门禁视频监控系统和台账，安装高清视频监控系统并保留数据</w:t>
                  </w:r>
                  <w:r>
                    <w:rPr>
                      <w:rFonts w:hint="default" w:ascii="Times New Roman" w:hAnsi="Times New Roman" w:eastAsia="宋体" w:cs="Times New Roman"/>
                      <w:color w:val="auto"/>
                      <w:kern w:val="2"/>
                      <w:sz w:val="21"/>
                      <w:szCs w:val="21"/>
                      <w:lang w:val="en-US" w:eastAsia="zh-CN" w:bidi="ar"/>
                    </w:rPr>
                    <w:t>6</w:t>
                  </w:r>
                  <w:r>
                    <w:rPr>
                      <w:rFonts w:hint="eastAsia" w:ascii="宋体" w:hAnsi="宋体" w:eastAsia="宋体" w:cs="宋体"/>
                      <w:color w:val="auto"/>
                      <w:kern w:val="2"/>
                      <w:sz w:val="21"/>
                      <w:szCs w:val="21"/>
                      <w:lang w:val="en-US" w:eastAsia="zh-CN" w:bidi="ar"/>
                    </w:rPr>
                    <w:t>个月以上。</w:t>
                  </w:r>
                </w:p>
              </w:tc>
              <w:tc>
                <w:tcPr>
                  <w:tcW w:w="939" w:type="dxa"/>
                  <w:tcBorders>
                    <w:top w:val="single" w:color="auto" w:sz="4" w:space="0"/>
                    <w:left w:val="nil"/>
                    <w:bottom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ascii="宋体" w:hAnsi="宋体" w:eastAsia="宋体" w:cs="宋体"/>
                      <w:color w:val="auto"/>
                      <w:kern w:val="2"/>
                      <w:sz w:val="21"/>
                      <w:szCs w:val="21"/>
                      <w:lang w:val="en-US" w:eastAsia="zh-CN" w:bidi="ar"/>
                    </w:rPr>
                    <w:t>相符</w:t>
                  </w:r>
                </w:p>
              </w:tc>
            </w:tr>
          </w:tbl>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由上表可知，本项目满足河南省重污染天气通用行业应急减排措施制定技术指南（2024年修订版）中涉PM企业引领性指标要求。</w:t>
            </w:r>
          </w:p>
          <w:p>
            <w:pPr>
              <w:pStyle w:val="29"/>
              <w:keepNext w:val="0"/>
              <w:keepLines w:val="0"/>
              <w:suppressLineNumbers w:val="0"/>
              <w:spacing w:before="0" w:beforeAutospacing="0" w:after="0" w:afterAutospacing="0"/>
              <w:ind w:left="0" w:right="0"/>
              <w:rPr>
                <w:rFonts w:hint="default"/>
                <w:color w:val="auto"/>
                <w:lang w:val="en-US" w:eastAsia="zh-CN"/>
              </w:rPr>
            </w:pPr>
          </w:p>
          <w:p>
            <w:pPr>
              <w:pStyle w:val="29"/>
              <w:keepNext w:val="0"/>
              <w:keepLines w:val="0"/>
              <w:suppressLineNumbers w:val="0"/>
              <w:spacing w:before="0" w:beforeAutospacing="0" w:after="0" w:afterAutospacing="0"/>
              <w:ind w:left="0" w:right="0"/>
              <w:rPr>
                <w:rFonts w:hint="default"/>
                <w:color w:val="auto"/>
                <w:lang w:val="en-US" w:eastAsia="zh-CN"/>
              </w:rPr>
            </w:pPr>
          </w:p>
          <w:p>
            <w:pPr>
              <w:pStyle w:val="29"/>
              <w:keepNext w:val="0"/>
              <w:keepLines w:val="0"/>
              <w:suppressLineNumbers w:val="0"/>
              <w:spacing w:before="0" w:beforeAutospacing="0" w:after="0" w:afterAutospacing="0"/>
              <w:ind w:left="0" w:right="0"/>
              <w:rPr>
                <w:rFonts w:hint="default"/>
                <w:color w:val="auto"/>
                <w:lang w:val="en-US" w:eastAsia="zh-CN"/>
              </w:rPr>
            </w:pPr>
          </w:p>
          <w:p>
            <w:pPr>
              <w:pStyle w:val="29"/>
              <w:keepNext w:val="0"/>
              <w:keepLines w:val="0"/>
              <w:suppressLineNumbers w:val="0"/>
              <w:spacing w:before="0" w:beforeAutospacing="0" w:after="0" w:afterAutospacing="0"/>
              <w:ind w:left="0" w:right="0"/>
              <w:rPr>
                <w:rFonts w:hint="default"/>
                <w:color w:val="auto"/>
                <w:lang w:val="en-US" w:eastAsia="zh-CN"/>
              </w:rPr>
            </w:pPr>
          </w:p>
          <w:p>
            <w:pPr>
              <w:pStyle w:val="29"/>
              <w:keepNext w:val="0"/>
              <w:keepLines w:val="0"/>
              <w:suppressLineNumbers w:val="0"/>
              <w:spacing w:before="0" w:beforeAutospacing="0" w:after="0" w:afterAutospacing="0"/>
              <w:ind w:left="0" w:right="0"/>
              <w:rPr>
                <w:rFonts w:hint="eastAsia"/>
                <w:color w:val="auto"/>
                <w:lang w:val="en-US" w:eastAsia="zh-CN"/>
              </w:rPr>
            </w:pPr>
          </w:p>
          <w:p>
            <w:pPr>
              <w:pStyle w:val="29"/>
              <w:keepNext w:val="0"/>
              <w:keepLines w:val="0"/>
              <w:suppressLineNumbers w:val="0"/>
              <w:spacing w:before="0" w:beforeAutospacing="0" w:after="0" w:afterAutospacing="0"/>
              <w:ind w:left="0" w:right="0"/>
              <w:rPr>
                <w:rFonts w:hint="eastAsia"/>
                <w:color w:val="auto"/>
                <w:lang w:val="en-US" w:eastAsia="zh-CN"/>
              </w:rPr>
            </w:pPr>
          </w:p>
          <w:p>
            <w:pPr>
              <w:pStyle w:val="29"/>
              <w:keepNext w:val="0"/>
              <w:keepLines w:val="0"/>
              <w:suppressLineNumbers w:val="0"/>
              <w:spacing w:before="0" w:beforeAutospacing="0" w:after="0" w:afterAutospacing="0"/>
              <w:ind w:left="0" w:right="0"/>
              <w:rPr>
                <w:rFonts w:hint="eastAsia"/>
                <w:color w:val="auto"/>
                <w:lang w:val="en-US" w:eastAsia="zh-CN"/>
              </w:rPr>
            </w:pPr>
          </w:p>
          <w:p>
            <w:pPr>
              <w:pStyle w:val="29"/>
              <w:keepNext w:val="0"/>
              <w:keepLines w:val="0"/>
              <w:suppressLineNumbers w:val="0"/>
              <w:spacing w:before="0" w:beforeAutospacing="0" w:after="0" w:afterAutospacing="0"/>
              <w:ind w:left="0" w:right="0"/>
              <w:rPr>
                <w:rFonts w:hint="eastAsia"/>
                <w:color w:val="auto"/>
                <w:lang w:val="en-US" w:eastAsia="zh-CN"/>
              </w:rPr>
            </w:pPr>
          </w:p>
          <w:p>
            <w:pPr>
              <w:pStyle w:val="29"/>
              <w:keepNext w:val="0"/>
              <w:keepLines w:val="0"/>
              <w:suppressLineNumbers w:val="0"/>
              <w:spacing w:before="0" w:beforeAutospacing="0" w:after="0" w:afterAutospacing="0"/>
              <w:ind w:left="0" w:right="0"/>
              <w:rPr>
                <w:rFonts w:hint="eastAsia"/>
                <w:color w:val="auto"/>
                <w:lang w:val="en-US" w:eastAsia="zh-CN"/>
              </w:rPr>
            </w:pPr>
          </w:p>
          <w:p>
            <w:pPr>
              <w:pStyle w:val="29"/>
              <w:keepNext w:val="0"/>
              <w:keepLines w:val="0"/>
              <w:suppressLineNumbers w:val="0"/>
              <w:spacing w:before="0" w:beforeAutospacing="0" w:after="0" w:afterAutospacing="0"/>
              <w:ind w:left="0" w:right="0"/>
              <w:rPr>
                <w:rFonts w:hint="eastAsia"/>
                <w:color w:val="auto"/>
                <w:lang w:val="en-US" w:eastAsia="zh-CN"/>
              </w:rPr>
            </w:pPr>
          </w:p>
          <w:p>
            <w:pPr>
              <w:pStyle w:val="29"/>
              <w:keepNext w:val="0"/>
              <w:keepLines w:val="0"/>
              <w:suppressLineNumbers w:val="0"/>
              <w:spacing w:before="0" w:beforeAutospacing="0" w:after="0" w:afterAutospacing="0"/>
              <w:ind w:left="0" w:right="0"/>
              <w:rPr>
                <w:rFonts w:hint="eastAsia"/>
                <w:color w:val="auto"/>
                <w:lang w:val="en-US" w:eastAsia="zh-CN"/>
              </w:rPr>
            </w:pPr>
          </w:p>
          <w:p>
            <w:pPr>
              <w:pStyle w:val="29"/>
              <w:keepNext w:val="0"/>
              <w:keepLines w:val="0"/>
              <w:suppressLineNumbers w:val="0"/>
              <w:spacing w:before="0" w:beforeAutospacing="0" w:after="0" w:afterAutospacing="0"/>
              <w:ind w:left="0" w:right="0"/>
              <w:rPr>
                <w:rFonts w:hint="eastAsia"/>
                <w:color w:val="auto"/>
                <w:lang w:val="en-US" w:eastAsia="zh-CN"/>
              </w:rPr>
            </w:pPr>
          </w:p>
          <w:p>
            <w:pPr>
              <w:pStyle w:val="29"/>
              <w:keepNext w:val="0"/>
              <w:keepLines w:val="0"/>
              <w:suppressLineNumbers w:val="0"/>
              <w:spacing w:before="0" w:beforeAutospacing="0" w:after="0" w:afterAutospacing="0"/>
              <w:ind w:left="0" w:right="0"/>
              <w:rPr>
                <w:rFonts w:hint="eastAsia"/>
                <w:color w:val="auto"/>
                <w:lang w:val="en-US" w:eastAsia="zh-CN"/>
              </w:rPr>
            </w:pPr>
          </w:p>
          <w:p>
            <w:pPr>
              <w:pStyle w:val="29"/>
              <w:keepNext w:val="0"/>
              <w:keepLines w:val="0"/>
              <w:suppressLineNumbers w:val="0"/>
              <w:spacing w:before="0" w:beforeAutospacing="0" w:after="0" w:afterAutospacing="0"/>
              <w:ind w:left="0" w:right="0"/>
              <w:rPr>
                <w:rFonts w:hint="eastAsia"/>
                <w:color w:val="auto"/>
                <w:lang w:val="en-US" w:eastAsia="zh-CN"/>
              </w:rPr>
            </w:pPr>
          </w:p>
          <w:p>
            <w:pPr>
              <w:pStyle w:val="29"/>
              <w:keepNext w:val="0"/>
              <w:keepLines w:val="0"/>
              <w:suppressLineNumbers w:val="0"/>
              <w:spacing w:before="0" w:beforeAutospacing="0" w:after="0" w:afterAutospacing="0"/>
              <w:ind w:left="0" w:right="0"/>
              <w:rPr>
                <w:rFonts w:hint="eastAsia"/>
                <w:color w:val="auto"/>
                <w:lang w:val="en-US" w:eastAsia="zh-CN"/>
              </w:rPr>
            </w:pPr>
          </w:p>
          <w:p>
            <w:pPr>
              <w:pStyle w:val="29"/>
              <w:keepNext w:val="0"/>
              <w:keepLines w:val="0"/>
              <w:suppressLineNumbers w:val="0"/>
              <w:spacing w:before="0" w:beforeAutospacing="0" w:after="0" w:afterAutospacing="0"/>
              <w:ind w:left="0" w:right="0"/>
              <w:rPr>
                <w:rFonts w:hint="eastAsia"/>
                <w:color w:val="auto"/>
                <w:lang w:val="en-US" w:eastAsia="zh-CN"/>
              </w:rPr>
            </w:pPr>
          </w:p>
          <w:p>
            <w:pPr>
              <w:pStyle w:val="29"/>
              <w:keepNext w:val="0"/>
              <w:keepLines w:val="0"/>
              <w:suppressLineNumbers w:val="0"/>
              <w:spacing w:before="0" w:beforeAutospacing="0" w:after="0" w:afterAutospacing="0" w:line="240" w:lineRule="auto"/>
              <w:ind w:left="0" w:right="0"/>
              <w:rPr>
                <w:rFonts w:hint="default"/>
                <w:color w:val="auto"/>
                <w:lang w:val="en-US" w:eastAsia="zh-CN"/>
              </w:rPr>
            </w:pPr>
          </w:p>
        </w:tc>
      </w:tr>
    </w:tbl>
    <w:p>
      <w:pPr>
        <w:spacing w:line="360" w:lineRule="auto"/>
        <w:outlineLvl w:val="9"/>
        <w:rPr>
          <w:rFonts w:hint="eastAsia" w:ascii="宋体" w:hAnsi="宋体" w:eastAsia="宋体" w:cs="宋体"/>
          <w:color w:val="auto"/>
          <w:sz w:val="30"/>
        </w:rPr>
        <w:sectPr>
          <w:footerReference r:id="rId6" w:type="default"/>
          <w:pgSz w:w="11906" w:h="16838"/>
          <w:pgMar w:top="1701" w:right="1531" w:bottom="1701" w:left="1531" w:header="851" w:footer="1077" w:gutter="0"/>
          <w:pgBorders>
            <w:top w:val="none" w:color="auto" w:sz="0" w:space="0"/>
            <w:left w:val="none" w:color="auto" w:sz="0" w:space="0"/>
            <w:bottom w:val="none" w:color="auto" w:sz="0" w:space="0"/>
            <w:right w:val="none" w:color="auto" w:sz="0" w:space="0"/>
          </w:pgBorders>
          <w:pgNumType w:fmt="numberInDash" w:start="1"/>
          <w:cols w:space="720" w:num="1"/>
          <w:docGrid w:linePitch="312" w:charSpace="0"/>
        </w:sectPr>
      </w:pPr>
    </w:p>
    <w:p>
      <w:pPr>
        <w:pStyle w:val="23"/>
        <w:jc w:val="center"/>
        <w:outlineLvl w:val="0"/>
        <w:rPr>
          <w:rFonts w:hint="eastAsia" w:ascii="宋体" w:hAnsi="宋体" w:eastAsia="宋体" w:cs="宋体"/>
          <w:b/>
          <w:bCs/>
          <w:snapToGrid w:val="0"/>
          <w:color w:val="auto"/>
          <w:sz w:val="30"/>
          <w:szCs w:val="30"/>
        </w:rPr>
      </w:pPr>
      <w:bookmarkStart w:id="4" w:name="_Toc2405"/>
      <w:r>
        <w:rPr>
          <w:rFonts w:hint="eastAsia" w:ascii="宋体" w:hAnsi="宋体" w:eastAsia="宋体" w:cs="宋体"/>
          <w:b/>
          <w:bCs/>
          <w:snapToGrid w:val="0"/>
          <w:color w:val="auto"/>
          <w:sz w:val="30"/>
          <w:szCs w:val="30"/>
        </w:rPr>
        <w:t>二、建设项目工程分析</w:t>
      </w:r>
      <w:bookmarkEnd w:id="4"/>
    </w:p>
    <w:tbl>
      <w:tblPr>
        <w:tblStyle w:val="27"/>
        <w:tblW w:w="9060"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21"/>
        <w:gridCol w:w="863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21" w:type="dxa"/>
            <w:vAlign w:val="center"/>
          </w:tcPr>
          <w:p>
            <w:pPr>
              <w:pStyle w:val="23"/>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rPr>
              <w:t>建设内容</w:t>
            </w:r>
          </w:p>
        </w:tc>
        <w:tc>
          <w:tcPr>
            <w:tcW w:w="8639" w:type="dxa"/>
            <w:vAlign w:val="top"/>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b/>
                <w:bCs/>
                <w:color w:val="auto"/>
                <w:sz w:val="24"/>
                <w:szCs w:val="24"/>
                <w:highlight w:val="none"/>
                <w:u w:val="none" w:color="auto"/>
              </w:rPr>
            </w:pPr>
            <w:r>
              <w:rPr>
                <w:rFonts w:hint="eastAsia" w:ascii="Times New Roman" w:hAnsi="Times New Roman" w:eastAsia="宋体" w:cs="Times New Roman"/>
                <w:b/>
                <w:bCs/>
                <w:color w:val="auto"/>
                <w:sz w:val="24"/>
                <w:szCs w:val="24"/>
                <w:highlight w:val="none"/>
                <w:u w:val="none" w:color="auto"/>
                <w:lang w:val="en-US" w:eastAsia="zh-CN"/>
              </w:rPr>
              <w:t>1.</w:t>
            </w:r>
            <w:r>
              <w:rPr>
                <w:rFonts w:hint="default" w:ascii="Times New Roman" w:hAnsi="Times New Roman" w:eastAsia="宋体" w:cs="Times New Roman"/>
                <w:b/>
                <w:bCs/>
                <w:color w:val="auto"/>
                <w:sz w:val="24"/>
                <w:szCs w:val="24"/>
                <w:highlight w:val="none"/>
                <w:u w:val="none" w:color="auto"/>
              </w:rPr>
              <w:t>工程概况</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leftChars="0" w:right="0" w:firstLine="480" w:firstLineChars="200"/>
              <w:jc w:val="both"/>
              <w:textAlignment w:val="auto"/>
              <w:rPr>
                <w:rFonts w:hint="eastAsia" w:ascii="Times New Roman" w:hAnsi="Times New Roman" w:eastAsia="宋体" w:cs="Times New Roman"/>
                <w:b w:val="0"/>
                <w:bCs w:val="0"/>
                <w:color w:val="auto"/>
                <w:sz w:val="24"/>
                <w:szCs w:val="24"/>
                <w:highlight w:val="none"/>
                <w:u w:val="none" w:color="auto"/>
                <w:lang w:val="en-US" w:eastAsia="zh-CN"/>
              </w:rPr>
            </w:pPr>
            <w:r>
              <w:rPr>
                <w:rFonts w:hint="eastAsia" w:ascii="Times New Roman" w:hAnsi="Times New Roman" w:eastAsia="宋体" w:cs="Times New Roman"/>
                <w:b w:val="0"/>
                <w:bCs w:val="0"/>
                <w:color w:val="auto"/>
                <w:sz w:val="24"/>
                <w:szCs w:val="24"/>
                <w:highlight w:val="none"/>
                <w:u w:val="none" w:color="auto"/>
                <w:lang w:val="en-US" w:eastAsia="zh-CN"/>
              </w:rPr>
              <w:t>本次拟投资20万元在现有厂房内建设“年产6万吨铝锌合金配套炒灰机项目”，原料来自于“年产6万吨铝锌合金项目”扒渣工序产生的炉渣，</w:t>
            </w:r>
            <w:r>
              <w:rPr>
                <w:rFonts w:hint="eastAsia" w:cs="Times New Roman"/>
                <w:b w:val="0"/>
                <w:bCs w:val="0"/>
                <w:color w:val="auto"/>
                <w:sz w:val="24"/>
                <w:szCs w:val="24"/>
                <w:highlight w:val="none"/>
                <w:u w:val="none" w:color="auto"/>
                <w:lang w:val="en-US" w:eastAsia="zh-CN"/>
              </w:rPr>
              <w:t>将炉渣扒至铁斗内由叉车</w:t>
            </w:r>
            <w:r>
              <w:rPr>
                <w:rFonts w:hint="eastAsia" w:ascii="Times New Roman" w:hAnsi="Times New Roman" w:eastAsia="宋体" w:cs="Times New Roman"/>
                <w:b w:val="0"/>
                <w:bCs w:val="0"/>
                <w:color w:val="auto"/>
                <w:sz w:val="24"/>
                <w:szCs w:val="24"/>
                <w:highlight w:val="none"/>
                <w:u w:val="none" w:color="auto"/>
                <w:lang w:val="en-US" w:eastAsia="zh-CN"/>
              </w:rPr>
              <w:t>运输至铝灰炒灰机进行回收利用，生产完成后回收的次合金块（合金液）进入年产6万吨铝锌合金生产线用于生产合金锭；产生的二次熔炼渣采用密闭</w:t>
            </w:r>
            <w:r>
              <w:rPr>
                <w:rFonts w:hint="eastAsia" w:cs="Times New Roman"/>
                <w:b w:val="0"/>
                <w:bCs w:val="0"/>
                <w:color w:val="auto"/>
                <w:sz w:val="24"/>
                <w:szCs w:val="24"/>
                <w:highlight w:val="none"/>
                <w:u w:val="none" w:color="auto"/>
                <w:lang w:val="en-US" w:eastAsia="zh-CN"/>
              </w:rPr>
              <w:t>防水</w:t>
            </w:r>
            <w:r>
              <w:rPr>
                <w:rFonts w:hint="eastAsia" w:ascii="Times New Roman" w:hAnsi="Times New Roman" w:eastAsia="宋体" w:cs="Times New Roman"/>
                <w:b w:val="0"/>
                <w:bCs w:val="0"/>
                <w:color w:val="auto"/>
                <w:sz w:val="24"/>
                <w:szCs w:val="24"/>
                <w:highlight w:val="none"/>
                <w:u w:val="none" w:color="auto"/>
                <w:lang w:val="en-US" w:eastAsia="zh-CN"/>
              </w:rPr>
              <w:t>吨包袋收集后暂存于危险废物暂存间内，定期由有处置资质的单位拉运处理。</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jc w:val="left"/>
              <w:textAlignment w:val="auto"/>
              <w:rPr>
                <w:rFonts w:hint="default" w:ascii="Times New Roman" w:hAnsi="Times New Roman" w:eastAsia="宋体" w:cs="Times New Roman"/>
                <w:b w:val="0"/>
                <w:bCs w:val="0"/>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2.项目组成及主要内容</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leftChars="0" w:right="0" w:firstLine="480" w:firstLineChars="200"/>
              <w:jc w:val="left"/>
              <w:textAlignment w:val="auto"/>
              <w:rPr>
                <w:rFonts w:hint="eastAsia" w:ascii="Times New Roman" w:hAnsi="Times New Roman" w:eastAsia="宋体" w:cs="Times New Roman"/>
                <w:b w:val="0"/>
                <w:bCs w:val="0"/>
                <w:color w:val="auto"/>
                <w:sz w:val="24"/>
                <w:szCs w:val="24"/>
                <w:highlight w:val="none"/>
                <w:u w:val="none" w:color="auto"/>
                <w:lang w:eastAsia="zh-CN"/>
              </w:rPr>
            </w:pPr>
            <w:r>
              <w:rPr>
                <w:rFonts w:hint="default" w:ascii="Times New Roman" w:hAnsi="Times New Roman" w:eastAsia="宋体" w:cs="Times New Roman"/>
                <w:b w:val="0"/>
                <w:bCs w:val="0"/>
                <w:color w:val="auto"/>
                <w:sz w:val="24"/>
                <w:szCs w:val="24"/>
                <w:highlight w:val="none"/>
                <w:u w:val="none" w:color="auto"/>
              </w:rPr>
              <w:t>本项目</w:t>
            </w:r>
            <w:r>
              <w:rPr>
                <w:rFonts w:hint="eastAsia" w:ascii="Times New Roman" w:hAnsi="Times New Roman" w:eastAsia="宋体" w:cs="Times New Roman"/>
                <w:b w:val="0"/>
                <w:bCs w:val="0"/>
                <w:color w:val="auto"/>
                <w:sz w:val="24"/>
                <w:szCs w:val="24"/>
                <w:highlight w:val="none"/>
                <w:u w:val="none" w:color="auto"/>
                <w:lang w:eastAsia="zh-CN"/>
              </w:rPr>
              <w:t>主要</w:t>
            </w:r>
            <w:r>
              <w:rPr>
                <w:rFonts w:hint="default" w:ascii="Times New Roman" w:hAnsi="Times New Roman" w:eastAsia="宋体" w:cs="Times New Roman"/>
                <w:b w:val="0"/>
                <w:bCs w:val="0"/>
                <w:color w:val="auto"/>
                <w:sz w:val="24"/>
                <w:szCs w:val="24"/>
                <w:highlight w:val="none"/>
                <w:u w:val="none" w:color="auto"/>
              </w:rPr>
              <w:t>建设内容</w:t>
            </w:r>
            <w:r>
              <w:rPr>
                <w:rFonts w:hint="eastAsia" w:ascii="Times New Roman" w:hAnsi="Times New Roman" w:eastAsia="宋体" w:cs="Times New Roman"/>
                <w:b w:val="0"/>
                <w:bCs w:val="0"/>
                <w:color w:val="auto"/>
                <w:sz w:val="24"/>
                <w:szCs w:val="24"/>
                <w:highlight w:val="none"/>
                <w:u w:val="none" w:color="auto"/>
                <w:lang w:eastAsia="zh-CN"/>
              </w:rPr>
              <w:t>如下表：</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4"/>
                <w:szCs w:val="24"/>
                <w:highlight w:val="none"/>
                <w:u w:val="none" w:color="auto"/>
                <w:lang w:eastAsia="zh-CN"/>
              </w:rPr>
            </w:pPr>
            <w:r>
              <w:rPr>
                <w:rFonts w:hint="default" w:ascii="Times New Roman" w:hAnsi="Times New Roman" w:eastAsia="宋体" w:cs="Times New Roman"/>
                <w:b/>
                <w:bCs/>
                <w:color w:val="auto"/>
                <w:sz w:val="24"/>
                <w:szCs w:val="24"/>
                <w:highlight w:val="none"/>
                <w:u w:val="none" w:color="auto"/>
              </w:rPr>
              <w:t>本项目组成及主要内容一览表</w:t>
            </w:r>
          </w:p>
          <w:tbl>
            <w:tblPr>
              <w:tblStyle w:val="27"/>
              <w:tblW w:w="8420" w:type="dxa"/>
              <w:jc w:val="center"/>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54"/>
              <w:gridCol w:w="1498"/>
              <w:gridCol w:w="1151"/>
              <w:gridCol w:w="1651"/>
              <w:gridCol w:w="1971"/>
              <w:gridCol w:w="129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5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1"/>
                      <w:szCs w:val="21"/>
                      <w:highlight w:val="none"/>
                      <w:u w:val="none" w:color="auto"/>
                    </w:rPr>
                  </w:pPr>
                  <w:r>
                    <w:rPr>
                      <w:rFonts w:hint="default" w:ascii="Times New Roman" w:hAnsi="Times New Roman" w:eastAsia="宋体" w:cs="Times New Roman"/>
                      <w:b/>
                      <w:bCs/>
                      <w:color w:val="auto"/>
                      <w:sz w:val="21"/>
                      <w:szCs w:val="21"/>
                      <w:highlight w:val="none"/>
                      <w:u w:val="none" w:color="auto"/>
                    </w:rPr>
                    <w:t>类别</w:t>
                  </w:r>
                </w:p>
              </w:tc>
              <w:tc>
                <w:tcPr>
                  <w:tcW w:w="1498"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1"/>
                      <w:szCs w:val="21"/>
                      <w:highlight w:val="none"/>
                      <w:u w:val="none" w:color="auto"/>
                    </w:rPr>
                  </w:pPr>
                  <w:r>
                    <w:rPr>
                      <w:rFonts w:hint="default" w:ascii="Times New Roman" w:hAnsi="Times New Roman" w:eastAsia="宋体" w:cs="Times New Roman"/>
                      <w:b/>
                      <w:bCs/>
                      <w:color w:val="auto"/>
                      <w:sz w:val="21"/>
                      <w:szCs w:val="21"/>
                      <w:highlight w:val="none"/>
                      <w:u w:val="none" w:color="auto"/>
                    </w:rPr>
                    <w:t>工程组成</w:t>
                  </w:r>
                </w:p>
              </w:tc>
              <w:tc>
                <w:tcPr>
                  <w:tcW w:w="47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1"/>
                      <w:szCs w:val="21"/>
                      <w:highlight w:val="none"/>
                      <w:u w:val="none" w:color="auto"/>
                    </w:rPr>
                  </w:pPr>
                  <w:r>
                    <w:rPr>
                      <w:rFonts w:hint="default" w:ascii="Times New Roman" w:hAnsi="Times New Roman" w:eastAsia="宋体" w:cs="Times New Roman"/>
                      <w:b/>
                      <w:bCs/>
                      <w:color w:val="auto"/>
                      <w:sz w:val="21"/>
                      <w:szCs w:val="21"/>
                      <w:highlight w:val="none"/>
                      <w:u w:val="none" w:color="auto"/>
                    </w:rPr>
                    <w:t>建设内容及规模</w:t>
                  </w:r>
                </w:p>
              </w:tc>
              <w:tc>
                <w:tcPr>
                  <w:tcW w:w="12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color w:val="auto"/>
                      <w:sz w:val="21"/>
                      <w:szCs w:val="21"/>
                      <w:highlight w:val="none"/>
                      <w:u w:val="none" w:color="auto"/>
                      <w:lang w:eastAsia="zh-CN"/>
                    </w:rPr>
                  </w:pPr>
                  <w:r>
                    <w:rPr>
                      <w:rFonts w:hint="eastAsia" w:ascii="Times New Roman" w:hAnsi="Times New Roman" w:eastAsia="宋体" w:cs="Times New Roman"/>
                      <w:b/>
                      <w:bCs/>
                      <w:color w:val="auto"/>
                      <w:sz w:val="21"/>
                      <w:szCs w:val="21"/>
                      <w:highlight w:val="none"/>
                      <w:u w:val="none" w:color="auto"/>
                      <w:lang w:eastAsia="zh-CN"/>
                    </w:rPr>
                    <w:t>备注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807" w:hRule="atLeast"/>
                <w:jc w:val="center"/>
              </w:trPr>
              <w:tc>
                <w:tcPr>
                  <w:tcW w:w="85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auto"/>
                      <w:sz w:val="21"/>
                      <w:szCs w:val="21"/>
                      <w:highlight w:val="none"/>
                      <w:u w:val="none" w:color="auto"/>
                    </w:rPr>
                  </w:pPr>
                  <w:r>
                    <w:rPr>
                      <w:rFonts w:hint="default" w:ascii="Times New Roman" w:hAnsi="Times New Roman" w:eastAsia="宋体" w:cs="Times New Roman"/>
                      <w:b w:val="0"/>
                      <w:bCs w:val="0"/>
                      <w:color w:val="auto"/>
                      <w:sz w:val="21"/>
                      <w:szCs w:val="21"/>
                      <w:highlight w:val="none"/>
                      <w:u w:val="none" w:color="auto"/>
                    </w:rPr>
                    <w:t>主体工程</w:t>
                  </w:r>
                </w:p>
              </w:tc>
              <w:tc>
                <w:tcPr>
                  <w:tcW w:w="1498"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contextualSpacing/>
                    <w:jc w:val="center"/>
                    <w:textAlignment w:val="auto"/>
                    <w:rPr>
                      <w:rFonts w:hint="default" w:ascii="Times New Roman" w:hAnsi="Times New Roman" w:eastAsia="宋体" w:cs="Times New Roman"/>
                      <w:b w:val="0"/>
                      <w:bCs w:val="0"/>
                      <w:color w:val="auto"/>
                      <w:kern w:val="0"/>
                      <w:sz w:val="21"/>
                      <w:szCs w:val="21"/>
                      <w:highlight w:val="none"/>
                      <w:u w:val="none" w:color="auto"/>
                      <w:lang w:val="en-US" w:eastAsia="zh-CN" w:bidi="ar-SA"/>
                    </w:rPr>
                  </w:pPr>
                  <w:r>
                    <w:rPr>
                      <w:rFonts w:hint="eastAsia" w:ascii="Times New Roman" w:hAnsi="Times New Roman" w:eastAsia="宋体" w:cs="Times New Roman"/>
                      <w:b w:val="0"/>
                      <w:bCs w:val="0"/>
                      <w:color w:val="auto"/>
                      <w:sz w:val="21"/>
                      <w:szCs w:val="21"/>
                      <w:highlight w:val="none"/>
                      <w:u w:val="none" w:color="auto"/>
                      <w:lang w:eastAsia="zh-CN"/>
                    </w:rPr>
                    <w:t>铝锌合金生产车间</w:t>
                  </w:r>
                </w:p>
              </w:tc>
              <w:tc>
                <w:tcPr>
                  <w:tcW w:w="47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color w:val="auto"/>
                      <w:sz w:val="21"/>
                      <w:szCs w:val="21"/>
                      <w:highlight w:val="none"/>
                      <w:u w:val="none" w:color="auto"/>
                      <w:lang w:val="en-US" w:eastAsia="zh-CN"/>
                    </w:rPr>
                  </w:pPr>
                  <w:r>
                    <w:rPr>
                      <w:rFonts w:hint="eastAsia" w:ascii="Times New Roman" w:hAnsi="Times New Roman" w:eastAsia="宋体" w:cs="Times New Roman"/>
                      <w:b w:val="0"/>
                      <w:bCs w:val="0"/>
                      <w:color w:val="auto"/>
                      <w:sz w:val="21"/>
                      <w:szCs w:val="21"/>
                      <w:highlight w:val="none"/>
                      <w:u w:val="none" w:color="auto"/>
                      <w:lang w:val="en-US" w:eastAsia="zh-CN"/>
                    </w:rPr>
                    <w:t>建筑面积2565m</w:t>
                  </w:r>
                  <w:r>
                    <w:rPr>
                      <w:rFonts w:hint="eastAsia" w:ascii="Times New Roman" w:hAnsi="Times New Roman" w:eastAsia="宋体" w:cs="Times New Roman"/>
                      <w:b w:val="0"/>
                      <w:bCs w:val="0"/>
                      <w:color w:val="auto"/>
                      <w:sz w:val="21"/>
                      <w:szCs w:val="21"/>
                      <w:highlight w:val="none"/>
                      <w:u w:val="none" w:color="auto"/>
                      <w:vertAlign w:val="superscript"/>
                      <w:lang w:val="en-US" w:eastAsia="zh-CN"/>
                    </w:rPr>
                    <w:t>2</w:t>
                  </w:r>
                  <w:r>
                    <w:rPr>
                      <w:rFonts w:hint="eastAsia" w:ascii="Times New Roman" w:hAnsi="Times New Roman" w:eastAsia="宋体" w:cs="Times New Roman"/>
                      <w:b w:val="0"/>
                      <w:bCs w:val="0"/>
                      <w:color w:val="auto"/>
                      <w:sz w:val="21"/>
                      <w:szCs w:val="21"/>
                      <w:highlight w:val="none"/>
                      <w:u w:val="none" w:color="auto"/>
                      <w:lang w:val="en-US" w:eastAsia="zh-CN"/>
                    </w:rPr>
                    <w:t>，1F，钢结构</w:t>
                  </w:r>
                </w:p>
              </w:tc>
              <w:tc>
                <w:tcPr>
                  <w:tcW w:w="12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color w:val="auto"/>
                      <w:sz w:val="21"/>
                      <w:szCs w:val="21"/>
                      <w:highlight w:val="none"/>
                      <w:u w:val="none" w:color="auto"/>
                      <w:lang w:val="en-US" w:eastAsia="zh-CN"/>
                    </w:rPr>
                  </w:pPr>
                  <w:r>
                    <w:rPr>
                      <w:rFonts w:hint="eastAsia" w:ascii="Times New Roman" w:hAnsi="Times New Roman" w:eastAsia="宋体" w:cs="Times New Roman"/>
                      <w:b w:val="0"/>
                      <w:bCs w:val="0"/>
                      <w:color w:val="auto"/>
                      <w:sz w:val="21"/>
                      <w:szCs w:val="21"/>
                      <w:highlight w:val="none"/>
                      <w:u w:val="none" w:color="auto"/>
                      <w:lang w:val="en-US" w:eastAsia="zh-CN"/>
                    </w:rPr>
                    <w:t>依托现有</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54" w:type="dxa"/>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color w:val="auto"/>
                      <w:sz w:val="21"/>
                      <w:szCs w:val="21"/>
                      <w:highlight w:val="none"/>
                      <w:u w:val="none" w:color="auto"/>
                      <w:lang w:eastAsia="zh-CN"/>
                    </w:rPr>
                  </w:pPr>
                  <w:r>
                    <w:rPr>
                      <w:rFonts w:hint="eastAsia" w:ascii="Times New Roman" w:hAnsi="Times New Roman" w:eastAsia="宋体" w:cs="Times New Roman"/>
                      <w:b w:val="0"/>
                      <w:bCs w:val="0"/>
                      <w:color w:val="auto"/>
                      <w:sz w:val="21"/>
                      <w:szCs w:val="21"/>
                      <w:highlight w:val="none"/>
                      <w:u w:val="none" w:color="auto"/>
                      <w:lang w:eastAsia="zh-CN"/>
                    </w:rPr>
                    <w:t>辅助工程</w:t>
                  </w:r>
                </w:p>
              </w:tc>
              <w:tc>
                <w:tcPr>
                  <w:tcW w:w="1498"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contextualSpacing/>
                    <w:jc w:val="center"/>
                    <w:textAlignment w:val="auto"/>
                    <w:rPr>
                      <w:rFonts w:hint="eastAsia" w:ascii="Times New Roman" w:hAnsi="Times New Roman" w:eastAsia="宋体" w:cs="Times New Roman"/>
                      <w:b w:val="0"/>
                      <w:bCs w:val="0"/>
                      <w:color w:val="auto"/>
                      <w:sz w:val="21"/>
                      <w:szCs w:val="21"/>
                      <w:highlight w:val="none"/>
                      <w:u w:val="none" w:color="auto"/>
                      <w:lang w:eastAsia="zh-CN"/>
                    </w:rPr>
                  </w:pPr>
                  <w:r>
                    <w:rPr>
                      <w:rFonts w:hint="eastAsia" w:ascii="Times New Roman" w:hAnsi="Times New Roman" w:eastAsia="宋体" w:cs="Times New Roman"/>
                      <w:b w:val="0"/>
                      <w:bCs w:val="0"/>
                      <w:color w:val="auto"/>
                      <w:sz w:val="21"/>
                      <w:szCs w:val="21"/>
                      <w:highlight w:val="none"/>
                      <w:u w:val="none" w:color="auto"/>
                      <w:lang w:eastAsia="zh-CN"/>
                    </w:rPr>
                    <w:t>办公区</w:t>
                  </w:r>
                </w:p>
              </w:tc>
              <w:tc>
                <w:tcPr>
                  <w:tcW w:w="47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color w:val="auto"/>
                      <w:sz w:val="21"/>
                      <w:szCs w:val="21"/>
                      <w:highlight w:val="none"/>
                      <w:u w:val="none" w:color="auto"/>
                      <w:lang w:val="en-US" w:eastAsia="zh-CN"/>
                    </w:rPr>
                  </w:pPr>
                  <w:r>
                    <w:rPr>
                      <w:rFonts w:hint="eastAsia" w:ascii="Times New Roman" w:hAnsi="Times New Roman" w:eastAsia="宋体" w:cs="Times New Roman"/>
                      <w:b w:val="0"/>
                      <w:bCs w:val="0"/>
                      <w:color w:val="auto"/>
                      <w:sz w:val="21"/>
                      <w:szCs w:val="21"/>
                      <w:highlight w:val="none"/>
                      <w:u w:val="none" w:color="auto"/>
                      <w:lang w:val="en-US" w:eastAsia="zh-CN"/>
                    </w:rPr>
                    <w:t>依托厂区现有</w:t>
                  </w:r>
                </w:p>
              </w:tc>
              <w:tc>
                <w:tcPr>
                  <w:tcW w:w="12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color w:val="auto"/>
                      <w:sz w:val="21"/>
                      <w:szCs w:val="21"/>
                      <w:highlight w:val="none"/>
                      <w:u w:val="none" w:color="auto"/>
                      <w:lang w:val="en-US" w:eastAsia="zh-CN"/>
                    </w:rPr>
                  </w:pPr>
                  <w:r>
                    <w:rPr>
                      <w:rFonts w:hint="eastAsia" w:ascii="Times New Roman" w:hAnsi="Times New Roman" w:eastAsia="宋体" w:cs="Times New Roman"/>
                      <w:b w:val="0"/>
                      <w:bCs w:val="0"/>
                      <w:color w:val="auto"/>
                      <w:sz w:val="21"/>
                      <w:szCs w:val="21"/>
                      <w:highlight w:val="none"/>
                      <w:u w:val="none" w:color="auto"/>
                      <w:lang w:val="en-US" w:eastAsia="zh-CN"/>
                    </w:rPr>
                    <w:t>依托现有</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54"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auto"/>
                      <w:sz w:val="21"/>
                      <w:szCs w:val="21"/>
                      <w:highlight w:val="none"/>
                      <w:u w:val="none" w:color="auto"/>
                    </w:rPr>
                  </w:pPr>
                </w:p>
              </w:tc>
              <w:tc>
                <w:tcPr>
                  <w:tcW w:w="1498"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contextualSpacing/>
                    <w:jc w:val="center"/>
                    <w:textAlignment w:val="auto"/>
                    <w:rPr>
                      <w:rFonts w:hint="eastAsia" w:ascii="Times New Roman" w:hAnsi="Times New Roman" w:eastAsia="宋体" w:cs="Times New Roman"/>
                      <w:b w:val="0"/>
                      <w:bCs w:val="0"/>
                      <w:color w:val="auto"/>
                      <w:sz w:val="21"/>
                      <w:szCs w:val="21"/>
                      <w:highlight w:val="none"/>
                      <w:u w:val="none" w:color="auto"/>
                      <w:lang w:eastAsia="zh-CN"/>
                    </w:rPr>
                  </w:pPr>
                  <w:r>
                    <w:rPr>
                      <w:rFonts w:hint="eastAsia" w:ascii="Times New Roman" w:hAnsi="Times New Roman" w:eastAsia="宋体" w:cs="Times New Roman"/>
                      <w:b w:val="0"/>
                      <w:bCs w:val="0"/>
                      <w:color w:val="auto"/>
                      <w:sz w:val="21"/>
                      <w:szCs w:val="21"/>
                      <w:highlight w:val="none"/>
                      <w:u w:val="none" w:color="auto"/>
                      <w:lang w:eastAsia="zh-CN"/>
                    </w:rPr>
                    <w:t>供水</w:t>
                  </w:r>
                </w:p>
              </w:tc>
              <w:tc>
                <w:tcPr>
                  <w:tcW w:w="47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color w:val="auto"/>
                      <w:sz w:val="21"/>
                      <w:szCs w:val="21"/>
                      <w:highlight w:val="none"/>
                      <w:u w:val="none" w:color="auto"/>
                      <w:lang w:val="en-US" w:eastAsia="zh-CN"/>
                    </w:rPr>
                  </w:pPr>
                  <w:r>
                    <w:rPr>
                      <w:rFonts w:hint="eastAsia" w:ascii="Times New Roman" w:hAnsi="Times New Roman" w:eastAsia="宋体" w:cs="Times New Roman"/>
                      <w:b w:val="0"/>
                      <w:bCs w:val="0"/>
                      <w:color w:val="auto"/>
                      <w:sz w:val="21"/>
                      <w:szCs w:val="21"/>
                      <w:highlight w:val="none"/>
                      <w:u w:val="none" w:color="auto"/>
                      <w:lang w:val="en-US" w:eastAsia="zh-CN"/>
                    </w:rPr>
                    <w:t>用水由厂区现有自备井供给，满足需求</w:t>
                  </w:r>
                </w:p>
              </w:tc>
              <w:tc>
                <w:tcPr>
                  <w:tcW w:w="12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auto"/>
                      <w:sz w:val="21"/>
                      <w:szCs w:val="21"/>
                      <w:highlight w:val="none"/>
                      <w:u w:val="none" w:color="auto"/>
                      <w:lang w:val="en-US" w:eastAsia="zh-CN"/>
                    </w:rPr>
                  </w:pPr>
                  <w:r>
                    <w:rPr>
                      <w:rFonts w:hint="eastAsia" w:ascii="Times New Roman" w:hAnsi="Times New Roman" w:eastAsia="宋体" w:cs="Times New Roman"/>
                      <w:b w:val="0"/>
                      <w:bCs w:val="0"/>
                      <w:color w:val="auto"/>
                      <w:sz w:val="21"/>
                      <w:szCs w:val="21"/>
                      <w:highlight w:val="none"/>
                      <w:u w:val="none" w:color="auto"/>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54"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auto"/>
                      <w:sz w:val="21"/>
                      <w:szCs w:val="21"/>
                      <w:highlight w:val="none"/>
                      <w:u w:val="none" w:color="auto"/>
                    </w:rPr>
                  </w:pPr>
                </w:p>
              </w:tc>
              <w:tc>
                <w:tcPr>
                  <w:tcW w:w="1498"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contextualSpacing/>
                    <w:jc w:val="center"/>
                    <w:textAlignment w:val="auto"/>
                    <w:rPr>
                      <w:rFonts w:hint="eastAsia" w:ascii="Times New Roman" w:hAnsi="Times New Roman" w:eastAsia="宋体" w:cs="Times New Roman"/>
                      <w:b w:val="0"/>
                      <w:bCs w:val="0"/>
                      <w:color w:val="auto"/>
                      <w:sz w:val="21"/>
                      <w:szCs w:val="21"/>
                      <w:highlight w:val="none"/>
                      <w:u w:val="none" w:color="auto"/>
                      <w:lang w:eastAsia="zh-CN"/>
                    </w:rPr>
                  </w:pPr>
                  <w:r>
                    <w:rPr>
                      <w:rFonts w:hint="eastAsia" w:ascii="Times New Roman" w:hAnsi="Times New Roman" w:eastAsia="宋体" w:cs="Times New Roman"/>
                      <w:b w:val="0"/>
                      <w:bCs w:val="0"/>
                      <w:color w:val="auto"/>
                      <w:sz w:val="21"/>
                      <w:szCs w:val="21"/>
                      <w:highlight w:val="none"/>
                      <w:u w:val="none" w:color="auto"/>
                      <w:lang w:eastAsia="zh-CN"/>
                    </w:rPr>
                    <w:t>供电</w:t>
                  </w:r>
                </w:p>
              </w:tc>
              <w:tc>
                <w:tcPr>
                  <w:tcW w:w="47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color w:val="auto"/>
                      <w:sz w:val="21"/>
                      <w:szCs w:val="21"/>
                      <w:highlight w:val="none"/>
                      <w:u w:val="none" w:color="auto"/>
                      <w:lang w:val="en-US" w:eastAsia="zh-CN"/>
                    </w:rPr>
                  </w:pPr>
                  <w:r>
                    <w:rPr>
                      <w:rFonts w:hint="eastAsia" w:ascii="Times New Roman" w:hAnsi="Times New Roman" w:eastAsia="宋体" w:cs="Times New Roman"/>
                      <w:b w:val="0"/>
                      <w:bCs w:val="0"/>
                      <w:color w:val="auto"/>
                      <w:sz w:val="21"/>
                      <w:szCs w:val="21"/>
                      <w:highlight w:val="none"/>
                      <w:u w:val="none" w:color="auto"/>
                      <w:lang w:val="en-US" w:eastAsia="zh-CN"/>
                    </w:rPr>
                    <w:t>由宜沟镇电网供给，满足需求</w:t>
                  </w:r>
                </w:p>
              </w:tc>
              <w:tc>
                <w:tcPr>
                  <w:tcW w:w="12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auto"/>
                      <w:sz w:val="21"/>
                      <w:szCs w:val="21"/>
                      <w:highlight w:val="none"/>
                      <w:u w:val="none" w:color="auto"/>
                      <w:lang w:val="en-US" w:eastAsia="zh-CN"/>
                    </w:rPr>
                  </w:pPr>
                  <w:r>
                    <w:rPr>
                      <w:rFonts w:hint="eastAsia" w:ascii="Times New Roman" w:hAnsi="Times New Roman" w:eastAsia="宋体" w:cs="Times New Roman"/>
                      <w:b w:val="0"/>
                      <w:bCs w:val="0"/>
                      <w:color w:val="auto"/>
                      <w:sz w:val="21"/>
                      <w:szCs w:val="21"/>
                      <w:highlight w:val="none"/>
                      <w:u w:val="none" w:color="auto"/>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5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auto"/>
                      <w:sz w:val="21"/>
                      <w:szCs w:val="21"/>
                      <w:highlight w:val="none"/>
                      <w:u w:val="none" w:color="auto"/>
                      <w:lang w:val="en-US" w:eastAsia="zh-CN"/>
                    </w:rPr>
                  </w:pPr>
                  <w:r>
                    <w:rPr>
                      <w:rFonts w:hint="eastAsia" w:ascii="Times New Roman" w:hAnsi="Times New Roman" w:eastAsia="宋体" w:cs="Times New Roman"/>
                      <w:b w:val="0"/>
                      <w:bCs w:val="0"/>
                      <w:color w:val="auto"/>
                      <w:sz w:val="21"/>
                      <w:szCs w:val="21"/>
                      <w:highlight w:val="none"/>
                      <w:u w:val="none" w:color="auto"/>
                      <w:lang w:val="en-US" w:eastAsia="zh-CN"/>
                    </w:rPr>
                    <w:t>储运</w:t>
                  </w:r>
                  <w:r>
                    <w:rPr>
                      <w:rFonts w:hint="default" w:ascii="Times New Roman" w:hAnsi="Times New Roman" w:eastAsia="宋体" w:cs="Times New Roman"/>
                      <w:b w:val="0"/>
                      <w:bCs w:val="0"/>
                      <w:color w:val="auto"/>
                      <w:sz w:val="21"/>
                      <w:szCs w:val="21"/>
                      <w:highlight w:val="none"/>
                      <w:u w:val="none" w:color="auto"/>
                      <w:lang w:val="en-US" w:eastAsia="zh-CN"/>
                    </w:rPr>
                    <w:t>工程</w:t>
                  </w:r>
                </w:p>
              </w:tc>
              <w:tc>
                <w:tcPr>
                  <w:tcW w:w="1498" w:type="dxa"/>
                  <w:tcBorders>
                    <w:tl2br w:val="nil"/>
                    <w:tr2bl w:val="nil"/>
                  </w:tcBorders>
                  <w:vAlign w:val="center"/>
                </w:tcPr>
                <w:p>
                  <w:pPr>
                    <w:keepNext w:val="0"/>
                    <w:keepLines w:val="0"/>
                    <w:widowControl w:val="0"/>
                    <w:suppressLineNumbers w:val="0"/>
                    <w:autoSpaceDE w:val="0"/>
                    <w:autoSpaceDN/>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color w:val="auto"/>
                      <w:kern w:val="2"/>
                      <w:sz w:val="21"/>
                      <w:szCs w:val="21"/>
                      <w:highlight w:val="none"/>
                      <w:u w:val="none" w:color="auto"/>
                      <w:lang w:val="en-US" w:eastAsia="zh-CN" w:bidi="ar-SA"/>
                    </w:rPr>
                  </w:pPr>
                  <w:r>
                    <w:rPr>
                      <w:rFonts w:hint="eastAsia" w:ascii="宋体" w:hAnsi="宋体" w:eastAsia="宋体" w:cs="宋体"/>
                      <w:b w:val="0"/>
                      <w:bCs w:val="0"/>
                      <w:color w:val="auto"/>
                      <w:kern w:val="2"/>
                      <w:sz w:val="21"/>
                      <w:szCs w:val="21"/>
                      <w:lang w:val="en-US" w:eastAsia="zh-CN" w:bidi="ar"/>
                    </w:rPr>
                    <w:t>成品暂存区</w:t>
                  </w:r>
                </w:p>
              </w:tc>
              <w:tc>
                <w:tcPr>
                  <w:tcW w:w="4773" w:type="dxa"/>
                  <w:gridSpan w:val="3"/>
                  <w:tcBorders>
                    <w:tl2br w:val="nil"/>
                    <w:tr2bl w:val="nil"/>
                  </w:tcBorders>
                  <w:vAlign w:val="center"/>
                </w:tcPr>
                <w:p>
                  <w:pPr>
                    <w:keepNext w:val="0"/>
                    <w:keepLines w:val="0"/>
                    <w:widowControl/>
                    <w:suppressLineNumbers w:val="0"/>
                    <w:autoSpaceDE w:val="0"/>
                    <w:autoSpaceDN/>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color w:val="auto"/>
                      <w:kern w:val="2"/>
                      <w:sz w:val="21"/>
                      <w:szCs w:val="21"/>
                      <w:highlight w:val="none"/>
                      <w:u w:val="none" w:color="auto"/>
                      <w:lang w:val="en-US" w:eastAsia="zh-CN" w:bidi="ar-SA"/>
                    </w:rPr>
                  </w:pPr>
                  <w:r>
                    <w:rPr>
                      <w:rFonts w:hint="eastAsia" w:ascii="宋体" w:hAnsi="宋体" w:eastAsia="宋体" w:cs="宋体"/>
                      <w:b w:val="0"/>
                      <w:bCs w:val="0"/>
                      <w:color w:val="auto"/>
                      <w:kern w:val="2"/>
                      <w:sz w:val="21"/>
                      <w:szCs w:val="21"/>
                      <w:lang w:val="en-US" w:eastAsia="zh-CN" w:bidi="ar"/>
                    </w:rPr>
                    <w:t>位于生产车间中部，占地面积约</w:t>
                  </w:r>
                  <w:r>
                    <w:rPr>
                      <w:rFonts w:hint="default" w:ascii="Times New Roman" w:hAnsi="Times New Roman" w:eastAsia="宋体" w:cs="Times New Roman"/>
                      <w:b w:val="0"/>
                      <w:bCs w:val="0"/>
                      <w:color w:val="auto"/>
                      <w:kern w:val="2"/>
                      <w:sz w:val="21"/>
                      <w:szCs w:val="21"/>
                      <w:lang w:val="en-US" w:eastAsia="zh-CN" w:bidi="ar"/>
                    </w:rPr>
                    <w:t>800m</w:t>
                  </w:r>
                  <w:r>
                    <w:rPr>
                      <w:rFonts w:hint="default" w:ascii="Times New Roman" w:hAnsi="Times New Roman" w:eastAsia="宋体" w:cs="Times New Roman"/>
                      <w:b w:val="0"/>
                      <w:bCs w:val="0"/>
                      <w:color w:val="auto"/>
                      <w:kern w:val="2"/>
                      <w:sz w:val="21"/>
                      <w:szCs w:val="21"/>
                      <w:vertAlign w:val="superscript"/>
                      <w:lang w:val="en-US" w:eastAsia="zh-CN" w:bidi="ar"/>
                    </w:rPr>
                    <w:t>2</w:t>
                  </w:r>
                </w:p>
              </w:tc>
              <w:tc>
                <w:tcPr>
                  <w:tcW w:w="12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color w:val="auto"/>
                      <w:kern w:val="2"/>
                      <w:sz w:val="21"/>
                      <w:szCs w:val="21"/>
                      <w:highlight w:val="none"/>
                      <w:u w:val="none" w:color="auto"/>
                      <w:lang w:val="en-US" w:eastAsia="zh-CN" w:bidi="ar-SA"/>
                    </w:rPr>
                  </w:pPr>
                  <w:r>
                    <w:rPr>
                      <w:rFonts w:hint="eastAsia" w:ascii="Times New Roman" w:hAnsi="Times New Roman" w:eastAsia="宋体" w:cs="Times New Roman"/>
                      <w:b w:val="0"/>
                      <w:bCs w:val="0"/>
                      <w:color w:val="auto"/>
                      <w:kern w:val="2"/>
                      <w:sz w:val="21"/>
                      <w:szCs w:val="21"/>
                      <w:highlight w:val="none"/>
                      <w:u w:val="none" w:color="auto"/>
                      <w:lang w:val="en-US" w:eastAsia="zh-CN" w:bidi="ar-SA"/>
                    </w:rPr>
                    <w:t>依托现有</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854" w:type="dxa"/>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auto"/>
                      <w:sz w:val="21"/>
                      <w:szCs w:val="21"/>
                      <w:highlight w:val="none"/>
                      <w:u w:val="none" w:color="auto"/>
                      <w:lang w:eastAsia="zh-CN"/>
                    </w:rPr>
                  </w:pPr>
                  <w:r>
                    <w:rPr>
                      <w:rFonts w:hint="default" w:ascii="Times New Roman" w:hAnsi="Times New Roman" w:eastAsia="宋体" w:cs="Times New Roman"/>
                      <w:b w:val="0"/>
                      <w:bCs w:val="0"/>
                      <w:color w:val="auto"/>
                      <w:sz w:val="21"/>
                      <w:szCs w:val="21"/>
                      <w:highlight w:val="none"/>
                      <w:u w:val="none" w:color="auto"/>
                      <w:lang w:eastAsia="zh-CN"/>
                    </w:rPr>
                    <w:t>环保工程</w:t>
                  </w:r>
                </w:p>
              </w:tc>
              <w:tc>
                <w:tcPr>
                  <w:tcW w:w="1498" w:type="dxa"/>
                  <w:vMerge w:val="restart"/>
                  <w:tcBorders>
                    <w:tl2br w:val="nil"/>
                    <w:tr2bl w:val="nil"/>
                  </w:tcBorders>
                  <w:vAlign w:val="center"/>
                </w:tcPr>
                <w:p>
                  <w:pPr>
                    <w:pStyle w:val="60"/>
                    <w:keepNext w:val="0"/>
                    <w:keepLines w:val="0"/>
                    <w:pageBreakBefore w:val="0"/>
                    <w:suppressLineNumbers w:val="0"/>
                    <w:kinsoku w:val="0"/>
                    <w:wordWrap/>
                    <w:overflowPunct w:val="0"/>
                    <w:topLinePunct w:val="0"/>
                    <w:autoSpaceDE/>
                    <w:autoSpaceDN/>
                    <w:bidi w:val="0"/>
                    <w:adjustRightInd w:val="0"/>
                    <w:snapToGrid w:val="0"/>
                    <w:spacing w:before="0" w:beforeLines="0" w:beforeAutospacing="0" w:after="0" w:afterLines="0" w:afterAutospacing="0" w:line="240" w:lineRule="auto"/>
                    <w:ind w:left="0" w:right="0"/>
                    <w:jc w:val="center"/>
                    <w:textAlignment w:val="auto"/>
                    <w:rPr>
                      <w:rFonts w:hint="default" w:ascii="Times New Roman" w:hAnsi="Times New Roman" w:eastAsia="宋体" w:cs="Times New Roman"/>
                      <w:b w:val="0"/>
                      <w:bCs w:val="0"/>
                      <w:color w:val="auto"/>
                      <w:sz w:val="21"/>
                      <w:szCs w:val="21"/>
                      <w:highlight w:val="none"/>
                      <w:u w:val="none" w:color="auto"/>
                    </w:rPr>
                  </w:pPr>
                  <w:r>
                    <w:rPr>
                      <w:rFonts w:hint="default" w:ascii="Times New Roman" w:hAnsi="Times New Roman" w:eastAsia="宋体" w:cs="Times New Roman"/>
                      <w:color w:val="auto"/>
                      <w:sz w:val="21"/>
                      <w:szCs w:val="21"/>
                      <w:u w:val="none" w:color="auto"/>
                    </w:rPr>
                    <w:t>废气</w:t>
                  </w:r>
                </w:p>
              </w:tc>
              <w:tc>
                <w:tcPr>
                  <w:tcW w:w="1151" w:type="dxa"/>
                  <w:tcBorders>
                    <w:right w:val="single" w:color="000000" w:sz="4" w:space="0"/>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u w:val="none" w:color="auto"/>
                      <w:lang w:val="en-US" w:eastAsia="zh-CN" w:bidi="ar-SA"/>
                    </w:rPr>
                    <w:t>炒灰上料废气</w:t>
                  </w:r>
                </w:p>
              </w:tc>
              <w:tc>
                <w:tcPr>
                  <w:tcW w:w="1651" w:type="dxa"/>
                  <w:vMerge w:val="restart"/>
                  <w:tcBorders>
                    <w:left w:val="single" w:color="000000" w:sz="4" w:space="0"/>
                    <w:right w:val="single" w:color="000000" w:sz="4" w:space="0"/>
                    <w:tl2br w:val="nil"/>
                    <w:tr2bl w:val="nil"/>
                  </w:tcBorders>
                  <w:vAlign w:val="center"/>
                </w:tcPr>
                <w:p>
                  <w:pPr>
                    <w:keepNext w:val="0"/>
                    <w:keepLines w:val="0"/>
                    <w:suppressLineNumbers w:val="0"/>
                    <w:autoSpaceDE w:val="0"/>
                    <w:autoSpaceDN w:val="0"/>
                    <w:adjustRightInd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密闭收集+1台耐高温高效覆膜袋式除尘器</w:t>
                  </w:r>
                </w:p>
              </w:tc>
              <w:tc>
                <w:tcPr>
                  <w:tcW w:w="1971" w:type="dxa"/>
                  <w:vMerge w:val="restart"/>
                  <w:tcBorders>
                    <w:left w:val="single" w:color="000000" w:sz="4" w:space="0"/>
                    <w:tl2br w:val="nil"/>
                    <w:tr2bl w:val="nil"/>
                  </w:tcBorders>
                  <w:vAlign w:val="center"/>
                </w:tcPr>
                <w:p>
                  <w:pPr>
                    <w:pStyle w:val="60"/>
                    <w:keepNext w:val="0"/>
                    <w:keepLines w:val="0"/>
                    <w:pageBreakBefore w:val="0"/>
                    <w:suppressLineNumbers w:val="0"/>
                    <w:kinsoku w:val="0"/>
                    <w:wordWrap/>
                    <w:overflowPunct w:val="0"/>
                    <w:topLinePunct w:val="0"/>
                    <w:autoSpaceDE/>
                    <w:autoSpaceDN/>
                    <w:bidi w:val="0"/>
                    <w:adjustRightInd w:val="0"/>
                    <w:snapToGrid w:val="0"/>
                    <w:spacing w:before="0" w:beforeLines="0" w:beforeAutospacing="0" w:after="0" w:afterLines="0" w:afterAutospacing="0" w:line="240" w:lineRule="auto"/>
                    <w:ind w:left="0" w:right="0"/>
                    <w:jc w:val="center"/>
                    <w:textAlignment w:val="auto"/>
                    <w:rPr>
                      <w:rFonts w:hint="eastAsia" w:ascii="Times New Roman" w:hAnsi="Times New Roman" w:eastAsia="宋体" w:cs="Times New Roman"/>
                      <w:color w:val="auto"/>
                      <w:spacing w:val="-3"/>
                      <w:kern w:val="2"/>
                      <w:sz w:val="21"/>
                      <w:szCs w:val="21"/>
                      <w:highlight w:val="none"/>
                      <w:u w:val="none" w:color="auto"/>
                      <w:lang w:val="en-US" w:eastAsia="zh-CN" w:bidi="ar-SA"/>
                    </w:rPr>
                  </w:pPr>
                  <w:r>
                    <w:rPr>
                      <w:rFonts w:hint="eastAsia" w:ascii="Times New Roman" w:hAnsi="Times New Roman" w:eastAsia="宋体" w:cs="Times New Roman"/>
                      <w:color w:val="auto"/>
                      <w:spacing w:val="-3"/>
                      <w:kern w:val="2"/>
                      <w:sz w:val="21"/>
                      <w:szCs w:val="21"/>
                      <w:highlight w:val="none"/>
                      <w:u w:val="none" w:color="auto"/>
                      <w:lang w:val="en-US" w:eastAsia="zh-CN" w:bidi="ar-SA"/>
                    </w:rPr>
                    <w:t>合用1根18m高排气筒（DA066）</w:t>
                  </w:r>
                </w:p>
              </w:tc>
              <w:tc>
                <w:tcPr>
                  <w:tcW w:w="1295" w:type="dxa"/>
                  <w:vMerge w:val="restart"/>
                  <w:tcBorders>
                    <w:left w:val="single" w:color="000000" w:sz="4" w:space="0"/>
                    <w:tl2br w:val="nil"/>
                    <w:tr2bl w:val="nil"/>
                  </w:tcBorders>
                  <w:vAlign w:val="center"/>
                </w:tcPr>
                <w:p>
                  <w:pPr>
                    <w:pStyle w:val="60"/>
                    <w:keepNext w:val="0"/>
                    <w:keepLines w:val="0"/>
                    <w:pageBreakBefore w:val="0"/>
                    <w:suppressLineNumbers w:val="0"/>
                    <w:kinsoku w:val="0"/>
                    <w:wordWrap/>
                    <w:overflowPunct w:val="0"/>
                    <w:topLinePunct w:val="0"/>
                    <w:autoSpaceDE/>
                    <w:autoSpaceDN/>
                    <w:bidi w:val="0"/>
                    <w:adjustRightInd w:val="0"/>
                    <w:snapToGrid w:val="0"/>
                    <w:spacing w:before="0" w:beforeLines="0" w:beforeAutospacing="0" w:after="0" w:afterLines="0" w:afterAutospacing="0" w:line="240" w:lineRule="auto"/>
                    <w:ind w:left="0" w:right="0"/>
                    <w:jc w:val="center"/>
                    <w:textAlignment w:val="auto"/>
                    <w:rPr>
                      <w:rFonts w:hint="eastAsia" w:ascii="Times New Roman" w:hAnsi="Times New Roman" w:eastAsia="宋体" w:cs="Times New Roman"/>
                      <w:color w:val="auto"/>
                      <w:spacing w:val="-3"/>
                      <w:kern w:val="2"/>
                      <w:sz w:val="21"/>
                      <w:szCs w:val="21"/>
                      <w:highlight w:val="none"/>
                      <w:u w:val="none" w:color="auto"/>
                      <w:lang w:val="en-US" w:eastAsia="zh-CN" w:bidi="ar-SA"/>
                    </w:rPr>
                  </w:pPr>
                  <w:r>
                    <w:rPr>
                      <w:rFonts w:hint="eastAsia" w:ascii="Times New Roman" w:hAnsi="Times New Roman" w:eastAsia="宋体" w:cs="Times New Roman"/>
                      <w:color w:val="auto"/>
                      <w:spacing w:val="-3"/>
                      <w:kern w:val="2"/>
                      <w:sz w:val="21"/>
                      <w:szCs w:val="21"/>
                      <w:highlight w:val="none"/>
                      <w:u w:val="none" w:color="auto"/>
                      <w:lang w:val="en-US" w:eastAsia="zh-CN" w:bidi="ar-SA"/>
                    </w:rPr>
                    <w:t>依托现有</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854" w:type="dxa"/>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p>
              </w:tc>
              <w:tc>
                <w:tcPr>
                  <w:tcW w:w="1498" w:type="dxa"/>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p>
              </w:tc>
              <w:tc>
                <w:tcPr>
                  <w:tcW w:w="1151" w:type="dxa"/>
                  <w:tcBorders>
                    <w:right w:val="single" w:color="000000" w:sz="4" w:space="0"/>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u w:val="none" w:color="auto"/>
                      <w:lang w:val="en-US" w:eastAsia="zh-CN" w:bidi="ar-SA"/>
                    </w:rPr>
                  </w:pPr>
                  <w:r>
                    <w:rPr>
                      <w:rFonts w:hint="eastAsia" w:ascii="Times New Roman" w:hAnsi="Times New Roman" w:eastAsia="宋体" w:cs="Times New Roman"/>
                      <w:color w:val="auto"/>
                      <w:kern w:val="2"/>
                      <w:sz w:val="21"/>
                      <w:szCs w:val="21"/>
                      <w:highlight w:val="none"/>
                      <w:u w:val="none" w:color="auto"/>
                      <w:lang w:val="en-US" w:eastAsia="zh-CN" w:bidi="ar-SA"/>
                    </w:rPr>
                    <w:t>炒灰废气</w:t>
                  </w:r>
                </w:p>
              </w:tc>
              <w:tc>
                <w:tcPr>
                  <w:tcW w:w="1651" w:type="dxa"/>
                  <w:vMerge w:val="continue"/>
                  <w:tcBorders>
                    <w:left w:val="single" w:color="000000" w:sz="4" w:space="0"/>
                    <w:right w:val="single" w:color="000000" w:sz="4" w:space="0"/>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u w:val="none" w:color="auto"/>
                      <w:lang w:val="en-US" w:eastAsia="zh-CN" w:bidi="ar-SA"/>
                    </w:rPr>
                  </w:pPr>
                </w:p>
              </w:tc>
              <w:tc>
                <w:tcPr>
                  <w:tcW w:w="1971" w:type="dxa"/>
                  <w:vMerge w:val="continue"/>
                  <w:tcBorders>
                    <w:left w:val="single" w:color="000000" w:sz="4" w:space="0"/>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u w:val="none" w:color="auto"/>
                      <w:lang w:val="en-US" w:eastAsia="zh-CN" w:bidi="ar-SA"/>
                    </w:rPr>
                  </w:pPr>
                </w:p>
              </w:tc>
              <w:tc>
                <w:tcPr>
                  <w:tcW w:w="1295" w:type="dxa"/>
                  <w:vMerge w:val="continue"/>
                  <w:tcBorders>
                    <w:left w:val="single" w:color="000000" w:sz="4" w:space="0"/>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u w:val="none" w:color="auto"/>
                      <w:lang w:val="en-US" w:eastAsia="zh-CN" w:bidi="ar-SA"/>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854" w:type="dxa"/>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p>
              </w:tc>
              <w:tc>
                <w:tcPr>
                  <w:tcW w:w="1498" w:type="dxa"/>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p>
              </w:tc>
              <w:tc>
                <w:tcPr>
                  <w:tcW w:w="1151" w:type="dxa"/>
                  <w:tcBorders>
                    <w:right w:val="single" w:color="000000"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u w:val="none" w:color="auto"/>
                      <w:lang w:val="en-US" w:eastAsia="zh-CN" w:bidi="ar-SA"/>
                    </w:rPr>
                  </w:pPr>
                  <w:r>
                    <w:rPr>
                      <w:rFonts w:hint="eastAsia" w:cs="Times New Roman"/>
                      <w:color w:val="auto"/>
                      <w:kern w:val="2"/>
                      <w:sz w:val="21"/>
                      <w:szCs w:val="21"/>
                      <w:highlight w:val="none"/>
                      <w:u w:val="none" w:color="auto"/>
                      <w:lang w:val="en-US" w:eastAsia="zh-CN" w:bidi="ar-SA"/>
                    </w:rPr>
                    <w:t>危废间废气</w:t>
                  </w:r>
                </w:p>
              </w:tc>
              <w:tc>
                <w:tcPr>
                  <w:tcW w:w="1651" w:type="dxa"/>
                  <w:tcBorders>
                    <w:left w:val="single" w:color="000000" w:sz="4" w:space="0"/>
                    <w:right w:val="single" w:color="000000" w:sz="4" w:space="0"/>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u w:val="none" w:color="auto"/>
                      <w:lang w:val="en-US" w:eastAsia="zh-CN" w:bidi="ar-SA"/>
                    </w:rPr>
                  </w:pPr>
                  <w:r>
                    <w:rPr>
                      <w:rFonts w:hint="eastAsia" w:ascii="Times New Roman" w:hAnsi="Times New Roman" w:eastAsia="宋体" w:cs="Times New Roman"/>
                      <w:color w:val="auto"/>
                      <w:kern w:val="2"/>
                      <w:sz w:val="21"/>
                      <w:szCs w:val="21"/>
                      <w:highlight w:val="none"/>
                      <w:u w:val="none" w:color="auto"/>
                      <w:lang w:val="en-US" w:eastAsia="zh-CN" w:bidi="ar-SA"/>
                    </w:rPr>
                    <w:t>UV光氧+活性炭吸附一体机</w:t>
                  </w:r>
                </w:p>
              </w:tc>
              <w:tc>
                <w:tcPr>
                  <w:tcW w:w="1971" w:type="dxa"/>
                  <w:tcBorders>
                    <w:left w:val="single" w:color="000000" w:sz="4" w:space="0"/>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u w:val="none" w:color="auto"/>
                      <w:lang w:val="en-US" w:eastAsia="zh-CN" w:bidi="ar-SA"/>
                    </w:rPr>
                  </w:pPr>
                  <w:r>
                    <w:rPr>
                      <w:rFonts w:hint="eastAsia" w:ascii="Times New Roman" w:hAnsi="Times New Roman" w:eastAsia="宋体" w:cs="Times New Roman"/>
                      <w:color w:val="auto"/>
                      <w:kern w:val="2"/>
                      <w:sz w:val="21"/>
                      <w:szCs w:val="21"/>
                      <w:highlight w:val="none"/>
                      <w:u w:val="none" w:color="auto"/>
                      <w:lang w:val="en-US" w:eastAsia="zh-CN" w:bidi="ar-SA"/>
                    </w:rPr>
                    <w:t>1根15m高排气筒</w:t>
                  </w:r>
                  <w:r>
                    <w:rPr>
                      <w:rFonts w:hint="eastAsia" w:cs="Times New Roman"/>
                      <w:color w:val="auto"/>
                      <w:kern w:val="2"/>
                      <w:sz w:val="21"/>
                      <w:szCs w:val="21"/>
                      <w:highlight w:val="none"/>
                      <w:u w:val="none" w:color="auto"/>
                      <w:lang w:val="en-US" w:eastAsia="zh-CN" w:bidi="ar-SA"/>
                    </w:rPr>
                    <w:t>（DA063）</w:t>
                  </w:r>
                </w:p>
              </w:tc>
              <w:tc>
                <w:tcPr>
                  <w:tcW w:w="1295" w:type="dxa"/>
                  <w:vMerge w:val="continue"/>
                  <w:tcBorders>
                    <w:left w:val="single" w:color="000000" w:sz="4" w:space="0"/>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u w:val="none" w:color="auto"/>
                      <w:lang w:val="en-US" w:eastAsia="zh-CN" w:bidi="ar-SA"/>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854"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auto"/>
                      <w:sz w:val="21"/>
                      <w:szCs w:val="21"/>
                      <w:highlight w:val="none"/>
                      <w:u w:val="none" w:color="auto"/>
                      <w:lang w:eastAsia="zh-CN"/>
                    </w:rPr>
                  </w:pPr>
                </w:p>
              </w:tc>
              <w:tc>
                <w:tcPr>
                  <w:tcW w:w="1498" w:type="dxa"/>
                  <w:tcBorders>
                    <w:tl2br w:val="nil"/>
                    <w:tr2bl w:val="nil"/>
                  </w:tcBorders>
                  <w:vAlign w:val="center"/>
                </w:tcPr>
                <w:p>
                  <w:pPr>
                    <w:pStyle w:val="60"/>
                    <w:keepNext w:val="0"/>
                    <w:keepLines w:val="0"/>
                    <w:pageBreakBefore w:val="0"/>
                    <w:suppressLineNumbers w:val="0"/>
                    <w:kinsoku w:val="0"/>
                    <w:wordWrap/>
                    <w:overflowPunct w:val="0"/>
                    <w:topLinePunct w:val="0"/>
                    <w:autoSpaceDE/>
                    <w:autoSpaceDN/>
                    <w:bidi w:val="0"/>
                    <w:adjustRightInd w:val="0"/>
                    <w:snapToGrid w:val="0"/>
                    <w:spacing w:before="0" w:beforeLines="0" w:beforeAutospacing="0" w:after="0" w:afterLines="0" w:afterAutospacing="0" w:line="240" w:lineRule="auto"/>
                    <w:ind w:left="0" w:right="0"/>
                    <w:jc w:val="center"/>
                    <w:textAlignment w:val="auto"/>
                    <w:rPr>
                      <w:rFonts w:hint="default" w:ascii="Times New Roman" w:hAnsi="Times New Roman" w:eastAsia="宋体" w:cs="Times New Roman"/>
                      <w:b w:val="0"/>
                      <w:bCs w:val="0"/>
                      <w:color w:val="auto"/>
                      <w:kern w:val="0"/>
                      <w:sz w:val="21"/>
                      <w:szCs w:val="21"/>
                      <w:highlight w:val="none"/>
                      <w:u w:val="none" w:color="auto"/>
                      <w:lang w:val="en-US" w:eastAsia="zh-CN" w:bidi="ar-SA"/>
                    </w:rPr>
                  </w:pPr>
                  <w:r>
                    <w:rPr>
                      <w:rFonts w:hint="default" w:ascii="Times New Roman" w:hAnsi="Times New Roman" w:eastAsia="宋体" w:cs="Times New Roman"/>
                      <w:color w:val="auto"/>
                      <w:sz w:val="21"/>
                      <w:szCs w:val="21"/>
                      <w:u w:val="none" w:color="auto"/>
                    </w:rPr>
                    <w:t>废水</w:t>
                  </w:r>
                </w:p>
              </w:tc>
              <w:tc>
                <w:tcPr>
                  <w:tcW w:w="4773" w:type="dxa"/>
                  <w:gridSpan w:val="3"/>
                  <w:tcBorders>
                    <w:tl2br w:val="nil"/>
                    <w:tr2bl w:val="nil"/>
                  </w:tcBorders>
                  <w:vAlign w:val="center"/>
                </w:tcPr>
                <w:p>
                  <w:pPr>
                    <w:pStyle w:val="60"/>
                    <w:keepNext w:val="0"/>
                    <w:keepLines w:val="0"/>
                    <w:pageBreakBefore w:val="0"/>
                    <w:suppressLineNumbers w:val="0"/>
                    <w:kinsoku w:val="0"/>
                    <w:wordWrap/>
                    <w:overflowPunct w:val="0"/>
                    <w:topLinePunct w:val="0"/>
                    <w:autoSpaceDE/>
                    <w:autoSpaceDN/>
                    <w:bidi w:val="0"/>
                    <w:adjustRightInd w:val="0"/>
                    <w:snapToGrid w:val="0"/>
                    <w:spacing w:before="0" w:beforeLines="0" w:beforeAutospacing="0" w:after="0" w:afterLines="0" w:afterAutospacing="0" w:line="240" w:lineRule="auto"/>
                    <w:ind w:left="0" w:leftChars="0" w:right="0"/>
                    <w:jc w:val="both"/>
                    <w:textAlignment w:val="auto"/>
                    <w:rPr>
                      <w:rFonts w:hint="default" w:ascii="Times New Roman" w:hAnsi="Times New Roman" w:eastAsia="宋体" w:cs="Times New Roman"/>
                      <w:b w:val="0"/>
                      <w:bCs w:val="0"/>
                      <w:color w:val="auto"/>
                      <w:kern w:val="2"/>
                      <w:sz w:val="21"/>
                      <w:szCs w:val="21"/>
                      <w:u w:val="none" w:color="auto"/>
                      <w:lang w:val="en-US" w:eastAsia="zh-CN" w:bidi="ar"/>
                    </w:rPr>
                  </w:pPr>
                  <w:r>
                    <w:rPr>
                      <w:rFonts w:hint="eastAsia" w:ascii="Times New Roman" w:hAnsi="Times New Roman" w:eastAsia="宋体" w:cs="Times New Roman"/>
                      <w:b w:val="0"/>
                      <w:bCs w:val="0"/>
                      <w:color w:val="auto"/>
                      <w:kern w:val="2"/>
                      <w:sz w:val="21"/>
                      <w:szCs w:val="21"/>
                      <w:u w:val="none" w:color="auto"/>
                      <w:lang w:val="en-US" w:eastAsia="zh-CN" w:bidi="ar"/>
                    </w:rPr>
                    <w:t>项目生产废水主要为冷灰桶冷却用水及车间冲洗废水。冷灰桶冷却用水经闭式冷却水循环系统收集、处理后循环使用，不外排；车间洒扫废水全部蒸发损耗，不外排。</w:t>
                  </w:r>
                </w:p>
              </w:tc>
              <w:tc>
                <w:tcPr>
                  <w:tcW w:w="1295" w:type="dxa"/>
                  <w:tcBorders>
                    <w:tl2br w:val="nil"/>
                    <w:tr2bl w:val="nil"/>
                  </w:tcBorders>
                  <w:vAlign w:val="center"/>
                </w:tcPr>
                <w:p>
                  <w:pPr>
                    <w:pStyle w:val="60"/>
                    <w:keepNext w:val="0"/>
                    <w:keepLines w:val="0"/>
                    <w:pageBreakBefore w:val="0"/>
                    <w:suppressLineNumbers w:val="0"/>
                    <w:kinsoku w:val="0"/>
                    <w:wordWrap/>
                    <w:overflowPunct w:val="0"/>
                    <w:topLinePunct w:val="0"/>
                    <w:autoSpaceDE/>
                    <w:autoSpaceDN/>
                    <w:bidi w:val="0"/>
                    <w:adjustRightInd w:val="0"/>
                    <w:snapToGrid w:val="0"/>
                    <w:spacing w:before="0" w:beforeLines="0" w:beforeAutospacing="0" w:after="0" w:afterLines="0" w:afterAutospacing="0" w:line="240" w:lineRule="auto"/>
                    <w:ind w:left="0" w:leftChars="0" w:right="0"/>
                    <w:jc w:val="center"/>
                    <w:textAlignment w:val="auto"/>
                    <w:rPr>
                      <w:rFonts w:hint="default" w:ascii="Times New Roman" w:hAnsi="Times New Roman" w:eastAsia="宋体" w:cs="Times New Roman"/>
                      <w:b w:val="0"/>
                      <w:bCs w:val="0"/>
                      <w:color w:val="auto"/>
                      <w:kern w:val="2"/>
                      <w:sz w:val="21"/>
                      <w:szCs w:val="21"/>
                      <w:u w:val="none" w:color="auto"/>
                      <w:lang w:val="en-US" w:eastAsia="zh-CN" w:bidi="ar"/>
                    </w:rPr>
                  </w:pPr>
                  <w:r>
                    <w:rPr>
                      <w:rFonts w:hint="eastAsia" w:ascii="Times New Roman" w:hAnsi="Times New Roman" w:eastAsia="宋体" w:cs="Times New Roman"/>
                      <w:b w:val="0"/>
                      <w:bCs w:val="0"/>
                      <w:color w:val="auto"/>
                      <w:kern w:val="2"/>
                      <w:sz w:val="21"/>
                      <w:szCs w:val="21"/>
                      <w:u w:val="none" w:color="auto"/>
                      <w:lang w:val="en-US" w:eastAsia="zh-CN" w:bidi="ar"/>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54"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auto"/>
                      <w:sz w:val="21"/>
                      <w:szCs w:val="21"/>
                      <w:highlight w:val="none"/>
                      <w:u w:val="none" w:color="auto"/>
                      <w:lang w:eastAsia="zh-CN"/>
                    </w:rPr>
                  </w:pPr>
                </w:p>
              </w:tc>
              <w:tc>
                <w:tcPr>
                  <w:tcW w:w="1498" w:type="dxa"/>
                  <w:tcBorders>
                    <w:tl2br w:val="nil"/>
                    <w:tr2bl w:val="nil"/>
                  </w:tcBorders>
                  <w:vAlign w:val="center"/>
                </w:tcPr>
                <w:p>
                  <w:pPr>
                    <w:pStyle w:val="60"/>
                    <w:keepNext w:val="0"/>
                    <w:keepLines w:val="0"/>
                    <w:pageBreakBefore w:val="0"/>
                    <w:suppressLineNumbers w:val="0"/>
                    <w:kinsoku w:val="0"/>
                    <w:wordWrap/>
                    <w:overflowPunct w:val="0"/>
                    <w:topLinePunct w:val="0"/>
                    <w:autoSpaceDE/>
                    <w:autoSpaceDN/>
                    <w:bidi w:val="0"/>
                    <w:adjustRightInd w:val="0"/>
                    <w:snapToGrid w:val="0"/>
                    <w:spacing w:before="0" w:beforeLines="0" w:beforeAutospacing="0" w:after="0" w:afterLines="0" w:afterAutospacing="0" w:line="240" w:lineRule="auto"/>
                    <w:ind w:left="0" w:right="0"/>
                    <w:jc w:val="center"/>
                    <w:textAlignment w:val="auto"/>
                    <w:rPr>
                      <w:rFonts w:hint="default" w:ascii="Times New Roman" w:hAnsi="Times New Roman" w:eastAsia="宋体" w:cs="Times New Roman"/>
                      <w:color w:val="auto"/>
                      <w:kern w:val="0"/>
                      <w:sz w:val="21"/>
                      <w:szCs w:val="21"/>
                      <w:u w:val="none" w:color="auto"/>
                      <w:lang w:val="en-US" w:eastAsia="zh-CN" w:bidi="ar-SA"/>
                    </w:rPr>
                  </w:pPr>
                  <w:r>
                    <w:rPr>
                      <w:rFonts w:hint="default" w:ascii="Times New Roman" w:hAnsi="Times New Roman" w:eastAsia="宋体" w:cs="Times New Roman"/>
                      <w:color w:val="auto"/>
                      <w:sz w:val="21"/>
                      <w:szCs w:val="21"/>
                      <w:u w:val="none" w:color="auto"/>
                    </w:rPr>
                    <w:t>噪声</w:t>
                  </w:r>
                </w:p>
              </w:tc>
              <w:tc>
                <w:tcPr>
                  <w:tcW w:w="4773" w:type="dxa"/>
                  <w:gridSpan w:val="3"/>
                  <w:tcBorders>
                    <w:tl2br w:val="nil"/>
                    <w:tr2bl w:val="nil"/>
                  </w:tcBorders>
                  <w:vAlign w:val="center"/>
                </w:tcPr>
                <w:p>
                  <w:pPr>
                    <w:pStyle w:val="60"/>
                    <w:keepNext w:val="0"/>
                    <w:keepLines w:val="0"/>
                    <w:pageBreakBefore w:val="0"/>
                    <w:suppressLineNumbers w:val="0"/>
                    <w:kinsoku w:val="0"/>
                    <w:wordWrap/>
                    <w:overflowPunct w:val="0"/>
                    <w:topLinePunct w:val="0"/>
                    <w:autoSpaceDE/>
                    <w:autoSpaceDN/>
                    <w:bidi w:val="0"/>
                    <w:adjustRightInd w:val="0"/>
                    <w:snapToGrid w:val="0"/>
                    <w:spacing w:before="0" w:beforeLines="0" w:beforeAutospacing="0" w:after="0" w:afterLines="0" w:afterAutospacing="0" w:line="240" w:lineRule="auto"/>
                    <w:ind w:left="0" w:leftChars="0" w:right="0"/>
                    <w:jc w:val="center"/>
                    <w:textAlignment w:val="auto"/>
                    <w:rPr>
                      <w:rFonts w:hint="default" w:ascii="Times New Roman" w:hAnsi="Times New Roman" w:eastAsia="宋体" w:cs="Times New Roman"/>
                      <w:color w:val="auto"/>
                      <w:kern w:val="2"/>
                      <w:sz w:val="21"/>
                      <w:szCs w:val="21"/>
                      <w:u w:val="none" w:color="auto"/>
                      <w:lang w:val="en-US" w:eastAsia="zh-CN" w:bidi="ar-SA"/>
                    </w:rPr>
                  </w:pPr>
                  <w:r>
                    <w:rPr>
                      <w:rFonts w:hint="default" w:ascii="Times New Roman" w:hAnsi="Times New Roman" w:eastAsia="宋体" w:cs="Times New Roman"/>
                      <w:color w:val="auto"/>
                      <w:sz w:val="21"/>
                      <w:szCs w:val="21"/>
                    </w:rPr>
                    <w:t>基础减</w:t>
                  </w:r>
                  <w:r>
                    <w:rPr>
                      <w:rFonts w:hint="eastAsia" w:ascii="Times New Roman" w:hAnsi="Times New Roman" w:eastAsia="宋体" w:cs="Times New Roman"/>
                      <w:color w:val="auto"/>
                      <w:sz w:val="21"/>
                      <w:szCs w:val="21"/>
                      <w:lang w:eastAsia="zh-CN"/>
                    </w:rPr>
                    <w:t>振</w:t>
                  </w:r>
                  <w:r>
                    <w:rPr>
                      <w:rFonts w:hint="default" w:ascii="Times New Roman" w:hAnsi="Times New Roman" w:eastAsia="宋体" w:cs="Times New Roman"/>
                      <w:color w:val="auto"/>
                      <w:sz w:val="21"/>
                      <w:szCs w:val="21"/>
                    </w:rPr>
                    <w:t>、厂房隔声等</w:t>
                  </w:r>
                </w:p>
              </w:tc>
              <w:tc>
                <w:tcPr>
                  <w:tcW w:w="1295" w:type="dxa"/>
                  <w:tcBorders>
                    <w:tl2br w:val="nil"/>
                    <w:tr2bl w:val="nil"/>
                  </w:tcBorders>
                  <w:vAlign w:val="center"/>
                </w:tcPr>
                <w:p>
                  <w:pPr>
                    <w:pStyle w:val="60"/>
                    <w:keepNext w:val="0"/>
                    <w:keepLines w:val="0"/>
                    <w:pageBreakBefore w:val="0"/>
                    <w:suppressLineNumbers w:val="0"/>
                    <w:kinsoku w:val="0"/>
                    <w:wordWrap/>
                    <w:overflowPunct w:val="0"/>
                    <w:topLinePunct w:val="0"/>
                    <w:autoSpaceDE/>
                    <w:autoSpaceDN/>
                    <w:bidi w:val="0"/>
                    <w:adjustRightInd w:val="0"/>
                    <w:snapToGrid w:val="0"/>
                    <w:spacing w:before="0" w:beforeLines="0" w:beforeAutospacing="0" w:after="0" w:afterLines="0" w:afterAutospacing="0" w:line="240" w:lineRule="auto"/>
                    <w:ind w:left="0" w:leftChars="0" w:right="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54"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auto"/>
                      <w:sz w:val="21"/>
                      <w:szCs w:val="21"/>
                      <w:highlight w:val="none"/>
                      <w:u w:val="none" w:color="auto"/>
                      <w:lang w:eastAsia="zh-CN"/>
                    </w:rPr>
                  </w:pPr>
                </w:p>
              </w:tc>
              <w:tc>
                <w:tcPr>
                  <w:tcW w:w="1498" w:type="dxa"/>
                  <w:tcBorders>
                    <w:tl2br w:val="nil"/>
                    <w:tr2bl w:val="nil"/>
                  </w:tcBorders>
                  <w:vAlign w:val="center"/>
                </w:tcPr>
                <w:p>
                  <w:pPr>
                    <w:pStyle w:val="60"/>
                    <w:keepNext w:val="0"/>
                    <w:keepLines w:val="0"/>
                    <w:pageBreakBefore w:val="0"/>
                    <w:suppressLineNumbers w:val="0"/>
                    <w:kinsoku w:val="0"/>
                    <w:wordWrap/>
                    <w:overflowPunct w:val="0"/>
                    <w:topLinePunct w:val="0"/>
                    <w:autoSpaceDE/>
                    <w:autoSpaceDN/>
                    <w:bidi w:val="0"/>
                    <w:adjustRightInd w:val="0"/>
                    <w:snapToGrid w:val="0"/>
                    <w:spacing w:before="0" w:beforeLines="0" w:beforeAutospacing="0" w:after="0" w:afterLines="0" w:afterAutospacing="0" w:line="240" w:lineRule="auto"/>
                    <w:ind w:left="0" w:right="0"/>
                    <w:jc w:val="center"/>
                    <w:textAlignment w:val="auto"/>
                    <w:rPr>
                      <w:rFonts w:hint="eastAsia" w:ascii="Times New Roman" w:hAnsi="Times New Roman" w:eastAsia="宋体" w:cs="Times New Roman"/>
                      <w:color w:val="auto"/>
                      <w:kern w:val="0"/>
                      <w:sz w:val="21"/>
                      <w:szCs w:val="21"/>
                      <w:u w:val="none" w:color="auto"/>
                      <w:lang w:val="en-US" w:eastAsia="zh-CN" w:bidi="ar-SA"/>
                    </w:rPr>
                  </w:pPr>
                  <w:r>
                    <w:rPr>
                      <w:rFonts w:hint="eastAsia" w:ascii="Times New Roman" w:hAnsi="Times New Roman" w:eastAsia="宋体" w:cs="Times New Roman"/>
                      <w:color w:val="auto"/>
                      <w:sz w:val="21"/>
                      <w:szCs w:val="21"/>
                      <w:u w:val="none" w:color="auto"/>
                      <w:lang w:eastAsia="zh-CN"/>
                    </w:rPr>
                    <w:t>固废</w:t>
                  </w:r>
                </w:p>
              </w:tc>
              <w:tc>
                <w:tcPr>
                  <w:tcW w:w="4773" w:type="dxa"/>
                  <w:gridSpan w:val="3"/>
                  <w:tcBorders>
                    <w:tl2br w:val="nil"/>
                    <w:tr2bl w:val="nil"/>
                  </w:tcBorders>
                  <w:vAlign w:val="center"/>
                </w:tcPr>
                <w:p>
                  <w:pPr>
                    <w:pStyle w:val="60"/>
                    <w:keepNext w:val="0"/>
                    <w:keepLines w:val="0"/>
                    <w:pageBreakBefore w:val="0"/>
                    <w:suppressLineNumbers w:val="0"/>
                    <w:kinsoku w:val="0"/>
                    <w:wordWrap/>
                    <w:overflowPunct w:val="0"/>
                    <w:topLinePunct w:val="0"/>
                    <w:autoSpaceDE/>
                    <w:autoSpaceDN/>
                    <w:bidi w:val="0"/>
                    <w:adjustRightInd w:val="0"/>
                    <w:snapToGrid w:val="0"/>
                    <w:spacing w:before="0" w:beforeLines="0" w:beforeAutospacing="0" w:after="0" w:afterLines="0" w:afterAutospacing="0" w:line="240" w:lineRule="auto"/>
                    <w:ind w:left="0" w:leftChars="0" w:right="0"/>
                    <w:jc w:val="both"/>
                    <w:textAlignment w:val="auto"/>
                    <w:rPr>
                      <w:rFonts w:hint="eastAsia" w:ascii="Times New Roman" w:hAnsi="Times New Roman" w:eastAsia="宋体" w:cs="Times New Roman"/>
                      <w:b w:val="0"/>
                      <w:bCs w:val="0"/>
                      <w:color w:val="auto"/>
                      <w:sz w:val="21"/>
                      <w:szCs w:val="21"/>
                      <w:highlight w:val="none"/>
                      <w:u w:val="none" w:color="auto"/>
                      <w:lang w:eastAsia="zh-CN"/>
                    </w:rPr>
                  </w:pPr>
                  <w:r>
                    <w:rPr>
                      <w:rFonts w:hint="default" w:ascii="Times New Roman" w:hAnsi="Times New Roman" w:eastAsia="宋体" w:cs="Times New Roman"/>
                      <w:color w:val="auto"/>
                      <w:sz w:val="21"/>
                      <w:szCs w:val="21"/>
                      <w:lang w:eastAsia="zh-CN"/>
                    </w:rPr>
                    <w:t>工程建成后</w:t>
                  </w:r>
                  <w:r>
                    <w:rPr>
                      <w:rFonts w:hint="eastAsia" w:ascii="Times New Roman" w:hAnsi="Times New Roman" w:eastAsia="宋体" w:cs="Times New Roman"/>
                      <w:color w:val="auto"/>
                      <w:sz w:val="21"/>
                      <w:szCs w:val="21"/>
                      <w:lang w:eastAsia="zh-CN"/>
                    </w:rPr>
                    <w:t>二次熔炼渣、除尘灰</w:t>
                  </w:r>
                  <w:r>
                    <w:rPr>
                      <w:rFonts w:hint="eastAsia" w:cs="Times New Roman"/>
                      <w:color w:val="auto"/>
                      <w:sz w:val="21"/>
                      <w:szCs w:val="21"/>
                      <w:lang w:eastAsia="zh-CN"/>
                    </w:rPr>
                    <w:t>、废滤袋、废</w:t>
                  </w:r>
                  <w:r>
                    <w:rPr>
                      <w:rFonts w:hint="eastAsia" w:cs="Times New Roman"/>
                      <w:color w:val="auto"/>
                      <w:sz w:val="21"/>
                      <w:szCs w:val="21"/>
                      <w:lang w:val="en-US" w:eastAsia="zh-CN"/>
                    </w:rPr>
                    <w:t>UV灯管、废活性炭</w:t>
                  </w:r>
                  <w:r>
                    <w:rPr>
                      <w:rFonts w:hint="eastAsia" w:ascii="Times New Roman" w:hAnsi="Times New Roman" w:eastAsia="宋体" w:cs="Times New Roman"/>
                      <w:color w:val="auto"/>
                      <w:sz w:val="21"/>
                      <w:szCs w:val="21"/>
                      <w:lang w:eastAsia="zh-CN"/>
                    </w:rPr>
                    <w:t>集中暂存于危废暂存间内</w:t>
                  </w:r>
                  <w:r>
                    <w:rPr>
                      <w:rFonts w:hint="default" w:ascii="Times New Roman" w:hAnsi="Times New Roman" w:eastAsia="宋体" w:cs="Times New Roman"/>
                      <w:color w:val="auto"/>
                      <w:sz w:val="21"/>
                      <w:szCs w:val="21"/>
                      <w:lang w:eastAsia="zh-CN"/>
                    </w:rPr>
                    <w:t>，</w:t>
                  </w:r>
                  <w:r>
                    <w:rPr>
                      <w:rFonts w:hint="eastAsia" w:ascii="Times New Roman" w:hAnsi="Times New Roman" w:cs="Times New Roman"/>
                      <w:bCs/>
                      <w:color w:val="auto"/>
                      <w:sz w:val="21"/>
                      <w:szCs w:val="21"/>
                      <w:lang w:eastAsia="zh-CN"/>
                    </w:rPr>
                    <w:t>定期委托有处置资质的单位拉运处理</w:t>
                  </w:r>
                  <w:r>
                    <w:rPr>
                      <w:rFonts w:hint="eastAsia" w:cs="Times New Roman"/>
                      <w:color w:val="auto"/>
                      <w:sz w:val="21"/>
                      <w:szCs w:val="21"/>
                      <w:lang w:eastAsia="zh-CN"/>
                    </w:rPr>
                    <w:t>；</w:t>
                  </w:r>
                  <w:r>
                    <w:rPr>
                      <w:rFonts w:hint="default" w:ascii="Times New Roman" w:hAnsi="Times New Roman" w:eastAsia="宋体" w:cs="Times New Roman"/>
                      <w:color w:val="auto"/>
                      <w:sz w:val="21"/>
                      <w:szCs w:val="21"/>
                      <w:lang w:eastAsia="zh-CN"/>
                    </w:rPr>
                    <w:t>本次不新增生活垃圾量，生活垃圾由厂区生活垃圾桶集中收集，委托环卫部门定时清运不外排</w:t>
                  </w:r>
                </w:p>
              </w:tc>
              <w:tc>
                <w:tcPr>
                  <w:tcW w:w="1295" w:type="dxa"/>
                  <w:tcBorders>
                    <w:tl2br w:val="nil"/>
                    <w:tr2bl w:val="nil"/>
                  </w:tcBorders>
                  <w:vAlign w:val="center"/>
                </w:tcPr>
                <w:p>
                  <w:pPr>
                    <w:pStyle w:val="60"/>
                    <w:keepNext w:val="0"/>
                    <w:keepLines w:val="0"/>
                    <w:pageBreakBefore w:val="0"/>
                    <w:suppressLineNumbers w:val="0"/>
                    <w:kinsoku w:val="0"/>
                    <w:wordWrap/>
                    <w:overflowPunct w:val="0"/>
                    <w:topLinePunct w:val="0"/>
                    <w:autoSpaceDE/>
                    <w:autoSpaceDN/>
                    <w:bidi w:val="0"/>
                    <w:adjustRightInd w:val="0"/>
                    <w:snapToGrid w:val="0"/>
                    <w:spacing w:before="0" w:beforeLines="0" w:beforeAutospacing="0" w:after="0" w:afterLines="0" w:afterAutospacing="0" w:line="240" w:lineRule="auto"/>
                    <w:ind w:left="0" w:leftChars="0" w:right="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r>
          </w:tbl>
          <w:p>
            <w:pPr>
              <w:pStyle w:val="13"/>
              <w:keepNext w:val="0"/>
              <w:keepLines w:val="0"/>
              <w:pageBreakBefore w:val="0"/>
              <w:widowControl w:val="0"/>
              <w:numPr>
                <w:ilvl w:val="0"/>
                <w:numId w:val="0"/>
              </w:numPr>
              <w:suppressLineNumbers w:val="0"/>
              <w:tabs>
                <w:tab w:val="clear" w:pos="2040"/>
              </w:tabs>
              <w:kinsoku/>
              <w:wordWrap/>
              <w:overflowPunct/>
              <w:topLinePunct w:val="0"/>
              <w:autoSpaceDE/>
              <w:autoSpaceDN/>
              <w:bidi w:val="0"/>
              <w:adjustRightInd w:val="0"/>
              <w:snapToGrid w:val="0"/>
              <w:spacing w:before="0" w:beforeAutospacing="0" w:after="0" w:afterAutospacing="0" w:line="360" w:lineRule="auto"/>
              <w:ind w:right="0"/>
              <w:jc w:val="left"/>
              <w:textAlignment w:val="auto"/>
              <w:outlineLvl w:val="9"/>
              <w:rPr>
                <w:rFonts w:hint="default"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3.依托工程</w:t>
            </w:r>
          </w:p>
          <w:p>
            <w:pPr>
              <w:pStyle w:val="13"/>
              <w:keepNext w:val="0"/>
              <w:keepLines w:val="0"/>
              <w:pageBreakBefore w:val="0"/>
              <w:widowControl w:val="0"/>
              <w:numPr>
                <w:ilvl w:val="0"/>
                <w:numId w:val="0"/>
              </w:numPr>
              <w:suppressLineNumbers w:val="0"/>
              <w:tabs>
                <w:tab w:val="clear" w:pos="2040"/>
              </w:tabs>
              <w:kinsoku/>
              <w:wordWrap/>
              <w:overflowPunct/>
              <w:topLinePunct w:val="0"/>
              <w:autoSpaceDE/>
              <w:autoSpaceDN/>
              <w:bidi w:val="0"/>
              <w:adjustRightInd w:val="0"/>
              <w:snapToGrid w:val="0"/>
              <w:spacing w:before="0" w:beforeAutospacing="0" w:after="0" w:afterAutospacing="0" w:line="360" w:lineRule="auto"/>
              <w:ind w:right="0" w:firstLine="241" w:firstLineChars="100"/>
              <w:jc w:val="left"/>
              <w:textAlignment w:val="auto"/>
              <w:outlineLvl w:val="9"/>
              <w:rPr>
                <w:rFonts w:hint="default"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3.1生产车间及配套设施依托情况</w:t>
            </w:r>
          </w:p>
          <w:p>
            <w:pPr>
              <w:pStyle w:val="13"/>
              <w:keepNext w:val="0"/>
              <w:keepLines w:val="0"/>
              <w:pageBreakBefore w:val="0"/>
              <w:widowControl w:val="0"/>
              <w:numPr>
                <w:ilvl w:val="0"/>
                <w:numId w:val="0"/>
              </w:numPr>
              <w:suppressLineNumbers w:val="0"/>
              <w:tabs>
                <w:tab w:val="clear" w:pos="2040"/>
              </w:tabs>
              <w:kinsoku/>
              <w:wordWrap/>
              <w:overflowPunct/>
              <w:topLinePunct w:val="0"/>
              <w:autoSpaceDE/>
              <w:autoSpaceDN/>
              <w:bidi w:val="0"/>
              <w:adjustRightInd w:val="0"/>
              <w:snapToGrid w:val="0"/>
              <w:spacing w:before="0" w:beforeAutospacing="0" w:after="0" w:afterAutospacing="0" w:line="360" w:lineRule="auto"/>
              <w:ind w:right="0" w:firstLine="480" w:firstLineChars="200"/>
              <w:jc w:val="left"/>
              <w:textAlignment w:val="auto"/>
              <w:outlineLvl w:val="9"/>
              <w:rPr>
                <w:rFonts w:hint="eastAsia"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val="0"/>
                <w:bCs w:val="0"/>
                <w:color w:val="auto"/>
                <w:sz w:val="24"/>
                <w:szCs w:val="24"/>
                <w:highlight w:val="none"/>
                <w:u w:val="none" w:color="auto"/>
                <w:lang w:val="en-US" w:eastAsia="zh-CN"/>
              </w:rPr>
              <w:t>本项目在现有厂区内建设，对在建工程年产6万吨铝锌合金生产线进行改造，依托铝锌合金生产车间</w:t>
            </w:r>
            <w:r>
              <w:rPr>
                <w:rFonts w:hint="eastAsia" w:cs="Times New Roman"/>
                <w:b w:val="0"/>
                <w:bCs w:val="0"/>
                <w:color w:val="auto"/>
                <w:sz w:val="24"/>
                <w:szCs w:val="24"/>
                <w:highlight w:val="none"/>
                <w:u w:val="none" w:color="auto"/>
                <w:lang w:val="en-US" w:eastAsia="zh-CN"/>
              </w:rPr>
              <w:t>及配套危废间等</w:t>
            </w:r>
            <w:r>
              <w:rPr>
                <w:rFonts w:hint="eastAsia" w:ascii="Times New Roman" w:hAnsi="Times New Roman" w:eastAsia="宋体" w:cs="Times New Roman"/>
                <w:b w:val="0"/>
                <w:bCs w:val="0"/>
                <w:color w:val="auto"/>
                <w:sz w:val="24"/>
                <w:szCs w:val="24"/>
                <w:highlight w:val="none"/>
                <w:u w:val="none" w:color="auto"/>
                <w:lang w:val="en-US" w:eastAsia="zh-CN"/>
              </w:rPr>
              <w:t>相关配套设施，能够满足本项目使用。</w:t>
            </w:r>
          </w:p>
          <w:p>
            <w:pPr>
              <w:pStyle w:val="13"/>
              <w:keepNext w:val="0"/>
              <w:keepLines w:val="0"/>
              <w:pageBreakBefore w:val="0"/>
              <w:widowControl w:val="0"/>
              <w:numPr>
                <w:ilvl w:val="0"/>
                <w:numId w:val="0"/>
              </w:numPr>
              <w:suppressLineNumbers w:val="0"/>
              <w:tabs>
                <w:tab w:val="clear" w:pos="2040"/>
              </w:tabs>
              <w:kinsoku/>
              <w:wordWrap/>
              <w:overflowPunct/>
              <w:topLinePunct w:val="0"/>
              <w:autoSpaceDE/>
              <w:autoSpaceDN/>
              <w:bidi w:val="0"/>
              <w:adjustRightInd w:val="0"/>
              <w:snapToGrid w:val="0"/>
              <w:spacing w:before="0" w:beforeAutospacing="0" w:after="0" w:afterAutospacing="0" w:line="360" w:lineRule="auto"/>
              <w:ind w:right="0" w:firstLine="241" w:firstLineChars="100"/>
              <w:jc w:val="left"/>
              <w:textAlignment w:val="auto"/>
              <w:outlineLvl w:val="9"/>
              <w:rPr>
                <w:rFonts w:hint="default"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3.2排放口现状情况</w:t>
            </w:r>
          </w:p>
          <w:p>
            <w:pPr>
              <w:pStyle w:val="13"/>
              <w:keepNext w:val="0"/>
              <w:keepLines w:val="0"/>
              <w:pageBreakBefore w:val="0"/>
              <w:widowControl w:val="0"/>
              <w:numPr>
                <w:ilvl w:val="0"/>
                <w:numId w:val="0"/>
              </w:numPr>
              <w:suppressLineNumbers w:val="0"/>
              <w:tabs>
                <w:tab w:val="clear" w:pos="2040"/>
              </w:tabs>
              <w:kinsoku/>
              <w:wordWrap/>
              <w:overflowPunct/>
              <w:topLinePunct w:val="0"/>
              <w:autoSpaceDE/>
              <w:autoSpaceDN/>
              <w:bidi w:val="0"/>
              <w:adjustRightInd w:val="0"/>
              <w:snapToGrid w:val="0"/>
              <w:spacing w:before="0" w:beforeAutospacing="0" w:after="0" w:afterAutospacing="0" w:line="360" w:lineRule="auto"/>
              <w:ind w:right="0" w:firstLine="480" w:firstLineChars="200"/>
              <w:jc w:val="both"/>
              <w:textAlignment w:val="auto"/>
              <w:outlineLvl w:val="9"/>
              <w:rPr>
                <w:rFonts w:hint="default" w:ascii="Times New Roman" w:hAnsi="Times New Roman" w:eastAsia="宋体" w:cs="Times New Roman"/>
                <w:b w:val="0"/>
                <w:bCs w:val="0"/>
                <w:color w:val="auto"/>
                <w:sz w:val="24"/>
                <w:szCs w:val="24"/>
                <w:highlight w:val="none"/>
                <w:u w:val="none" w:color="auto"/>
                <w:vertAlign w:val="baseline"/>
                <w:lang w:val="en-US" w:eastAsia="zh-CN"/>
              </w:rPr>
            </w:pPr>
            <w:r>
              <w:rPr>
                <w:rFonts w:hint="eastAsia" w:ascii="Times New Roman" w:hAnsi="Times New Roman" w:eastAsia="宋体" w:cs="Times New Roman"/>
                <w:b w:val="0"/>
                <w:bCs w:val="0"/>
                <w:color w:val="auto"/>
                <w:sz w:val="24"/>
                <w:szCs w:val="24"/>
                <w:highlight w:val="none"/>
                <w:u w:val="none" w:color="auto"/>
                <w:lang w:val="en-US" w:eastAsia="zh-CN"/>
              </w:rPr>
              <w:t>本项目炒灰上料废气及炒灰废气与扒渣工序共用一套耐高温高效覆膜袋式除尘器处理，经同一根18m高排气筒（DA066）排放。年产6万吨铝锌合金生产线并未进行验收，按环评核算颗粒物有组织排放量共计0.8956t，污染物排放浓度约为3.6874mg/m</w:t>
            </w:r>
            <w:r>
              <w:rPr>
                <w:rFonts w:hint="eastAsia" w:ascii="Times New Roman" w:hAnsi="Times New Roman" w:eastAsia="宋体" w:cs="Times New Roman"/>
                <w:b w:val="0"/>
                <w:bCs w:val="0"/>
                <w:color w:val="auto"/>
                <w:sz w:val="24"/>
                <w:szCs w:val="24"/>
                <w:highlight w:val="none"/>
                <w:u w:val="none" w:color="auto"/>
                <w:vertAlign w:val="superscript"/>
                <w:lang w:val="en-US" w:eastAsia="zh-CN"/>
              </w:rPr>
              <w:t>3</w:t>
            </w:r>
            <w:r>
              <w:rPr>
                <w:rFonts w:hint="eastAsia" w:ascii="Times New Roman" w:hAnsi="Times New Roman" w:eastAsia="宋体" w:cs="Times New Roman"/>
                <w:b w:val="0"/>
                <w:bCs w:val="0"/>
                <w:color w:val="auto"/>
                <w:sz w:val="24"/>
                <w:szCs w:val="24"/>
                <w:highlight w:val="none"/>
                <w:u w:val="none" w:color="auto"/>
                <w:vertAlign w:val="baseline"/>
                <w:lang w:val="en-US" w:eastAsia="zh-CN"/>
              </w:rPr>
              <w:t>，能够满足《工业炉窑大气污染物排放标准》（DB41/ 1066—2020）、《安阳市2019年工业大气污染治理5个专项实施方案》的通知（安环攻坚办〔2019〕196号文）及《河南省重污染天气通用行业应急减排措施制定技术指南》（2024年修订版）中相关限值要求。</w:t>
            </w:r>
          </w:p>
          <w:p>
            <w:pPr>
              <w:pStyle w:val="13"/>
              <w:keepNext w:val="0"/>
              <w:keepLines w:val="0"/>
              <w:pageBreakBefore w:val="0"/>
              <w:widowControl w:val="0"/>
              <w:numPr>
                <w:ilvl w:val="0"/>
                <w:numId w:val="0"/>
              </w:numPr>
              <w:suppressLineNumbers w:val="0"/>
              <w:tabs>
                <w:tab w:val="clear" w:pos="2040"/>
              </w:tabs>
              <w:kinsoku/>
              <w:wordWrap/>
              <w:overflowPunct/>
              <w:topLinePunct w:val="0"/>
              <w:autoSpaceDE/>
              <w:autoSpaceDN/>
              <w:bidi w:val="0"/>
              <w:adjustRightInd w:val="0"/>
              <w:snapToGrid w:val="0"/>
              <w:spacing w:before="0" w:beforeAutospacing="0" w:after="0" w:afterAutospacing="0" w:line="360" w:lineRule="auto"/>
              <w:ind w:right="0"/>
              <w:jc w:val="left"/>
              <w:textAlignment w:val="auto"/>
              <w:outlineLvl w:val="9"/>
              <w:rPr>
                <w:rFonts w:hint="default" w:ascii="Times New Roman" w:hAnsi="Times New Roman" w:eastAsia="宋体" w:cs="Times New Roman"/>
                <w:b/>
                <w:bCs/>
                <w:color w:val="auto"/>
                <w:sz w:val="24"/>
                <w:szCs w:val="24"/>
                <w:highlight w:val="none"/>
                <w:u w:val="none" w:color="auto"/>
              </w:rPr>
            </w:pPr>
            <w:r>
              <w:rPr>
                <w:rFonts w:hint="eastAsia" w:ascii="Times New Roman" w:hAnsi="Times New Roman" w:eastAsia="宋体" w:cs="Times New Roman"/>
                <w:b/>
                <w:bCs/>
                <w:color w:val="auto"/>
                <w:sz w:val="24"/>
                <w:szCs w:val="24"/>
                <w:highlight w:val="none"/>
                <w:u w:val="none" w:color="auto"/>
                <w:lang w:val="en-US" w:eastAsia="zh-CN"/>
              </w:rPr>
              <w:t>4.本项目</w:t>
            </w:r>
            <w:r>
              <w:rPr>
                <w:rFonts w:hint="eastAsia" w:ascii="Times New Roman" w:hAnsi="Times New Roman" w:eastAsia="宋体" w:cs="Times New Roman"/>
                <w:b/>
                <w:bCs/>
                <w:color w:val="auto"/>
                <w:sz w:val="24"/>
                <w:szCs w:val="24"/>
                <w:highlight w:val="none"/>
                <w:u w:val="none" w:color="auto"/>
                <w:lang w:eastAsia="zh-CN"/>
              </w:rPr>
              <w:t>主要产品及产能</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b/>
                <w:bCs/>
                <w:color w:val="auto"/>
                <w:sz w:val="24"/>
                <w:szCs w:val="24"/>
                <w:highlight w:val="none"/>
                <w:u w:val="none" w:color="auto"/>
              </w:rPr>
            </w:pPr>
            <w:r>
              <w:rPr>
                <w:rFonts w:hint="eastAsia" w:ascii="Times New Roman" w:hAnsi="Times New Roman" w:eastAsia="宋体" w:cs="Times New Roman"/>
                <w:b w:val="0"/>
                <w:bCs w:val="0"/>
                <w:color w:val="auto"/>
                <w:kern w:val="0"/>
                <w:sz w:val="24"/>
                <w:szCs w:val="24"/>
                <w:highlight w:val="none"/>
                <w:u w:val="none" w:color="auto"/>
                <w:lang w:val="en-US" w:eastAsia="zh-CN" w:bidi="ar-SA"/>
              </w:rPr>
              <w:t>本项目产品为次合金块，具体产品方案见下表，产品质量指标见下表</w:t>
            </w:r>
            <w:r>
              <w:rPr>
                <w:rFonts w:hint="eastAsia" w:ascii="Times New Roman" w:hAnsi="Times New Roman" w:eastAsia="宋体" w:cs="Times New Roman"/>
                <w:b w:val="0"/>
                <w:bCs w:val="0"/>
                <w:color w:val="auto"/>
                <w:sz w:val="24"/>
                <w:szCs w:val="24"/>
                <w:highlight w:val="none"/>
                <w:u w:val="none" w:color="auto"/>
                <w:lang w:eastAsia="zh-CN"/>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4"/>
                <w:szCs w:val="24"/>
                <w:highlight w:val="none"/>
                <w:u w:val="none" w:color="auto"/>
              </w:rPr>
            </w:pPr>
            <w:r>
              <w:rPr>
                <w:rFonts w:hint="default" w:ascii="Times New Roman" w:hAnsi="Times New Roman" w:eastAsia="宋体" w:cs="Times New Roman"/>
                <w:b/>
                <w:bCs/>
                <w:color w:val="auto"/>
                <w:sz w:val="24"/>
                <w:szCs w:val="24"/>
                <w:highlight w:val="none"/>
                <w:u w:val="none" w:color="auto"/>
              </w:rPr>
              <w:t>项目</w:t>
            </w:r>
            <w:r>
              <w:rPr>
                <w:rFonts w:hint="eastAsia" w:ascii="Times New Roman" w:hAnsi="Times New Roman" w:eastAsia="宋体" w:cs="Times New Roman"/>
                <w:b/>
                <w:bCs/>
                <w:color w:val="auto"/>
                <w:sz w:val="24"/>
                <w:szCs w:val="24"/>
                <w:highlight w:val="none"/>
                <w:u w:val="none" w:color="auto"/>
                <w:lang w:eastAsia="zh-CN"/>
              </w:rPr>
              <w:t>产品方案</w:t>
            </w:r>
            <w:r>
              <w:rPr>
                <w:rFonts w:hint="default" w:ascii="Times New Roman" w:hAnsi="Times New Roman" w:eastAsia="宋体" w:cs="Times New Roman"/>
                <w:b/>
                <w:bCs/>
                <w:color w:val="auto"/>
                <w:sz w:val="24"/>
                <w:szCs w:val="24"/>
                <w:highlight w:val="none"/>
                <w:u w:val="none" w:color="auto"/>
              </w:rPr>
              <w:t>一览表</w:t>
            </w:r>
          </w:p>
          <w:tbl>
            <w:tblPr>
              <w:tblStyle w:val="27"/>
              <w:tblW w:w="8334" w:type="dxa"/>
              <w:jc w:val="center"/>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80"/>
              <w:gridCol w:w="1819"/>
              <w:gridCol w:w="3355"/>
              <w:gridCol w:w="238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80" w:type="dxa"/>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bCs/>
                      <w:color w:val="auto"/>
                      <w:sz w:val="21"/>
                      <w:szCs w:val="21"/>
                      <w:highlight w:val="none"/>
                      <w:u w:val="none" w:color="auto"/>
                      <w:lang w:eastAsia="zh-CN"/>
                    </w:rPr>
                  </w:pPr>
                  <w:r>
                    <w:rPr>
                      <w:rFonts w:hint="eastAsia" w:ascii="Times New Roman" w:hAnsi="Times New Roman" w:eastAsia="宋体" w:cs="Times New Roman"/>
                      <w:b/>
                      <w:bCs/>
                      <w:color w:val="auto"/>
                      <w:sz w:val="21"/>
                      <w:szCs w:val="21"/>
                      <w:highlight w:val="none"/>
                      <w:u w:val="none" w:color="auto"/>
                      <w:lang w:eastAsia="zh-CN"/>
                    </w:rPr>
                    <w:t>序号</w:t>
                  </w:r>
                </w:p>
              </w:tc>
              <w:tc>
                <w:tcPr>
                  <w:tcW w:w="1819" w:type="dxa"/>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u w:val="none" w:color="auto"/>
                      <w:lang w:val="en-US" w:eastAsia="zh-CN"/>
                    </w:rPr>
                  </w:pPr>
                  <w:r>
                    <w:rPr>
                      <w:rFonts w:hint="eastAsia" w:ascii="Times New Roman" w:hAnsi="Times New Roman" w:eastAsia="宋体" w:cs="Times New Roman"/>
                      <w:b/>
                      <w:bCs/>
                      <w:color w:val="auto"/>
                      <w:sz w:val="21"/>
                      <w:szCs w:val="21"/>
                      <w:highlight w:val="none"/>
                      <w:u w:val="none" w:color="auto"/>
                      <w:lang w:val="en-US" w:eastAsia="zh-CN"/>
                    </w:rPr>
                    <w:t>建设情况</w:t>
                  </w:r>
                </w:p>
              </w:tc>
              <w:tc>
                <w:tcPr>
                  <w:tcW w:w="3355" w:type="dxa"/>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bCs/>
                      <w:color w:val="auto"/>
                      <w:sz w:val="21"/>
                      <w:szCs w:val="21"/>
                      <w:highlight w:val="none"/>
                      <w:u w:val="none" w:color="auto"/>
                      <w:lang w:eastAsia="zh-CN"/>
                    </w:rPr>
                  </w:pPr>
                  <w:r>
                    <w:rPr>
                      <w:rFonts w:hint="eastAsia" w:ascii="Times New Roman" w:hAnsi="Times New Roman" w:eastAsia="宋体" w:cs="Times New Roman"/>
                      <w:b/>
                      <w:bCs/>
                      <w:color w:val="auto"/>
                      <w:sz w:val="21"/>
                      <w:szCs w:val="21"/>
                      <w:highlight w:val="none"/>
                      <w:u w:val="none" w:color="auto"/>
                      <w:lang w:eastAsia="zh-CN"/>
                    </w:rPr>
                    <w:t>产品名称</w:t>
                  </w:r>
                </w:p>
              </w:tc>
              <w:tc>
                <w:tcPr>
                  <w:tcW w:w="2380" w:type="dxa"/>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bCs/>
                      <w:color w:val="auto"/>
                      <w:sz w:val="21"/>
                      <w:szCs w:val="21"/>
                      <w:highlight w:val="none"/>
                      <w:u w:val="none" w:color="auto"/>
                      <w:lang w:eastAsia="zh-CN"/>
                    </w:rPr>
                  </w:pPr>
                  <w:r>
                    <w:rPr>
                      <w:rFonts w:hint="eastAsia" w:ascii="Times New Roman" w:hAnsi="Times New Roman" w:eastAsia="宋体" w:cs="Times New Roman"/>
                      <w:b/>
                      <w:bCs/>
                      <w:color w:val="auto"/>
                      <w:kern w:val="0"/>
                      <w:sz w:val="21"/>
                      <w:szCs w:val="21"/>
                      <w:highlight w:val="none"/>
                      <w:u w:val="none" w:color="auto"/>
                      <w:lang w:val="en-US" w:eastAsia="zh-CN"/>
                    </w:rPr>
                    <w:t>产生量</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80" w:type="dxa"/>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val="0"/>
                      <w:bCs w:val="0"/>
                      <w:color w:val="auto"/>
                      <w:sz w:val="21"/>
                      <w:szCs w:val="21"/>
                      <w:highlight w:val="none"/>
                      <w:u w:val="none" w:color="auto"/>
                      <w:lang w:val="en-US" w:eastAsia="zh-CN"/>
                    </w:rPr>
                  </w:pPr>
                  <w:r>
                    <w:rPr>
                      <w:rFonts w:hint="eastAsia" w:ascii="Times New Roman" w:hAnsi="Times New Roman" w:eastAsia="宋体" w:cs="Times New Roman"/>
                      <w:b w:val="0"/>
                      <w:bCs w:val="0"/>
                      <w:color w:val="auto"/>
                      <w:sz w:val="21"/>
                      <w:szCs w:val="21"/>
                      <w:highlight w:val="none"/>
                      <w:u w:val="none" w:color="auto"/>
                      <w:lang w:val="en-US" w:eastAsia="zh-CN"/>
                    </w:rPr>
                    <w:t>1</w:t>
                  </w:r>
                </w:p>
              </w:tc>
              <w:tc>
                <w:tcPr>
                  <w:tcW w:w="1819" w:type="dxa"/>
                  <w:tcBorders>
                    <w:tl2br w:val="nil"/>
                    <w:tr2bl w:val="nil"/>
                  </w:tcBorders>
                  <w:vAlign w:val="center"/>
                </w:tcPr>
                <w:p>
                  <w:pPr>
                    <w:keepNext w:val="0"/>
                    <w:keepLines w:val="0"/>
                    <w:widowControl/>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kern w:val="0"/>
                      <w:sz w:val="21"/>
                      <w:szCs w:val="21"/>
                      <w:highlight w:val="none"/>
                      <w:u w:val="none" w:color="auto"/>
                      <w:lang w:val="en-US" w:eastAsia="zh-CN" w:bidi="ar-SA"/>
                    </w:rPr>
                  </w:pPr>
                  <w:r>
                    <w:rPr>
                      <w:rFonts w:hint="eastAsia" w:ascii="Times New Roman" w:hAnsi="Times New Roman" w:eastAsia="宋体" w:cs="Times New Roman"/>
                      <w:b w:val="0"/>
                      <w:bCs w:val="0"/>
                      <w:color w:val="auto"/>
                      <w:kern w:val="0"/>
                      <w:sz w:val="21"/>
                      <w:szCs w:val="21"/>
                      <w:highlight w:val="none"/>
                      <w:u w:val="none" w:color="auto"/>
                      <w:lang w:val="en-US" w:eastAsia="zh-CN" w:bidi="ar-SA"/>
                    </w:rPr>
                    <w:t>产品产量</w:t>
                  </w:r>
                </w:p>
              </w:tc>
              <w:tc>
                <w:tcPr>
                  <w:tcW w:w="3355" w:type="dxa"/>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highlight w:val="none"/>
                      <w:u w:val="none" w:color="auto"/>
                      <w:lang w:val="en-US" w:eastAsia="zh-CN" w:bidi="ar-SA"/>
                    </w:rPr>
                  </w:pPr>
                  <w:r>
                    <w:rPr>
                      <w:rFonts w:hint="eastAsia" w:ascii="Times New Roman" w:hAnsi="Times New Roman" w:eastAsia="宋体" w:cs="Times New Roman"/>
                      <w:b w:val="0"/>
                      <w:bCs w:val="0"/>
                      <w:color w:val="auto"/>
                      <w:kern w:val="2"/>
                      <w:sz w:val="21"/>
                      <w:szCs w:val="21"/>
                      <w:highlight w:val="none"/>
                      <w:u w:val="none" w:color="auto"/>
                      <w:lang w:val="en-US" w:eastAsia="zh-CN" w:bidi="ar-SA"/>
                    </w:rPr>
                    <w:t>次合金块</w:t>
                  </w:r>
                </w:p>
              </w:tc>
              <w:tc>
                <w:tcPr>
                  <w:tcW w:w="2380" w:type="dxa"/>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highlight w:val="none"/>
                      <w:u w:val="none" w:color="auto"/>
                      <w:lang w:val="en-US" w:eastAsia="zh-CN" w:bidi="ar-SA"/>
                    </w:rPr>
                  </w:pPr>
                  <w:r>
                    <w:rPr>
                      <w:rFonts w:hint="eastAsia" w:cs="Times New Roman"/>
                      <w:color w:val="auto"/>
                      <w:sz w:val="21"/>
                      <w:szCs w:val="21"/>
                      <w:lang w:val="en-US" w:eastAsia="zh-CN"/>
                    </w:rPr>
                    <w:t>210</w:t>
                  </w:r>
                  <w:r>
                    <w:rPr>
                      <w:rFonts w:hint="eastAsia" w:ascii="Times New Roman" w:hAnsi="Times New Roman" w:cs="Times New Roman"/>
                      <w:color w:val="auto"/>
                      <w:sz w:val="21"/>
                      <w:szCs w:val="21"/>
                      <w:lang w:val="en-US" w:eastAsia="zh-CN"/>
                    </w:rPr>
                    <w:t>t/a</w:t>
                  </w:r>
                </w:p>
              </w:tc>
            </w:tr>
          </w:tbl>
          <w:p>
            <w:pPr>
              <w:pStyle w:val="13"/>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0" w:firstLineChars="0"/>
              <w:jc w:val="left"/>
              <w:textAlignment w:val="auto"/>
              <w:rPr>
                <w:rFonts w:hint="default" w:ascii="Times New Roman" w:hAnsi="Times New Roman" w:eastAsia="宋体" w:cs="Times New Roman"/>
                <w:b/>
                <w:bCs/>
                <w:color w:val="auto"/>
                <w:sz w:val="24"/>
                <w:szCs w:val="24"/>
                <w:highlight w:val="none"/>
                <w:u w:val="none" w:color="auto"/>
              </w:rPr>
            </w:pPr>
            <w:r>
              <w:rPr>
                <w:rFonts w:hint="eastAsia" w:ascii="Times New Roman" w:hAnsi="Times New Roman" w:eastAsia="宋体" w:cs="Times New Roman"/>
                <w:b/>
                <w:bCs/>
                <w:color w:val="auto"/>
                <w:sz w:val="24"/>
                <w:szCs w:val="24"/>
                <w:highlight w:val="none"/>
                <w:u w:val="none" w:color="auto"/>
                <w:lang w:val="en-US" w:eastAsia="zh-CN"/>
              </w:rPr>
              <w:t>5.</w:t>
            </w:r>
            <w:r>
              <w:rPr>
                <w:rFonts w:hint="default" w:ascii="Times New Roman" w:hAnsi="Times New Roman" w:eastAsia="宋体" w:cs="Times New Roman"/>
                <w:b/>
                <w:bCs/>
                <w:color w:val="auto"/>
                <w:sz w:val="24"/>
                <w:szCs w:val="24"/>
                <w:highlight w:val="none"/>
                <w:u w:val="none" w:color="auto"/>
              </w:rPr>
              <w:t>本项目主要设备</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4"/>
                <w:szCs w:val="24"/>
                <w:highlight w:val="none"/>
                <w:u w:val="none" w:color="auto"/>
              </w:rPr>
            </w:pPr>
            <w:r>
              <w:rPr>
                <w:rFonts w:hint="default" w:ascii="Times New Roman" w:hAnsi="Times New Roman" w:eastAsia="宋体" w:cs="Times New Roman"/>
                <w:b/>
                <w:bCs/>
                <w:color w:val="auto"/>
                <w:sz w:val="24"/>
                <w:szCs w:val="24"/>
                <w:highlight w:val="none"/>
                <w:u w:val="none" w:color="auto"/>
              </w:rPr>
              <w:t>项目主要</w:t>
            </w:r>
            <w:r>
              <w:rPr>
                <w:rFonts w:hint="default" w:ascii="Times New Roman" w:hAnsi="Times New Roman" w:eastAsia="宋体" w:cs="Times New Roman"/>
                <w:b/>
                <w:bCs/>
                <w:color w:val="auto"/>
                <w:sz w:val="24"/>
                <w:szCs w:val="24"/>
                <w:highlight w:val="none"/>
                <w:u w:val="none" w:color="auto"/>
                <w:lang w:val="en-US" w:eastAsia="zh-CN"/>
              </w:rPr>
              <w:t>设备</w:t>
            </w:r>
            <w:r>
              <w:rPr>
                <w:rFonts w:hint="default" w:ascii="Times New Roman" w:hAnsi="Times New Roman" w:eastAsia="宋体" w:cs="Times New Roman"/>
                <w:b/>
                <w:bCs/>
                <w:color w:val="auto"/>
                <w:sz w:val="24"/>
                <w:szCs w:val="24"/>
                <w:highlight w:val="none"/>
                <w:u w:val="none" w:color="auto"/>
              </w:rPr>
              <w:t>一览表</w:t>
            </w:r>
          </w:p>
          <w:tbl>
            <w:tblPr>
              <w:tblStyle w:val="28"/>
              <w:tblW w:w="8420" w:type="dxa"/>
              <w:jc w:val="center"/>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99"/>
              <w:gridCol w:w="1877"/>
              <w:gridCol w:w="3315"/>
              <w:gridCol w:w="242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11" w:hRule="atLeast"/>
                <w:jc w:val="center"/>
              </w:trPr>
              <w:tc>
                <w:tcPr>
                  <w:tcW w:w="799"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b/>
                      <w:bCs/>
                      <w:color w:val="auto"/>
                      <w:kern w:val="2"/>
                      <w:sz w:val="21"/>
                      <w:szCs w:val="21"/>
                      <w:u w:val="none" w:color="auto"/>
                      <w:lang w:val="en-US" w:eastAsia="zh-CN" w:bidi="ar-SA"/>
                    </w:rPr>
                  </w:pPr>
                  <w:r>
                    <w:rPr>
                      <w:rFonts w:hint="eastAsia" w:ascii="Times New Roman" w:hAnsi="Times New Roman" w:eastAsia="宋体" w:cs="Times New Roman"/>
                      <w:b/>
                      <w:bCs/>
                      <w:color w:val="auto"/>
                      <w:sz w:val="21"/>
                      <w:szCs w:val="21"/>
                      <w:u w:val="none" w:color="auto"/>
                      <w:lang w:eastAsia="zh-CN"/>
                    </w:rPr>
                    <w:t>序号</w:t>
                  </w:r>
                </w:p>
              </w:tc>
              <w:tc>
                <w:tcPr>
                  <w:tcW w:w="18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color w:val="auto"/>
                      <w:kern w:val="2"/>
                      <w:sz w:val="21"/>
                      <w:szCs w:val="21"/>
                      <w:u w:val="none" w:color="auto"/>
                      <w:lang w:val="en-US" w:eastAsia="zh-CN" w:bidi="ar-SA"/>
                    </w:rPr>
                  </w:pPr>
                  <w:r>
                    <w:rPr>
                      <w:rFonts w:hint="default" w:ascii="Times New Roman" w:hAnsi="Times New Roman" w:eastAsia="宋体" w:cs="Times New Roman"/>
                      <w:b/>
                      <w:bCs/>
                      <w:color w:val="auto"/>
                      <w:sz w:val="21"/>
                      <w:szCs w:val="21"/>
                      <w:u w:val="none" w:color="auto"/>
                    </w:rPr>
                    <w:t>设备名称</w:t>
                  </w:r>
                </w:p>
              </w:tc>
              <w:tc>
                <w:tcPr>
                  <w:tcW w:w="331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b/>
                      <w:bCs/>
                      <w:color w:val="auto"/>
                      <w:kern w:val="2"/>
                      <w:sz w:val="21"/>
                      <w:szCs w:val="21"/>
                      <w:u w:val="none" w:color="auto"/>
                      <w:lang w:val="en-US" w:eastAsia="zh-CN" w:bidi="ar-SA"/>
                    </w:rPr>
                  </w:pPr>
                  <w:r>
                    <w:rPr>
                      <w:rFonts w:hint="eastAsia" w:ascii="Times New Roman" w:hAnsi="Times New Roman" w:eastAsia="宋体" w:cs="Times New Roman"/>
                      <w:b/>
                      <w:bCs/>
                      <w:color w:val="auto"/>
                      <w:sz w:val="21"/>
                      <w:szCs w:val="21"/>
                      <w:u w:val="none" w:color="auto"/>
                      <w:lang w:eastAsia="zh-CN"/>
                    </w:rPr>
                    <w:t>规格</w:t>
                  </w:r>
                  <w:r>
                    <w:rPr>
                      <w:rFonts w:hint="default" w:ascii="Times New Roman" w:hAnsi="Times New Roman" w:eastAsia="宋体" w:cs="Times New Roman"/>
                      <w:b/>
                      <w:bCs/>
                      <w:color w:val="auto"/>
                      <w:sz w:val="21"/>
                      <w:szCs w:val="21"/>
                      <w:u w:val="none" w:color="auto"/>
                    </w:rPr>
                    <w:t>型号</w:t>
                  </w:r>
                </w:p>
              </w:tc>
              <w:tc>
                <w:tcPr>
                  <w:tcW w:w="2429"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color w:val="auto"/>
                      <w:kern w:val="2"/>
                      <w:sz w:val="21"/>
                      <w:szCs w:val="21"/>
                      <w:u w:val="none" w:color="auto"/>
                      <w:lang w:val="en-US" w:eastAsia="zh-CN" w:bidi="ar-SA"/>
                    </w:rPr>
                  </w:pPr>
                  <w:r>
                    <w:rPr>
                      <w:rFonts w:hint="default" w:ascii="Times New Roman" w:hAnsi="Times New Roman" w:eastAsia="宋体" w:cs="Times New Roman"/>
                      <w:b/>
                      <w:bCs/>
                      <w:color w:val="auto"/>
                      <w:sz w:val="21"/>
                      <w:szCs w:val="21"/>
                      <w:u w:val="none" w:color="auto"/>
                      <w:lang w:eastAsia="zh-CN"/>
                    </w:rPr>
                    <w:t>数量</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99" w:type="dxa"/>
                  <w:tcBorders>
                    <w:tl2br w:val="nil"/>
                    <w:tr2bl w:val="nil"/>
                  </w:tcBorders>
                  <w:vAlign w:val="center"/>
                </w:tcPr>
                <w:p>
                  <w:pPr>
                    <w:keepNext w:val="0"/>
                    <w:keepLines w:val="0"/>
                    <w:pageBreakBefore w:val="0"/>
                    <w:widowControl w:val="0"/>
                    <w:numPr>
                      <w:ilvl w:val="0"/>
                      <w:numId w:val="2"/>
                    </w:numPr>
                    <w:suppressLineNumbers w:val="0"/>
                    <w:tabs>
                      <w:tab w:val="left" w:pos="0"/>
                    </w:tabs>
                    <w:kinsoku/>
                    <w:wordWrap/>
                    <w:overflowPunct/>
                    <w:topLinePunct w:val="0"/>
                    <w:autoSpaceDE/>
                    <w:autoSpaceDN/>
                    <w:bidi w:val="0"/>
                    <w:adjustRightInd w:val="0"/>
                    <w:snapToGrid w:val="0"/>
                    <w:spacing w:before="0" w:beforeAutospacing="0" w:after="0" w:afterAutospacing="0"/>
                    <w:ind w:left="0" w:leftChars="0" w:right="0" w:firstLine="0" w:firstLineChars="0"/>
                    <w:jc w:val="center"/>
                    <w:textAlignment w:val="auto"/>
                    <w:rPr>
                      <w:rFonts w:hint="eastAsia" w:ascii="Times New Roman" w:hAnsi="Times New Roman" w:eastAsia="宋体" w:cs="Times New Roman"/>
                      <w:color w:val="auto"/>
                      <w:sz w:val="21"/>
                      <w:szCs w:val="21"/>
                      <w:u w:val="none" w:color="auto"/>
                      <w:lang w:val="en-US" w:eastAsia="zh-CN"/>
                    </w:rPr>
                  </w:pPr>
                </w:p>
              </w:tc>
              <w:tc>
                <w:tcPr>
                  <w:tcW w:w="18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sz w:val="21"/>
                      <w:szCs w:val="21"/>
                      <w:highlight w:val="none"/>
                      <w:u w:val="none" w:color="auto"/>
                      <w:lang w:eastAsia="zh-CN"/>
                    </w:rPr>
                  </w:pPr>
                  <w:r>
                    <w:rPr>
                      <w:rFonts w:hint="eastAsia" w:ascii="Times New Roman" w:hAnsi="Times New Roman" w:eastAsia="宋体" w:cs="Times New Roman"/>
                      <w:b w:val="0"/>
                      <w:bCs w:val="0"/>
                      <w:color w:val="auto"/>
                      <w:sz w:val="21"/>
                      <w:szCs w:val="21"/>
                      <w:highlight w:val="none"/>
                      <w:u w:val="none" w:color="auto"/>
                      <w:lang w:eastAsia="zh-CN"/>
                    </w:rPr>
                    <w:t>铝灰炒灰机</w:t>
                  </w:r>
                </w:p>
              </w:tc>
              <w:tc>
                <w:tcPr>
                  <w:tcW w:w="331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sz w:val="21"/>
                      <w:szCs w:val="21"/>
                      <w:highlight w:val="none"/>
                      <w:u w:val="none" w:color="auto"/>
                      <w:lang w:val="en-US" w:eastAsia="zh-CN"/>
                    </w:rPr>
                  </w:pPr>
                  <w:r>
                    <w:rPr>
                      <w:rFonts w:hint="eastAsia" w:ascii="Times New Roman" w:hAnsi="Times New Roman" w:eastAsia="宋体" w:cs="Times New Roman"/>
                      <w:b w:val="0"/>
                      <w:bCs w:val="0"/>
                      <w:color w:val="auto"/>
                      <w:sz w:val="21"/>
                      <w:szCs w:val="21"/>
                      <w:highlight w:val="none"/>
                      <w:u w:val="none" w:color="auto"/>
                      <w:lang w:val="en-US" w:eastAsia="zh-CN"/>
                    </w:rPr>
                    <w:t>1400型</w:t>
                  </w:r>
                </w:p>
              </w:tc>
              <w:tc>
                <w:tcPr>
                  <w:tcW w:w="2429"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1台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99" w:type="dxa"/>
                  <w:tcBorders>
                    <w:tl2br w:val="nil"/>
                    <w:tr2bl w:val="nil"/>
                  </w:tcBorders>
                  <w:vAlign w:val="center"/>
                </w:tcPr>
                <w:p>
                  <w:pPr>
                    <w:keepNext w:val="0"/>
                    <w:keepLines w:val="0"/>
                    <w:pageBreakBefore w:val="0"/>
                    <w:widowControl w:val="0"/>
                    <w:numPr>
                      <w:ilvl w:val="0"/>
                      <w:numId w:val="2"/>
                    </w:numPr>
                    <w:suppressLineNumbers w:val="0"/>
                    <w:tabs>
                      <w:tab w:val="left" w:pos="0"/>
                    </w:tabs>
                    <w:kinsoku/>
                    <w:wordWrap/>
                    <w:overflowPunct/>
                    <w:topLinePunct w:val="0"/>
                    <w:autoSpaceDE/>
                    <w:autoSpaceDN/>
                    <w:bidi w:val="0"/>
                    <w:adjustRightInd w:val="0"/>
                    <w:snapToGrid w:val="0"/>
                    <w:spacing w:before="0" w:beforeAutospacing="0" w:after="0" w:afterAutospacing="0"/>
                    <w:ind w:left="0" w:leftChars="0" w:right="0" w:firstLine="0" w:firstLineChars="0"/>
                    <w:jc w:val="center"/>
                    <w:textAlignment w:val="auto"/>
                    <w:rPr>
                      <w:rFonts w:hint="eastAsia" w:ascii="Times New Roman" w:hAnsi="Times New Roman" w:eastAsia="宋体" w:cs="Times New Roman"/>
                      <w:color w:val="auto"/>
                      <w:sz w:val="21"/>
                      <w:szCs w:val="21"/>
                      <w:u w:val="none" w:color="auto"/>
                      <w:lang w:val="en-US" w:eastAsia="zh-CN"/>
                    </w:rPr>
                  </w:pPr>
                </w:p>
              </w:tc>
              <w:tc>
                <w:tcPr>
                  <w:tcW w:w="18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sz w:val="21"/>
                      <w:szCs w:val="21"/>
                      <w:highlight w:val="none"/>
                      <w:u w:val="none" w:color="auto"/>
                      <w:lang w:eastAsia="zh-CN"/>
                    </w:rPr>
                  </w:pPr>
                  <w:r>
                    <w:rPr>
                      <w:rFonts w:hint="eastAsia" w:ascii="Times New Roman" w:hAnsi="Times New Roman" w:eastAsia="宋体" w:cs="Times New Roman"/>
                      <w:b w:val="0"/>
                      <w:bCs w:val="0"/>
                      <w:color w:val="auto"/>
                      <w:sz w:val="21"/>
                      <w:szCs w:val="21"/>
                      <w:highlight w:val="none"/>
                      <w:u w:val="none" w:color="auto"/>
                      <w:lang w:eastAsia="zh-CN"/>
                    </w:rPr>
                    <w:t>冷灰桶</w:t>
                  </w:r>
                </w:p>
              </w:tc>
              <w:tc>
                <w:tcPr>
                  <w:tcW w:w="331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sz w:val="21"/>
                      <w:szCs w:val="21"/>
                      <w:highlight w:val="none"/>
                      <w:u w:val="none" w:color="auto"/>
                      <w:lang w:val="en-US" w:eastAsia="zh-CN"/>
                    </w:rPr>
                  </w:pPr>
                  <w:r>
                    <w:rPr>
                      <w:rFonts w:hint="eastAsia" w:ascii="Times New Roman" w:hAnsi="Times New Roman" w:eastAsia="宋体" w:cs="Times New Roman"/>
                      <w:b w:val="0"/>
                      <w:bCs w:val="0"/>
                      <w:color w:val="auto"/>
                      <w:sz w:val="21"/>
                      <w:szCs w:val="21"/>
                      <w:highlight w:val="none"/>
                      <w:u w:val="none" w:color="auto"/>
                      <w:lang w:val="en-US" w:eastAsia="zh-CN"/>
                    </w:rPr>
                    <w:t>1280型</w:t>
                  </w:r>
                </w:p>
              </w:tc>
              <w:tc>
                <w:tcPr>
                  <w:tcW w:w="2429"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1台</w:t>
                  </w:r>
                </w:p>
              </w:tc>
            </w:tr>
          </w:tbl>
          <w:p>
            <w:pPr>
              <w:pStyle w:val="13"/>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jc w:val="left"/>
              <w:textAlignment w:val="auto"/>
              <w:rPr>
                <w:rFonts w:hint="default" w:ascii="Times New Roman" w:hAnsi="Times New Roman" w:eastAsia="宋体" w:cs="Times New Roman"/>
                <w:b w:val="0"/>
                <w:bCs w:val="0"/>
                <w:color w:val="auto"/>
                <w:sz w:val="24"/>
                <w:szCs w:val="24"/>
                <w:highlight w:val="none"/>
                <w:u w:val="none" w:color="auto"/>
              </w:rPr>
            </w:pPr>
            <w:r>
              <w:rPr>
                <w:rFonts w:hint="default" w:ascii="Times New Roman" w:hAnsi="Times New Roman" w:eastAsia="宋体" w:cs="Times New Roman"/>
                <w:b w:val="0"/>
                <w:bCs w:val="0"/>
                <w:color w:val="auto"/>
                <w:sz w:val="24"/>
                <w:szCs w:val="24"/>
                <w:highlight w:val="none"/>
                <w:u w:val="none" w:color="auto"/>
              </w:rPr>
              <w:t>备注：经查阅《</w:t>
            </w:r>
            <w:r>
              <w:rPr>
                <w:rFonts w:hint="eastAsia" w:ascii="Times New Roman" w:hAnsi="Times New Roman" w:eastAsia="宋体" w:cs="Times New Roman"/>
                <w:b w:val="0"/>
                <w:bCs w:val="0"/>
                <w:color w:val="auto"/>
                <w:sz w:val="24"/>
                <w:szCs w:val="24"/>
                <w:highlight w:val="none"/>
                <w:u w:val="none" w:color="auto"/>
                <w:lang w:eastAsia="zh-CN"/>
              </w:rPr>
              <w:t>产业结构调整指导目录（</w:t>
            </w:r>
            <w:r>
              <w:rPr>
                <w:rFonts w:hint="default" w:ascii="Times New Roman" w:hAnsi="Times New Roman" w:eastAsia="宋体" w:cs="Times New Roman"/>
                <w:b w:val="0"/>
                <w:bCs w:val="0"/>
                <w:color w:val="auto"/>
                <w:sz w:val="24"/>
                <w:szCs w:val="24"/>
                <w:highlight w:val="none"/>
                <w:u w:val="none" w:color="auto"/>
              </w:rPr>
              <w:t>20</w:t>
            </w:r>
            <w:r>
              <w:rPr>
                <w:rFonts w:hint="eastAsia" w:ascii="Times New Roman" w:hAnsi="Times New Roman" w:eastAsia="宋体" w:cs="Times New Roman"/>
                <w:b w:val="0"/>
                <w:bCs w:val="0"/>
                <w:color w:val="auto"/>
                <w:sz w:val="24"/>
                <w:szCs w:val="24"/>
                <w:highlight w:val="none"/>
                <w:u w:val="none" w:color="auto"/>
                <w:lang w:val="en-US" w:eastAsia="zh-CN"/>
              </w:rPr>
              <w:t>24</w:t>
            </w:r>
            <w:r>
              <w:rPr>
                <w:rFonts w:hint="default" w:ascii="Times New Roman" w:hAnsi="Times New Roman" w:eastAsia="宋体" w:cs="Times New Roman"/>
                <w:b w:val="0"/>
                <w:bCs w:val="0"/>
                <w:color w:val="auto"/>
                <w:sz w:val="24"/>
                <w:szCs w:val="24"/>
                <w:highlight w:val="none"/>
                <w:u w:val="none" w:color="auto"/>
              </w:rPr>
              <w:t>年本</w:t>
            </w:r>
            <w:r>
              <w:rPr>
                <w:rFonts w:hint="eastAsia" w:ascii="Times New Roman" w:hAnsi="Times New Roman" w:eastAsia="宋体" w:cs="Times New Roman"/>
                <w:b w:val="0"/>
                <w:bCs w:val="0"/>
                <w:color w:val="auto"/>
                <w:sz w:val="24"/>
                <w:szCs w:val="24"/>
                <w:highlight w:val="none"/>
                <w:u w:val="none" w:color="auto"/>
                <w:lang w:eastAsia="zh-CN"/>
              </w:rPr>
              <w:t>）</w:t>
            </w:r>
            <w:r>
              <w:rPr>
                <w:rFonts w:hint="default" w:ascii="Times New Roman" w:hAnsi="Times New Roman" w:eastAsia="宋体" w:cs="Times New Roman"/>
                <w:b w:val="0"/>
                <w:bCs w:val="0"/>
                <w:color w:val="auto"/>
                <w:sz w:val="24"/>
                <w:szCs w:val="24"/>
                <w:highlight w:val="none"/>
                <w:u w:val="none" w:color="auto"/>
              </w:rPr>
              <w:t>》</w:t>
            </w:r>
            <w:r>
              <w:rPr>
                <w:rFonts w:hint="eastAsia" w:ascii="Times New Roman" w:hAnsi="Times New Roman" w:eastAsia="宋体" w:cs="Times New Roman"/>
                <w:b w:val="0"/>
                <w:bCs w:val="0"/>
                <w:color w:val="auto"/>
                <w:sz w:val="24"/>
                <w:szCs w:val="24"/>
                <w:highlight w:val="none"/>
                <w:u w:val="none" w:color="auto"/>
                <w:lang w:eastAsia="zh-CN"/>
              </w:rPr>
              <w:t>（</w:t>
            </w:r>
            <w:r>
              <w:rPr>
                <w:rFonts w:hint="default" w:ascii="Times New Roman" w:hAnsi="Times New Roman" w:eastAsia="宋体" w:cs="Times New Roman"/>
                <w:b w:val="0"/>
                <w:bCs w:val="0"/>
                <w:color w:val="auto"/>
                <w:sz w:val="24"/>
                <w:szCs w:val="24"/>
                <w:highlight w:val="none"/>
                <w:u w:val="none" w:color="auto"/>
              </w:rPr>
              <w:t>中华人民共和国国家发展和改革委员会令第</w:t>
            </w:r>
            <w:r>
              <w:rPr>
                <w:rFonts w:hint="eastAsia" w:ascii="Times New Roman" w:hAnsi="Times New Roman" w:eastAsia="宋体" w:cs="Times New Roman"/>
                <w:b w:val="0"/>
                <w:bCs w:val="0"/>
                <w:color w:val="auto"/>
                <w:sz w:val="24"/>
                <w:szCs w:val="24"/>
                <w:highlight w:val="none"/>
                <w:u w:val="none" w:color="auto"/>
                <w:lang w:val="en-US" w:eastAsia="zh-CN"/>
              </w:rPr>
              <w:t>7</w:t>
            </w:r>
            <w:r>
              <w:rPr>
                <w:rFonts w:hint="default" w:ascii="Times New Roman" w:hAnsi="Times New Roman" w:eastAsia="宋体" w:cs="Times New Roman"/>
                <w:b w:val="0"/>
                <w:bCs w:val="0"/>
                <w:color w:val="auto"/>
                <w:sz w:val="24"/>
                <w:szCs w:val="24"/>
                <w:highlight w:val="none"/>
                <w:u w:val="none" w:color="auto"/>
              </w:rPr>
              <w:t>号</w:t>
            </w:r>
            <w:r>
              <w:rPr>
                <w:rFonts w:hint="eastAsia" w:ascii="Times New Roman" w:hAnsi="Times New Roman" w:eastAsia="宋体" w:cs="Times New Roman"/>
                <w:b w:val="0"/>
                <w:bCs w:val="0"/>
                <w:color w:val="auto"/>
                <w:sz w:val="24"/>
                <w:szCs w:val="24"/>
                <w:highlight w:val="none"/>
                <w:u w:val="none" w:color="auto"/>
                <w:lang w:eastAsia="zh-CN"/>
              </w:rPr>
              <w:t>）及</w:t>
            </w:r>
            <w:r>
              <w:rPr>
                <w:rFonts w:hint="default" w:ascii="Times New Roman" w:hAnsi="Times New Roman" w:eastAsia="宋体" w:cs="Times New Roman"/>
                <w:b w:val="0"/>
                <w:bCs w:val="0"/>
                <w:color w:val="auto"/>
                <w:sz w:val="24"/>
                <w:szCs w:val="24"/>
                <w:highlight w:val="none"/>
                <w:u w:val="none" w:color="auto"/>
              </w:rPr>
              <w:t>高耗能落后机电设备（产品）淘汰目录（</w:t>
            </w:r>
            <w:r>
              <w:rPr>
                <w:rFonts w:hint="eastAsia" w:ascii="Times New Roman" w:hAnsi="Times New Roman" w:eastAsia="宋体" w:cs="Times New Roman"/>
                <w:b w:val="0"/>
                <w:bCs w:val="0"/>
                <w:color w:val="auto"/>
                <w:sz w:val="24"/>
                <w:szCs w:val="24"/>
                <w:highlight w:val="none"/>
                <w:u w:val="none" w:color="auto"/>
                <w:lang w:eastAsia="zh-CN"/>
              </w:rPr>
              <w:t>全四批</w:t>
            </w:r>
            <w:r>
              <w:rPr>
                <w:rFonts w:hint="default" w:ascii="Times New Roman" w:hAnsi="Times New Roman" w:eastAsia="宋体" w:cs="Times New Roman"/>
                <w:b w:val="0"/>
                <w:bCs w:val="0"/>
                <w:color w:val="auto"/>
                <w:sz w:val="24"/>
                <w:szCs w:val="24"/>
                <w:highlight w:val="none"/>
                <w:u w:val="none" w:color="auto"/>
              </w:rPr>
              <w:t>）</w:t>
            </w:r>
            <w:r>
              <w:rPr>
                <w:rFonts w:hint="eastAsia" w:ascii="Times New Roman" w:hAnsi="Times New Roman" w:eastAsia="宋体" w:cs="Times New Roman"/>
                <w:b w:val="0"/>
                <w:bCs w:val="0"/>
                <w:color w:val="auto"/>
                <w:sz w:val="24"/>
                <w:szCs w:val="24"/>
                <w:highlight w:val="none"/>
                <w:u w:val="none" w:color="auto"/>
                <w:lang w:eastAsia="zh-CN"/>
              </w:rPr>
              <w:t>，</w:t>
            </w:r>
            <w:r>
              <w:rPr>
                <w:rFonts w:hint="default" w:ascii="Times New Roman" w:hAnsi="Times New Roman" w:eastAsia="宋体" w:cs="Times New Roman"/>
                <w:b w:val="0"/>
                <w:bCs w:val="0"/>
                <w:color w:val="auto"/>
                <w:sz w:val="24"/>
                <w:szCs w:val="24"/>
                <w:highlight w:val="none"/>
                <w:u w:val="none" w:color="auto"/>
              </w:rPr>
              <w:t>本项目拟用设备不在淘汰目录之列。</w:t>
            </w:r>
          </w:p>
          <w:p>
            <w:pPr>
              <w:pStyle w:val="13"/>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0" w:firstLineChars="0"/>
              <w:jc w:val="left"/>
              <w:textAlignment w:val="auto"/>
              <w:rPr>
                <w:rFonts w:hint="default" w:ascii="Times New Roman" w:hAnsi="Times New Roman" w:eastAsia="宋体" w:cs="Times New Roman"/>
                <w:b/>
                <w:bCs/>
                <w:color w:val="auto"/>
                <w:sz w:val="24"/>
                <w:szCs w:val="24"/>
                <w:highlight w:val="none"/>
                <w:u w:val="none" w:color="auto"/>
              </w:rPr>
            </w:pPr>
            <w:r>
              <w:rPr>
                <w:rFonts w:hint="eastAsia" w:ascii="Times New Roman" w:hAnsi="Times New Roman" w:eastAsia="宋体" w:cs="Times New Roman"/>
                <w:b/>
                <w:bCs/>
                <w:color w:val="auto"/>
                <w:sz w:val="24"/>
                <w:szCs w:val="24"/>
                <w:highlight w:val="none"/>
                <w:u w:val="none" w:color="auto"/>
                <w:lang w:val="en-US" w:eastAsia="zh-CN"/>
              </w:rPr>
              <w:t>6.</w:t>
            </w:r>
            <w:r>
              <w:rPr>
                <w:rFonts w:hint="default" w:ascii="Times New Roman" w:hAnsi="Times New Roman" w:eastAsia="宋体" w:cs="Times New Roman"/>
                <w:b/>
                <w:bCs/>
                <w:color w:val="auto"/>
                <w:sz w:val="24"/>
                <w:szCs w:val="24"/>
                <w:highlight w:val="none"/>
                <w:u w:val="none" w:color="auto"/>
              </w:rPr>
              <w:t>本项目原辅材料及能源消耗情况</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4"/>
                <w:szCs w:val="24"/>
                <w:highlight w:val="none"/>
                <w:u w:val="none" w:color="auto"/>
              </w:rPr>
            </w:pPr>
            <w:r>
              <w:rPr>
                <w:rFonts w:hint="default" w:ascii="Times New Roman" w:hAnsi="Times New Roman" w:eastAsia="宋体" w:cs="Times New Roman"/>
                <w:b/>
                <w:bCs/>
                <w:color w:val="auto"/>
                <w:sz w:val="24"/>
                <w:szCs w:val="24"/>
                <w:highlight w:val="none"/>
                <w:u w:val="none" w:color="auto"/>
              </w:rPr>
              <w:t>项目主要原材料及能源消耗一览表</w:t>
            </w:r>
          </w:p>
          <w:tbl>
            <w:tblPr>
              <w:tblStyle w:val="27"/>
              <w:tblW w:w="8420" w:type="dxa"/>
              <w:jc w:val="center"/>
              <w:tblInd w:w="0" w:type="dxa"/>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1489"/>
              <w:gridCol w:w="1867"/>
              <w:gridCol w:w="2028"/>
              <w:gridCol w:w="3036"/>
            </w:tblGrid>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40" w:hRule="atLeast"/>
                <w:jc w:val="center"/>
              </w:trPr>
              <w:tc>
                <w:tcPr>
                  <w:tcW w:w="335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b/>
                      <w:bCs/>
                      <w:color w:val="auto"/>
                      <w:sz w:val="21"/>
                      <w:szCs w:val="21"/>
                      <w:highlight w:val="none"/>
                      <w:u w:val="none" w:color="auto"/>
                    </w:rPr>
                  </w:pPr>
                  <w:r>
                    <w:rPr>
                      <w:rFonts w:hint="default" w:ascii="Times New Roman" w:hAnsi="Times New Roman" w:cs="Times New Roman"/>
                      <w:b/>
                      <w:bCs/>
                      <w:color w:val="auto"/>
                      <w:sz w:val="21"/>
                      <w:szCs w:val="21"/>
                      <w:highlight w:val="none"/>
                      <w:u w:val="none" w:color="auto"/>
                    </w:rPr>
                    <w:t>名称</w:t>
                  </w:r>
                </w:p>
              </w:tc>
              <w:tc>
                <w:tcPr>
                  <w:tcW w:w="2028"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1"/>
                      <w:szCs w:val="21"/>
                      <w:highlight w:val="none"/>
                      <w:u w:val="none" w:color="auto"/>
                      <w:lang w:val="en-US" w:eastAsia="zh-CN"/>
                    </w:rPr>
                  </w:pPr>
                  <w:r>
                    <w:rPr>
                      <w:rFonts w:hint="default" w:ascii="Times New Roman" w:hAnsi="Times New Roman" w:cs="Times New Roman"/>
                      <w:b/>
                      <w:bCs/>
                      <w:color w:val="auto"/>
                      <w:sz w:val="21"/>
                      <w:szCs w:val="21"/>
                      <w:highlight w:val="none"/>
                      <w:u w:val="none" w:color="auto"/>
                      <w:lang w:val="en-US" w:eastAsia="zh-CN"/>
                    </w:rPr>
                    <w:t>年</w:t>
                  </w:r>
                  <w:r>
                    <w:rPr>
                      <w:rFonts w:hint="eastAsia" w:ascii="Times New Roman" w:hAnsi="Times New Roman" w:cs="Times New Roman"/>
                      <w:b/>
                      <w:bCs/>
                      <w:color w:val="auto"/>
                      <w:sz w:val="21"/>
                      <w:szCs w:val="21"/>
                      <w:highlight w:val="none"/>
                      <w:u w:val="none" w:color="auto"/>
                      <w:lang w:val="en-US" w:eastAsia="zh-CN"/>
                    </w:rPr>
                    <w:t>用量</w:t>
                  </w:r>
                </w:p>
              </w:tc>
              <w:tc>
                <w:tcPr>
                  <w:tcW w:w="3036"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b/>
                      <w:bCs/>
                      <w:color w:val="auto"/>
                      <w:sz w:val="21"/>
                      <w:szCs w:val="21"/>
                      <w:highlight w:val="none"/>
                      <w:u w:val="none" w:color="auto"/>
                    </w:rPr>
                  </w:pPr>
                  <w:r>
                    <w:rPr>
                      <w:rFonts w:hint="default" w:ascii="Times New Roman" w:hAnsi="Times New Roman" w:cs="Times New Roman"/>
                      <w:b/>
                      <w:bCs/>
                      <w:color w:val="auto"/>
                      <w:sz w:val="21"/>
                      <w:szCs w:val="21"/>
                      <w:highlight w:val="none"/>
                      <w:u w:val="none" w:color="auto"/>
                    </w:rPr>
                    <w:t>备注</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40" w:hRule="atLeast"/>
                <w:jc w:val="center"/>
              </w:trPr>
              <w:tc>
                <w:tcPr>
                  <w:tcW w:w="1489" w:type="dxa"/>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auto"/>
                      <w:sz w:val="21"/>
                      <w:szCs w:val="21"/>
                      <w:highlight w:val="none"/>
                      <w:u w:val="none" w:color="auto"/>
                      <w:lang w:val="en-US" w:eastAsia="zh-CN"/>
                    </w:rPr>
                  </w:pPr>
                  <w:r>
                    <w:rPr>
                      <w:rFonts w:hint="eastAsia" w:ascii="Times New Roman" w:hAnsi="Times New Roman" w:eastAsia="宋体" w:cs="Times New Roman"/>
                      <w:b w:val="0"/>
                      <w:bCs w:val="0"/>
                      <w:color w:val="auto"/>
                      <w:sz w:val="21"/>
                      <w:szCs w:val="21"/>
                      <w:highlight w:val="none"/>
                      <w:u w:val="none" w:color="auto"/>
                      <w:lang w:val="en-US" w:eastAsia="zh-CN"/>
                    </w:rPr>
                    <w:t>原辅材料</w:t>
                  </w:r>
                </w:p>
              </w:tc>
              <w:tc>
                <w:tcPr>
                  <w:tcW w:w="186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color w:val="auto"/>
                      <w:kern w:val="2"/>
                      <w:sz w:val="21"/>
                      <w:szCs w:val="21"/>
                      <w:highlight w:val="none"/>
                      <w:u w:val="none" w:color="auto"/>
                      <w:lang w:val="en-US" w:eastAsia="zh-CN" w:bidi="ar-SA"/>
                    </w:rPr>
                  </w:pPr>
                  <w:r>
                    <w:rPr>
                      <w:rFonts w:hint="eastAsia" w:ascii="Times New Roman" w:hAnsi="Times New Roman" w:eastAsia="宋体" w:cs="Times New Roman"/>
                      <w:b w:val="0"/>
                      <w:bCs w:val="0"/>
                      <w:color w:val="auto"/>
                      <w:sz w:val="21"/>
                      <w:szCs w:val="21"/>
                      <w:highlight w:val="none"/>
                      <w:u w:val="none" w:color="auto"/>
                      <w:lang w:val="en-US" w:eastAsia="zh-CN"/>
                    </w:rPr>
                    <w:t>熔炼渣</w:t>
                  </w:r>
                </w:p>
              </w:tc>
              <w:tc>
                <w:tcPr>
                  <w:tcW w:w="2028"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color w:val="auto"/>
                      <w:kern w:val="2"/>
                      <w:sz w:val="21"/>
                      <w:szCs w:val="21"/>
                      <w:highlight w:val="none"/>
                      <w:u w:val="none" w:color="auto"/>
                      <w:lang w:val="en-US" w:eastAsia="zh-CN" w:bidi="ar-SA"/>
                    </w:rPr>
                  </w:pPr>
                  <w:r>
                    <w:rPr>
                      <w:rFonts w:hint="eastAsia" w:ascii="Times New Roman" w:hAnsi="Times New Roman" w:eastAsia="宋体" w:cs="Times New Roman"/>
                      <w:b w:val="0"/>
                      <w:bCs w:val="0"/>
                      <w:color w:val="auto"/>
                      <w:sz w:val="21"/>
                      <w:szCs w:val="21"/>
                      <w:highlight w:val="none"/>
                      <w:u w:val="none" w:color="auto"/>
                      <w:lang w:val="en-US" w:eastAsia="zh-CN"/>
                    </w:rPr>
                    <w:t>700t/a</w:t>
                  </w:r>
                </w:p>
              </w:tc>
              <w:tc>
                <w:tcPr>
                  <w:tcW w:w="3036"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color w:val="auto"/>
                      <w:kern w:val="2"/>
                      <w:sz w:val="21"/>
                      <w:szCs w:val="21"/>
                      <w:highlight w:val="none"/>
                      <w:u w:val="none" w:color="auto"/>
                      <w:lang w:val="en-US" w:eastAsia="zh-CN" w:bidi="ar-SA"/>
                    </w:rPr>
                  </w:pPr>
                  <w:r>
                    <w:rPr>
                      <w:rFonts w:hint="eastAsia" w:ascii="Times New Roman" w:hAnsi="Times New Roman" w:eastAsia="宋体" w:cs="Times New Roman"/>
                      <w:b w:val="0"/>
                      <w:bCs w:val="0"/>
                      <w:color w:val="auto"/>
                      <w:kern w:val="2"/>
                      <w:sz w:val="21"/>
                      <w:szCs w:val="21"/>
                      <w:highlight w:val="none"/>
                      <w:u w:val="none" w:color="auto"/>
                      <w:lang w:val="en-US" w:eastAsia="zh-CN" w:bidi="ar-SA"/>
                    </w:rPr>
                    <w:t>来自现有工程</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40" w:hRule="atLeast"/>
                <w:jc w:val="center"/>
              </w:trPr>
              <w:tc>
                <w:tcPr>
                  <w:tcW w:w="1489" w:type="dxa"/>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color w:val="auto"/>
                      <w:sz w:val="21"/>
                      <w:szCs w:val="21"/>
                      <w:highlight w:val="none"/>
                      <w:u w:val="none" w:color="auto"/>
                      <w:lang w:val="en-US" w:eastAsia="zh-CN"/>
                    </w:rPr>
                  </w:pPr>
                </w:p>
              </w:tc>
              <w:tc>
                <w:tcPr>
                  <w:tcW w:w="186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color w:val="auto"/>
                      <w:sz w:val="21"/>
                      <w:szCs w:val="21"/>
                      <w:highlight w:val="none"/>
                      <w:u w:val="none" w:color="auto"/>
                      <w:lang w:val="en-US" w:eastAsia="zh-CN"/>
                    </w:rPr>
                  </w:pPr>
                  <w:r>
                    <w:rPr>
                      <w:rFonts w:hint="eastAsia" w:ascii="Times New Roman" w:hAnsi="Times New Roman" w:eastAsia="宋体" w:cs="Times New Roman"/>
                      <w:b w:val="0"/>
                      <w:bCs w:val="0"/>
                      <w:color w:val="auto"/>
                      <w:sz w:val="21"/>
                      <w:szCs w:val="21"/>
                      <w:highlight w:val="none"/>
                      <w:u w:val="none" w:color="auto"/>
                      <w:lang w:val="en-US" w:eastAsia="zh-CN"/>
                    </w:rPr>
                    <w:t>炒灰剂</w:t>
                  </w:r>
                </w:p>
              </w:tc>
              <w:tc>
                <w:tcPr>
                  <w:tcW w:w="2028"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auto"/>
                      <w:sz w:val="21"/>
                      <w:szCs w:val="21"/>
                      <w:highlight w:val="none"/>
                      <w:u w:val="none" w:color="auto"/>
                      <w:lang w:val="en-US" w:eastAsia="zh-CN"/>
                    </w:rPr>
                  </w:pPr>
                  <w:r>
                    <w:rPr>
                      <w:rFonts w:hint="eastAsia" w:ascii="Times New Roman" w:hAnsi="Times New Roman" w:eastAsia="宋体" w:cs="Times New Roman"/>
                      <w:b w:val="0"/>
                      <w:bCs w:val="0"/>
                      <w:color w:val="auto"/>
                      <w:sz w:val="21"/>
                      <w:szCs w:val="21"/>
                      <w:highlight w:val="none"/>
                      <w:u w:val="none" w:color="auto"/>
                      <w:lang w:val="en-US" w:eastAsia="zh-CN"/>
                    </w:rPr>
                    <w:t>0.5t/a</w:t>
                  </w:r>
                </w:p>
              </w:tc>
              <w:tc>
                <w:tcPr>
                  <w:tcW w:w="3036"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auto"/>
                      <w:kern w:val="2"/>
                      <w:sz w:val="21"/>
                      <w:szCs w:val="21"/>
                      <w:highlight w:val="none"/>
                      <w:u w:val="none" w:color="auto"/>
                      <w:lang w:val="en-US" w:eastAsia="zh-CN" w:bidi="ar-SA"/>
                    </w:rPr>
                  </w:pPr>
                  <w:r>
                    <w:rPr>
                      <w:rFonts w:hint="eastAsia" w:cs="Times New Roman"/>
                      <w:b w:val="0"/>
                      <w:bCs w:val="0"/>
                      <w:color w:val="auto"/>
                      <w:kern w:val="2"/>
                      <w:sz w:val="21"/>
                      <w:szCs w:val="21"/>
                      <w:highlight w:val="none"/>
                      <w:u w:val="none" w:color="auto"/>
                      <w:lang w:val="en-US" w:eastAsia="zh-CN" w:bidi="ar-SA"/>
                    </w:rPr>
                    <w:t>粉状</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40" w:hRule="atLeast"/>
                <w:jc w:val="center"/>
              </w:trPr>
              <w:tc>
                <w:tcPr>
                  <w:tcW w:w="1489" w:type="dxa"/>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b w:val="0"/>
                      <w:bCs w:val="0"/>
                      <w:color w:val="auto"/>
                      <w:sz w:val="21"/>
                      <w:szCs w:val="21"/>
                      <w:highlight w:val="none"/>
                      <w:u w:val="none" w:color="auto"/>
                      <w:lang w:val="en-US" w:eastAsia="zh-CN"/>
                    </w:rPr>
                  </w:pPr>
                  <w:r>
                    <w:rPr>
                      <w:rFonts w:hint="eastAsia" w:ascii="Times New Roman" w:hAnsi="Times New Roman" w:cs="Times New Roman"/>
                      <w:b w:val="0"/>
                      <w:bCs w:val="0"/>
                      <w:color w:val="auto"/>
                      <w:sz w:val="21"/>
                      <w:szCs w:val="21"/>
                      <w:highlight w:val="none"/>
                      <w:u w:val="none" w:color="auto"/>
                      <w:lang w:val="en-US" w:eastAsia="zh-CN"/>
                    </w:rPr>
                    <w:t>能源</w:t>
                  </w:r>
                </w:p>
              </w:tc>
              <w:tc>
                <w:tcPr>
                  <w:tcW w:w="186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auto"/>
                      <w:kern w:val="2"/>
                      <w:sz w:val="21"/>
                      <w:szCs w:val="21"/>
                      <w:highlight w:val="none"/>
                      <w:u w:val="none" w:color="auto"/>
                      <w:lang w:val="en-US" w:eastAsia="zh-CN" w:bidi="ar-SA"/>
                    </w:rPr>
                  </w:pPr>
                  <w:r>
                    <w:rPr>
                      <w:rFonts w:hint="default" w:ascii="Times New Roman" w:hAnsi="Times New Roman" w:eastAsia="宋体" w:cs="Times New Roman"/>
                      <w:b w:val="0"/>
                      <w:bCs w:val="0"/>
                      <w:color w:val="auto"/>
                      <w:sz w:val="21"/>
                      <w:szCs w:val="21"/>
                      <w:highlight w:val="none"/>
                      <w:u w:val="none" w:color="auto"/>
                      <w:lang w:eastAsia="zh-CN"/>
                    </w:rPr>
                    <w:t>电</w:t>
                  </w:r>
                </w:p>
              </w:tc>
              <w:tc>
                <w:tcPr>
                  <w:tcW w:w="2028"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val="0"/>
                      <w:bCs w:val="0"/>
                      <w:color w:val="auto"/>
                      <w:kern w:val="2"/>
                      <w:sz w:val="21"/>
                      <w:szCs w:val="21"/>
                      <w:highlight w:val="none"/>
                      <w:u w:val="none" w:color="auto"/>
                      <w:lang w:val="en-US" w:eastAsia="zh-CN" w:bidi="ar-SA"/>
                    </w:rPr>
                  </w:pPr>
                  <w:r>
                    <w:rPr>
                      <w:rFonts w:hint="eastAsia" w:cs="Times New Roman"/>
                      <w:bCs/>
                      <w:color w:val="auto"/>
                      <w:sz w:val="21"/>
                      <w:szCs w:val="21"/>
                      <w:highlight w:val="none"/>
                      <w:lang w:val="en-US" w:eastAsia="zh-CN"/>
                    </w:rPr>
                    <w:t>4</w:t>
                  </w:r>
                  <w:r>
                    <w:rPr>
                      <w:rFonts w:hint="default" w:ascii="Times New Roman" w:hAnsi="Times New Roman" w:cs="Times New Roman"/>
                      <w:b w:val="0"/>
                      <w:bCs w:val="0"/>
                      <w:color w:val="auto"/>
                      <w:sz w:val="21"/>
                      <w:szCs w:val="21"/>
                      <w:highlight w:val="none"/>
                      <w:u w:val="none" w:color="auto"/>
                      <w:lang w:val="en-US" w:eastAsia="zh-CN"/>
                    </w:rPr>
                    <w:t>万kW•h</w:t>
                  </w:r>
                  <w:r>
                    <w:rPr>
                      <w:rFonts w:hint="eastAsia" w:ascii="Times New Roman" w:hAnsi="Times New Roman" w:cs="Times New Roman"/>
                      <w:b w:val="0"/>
                      <w:bCs w:val="0"/>
                      <w:color w:val="auto"/>
                      <w:sz w:val="21"/>
                      <w:szCs w:val="21"/>
                      <w:highlight w:val="none"/>
                      <w:u w:val="none" w:color="auto"/>
                      <w:lang w:val="en-US" w:eastAsia="zh-CN"/>
                    </w:rPr>
                    <w:t>/a</w:t>
                  </w:r>
                </w:p>
              </w:tc>
              <w:tc>
                <w:tcPr>
                  <w:tcW w:w="3036" w:type="dxa"/>
                  <w:tcBorders>
                    <w:tl2br w:val="nil"/>
                    <w:tr2bl w:val="nil"/>
                  </w:tcBorders>
                  <w:vAlign w:val="center"/>
                </w:tcPr>
                <w:p>
                  <w:pPr>
                    <w:keepNext w:val="0"/>
                    <w:keepLines w:val="0"/>
                    <w:pageBreakBefore w:val="0"/>
                    <w:widowControl w:val="0"/>
                    <w:suppressLineNumbers w:val="0"/>
                    <w:tabs>
                      <w:tab w:val="left" w:pos="2220"/>
                    </w:tabs>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auto"/>
                      <w:kern w:val="2"/>
                      <w:sz w:val="21"/>
                      <w:szCs w:val="21"/>
                      <w:highlight w:val="none"/>
                      <w:u w:val="none" w:color="auto"/>
                      <w:lang w:val="en-US" w:eastAsia="zh-CN" w:bidi="ar-SA"/>
                    </w:rPr>
                  </w:pPr>
                  <w:r>
                    <w:rPr>
                      <w:rFonts w:hint="default" w:ascii="Times New Roman" w:hAnsi="Times New Roman" w:cs="Times New Roman"/>
                      <w:b w:val="0"/>
                      <w:bCs w:val="0"/>
                      <w:color w:val="auto"/>
                      <w:sz w:val="21"/>
                      <w:szCs w:val="21"/>
                      <w:highlight w:val="none"/>
                      <w:u w:val="none" w:color="auto"/>
                      <w:lang w:val="en-US" w:eastAsia="zh-CN"/>
                    </w:rPr>
                    <w:t>宜沟镇电网供给</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40" w:hRule="atLeast"/>
                <w:jc w:val="center"/>
              </w:trPr>
              <w:tc>
                <w:tcPr>
                  <w:tcW w:w="1489" w:type="dxa"/>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b w:val="0"/>
                      <w:bCs w:val="0"/>
                      <w:color w:val="auto"/>
                      <w:sz w:val="21"/>
                      <w:szCs w:val="21"/>
                      <w:highlight w:val="none"/>
                      <w:u w:val="none" w:color="auto"/>
                      <w:lang w:val="en-US" w:eastAsia="zh-CN"/>
                    </w:rPr>
                  </w:pPr>
                </w:p>
              </w:tc>
              <w:tc>
                <w:tcPr>
                  <w:tcW w:w="186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auto"/>
                      <w:kern w:val="2"/>
                      <w:sz w:val="21"/>
                      <w:szCs w:val="21"/>
                      <w:highlight w:val="none"/>
                      <w:u w:val="none" w:color="auto"/>
                      <w:lang w:val="en-US" w:eastAsia="zh-CN" w:bidi="ar-SA"/>
                    </w:rPr>
                  </w:pPr>
                  <w:r>
                    <w:rPr>
                      <w:rFonts w:hint="default" w:ascii="Times New Roman" w:hAnsi="Times New Roman" w:eastAsia="宋体" w:cs="Times New Roman"/>
                      <w:b w:val="0"/>
                      <w:bCs w:val="0"/>
                      <w:color w:val="auto"/>
                      <w:sz w:val="21"/>
                      <w:szCs w:val="21"/>
                      <w:highlight w:val="none"/>
                      <w:u w:val="none" w:color="auto"/>
                      <w:lang w:eastAsia="zh-CN"/>
                    </w:rPr>
                    <w:t>水</w:t>
                  </w:r>
                </w:p>
              </w:tc>
              <w:tc>
                <w:tcPr>
                  <w:tcW w:w="2028"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val="0"/>
                      <w:bCs w:val="0"/>
                      <w:color w:val="auto"/>
                      <w:kern w:val="2"/>
                      <w:sz w:val="21"/>
                      <w:szCs w:val="21"/>
                      <w:highlight w:val="none"/>
                      <w:u w:val="none" w:color="auto"/>
                      <w:lang w:val="en-US" w:eastAsia="zh-CN" w:bidi="ar-SA"/>
                    </w:rPr>
                  </w:pPr>
                  <w:r>
                    <w:rPr>
                      <w:rFonts w:hint="eastAsia" w:cs="Times New Roman"/>
                      <w:b w:val="0"/>
                      <w:bCs w:val="0"/>
                      <w:color w:val="auto"/>
                      <w:sz w:val="21"/>
                      <w:szCs w:val="21"/>
                      <w:highlight w:val="none"/>
                      <w:u w:val="none" w:color="auto"/>
                      <w:lang w:val="en-US" w:eastAsia="zh-CN"/>
                    </w:rPr>
                    <w:t>919.5</w:t>
                  </w:r>
                  <w:r>
                    <w:rPr>
                      <w:rFonts w:hint="default" w:ascii="Times New Roman" w:hAnsi="Times New Roman" w:cs="Times New Roman"/>
                      <w:b w:val="0"/>
                      <w:bCs w:val="0"/>
                      <w:color w:val="auto"/>
                      <w:sz w:val="21"/>
                      <w:szCs w:val="21"/>
                      <w:highlight w:val="none"/>
                      <w:u w:val="none" w:color="auto"/>
                      <w:lang w:val="en-US" w:eastAsia="zh-CN"/>
                    </w:rPr>
                    <w:t>m</w:t>
                  </w:r>
                  <w:r>
                    <w:rPr>
                      <w:rFonts w:hint="default" w:ascii="Times New Roman" w:hAnsi="Times New Roman" w:cs="Times New Roman"/>
                      <w:b w:val="0"/>
                      <w:bCs w:val="0"/>
                      <w:color w:val="auto"/>
                      <w:sz w:val="21"/>
                      <w:szCs w:val="21"/>
                      <w:highlight w:val="none"/>
                      <w:u w:val="none" w:color="auto"/>
                      <w:vertAlign w:val="superscript"/>
                      <w:lang w:val="en-US" w:eastAsia="zh-CN"/>
                    </w:rPr>
                    <w:t>3</w:t>
                  </w:r>
                  <w:r>
                    <w:rPr>
                      <w:rFonts w:hint="default" w:ascii="Times New Roman" w:hAnsi="Times New Roman" w:cs="Times New Roman"/>
                      <w:b w:val="0"/>
                      <w:bCs w:val="0"/>
                      <w:color w:val="auto"/>
                      <w:sz w:val="21"/>
                      <w:szCs w:val="21"/>
                      <w:highlight w:val="none"/>
                      <w:u w:val="none" w:color="auto"/>
                      <w:lang w:val="en-US" w:eastAsia="zh-CN"/>
                    </w:rPr>
                    <w:t>/a</w:t>
                  </w:r>
                </w:p>
              </w:tc>
              <w:tc>
                <w:tcPr>
                  <w:tcW w:w="3036" w:type="dxa"/>
                  <w:tcBorders>
                    <w:tl2br w:val="nil"/>
                    <w:tr2bl w:val="nil"/>
                  </w:tcBorders>
                  <w:vAlign w:val="center"/>
                </w:tcPr>
                <w:p>
                  <w:pPr>
                    <w:keepNext w:val="0"/>
                    <w:keepLines w:val="0"/>
                    <w:pageBreakBefore w:val="0"/>
                    <w:widowControl w:val="0"/>
                    <w:suppressLineNumbers w:val="0"/>
                    <w:tabs>
                      <w:tab w:val="left" w:pos="2220"/>
                    </w:tabs>
                    <w:kinsoku/>
                    <w:wordWrap/>
                    <w:overflowPunct/>
                    <w:topLinePunct w:val="0"/>
                    <w:autoSpaceDE/>
                    <w:autoSpaceDN/>
                    <w:bidi w:val="0"/>
                    <w:spacing w:before="0" w:beforeAutospacing="0" w:after="0" w:afterAutospacing="0" w:line="240" w:lineRule="auto"/>
                    <w:ind w:left="0" w:right="0"/>
                    <w:jc w:val="center"/>
                    <w:textAlignment w:val="auto"/>
                    <w:rPr>
                      <w:rFonts w:hint="eastAsia" w:ascii="Times New Roman" w:hAnsi="Times New Roman" w:cs="Times New Roman"/>
                      <w:b w:val="0"/>
                      <w:bCs w:val="0"/>
                      <w:color w:val="auto"/>
                      <w:kern w:val="2"/>
                      <w:sz w:val="21"/>
                      <w:szCs w:val="21"/>
                      <w:highlight w:val="none"/>
                      <w:u w:val="none" w:color="auto"/>
                      <w:lang w:val="en-US" w:eastAsia="zh-CN" w:bidi="ar-SA"/>
                    </w:rPr>
                  </w:pPr>
                  <w:r>
                    <w:rPr>
                      <w:rFonts w:hint="eastAsia" w:ascii="Times New Roman" w:hAnsi="Times New Roman" w:cs="Times New Roman"/>
                      <w:b w:val="0"/>
                      <w:bCs w:val="0"/>
                      <w:color w:val="auto"/>
                      <w:sz w:val="21"/>
                      <w:szCs w:val="21"/>
                      <w:highlight w:val="none"/>
                      <w:u w:val="none" w:color="auto"/>
                      <w:lang w:val="en-US" w:eastAsia="zh-CN"/>
                    </w:rPr>
                    <w:t>/</w:t>
                  </w:r>
                </w:p>
              </w:tc>
            </w:tr>
          </w:tbl>
          <w:p>
            <w:pPr>
              <w:pStyle w:val="13"/>
              <w:keepNext w:val="0"/>
              <w:keepLines w:val="0"/>
              <w:pageBreakBefore w:val="0"/>
              <w:widowControl w:val="0"/>
              <w:numPr>
                <w:ilvl w:val="0"/>
                <w:numId w:val="0"/>
              </w:numPr>
              <w:suppressLineNumbers w:val="0"/>
              <w:tabs>
                <w:tab w:val="clear" w:pos="0"/>
                <w:tab w:val="clear" w:pos="2040"/>
              </w:tabs>
              <w:kinsoku/>
              <w:wordWrap/>
              <w:overflowPunct/>
              <w:topLinePunct w:val="0"/>
              <w:autoSpaceDE/>
              <w:autoSpaceDN/>
              <w:bidi w:val="0"/>
              <w:adjustRightInd w:val="0"/>
              <w:snapToGrid w:val="0"/>
              <w:spacing w:before="0" w:beforeAutospacing="0" w:after="0" w:afterAutospacing="0" w:line="240" w:lineRule="auto"/>
              <w:ind w:right="0"/>
              <w:jc w:val="center"/>
              <w:textAlignment w:val="auto"/>
              <w:outlineLvl w:val="9"/>
              <w:rPr>
                <w:rFonts w:hint="eastAsia" w:ascii="Times New Roman" w:hAnsi="Times New Roman" w:eastAsia="宋体" w:cs="Times New Roman"/>
                <w:b/>
                <w:bCs/>
                <w:color w:val="auto"/>
                <w:sz w:val="24"/>
                <w:szCs w:val="24"/>
                <w:highlight w:val="none"/>
                <w:u w:val="none" w:color="auto"/>
                <w:lang w:val="en-US" w:eastAsia="zh-CN"/>
              </w:rPr>
            </w:pPr>
          </w:p>
          <w:p>
            <w:pPr>
              <w:pStyle w:val="13"/>
              <w:keepNext w:val="0"/>
              <w:keepLines w:val="0"/>
              <w:pageBreakBefore w:val="0"/>
              <w:widowControl w:val="0"/>
              <w:numPr>
                <w:ilvl w:val="0"/>
                <w:numId w:val="0"/>
              </w:numPr>
              <w:suppressLineNumbers w:val="0"/>
              <w:tabs>
                <w:tab w:val="clear" w:pos="0"/>
                <w:tab w:val="clear" w:pos="2040"/>
              </w:tabs>
              <w:kinsoku/>
              <w:wordWrap/>
              <w:overflowPunct/>
              <w:topLinePunct w:val="0"/>
              <w:autoSpaceDE/>
              <w:autoSpaceDN/>
              <w:bidi w:val="0"/>
              <w:adjustRightInd w:val="0"/>
              <w:snapToGrid w:val="0"/>
              <w:spacing w:before="0" w:beforeAutospacing="0" w:after="0" w:afterAutospacing="0" w:line="240" w:lineRule="auto"/>
              <w:ind w:right="0"/>
              <w:jc w:val="center"/>
              <w:textAlignment w:val="auto"/>
              <w:outlineLvl w:val="9"/>
              <w:rPr>
                <w:rFonts w:hint="eastAsia" w:ascii="Times New Roman" w:hAnsi="Times New Roman" w:eastAsia="宋体" w:cs="Times New Roman"/>
                <w:b/>
                <w:bCs/>
                <w:color w:val="auto"/>
                <w:sz w:val="24"/>
                <w:szCs w:val="24"/>
                <w:highlight w:val="none"/>
                <w:u w:val="none" w:color="auto"/>
                <w:lang w:val="en-US" w:eastAsia="zh-CN"/>
              </w:rPr>
            </w:pPr>
          </w:p>
          <w:p>
            <w:pPr>
              <w:pStyle w:val="13"/>
              <w:keepNext w:val="0"/>
              <w:keepLines w:val="0"/>
              <w:pageBreakBefore w:val="0"/>
              <w:widowControl w:val="0"/>
              <w:numPr>
                <w:ilvl w:val="0"/>
                <w:numId w:val="0"/>
              </w:numPr>
              <w:suppressLineNumbers w:val="0"/>
              <w:tabs>
                <w:tab w:val="clear" w:pos="0"/>
                <w:tab w:val="clear" w:pos="2040"/>
              </w:tabs>
              <w:kinsoku/>
              <w:wordWrap/>
              <w:overflowPunct/>
              <w:topLinePunct w:val="0"/>
              <w:autoSpaceDE/>
              <w:autoSpaceDN/>
              <w:bidi w:val="0"/>
              <w:adjustRightInd w:val="0"/>
              <w:snapToGrid w:val="0"/>
              <w:spacing w:before="0" w:beforeAutospacing="0" w:after="0" w:afterAutospacing="0" w:line="240" w:lineRule="auto"/>
              <w:ind w:right="0"/>
              <w:jc w:val="center"/>
              <w:textAlignment w:val="auto"/>
              <w:outlineLvl w:val="9"/>
              <w:rPr>
                <w:rFonts w:hint="eastAsia"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熔炼渣成分一览表</w:t>
            </w:r>
          </w:p>
          <w:tbl>
            <w:tblPr>
              <w:tblStyle w:val="28"/>
              <w:tblW w:w="8418" w:type="dxa"/>
              <w:jc w:val="center"/>
              <w:tblInd w:w="0"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65"/>
              <w:gridCol w:w="641"/>
              <w:gridCol w:w="641"/>
              <w:gridCol w:w="641"/>
              <w:gridCol w:w="654"/>
              <w:gridCol w:w="628"/>
              <w:gridCol w:w="654"/>
              <w:gridCol w:w="641"/>
              <w:gridCol w:w="668"/>
              <w:gridCol w:w="641"/>
              <w:gridCol w:w="655"/>
              <w:gridCol w:w="627"/>
              <w:gridCol w:w="662"/>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786" w:hRule="atLeast"/>
                <w:jc w:val="center"/>
              </w:trPr>
              <w:tc>
                <w:tcPr>
                  <w:tcW w:w="665" w:type="dxa"/>
                  <w:tcBorders>
                    <w:top w:val="single" w:color="auto" w:sz="8"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
                      <w:bCs w:val="0"/>
                      <w:color w:val="auto"/>
                      <w:spacing w:val="-10"/>
                      <w:kern w:val="2"/>
                      <w:sz w:val="21"/>
                      <w:szCs w:val="21"/>
                      <w:lang w:val="en-US" w:eastAsia="zh-CN"/>
                    </w:rPr>
                  </w:pPr>
                  <w:r>
                    <w:rPr>
                      <w:rFonts w:hint="eastAsia" w:ascii="宋体" w:hAnsi="宋体" w:eastAsia="宋体" w:cs="宋体"/>
                      <w:b/>
                      <w:bCs w:val="0"/>
                      <w:color w:val="auto"/>
                      <w:spacing w:val="-10"/>
                      <w:kern w:val="2"/>
                      <w:sz w:val="21"/>
                      <w:szCs w:val="21"/>
                      <w:lang w:val="en-US" w:eastAsia="zh-CN" w:bidi="ar"/>
                    </w:rPr>
                    <w:t>成分</w:t>
                  </w:r>
                </w:p>
              </w:tc>
              <w:tc>
                <w:tcPr>
                  <w:tcW w:w="641" w:type="dxa"/>
                  <w:tcBorders>
                    <w:top w:val="single" w:color="auto" w:sz="8"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
                      <w:bCs w:val="0"/>
                      <w:color w:val="auto"/>
                      <w:spacing w:val="-10"/>
                      <w:kern w:val="2"/>
                      <w:sz w:val="21"/>
                      <w:szCs w:val="21"/>
                      <w:lang w:val="en-US" w:eastAsia="zh-CN"/>
                    </w:rPr>
                  </w:pPr>
                  <w:r>
                    <w:rPr>
                      <w:rFonts w:hint="eastAsia" w:ascii="Times New Roman" w:hAnsi="Times New Roman" w:eastAsia="宋体" w:cs="Times New Roman"/>
                      <w:b/>
                      <w:bCs w:val="0"/>
                      <w:color w:val="auto"/>
                      <w:spacing w:val="-10"/>
                      <w:kern w:val="2"/>
                      <w:sz w:val="21"/>
                      <w:szCs w:val="21"/>
                      <w:lang w:val="en-US" w:eastAsia="zh-CN" w:bidi="ar"/>
                    </w:rPr>
                    <w:t>Al</w:t>
                  </w:r>
                </w:p>
              </w:tc>
              <w:tc>
                <w:tcPr>
                  <w:tcW w:w="641" w:type="dxa"/>
                  <w:tcBorders>
                    <w:top w:val="single" w:color="auto" w:sz="8"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
                      <w:bCs w:val="0"/>
                      <w:color w:val="auto"/>
                      <w:spacing w:val="-10"/>
                      <w:kern w:val="2"/>
                      <w:sz w:val="21"/>
                      <w:szCs w:val="21"/>
                      <w:lang w:val="en-US" w:eastAsia="zh-CN"/>
                    </w:rPr>
                  </w:pPr>
                  <w:r>
                    <w:rPr>
                      <w:rFonts w:hint="eastAsia" w:ascii="Times New Roman" w:hAnsi="Times New Roman" w:eastAsia="宋体" w:cs="Times New Roman"/>
                      <w:b/>
                      <w:bCs w:val="0"/>
                      <w:color w:val="auto"/>
                      <w:spacing w:val="-10"/>
                      <w:kern w:val="2"/>
                      <w:sz w:val="21"/>
                      <w:szCs w:val="21"/>
                      <w:lang w:val="en-US" w:eastAsia="zh-CN" w:bidi="ar"/>
                    </w:rPr>
                    <w:t>Zn</w:t>
                  </w:r>
                </w:p>
              </w:tc>
              <w:tc>
                <w:tcPr>
                  <w:tcW w:w="641" w:type="dxa"/>
                  <w:tcBorders>
                    <w:top w:val="single" w:color="auto" w:sz="8"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
                      <w:bCs w:val="0"/>
                      <w:color w:val="auto"/>
                      <w:spacing w:val="-10"/>
                      <w:kern w:val="2"/>
                      <w:sz w:val="21"/>
                      <w:szCs w:val="21"/>
                      <w:lang w:val="en-US" w:eastAsia="zh-CN"/>
                    </w:rPr>
                  </w:pPr>
                  <w:r>
                    <w:rPr>
                      <w:rFonts w:hint="default" w:ascii="Times New Roman" w:hAnsi="Times New Roman" w:eastAsia="宋体" w:cs="Times New Roman"/>
                      <w:b/>
                      <w:bCs w:val="0"/>
                      <w:color w:val="auto"/>
                      <w:spacing w:val="-10"/>
                      <w:kern w:val="2"/>
                      <w:sz w:val="21"/>
                      <w:szCs w:val="21"/>
                      <w:lang w:val="en-US" w:eastAsia="zh-CN" w:bidi="ar"/>
                    </w:rPr>
                    <w:t>Si</w:t>
                  </w:r>
                </w:p>
              </w:tc>
              <w:tc>
                <w:tcPr>
                  <w:tcW w:w="654" w:type="dxa"/>
                  <w:tcBorders>
                    <w:top w:val="single" w:color="auto" w:sz="8"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
                      <w:bCs w:val="0"/>
                      <w:color w:val="auto"/>
                      <w:spacing w:val="-10"/>
                      <w:kern w:val="2"/>
                      <w:sz w:val="21"/>
                      <w:szCs w:val="21"/>
                      <w:lang w:val="en-US" w:eastAsia="zh-CN"/>
                    </w:rPr>
                  </w:pPr>
                  <w:r>
                    <w:rPr>
                      <w:rFonts w:hint="eastAsia" w:ascii="Times New Roman" w:hAnsi="Times New Roman" w:eastAsia="宋体" w:cs="Times New Roman"/>
                      <w:b/>
                      <w:bCs w:val="0"/>
                      <w:color w:val="auto"/>
                      <w:spacing w:val="-10"/>
                      <w:kern w:val="2"/>
                      <w:sz w:val="21"/>
                      <w:szCs w:val="21"/>
                      <w:lang w:val="en-US" w:eastAsia="zh-CN" w:bidi="ar"/>
                    </w:rPr>
                    <w:t>Cd</w:t>
                  </w:r>
                </w:p>
              </w:tc>
              <w:tc>
                <w:tcPr>
                  <w:tcW w:w="628" w:type="dxa"/>
                  <w:tcBorders>
                    <w:top w:val="single" w:color="auto" w:sz="8"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
                      <w:bCs w:val="0"/>
                      <w:color w:val="auto"/>
                      <w:spacing w:val="-10"/>
                      <w:kern w:val="2"/>
                      <w:sz w:val="21"/>
                      <w:szCs w:val="21"/>
                      <w:lang w:val="en-US" w:eastAsia="zh-CN"/>
                    </w:rPr>
                  </w:pPr>
                  <w:r>
                    <w:rPr>
                      <w:rFonts w:hint="default" w:ascii="Times New Roman" w:hAnsi="Times New Roman" w:eastAsia="宋体" w:cs="Times New Roman"/>
                      <w:b/>
                      <w:bCs w:val="0"/>
                      <w:color w:val="auto"/>
                      <w:spacing w:val="-10"/>
                      <w:kern w:val="2"/>
                      <w:sz w:val="21"/>
                      <w:szCs w:val="21"/>
                      <w:lang w:val="en-US" w:eastAsia="zh-CN"/>
                    </w:rPr>
                    <w:t>Mg</w:t>
                  </w:r>
                </w:p>
              </w:tc>
              <w:tc>
                <w:tcPr>
                  <w:tcW w:w="654" w:type="dxa"/>
                  <w:tcBorders>
                    <w:top w:val="single" w:color="auto" w:sz="8"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
                      <w:bCs w:val="0"/>
                      <w:color w:val="auto"/>
                      <w:spacing w:val="-10"/>
                      <w:kern w:val="2"/>
                      <w:sz w:val="21"/>
                      <w:szCs w:val="21"/>
                      <w:lang w:val="en-US" w:eastAsia="zh-CN" w:bidi="ar"/>
                    </w:rPr>
                  </w:pPr>
                  <w:r>
                    <w:rPr>
                      <w:rFonts w:hint="eastAsia" w:ascii="Times New Roman" w:hAnsi="Times New Roman" w:eastAsia="宋体" w:cs="Times New Roman"/>
                      <w:b/>
                      <w:bCs w:val="0"/>
                      <w:color w:val="auto"/>
                      <w:spacing w:val="-10"/>
                      <w:kern w:val="2"/>
                      <w:sz w:val="21"/>
                      <w:szCs w:val="21"/>
                      <w:lang w:val="en-US" w:eastAsia="zh-CN" w:bidi="ar"/>
                    </w:rPr>
                    <w:t>Cl</w:t>
                  </w:r>
                </w:p>
              </w:tc>
              <w:tc>
                <w:tcPr>
                  <w:tcW w:w="641" w:type="dxa"/>
                  <w:tcBorders>
                    <w:top w:val="single" w:color="auto" w:sz="8"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
                      <w:bCs w:val="0"/>
                      <w:color w:val="auto"/>
                      <w:spacing w:val="-10"/>
                      <w:kern w:val="2"/>
                      <w:sz w:val="21"/>
                      <w:szCs w:val="21"/>
                      <w:lang w:val="en-US" w:eastAsia="zh-CN"/>
                    </w:rPr>
                  </w:pPr>
                  <w:r>
                    <w:rPr>
                      <w:rFonts w:hint="eastAsia" w:ascii="Times New Roman" w:hAnsi="Times New Roman" w:eastAsia="宋体" w:cs="Times New Roman"/>
                      <w:b/>
                      <w:bCs w:val="0"/>
                      <w:color w:val="auto"/>
                      <w:spacing w:val="-10"/>
                      <w:kern w:val="2"/>
                      <w:sz w:val="21"/>
                      <w:szCs w:val="21"/>
                      <w:lang w:val="en-US" w:eastAsia="zh-CN" w:bidi="ar"/>
                    </w:rPr>
                    <w:t>F</w:t>
                  </w:r>
                </w:p>
              </w:tc>
              <w:tc>
                <w:tcPr>
                  <w:tcW w:w="668" w:type="dxa"/>
                  <w:tcBorders>
                    <w:top w:val="single" w:color="auto" w:sz="8"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
                      <w:bCs w:val="0"/>
                      <w:color w:val="auto"/>
                      <w:spacing w:val="-10"/>
                      <w:kern w:val="2"/>
                      <w:sz w:val="21"/>
                      <w:szCs w:val="21"/>
                      <w:lang w:val="en-US" w:eastAsia="zh-CN"/>
                    </w:rPr>
                  </w:pPr>
                  <w:r>
                    <w:rPr>
                      <w:rFonts w:hint="eastAsia" w:ascii="Times New Roman" w:hAnsi="Times New Roman" w:eastAsia="宋体" w:cs="Times New Roman"/>
                      <w:b/>
                      <w:bCs w:val="0"/>
                      <w:color w:val="auto"/>
                      <w:spacing w:val="-10"/>
                      <w:kern w:val="2"/>
                      <w:sz w:val="21"/>
                      <w:szCs w:val="21"/>
                      <w:lang w:val="en-US" w:eastAsia="zh-CN" w:bidi="ar"/>
                    </w:rPr>
                    <w:t>Pb</w:t>
                  </w:r>
                </w:p>
              </w:tc>
              <w:tc>
                <w:tcPr>
                  <w:tcW w:w="641" w:type="dxa"/>
                  <w:tcBorders>
                    <w:top w:val="single" w:color="auto" w:sz="8"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
                      <w:bCs w:val="0"/>
                      <w:color w:val="auto"/>
                      <w:spacing w:val="-10"/>
                      <w:kern w:val="2"/>
                      <w:sz w:val="21"/>
                      <w:szCs w:val="21"/>
                      <w:lang w:val="en-US" w:eastAsia="zh-CN"/>
                    </w:rPr>
                  </w:pPr>
                  <w:r>
                    <w:rPr>
                      <w:rFonts w:hint="eastAsia" w:ascii="Times New Roman" w:hAnsi="Times New Roman" w:eastAsia="宋体" w:cs="Times New Roman"/>
                      <w:b/>
                      <w:bCs w:val="0"/>
                      <w:color w:val="auto"/>
                      <w:spacing w:val="-10"/>
                      <w:kern w:val="2"/>
                      <w:sz w:val="21"/>
                      <w:szCs w:val="21"/>
                      <w:lang w:val="en-US" w:eastAsia="zh-CN"/>
                    </w:rPr>
                    <w:t>As</w:t>
                  </w:r>
                </w:p>
              </w:tc>
              <w:tc>
                <w:tcPr>
                  <w:tcW w:w="655" w:type="dxa"/>
                  <w:tcBorders>
                    <w:top w:val="single" w:color="auto" w:sz="8"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
                      <w:bCs w:val="0"/>
                      <w:color w:val="auto"/>
                      <w:spacing w:val="-10"/>
                      <w:kern w:val="2"/>
                      <w:sz w:val="21"/>
                      <w:szCs w:val="21"/>
                      <w:lang w:val="en-US" w:eastAsia="zh-CN"/>
                    </w:rPr>
                  </w:pPr>
                  <w:r>
                    <w:rPr>
                      <w:rFonts w:hint="eastAsia" w:ascii="Times New Roman" w:hAnsi="Times New Roman" w:eastAsia="宋体" w:cs="Times New Roman"/>
                      <w:b/>
                      <w:bCs w:val="0"/>
                      <w:color w:val="auto"/>
                      <w:spacing w:val="-10"/>
                      <w:kern w:val="2"/>
                      <w:sz w:val="21"/>
                      <w:szCs w:val="21"/>
                      <w:lang w:val="en-US" w:eastAsia="zh-CN"/>
                    </w:rPr>
                    <w:t>Hg</w:t>
                  </w:r>
                </w:p>
              </w:tc>
              <w:tc>
                <w:tcPr>
                  <w:tcW w:w="627" w:type="dxa"/>
                  <w:tcBorders>
                    <w:top w:val="single" w:color="auto" w:sz="8"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
                      <w:bCs w:val="0"/>
                      <w:color w:val="auto"/>
                      <w:spacing w:val="-10"/>
                      <w:kern w:val="2"/>
                      <w:sz w:val="21"/>
                      <w:szCs w:val="21"/>
                      <w:lang w:val="en-US" w:eastAsia="zh-CN"/>
                    </w:rPr>
                  </w:pPr>
                  <w:r>
                    <w:rPr>
                      <w:rFonts w:hint="eastAsia" w:ascii="Times New Roman" w:hAnsi="Times New Roman" w:eastAsia="宋体" w:cs="Times New Roman"/>
                      <w:b/>
                      <w:bCs w:val="0"/>
                      <w:color w:val="auto"/>
                      <w:spacing w:val="-10"/>
                      <w:kern w:val="2"/>
                      <w:sz w:val="21"/>
                      <w:szCs w:val="21"/>
                      <w:lang w:val="en-US" w:eastAsia="zh-CN"/>
                    </w:rPr>
                    <w:t>Be</w:t>
                  </w:r>
                </w:p>
              </w:tc>
              <w:tc>
                <w:tcPr>
                  <w:tcW w:w="662" w:type="dxa"/>
                  <w:tcBorders>
                    <w:top w:val="single" w:color="auto" w:sz="8" w:space="0"/>
                    <w:left w:val="single" w:color="auto" w:sz="4" w:space="0"/>
                    <w:bottom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
                      <w:bCs w:val="0"/>
                      <w:color w:val="auto"/>
                      <w:spacing w:val="-10"/>
                      <w:kern w:val="2"/>
                      <w:sz w:val="21"/>
                      <w:szCs w:val="21"/>
                      <w:lang w:val="en-US" w:eastAsia="zh-CN"/>
                    </w:rPr>
                  </w:pPr>
                  <w:r>
                    <w:rPr>
                      <w:rFonts w:hint="eastAsia" w:ascii="宋体" w:hAnsi="宋体" w:eastAsia="宋体" w:cs="宋体"/>
                      <w:b/>
                      <w:bCs w:val="0"/>
                      <w:color w:val="auto"/>
                      <w:spacing w:val="-10"/>
                      <w:kern w:val="2"/>
                      <w:sz w:val="21"/>
                      <w:szCs w:val="21"/>
                      <w:lang w:val="en-US" w:eastAsia="zh-CN" w:bidi="ar"/>
                    </w:rPr>
                    <w:t>其他</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786" w:hRule="atLeast"/>
                <w:jc w:val="center"/>
              </w:trPr>
              <w:tc>
                <w:tcPr>
                  <w:tcW w:w="665" w:type="dxa"/>
                  <w:tcBorders>
                    <w:top w:val="single" w:color="auto" w:sz="4" w:space="0"/>
                    <w:bottom w:val="single" w:color="auto" w:sz="8"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
                      <w:bCs w:val="0"/>
                      <w:color w:val="auto"/>
                      <w:spacing w:val="-10"/>
                      <w:kern w:val="2"/>
                      <w:sz w:val="21"/>
                      <w:szCs w:val="21"/>
                      <w:lang w:val="en-US" w:eastAsia="zh-CN"/>
                    </w:rPr>
                  </w:pPr>
                  <w:r>
                    <w:rPr>
                      <w:rFonts w:hint="eastAsia" w:ascii="宋体" w:hAnsi="宋体" w:eastAsia="宋体" w:cs="宋体"/>
                      <w:b/>
                      <w:bCs w:val="0"/>
                      <w:color w:val="auto"/>
                      <w:spacing w:val="-10"/>
                      <w:kern w:val="2"/>
                      <w:sz w:val="21"/>
                      <w:szCs w:val="21"/>
                      <w:lang w:val="en-US" w:eastAsia="zh-CN" w:bidi="ar"/>
                    </w:rPr>
                    <w:t>含量</w:t>
                  </w:r>
                  <w:r>
                    <w:rPr>
                      <w:rFonts w:hint="default" w:ascii="Times New Roman" w:hAnsi="Times New Roman" w:eastAsia="宋体" w:cs="Times New Roman"/>
                      <w:b/>
                      <w:bCs w:val="0"/>
                      <w:color w:val="auto"/>
                      <w:spacing w:val="-10"/>
                      <w:kern w:val="2"/>
                      <w:sz w:val="21"/>
                      <w:szCs w:val="21"/>
                      <w:lang w:val="en-US" w:eastAsia="zh-CN" w:bidi="ar"/>
                    </w:rPr>
                    <w:t>%</w:t>
                  </w:r>
                </w:p>
              </w:tc>
              <w:tc>
                <w:tcPr>
                  <w:tcW w:w="641" w:type="dxa"/>
                  <w:tcBorders>
                    <w:top w:val="single" w:color="auto" w:sz="4" w:space="0"/>
                    <w:left w:val="single" w:color="auto" w:sz="4" w:space="0"/>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40.78</w:t>
                  </w:r>
                </w:p>
              </w:tc>
              <w:tc>
                <w:tcPr>
                  <w:tcW w:w="641" w:type="dxa"/>
                  <w:tcBorders>
                    <w:top w:val="single" w:color="auto" w:sz="4" w:space="0"/>
                    <w:left w:val="single" w:color="auto" w:sz="4" w:space="0"/>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12.24</w:t>
                  </w:r>
                </w:p>
              </w:tc>
              <w:tc>
                <w:tcPr>
                  <w:tcW w:w="641" w:type="dxa"/>
                  <w:tcBorders>
                    <w:top w:val="single" w:color="auto" w:sz="4" w:space="0"/>
                    <w:left w:val="single" w:color="auto" w:sz="4" w:space="0"/>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6.9</w:t>
                  </w:r>
                </w:p>
              </w:tc>
              <w:tc>
                <w:tcPr>
                  <w:tcW w:w="654" w:type="dxa"/>
                  <w:tcBorders>
                    <w:top w:val="single" w:color="auto" w:sz="4" w:space="0"/>
                    <w:left w:val="single" w:color="auto" w:sz="4" w:space="0"/>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＜0.0005</w:t>
                  </w:r>
                </w:p>
              </w:tc>
              <w:tc>
                <w:tcPr>
                  <w:tcW w:w="628" w:type="dxa"/>
                  <w:tcBorders>
                    <w:top w:val="single" w:color="auto" w:sz="4" w:space="0"/>
                    <w:left w:val="single" w:color="auto" w:sz="4" w:space="0"/>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0.0047</w:t>
                  </w:r>
                </w:p>
              </w:tc>
              <w:tc>
                <w:tcPr>
                  <w:tcW w:w="654" w:type="dxa"/>
                  <w:tcBorders>
                    <w:top w:val="single" w:color="auto" w:sz="4" w:space="0"/>
                    <w:left w:val="single" w:color="auto" w:sz="4" w:space="0"/>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pacing w:val="-10"/>
                      <w:kern w:val="2"/>
                      <w:sz w:val="21"/>
                      <w:szCs w:val="21"/>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0.07</w:t>
                  </w:r>
                </w:p>
              </w:tc>
              <w:tc>
                <w:tcPr>
                  <w:tcW w:w="641" w:type="dxa"/>
                  <w:tcBorders>
                    <w:top w:val="single" w:color="auto" w:sz="4" w:space="0"/>
                    <w:left w:val="single" w:color="auto" w:sz="4" w:space="0"/>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0.001</w:t>
                  </w:r>
                </w:p>
              </w:tc>
              <w:tc>
                <w:tcPr>
                  <w:tcW w:w="668" w:type="dxa"/>
                  <w:tcBorders>
                    <w:top w:val="single" w:color="auto" w:sz="4" w:space="0"/>
                    <w:left w:val="single" w:color="auto" w:sz="4" w:space="0"/>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eastAsia"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0.000</w:t>
                  </w:r>
                  <w:r>
                    <w:rPr>
                      <w:rFonts w:hint="eastAsia" w:cs="Times New Roman"/>
                      <w:i w:val="0"/>
                      <w:iCs w:val="0"/>
                      <w:color w:val="auto"/>
                      <w:kern w:val="0"/>
                      <w:sz w:val="21"/>
                      <w:szCs w:val="21"/>
                      <w:u w:val="none"/>
                      <w:lang w:val="en-US" w:eastAsia="zh-CN" w:bidi="ar"/>
                    </w:rPr>
                    <w:t>5</w:t>
                  </w:r>
                </w:p>
              </w:tc>
              <w:tc>
                <w:tcPr>
                  <w:tcW w:w="641" w:type="dxa"/>
                  <w:tcBorders>
                    <w:top w:val="single" w:color="auto" w:sz="4" w:space="0"/>
                    <w:left w:val="single" w:color="auto" w:sz="4" w:space="0"/>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w:t>
                  </w:r>
                  <w:r>
                    <w:rPr>
                      <w:rFonts w:hint="eastAsia" w:cs="Times New Roman"/>
                      <w:i w:val="0"/>
                      <w:iCs w:val="0"/>
                      <w:color w:val="auto"/>
                      <w:kern w:val="0"/>
                      <w:sz w:val="21"/>
                      <w:szCs w:val="21"/>
                      <w:u w:val="none"/>
                      <w:lang w:val="en-US" w:eastAsia="zh-CN" w:bidi="ar"/>
                    </w:rPr>
                    <w:t>0</w:t>
                  </w:r>
                  <w:r>
                    <w:rPr>
                      <w:rFonts w:hint="default" w:ascii="Times New Roman" w:hAnsi="Times New Roman" w:eastAsia="宋体" w:cs="Times New Roman"/>
                      <w:i w:val="0"/>
                      <w:iCs w:val="0"/>
                      <w:color w:val="auto"/>
                      <w:kern w:val="0"/>
                      <w:sz w:val="21"/>
                      <w:szCs w:val="21"/>
                      <w:u w:val="none"/>
                      <w:lang w:val="en-US" w:eastAsia="zh-CN" w:bidi="ar"/>
                    </w:rPr>
                    <w:t>.0005</w:t>
                  </w:r>
                </w:p>
              </w:tc>
              <w:tc>
                <w:tcPr>
                  <w:tcW w:w="655" w:type="dxa"/>
                  <w:tcBorders>
                    <w:top w:val="single" w:color="auto" w:sz="4" w:space="0"/>
                    <w:left w:val="single" w:color="auto" w:sz="4" w:space="0"/>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＜0.0005</w:t>
                  </w:r>
                </w:p>
              </w:tc>
              <w:tc>
                <w:tcPr>
                  <w:tcW w:w="627" w:type="dxa"/>
                  <w:tcBorders>
                    <w:top w:val="single" w:color="auto" w:sz="4" w:space="0"/>
                    <w:left w:val="single" w:color="auto" w:sz="4" w:space="0"/>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＜0.0005</w:t>
                  </w:r>
                </w:p>
              </w:tc>
              <w:tc>
                <w:tcPr>
                  <w:tcW w:w="662" w:type="dxa"/>
                  <w:tcBorders>
                    <w:top w:val="single" w:color="auto" w:sz="4" w:space="0"/>
                    <w:left w:val="single" w:color="auto" w:sz="4" w:space="0"/>
                    <w:bottom w:val="single" w:color="auto" w:sz="8"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40.0043</w:t>
                  </w:r>
                </w:p>
              </w:tc>
            </w:tr>
          </w:tbl>
          <w:p>
            <w:pPr>
              <w:pStyle w:val="13"/>
              <w:keepNext w:val="0"/>
              <w:keepLines w:val="0"/>
              <w:pageBreakBefore w:val="0"/>
              <w:widowControl w:val="0"/>
              <w:numPr>
                <w:ilvl w:val="0"/>
                <w:numId w:val="0"/>
              </w:numPr>
              <w:suppressLineNumbers w:val="0"/>
              <w:tabs>
                <w:tab w:val="clear" w:pos="0"/>
                <w:tab w:val="clear" w:pos="2040"/>
              </w:tabs>
              <w:kinsoku/>
              <w:wordWrap/>
              <w:overflowPunct/>
              <w:topLinePunct w:val="0"/>
              <w:autoSpaceDE/>
              <w:autoSpaceDN/>
              <w:bidi w:val="0"/>
              <w:adjustRightInd w:val="0"/>
              <w:snapToGrid w:val="0"/>
              <w:spacing w:before="0" w:beforeAutospacing="0" w:after="0" w:afterAutospacing="0" w:line="240" w:lineRule="auto"/>
              <w:ind w:right="0"/>
              <w:jc w:val="center"/>
              <w:textAlignment w:val="auto"/>
              <w:outlineLvl w:val="9"/>
              <w:rPr>
                <w:rFonts w:hint="eastAsia"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二次熔炼渣成分一览表</w:t>
            </w:r>
          </w:p>
          <w:tbl>
            <w:tblPr>
              <w:tblStyle w:val="28"/>
              <w:tblW w:w="8410" w:type="dxa"/>
              <w:jc w:val="center"/>
              <w:tblInd w:w="0" w:type="dxa"/>
              <w:tblBorders>
                <w:top w:val="single" w:color="auto" w:sz="8" w:space="0"/>
                <w:left w:val="none" w:color="auto" w:sz="4" w:space="0"/>
                <w:bottom w:val="single" w:color="auto" w:sz="8"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646"/>
              <w:gridCol w:w="646"/>
              <w:gridCol w:w="646"/>
              <w:gridCol w:w="646"/>
              <w:gridCol w:w="646"/>
              <w:gridCol w:w="646"/>
              <w:gridCol w:w="646"/>
              <w:gridCol w:w="646"/>
              <w:gridCol w:w="646"/>
              <w:gridCol w:w="646"/>
              <w:gridCol w:w="646"/>
              <w:gridCol w:w="658"/>
            </w:tblGrid>
            <w:tr>
              <w:tblPrEx>
                <w:tblBorders>
                  <w:top w:val="single" w:color="auto" w:sz="8" w:space="0"/>
                  <w:left w:val="none" w:color="auto" w:sz="4" w:space="0"/>
                  <w:bottom w:val="single" w:color="auto" w:sz="8"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6" w:hRule="atLeast"/>
                <w:jc w:val="center"/>
              </w:trPr>
              <w:tc>
                <w:tcPr>
                  <w:tcW w:w="646" w:type="dxa"/>
                  <w:tcBorders>
                    <w:top w:val="single" w:color="auto" w:sz="8"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
                      <w:bCs w:val="0"/>
                      <w:color w:val="auto"/>
                      <w:spacing w:val="-10"/>
                      <w:kern w:val="2"/>
                      <w:sz w:val="21"/>
                      <w:szCs w:val="21"/>
                      <w:lang w:val="en-US" w:eastAsia="zh-CN"/>
                    </w:rPr>
                  </w:pPr>
                  <w:r>
                    <w:rPr>
                      <w:rFonts w:hint="eastAsia" w:ascii="宋体" w:hAnsi="宋体" w:eastAsia="宋体" w:cs="宋体"/>
                      <w:b/>
                      <w:bCs w:val="0"/>
                      <w:color w:val="auto"/>
                      <w:spacing w:val="-10"/>
                      <w:kern w:val="2"/>
                      <w:sz w:val="21"/>
                      <w:szCs w:val="21"/>
                      <w:lang w:val="en-US" w:eastAsia="zh-CN" w:bidi="ar"/>
                    </w:rPr>
                    <w:t>成分</w:t>
                  </w:r>
                </w:p>
              </w:tc>
              <w:tc>
                <w:tcPr>
                  <w:tcW w:w="646" w:type="dxa"/>
                  <w:tcBorders>
                    <w:top w:val="single" w:color="auto" w:sz="8"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
                      <w:bCs w:val="0"/>
                      <w:color w:val="auto"/>
                      <w:spacing w:val="-10"/>
                      <w:kern w:val="2"/>
                      <w:sz w:val="21"/>
                      <w:szCs w:val="21"/>
                      <w:lang w:val="en-US" w:eastAsia="zh-CN"/>
                    </w:rPr>
                  </w:pPr>
                  <w:r>
                    <w:rPr>
                      <w:rFonts w:hint="default" w:ascii="Times New Roman" w:hAnsi="Times New Roman" w:eastAsia="宋体" w:cs="Times New Roman"/>
                      <w:b/>
                      <w:bCs w:val="0"/>
                      <w:color w:val="auto"/>
                      <w:spacing w:val="-10"/>
                      <w:kern w:val="2"/>
                      <w:sz w:val="21"/>
                      <w:szCs w:val="21"/>
                      <w:lang w:val="en-US" w:eastAsia="zh-CN" w:bidi="ar"/>
                    </w:rPr>
                    <w:t>Al</w:t>
                  </w:r>
                </w:p>
              </w:tc>
              <w:tc>
                <w:tcPr>
                  <w:tcW w:w="646" w:type="dxa"/>
                  <w:tcBorders>
                    <w:top w:val="single" w:color="auto" w:sz="8"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
                      <w:bCs w:val="0"/>
                      <w:color w:val="auto"/>
                      <w:spacing w:val="-10"/>
                      <w:kern w:val="2"/>
                      <w:sz w:val="21"/>
                      <w:szCs w:val="21"/>
                      <w:lang w:val="en-US" w:eastAsia="zh-CN"/>
                    </w:rPr>
                  </w:pPr>
                  <w:r>
                    <w:rPr>
                      <w:rFonts w:hint="default" w:ascii="Times New Roman" w:hAnsi="Times New Roman" w:eastAsia="宋体" w:cs="Times New Roman"/>
                      <w:b/>
                      <w:bCs w:val="0"/>
                      <w:color w:val="auto"/>
                      <w:spacing w:val="-10"/>
                      <w:kern w:val="2"/>
                      <w:sz w:val="21"/>
                      <w:szCs w:val="21"/>
                      <w:lang w:val="en-US" w:eastAsia="zh-CN" w:bidi="ar"/>
                    </w:rPr>
                    <w:t>Zn</w:t>
                  </w:r>
                </w:p>
              </w:tc>
              <w:tc>
                <w:tcPr>
                  <w:tcW w:w="646" w:type="dxa"/>
                  <w:tcBorders>
                    <w:top w:val="single" w:color="auto" w:sz="8"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
                      <w:bCs w:val="0"/>
                      <w:color w:val="auto"/>
                      <w:spacing w:val="-10"/>
                      <w:kern w:val="2"/>
                      <w:sz w:val="21"/>
                      <w:szCs w:val="21"/>
                      <w:lang w:val="en-US" w:eastAsia="zh-CN"/>
                    </w:rPr>
                  </w:pPr>
                  <w:r>
                    <w:rPr>
                      <w:rFonts w:hint="default" w:ascii="Times New Roman" w:hAnsi="Times New Roman" w:eastAsia="宋体" w:cs="Times New Roman"/>
                      <w:b/>
                      <w:bCs w:val="0"/>
                      <w:color w:val="auto"/>
                      <w:spacing w:val="-10"/>
                      <w:kern w:val="2"/>
                      <w:sz w:val="21"/>
                      <w:szCs w:val="21"/>
                      <w:lang w:val="en-US" w:eastAsia="zh-CN" w:bidi="ar"/>
                    </w:rPr>
                    <w:t>Si</w:t>
                  </w:r>
                </w:p>
              </w:tc>
              <w:tc>
                <w:tcPr>
                  <w:tcW w:w="646" w:type="dxa"/>
                  <w:tcBorders>
                    <w:top w:val="single" w:color="auto" w:sz="8"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
                      <w:bCs w:val="0"/>
                      <w:color w:val="auto"/>
                      <w:spacing w:val="-10"/>
                      <w:kern w:val="2"/>
                      <w:sz w:val="21"/>
                      <w:szCs w:val="21"/>
                      <w:lang w:val="en-US" w:eastAsia="zh-CN"/>
                    </w:rPr>
                  </w:pPr>
                  <w:r>
                    <w:rPr>
                      <w:rFonts w:hint="default" w:ascii="Times New Roman" w:hAnsi="Times New Roman" w:eastAsia="宋体" w:cs="Times New Roman"/>
                      <w:b/>
                      <w:bCs w:val="0"/>
                      <w:color w:val="auto"/>
                      <w:spacing w:val="-10"/>
                      <w:kern w:val="2"/>
                      <w:sz w:val="21"/>
                      <w:szCs w:val="21"/>
                      <w:lang w:val="en-US" w:eastAsia="zh-CN" w:bidi="ar"/>
                    </w:rPr>
                    <w:t>Cd</w:t>
                  </w:r>
                </w:p>
              </w:tc>
              <w:tc>
                <w:tcPr>
                  <w:tcW w:w="646" w:type="dxa"/>
                  <w:tcBorders>
                    <w:top w:val="single" w:color="auto" w:sz="8"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
                      <w:bCs w:val="0"/>
                      <w:color w:val="auto"/>
                      <w:spacing w:val="-10"/>
                      <w:kern w:val="2"/>
                      <w:sz w:val="21"/>
                      <w:szCs w:val="21"/>
                      <w:lang w:val="en-US" w:eastAsia="zh-CN"/>
                    </w:rPr>
                  </w:pPr>
                  <w:r>
                    <w:rPr>
                      <w:rFonts w:hint="default" w:ascii="Times New Roman" w:hAnsi="Times New Roman" w:eastAsia="宋体" w:cs="Times New Roman"/>
                      <w:b/>
                      <w:bCs w:val="0"/>
                      <w:color w:val="auto"/>
                      <w:spacing w:val="-10"/>
                      <w:kern w:val="2"/>
                      <w:sz w:val="21"/>
                      <w:szCs w:val="21"/>
                      <w:lang w:val="en-US" w:eastAsia="zh-CN" w:bidi="ar"/>
                    </w:rPr>
                    <w:t>Mg</w:t>
                  </w:r>
                </w:p>
              </w:tc>
              <w:tc>
                <w:tcPr>
                  <w:tcW w:w="646" w:type="dxa"/>
                  <w:tcBorders>
                    <w:top w:val="single" w:color="auto" w:sz="8"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
                      <w:bCs w:val="0"/>
                      <w:color w:val="auto"/>
                      <w:spacing w:val="-10"/>
                      <w:kern w:val="2"/>
                      <w:sz w:val="21"/>
                      <w:szCs w:val="21"/>
                      <w:lang w:val="en-US" w:eastAsia="zh-CN"/>
                    </w:rPr>
                  </w:pPr>
                  <w:r>
                    <w:rPr>
                      <w:rFonts w:hint="default" w:ascii="Times New Roman" w:hAnsi="Times New Roman" w:eastAsia="宋体" w:cs="Times New Roman"/>
                      <w:b/>
                      <w:bCs w:val="0"/>
                      <w:color w:val="auto"/>
                      <w:spacing w:val="-10"/>
                      <w:kern w:val="2"/>
                      <w:sz w:val="21"/>
                      <w:szCs w:val="21"/>
                      <w:lang w:val="en-US" w:eastAsia="zh-CN" w:bidi="ar"/>
                    </w:rPr>
                    <w:t>Cl</w:t>
                  </w:r>
                </w:p>
              </w:tc>
              <w:tc>
                <w:tcPr>
                  <w:tcW w:w="646" w:type="dxa"/>
                  <w:tcBorders>
                    <w:top w:val="single" w:color="auto" w:sz="8"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
                      <w:bCs w:val="0"/>
                      <w:color w:val="auto"/>
                      <w:spacing w:val="-10"/>
                      <w:kern w:val="2"/>
                      <w:sz w:val="21"/>
                      <w:szCs w:val="21"/>
                      <w:lang w:val="en-US" w:eastAsia="zh-CN"/>
                    </w:rPr>
                  </w:pPr>
                  <w:r>
                    <w:rPr>
                      <w:rFonts w:hint="default" w:ascii="Times New Roman" w:hAnsi="Times New Roman" w:eastAsia="宋体" w:cs="Times New Roman"/>
                      <w:b/>
                      <w:bCs w:val="0"/>
                      <w:color w:val="auto"/>
                      <w:spacing w:val="-10"/>
                      <w:kern w:val="2"/>
                      <w:sz w:val="21"/>
                      <w:szCs w:val="21"/>
                      <w:lang w:val="en-US" w:eastAsia="zh-CN" w:bidi="ar"/>
                    </w:rPr>
                    <w:t>F</w:t>
                  </w:r>
                </w:p>
              </w:tc>
              <w:tc>
                <w:tcPr>
                  <w:tcW w:w="646" w:type="dxa"/>
                  <w:tcBorders>
                    <w:top w:val="single" w:color="auto" w:sz="8"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
                      <w:bCs w:val="0"/>
                      <w:color w:val="auto"/>
                      <w:spacing w:val="-10"/>
                      <w:kern w:val="2"/>
                      <w:sz w:val="21"/>
                      <w:szCs w:val="21"/>
                      <w:lang w:val="en-US" w:eastAsia="zh-CN"/>
                    </w:rPr>
                  </w:pPr>
                  <w:r>
                    <w:rPr>
                      <w:rFonts w:hint="default" w:ascii="Times New Roman" w:hAnsi="Times New Roman" w:eastAsia="宋体" w:cs="Times New Roman"/>
                      <w:b/>
                      <w:bCs w:val="0"/>
                      <w:color w:val="auto"/>
                      <w:spacing w:val="-10"/>
                      <w:kern w:val="2"/>
                      <w:sz w:val="21"/>
                      <w:szCs w:val="21"/>
                      <w:lang w:val="en-US" w:eastAsia="zh-CN" w:bidi="ar"/>
                    </w:rPr>
                    <w:t>Pb</w:t>
                  </w:r>
                </w:p>
              </w:tc>
              <w:tc>
                <w:tcPr>
                  <w:tcW w:w="646" w:type="dxa"/>
                  <w:tcBorders>
                    <w:top w:val="single" w:color="auto" w:sz="8"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
                      <w:bCs w:val="0"/>
                      <w:color w:val="auto"/>
                      <w:spacing w:val="-10"/>
                      <w:kern w:val="2"/>
                      <w:sz w:val="21"/>
                      <w:szCs w:val="21"/>
                      <w:lang w:val="en-US" w:eastAsia="zh-CN"/>
                    </w:rPr>
                  </w:pPr>
                  <w:r>
                    <w:rPr>
                      <w:rFonts w:hint="default" w:ascii="Times New Roman" w:hAnsi="Times New Roman" w:eastAsia="宋体" w:cs="Times New Roman"/>
                      <w:b/>
                      <w:bCs w:val="0"/>
                      <w:color w:val="auto"/>
                      <w:spacing w:val="-10"/>
                      <w:kern w:val="2"/>
                      <w:sz w:val="21"/>
                      <w:szCs w:val="21"/>
                      <w:lang w:val="en-US" w:eastAsia="zh-CN" w:bidi="ar"/>
                    </w:rPr>
                    <w:t>As</w:t>
                  </w:r>
                </w:p>
              </w:tc>
              <w:tc>
                <w:tcPr>
                  <w:tcW w:w="646" w:type="dxa"/>
                  <w:tcBorders>
                    <w:top w:val="single" w:color="auto" w:sz="8"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
                      <w:bCs w:val="0"/>
                      <w:color w:val="auto"/>
                      <w:spacing w:val="-10"/>
                      <w:kern w:val="2"/>
                      <w:sz w:val="21"/>
                      <w:szCs w:val="21"/>
                      <w:lang w:val="en-US" w:eastAsia="zh-CN"/>
                    </w:rPr>
                  </w:pPr>
                  <w:r>
                    <w:rPr>
                      <w:rFonts w:hint="default" w:ascii="Times New Roman" w:hAnsi="Times New Roman" w:eastAsia="宋体" w:cs="Times New Roman"/>
                      <w:b/>
                      <w:bCs w:val="0"/>
                      <w:color w:val="auto"/>
                      <w:spacing w:val="-10"/>
                      <w:kern w:val="2"/>
                      <w:sz w:val="21"/>
                      <w:szCs w:val="21"/>
                      <w:lang w:val="en-US" w:eastAsia="zh-CN" w:bidi="ar"/>
                    </w:rPr>
                    <w:t>Hg</w:t>
                  </w:r>
                </w:p>
              </w:tc>
              <w:tc>
                <w:tcPr>
                  <w:tcW w:w="646" w:type="dxa"/>
                  <w:tcBorders>
                    <w:top w:val="single" w:color="auto" w:sz="8"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
                      <w:bCs w:val="0"/>
                      <w:color w:val="auto"/>
                      <w:spacing w:val="-10"/>
                      <w:kern w:val="2"/>
                      <w:sz w:val="21"/>
                      <w:szCs w:val="21"/>
                      <w:lang w:val="en-US" w:eastAsia="zh-CN"/>
                    </w:rPr>
                  </w:pPr>
                  <w:r>
                    <w:rPr>
                      <w:rFonts w:hint="default" w:ascii="Times New Roman" w:hAnsi="Times New Roman" w:eastAsia="宋体" w:cs="Times New Roman"/>
                      <w:b/>
                      <w:bCs w:val="0"/>
                      <w:color w:val="auto"/>
                      <w:spacing w:val="-10"/>
                      <w:kern w:val="2"/>
                      <w:sz w:val="21"/>
                      <w:szCs w:val="21"/>
                      <w:lang w:val="en-US" w:eastAsia="zh-CN" w:bidi="ar"/>
                    </w:rPr>
                    <w:t>Be</w:t>
                  </w:r>
                </w:p>
              </w:tc>
              <w:tc>
                <w:tcPr>
                  <w:tcW w:w="658" w:type="dxa"/>
                  <w:tcBorders>
                    <w:top w:val="single" w:color="auto" w:sz="8" w:space="0"/>
                    <w:left w:val="nil"/>
                    <w:bottom w:val="single" w:color="auto" w:sz="4" w:space="0"/>
                    <w:right w:val="nil"/>
                  </w:tcBorders>
                  <w:vAlign w:val="center"/>
                </w:tcPr>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
                      <w:bCs w:val="0"/>
                      <w:color w:val="auto"/>
                      <w:spacing w:val="-10"/>
                      <w:kern w:val="2"/>
                      <w:sz w:val="21"/>
                      <w:szCs w:val="21"/>
                      <w:lang w:val="en-US" w:eastAsia="zh-CN"/>
                    </w:rPr>
                  </w:pPr>
                  <w:r>
                    <w:rPr>
                      <w:rFonts w:hint="eastAsia" w:ascii="宋体" w:hAnsi="宋体" w:eastAsia="宋体" w:cs="宋体"/>
                      <w:b/>
                      <w:bCs w:val="0"/>
                      <w:color w:val="auto"/>
                      <w:spacing w:val="-10"/>
                      <w:kern w:val="2"/>
                      <w:sz w:val="21"/>
                      <w:szCs w:val="21"/>
                      <w:lang w:val="en-US" w:eastAsia="zh-CN" w:bidi="ar"/>
                    </w:rPr>
                    <w:t>其他</w:t>
                  </w:r>
                </w:p>
              </w:tc>
            </w:tr>
            <w:tr>
              <w:tblPrEx>
                <w:tblBorders>
                  <w:top w:val="single" w:color="auto" w:sz="8" w:space="0"/>
                  <w:left w:val="none" w:color="auto" w:sz="4" w:space="0"/>
                  <w:bottom w:val="single" w:color="auto" w:sz="8"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6" w:hRule="atLeast"/>
                <w:jc w:val="center"/>
              </w:trPr>
              <w:tc>
                <w:tcPr>
                  <w:tcW w:w="646" w:type="dxa"/>
                  <w:tcBorders>
                    <w:top w:val="single" w:color="auto" w:sz="4" w:space="0"/>
                    <w:left w:val="nil"/>
                    <w:bottom w:val="single" w:color="auto" w:sz="8"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
                      <w:bCs w:val="0"/>
                      <w:color w:val="auto"/>
                      <w:spacing w:val="-10"/>
                      <w:kern w:val="2"/>
                      <w:sz w:val="21"/>
                      <w:szCs w:val="21"/>
                      <w:lang w:val="en-US" w:eastAsia="zh-CN"/>
                    </w:rPr>
                  </w:pPr>
                  <w:r>
                    <w:rPr>
                      <w:rFonts w:hint="eastAsia" w:ascii="宋体" w:hAnsi="宋体" w:eastAsia="宋体" w:cs="宋体"/>
                      <w:b/>
                      <w:bCs w:val="0"/>
                      <w:color w:val="auto"/>
                      <w:spacing w:val="-10"/>
                      <w:kern w:val="2"/>
                      <w:sz w:val="21"/>
                      <w:szCs w:val="21"/>
                      <w:lang w:val="en-US" w:eastAsia="zh-CN" w:bidi="ar"/>
                    </w:rPr>
                    <w:t>含量</w:t>
                  </w:r>
                  <w:r>
                    <w:rPr>
                      <w:rFonts w:hint="default" w:ascii="Times New Roman" w:hAnsi="Times New Roman" w:eastAsia="宋体" w:cs="Times New Roman"/>
                      <w:b/>
                      <w:bCs w:val="0"/>
                      <w:color w:val="auto"/>
                      <w:spacing w:val="-10"/>
                      <w:kern w:val="2"/>
                      <w:sz w:val="21"/>
                      <w:szCs w:val="21"/>
                      <w:lang w:val="en-US" w:eastAsia="zh-CN" w:bidi="ar"/>
                    </w:rPr>
                    <w:t>%</w:t>
                  </w:r>
                </w:p>
              </w:tc>
              <w:tc>
                <w:tcPr>
                  <w:tcW w:w="646" w:type="dxa"/>
                  <w:tcBorders>
                    <w:top w:val="single" w:color="auto" w:sz="4" w:space="0"/>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eastAsia" w:cs="Times New Roman"/>
                      <w:i w:val="0"/>
                      <w:iCs w:val="0"/>
                      <w:color w:val="auto"/>
                      <w:kern w:val="0"/>
                      <w:sz w:val="21"/>
                      <w:szCs w:val="21"/>
                      <w:u w:val="none"/>
                      <w:lang w:val="en-US" w:eastAsia="zh-CN" w:bidi="ar"/>
                    </w:rPr>
                    <w:t>19.67</w:t>
                  </w:r>
                </w:p>
              </w:tc>
              <w:tc>
                <w:tcPr>
                  <w:tcW w:w="646" w:type="dxa"/>
                  <w:tcBorders>
                    <w:top w:val="single" w:color="auto" w:sz="4" w:space="0"/>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16.32</w:t>
                  </w:r>
                </w:p>
              </w:tc>
              <w:tc>
                <w:tcPr>
                  <w:tcW w:w="646" w:type="dxa"/>
                  <w:tcBorders>
                    <w:top w:val="single" w:color="auto" w:sz="4" w:space="0"/>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eastAsia" w:cs="Times New Roman"/>
                      <w:i w:val="0"/>
                      <w:iCs w:val="0"/>
                      <w:color w:val="auto"/>
                      <w:kern w:val="0"/>
                      <w:sz w:val="21"/>
                      <w:szCs w:val="21"/>
                      <w:u w:val="none"/>
                      <w:lang w:val="en-US" w:eastAsia="zh-CN" w:bidi="ar"/>
                    </w:rPr>
                    <w:t>9.67</w:t>
                  </w:r>
                </w:p>
              </w:tc>
              <w:tc>
                <w:tcPr>
                  <w:tcW w:w="646" w:type="dxa"/>
                  <w:tcBorders>
                    <w:top w:val="single" w:color="auto" w:sz="4" w:space="0"/>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＜0.0005</w:t>
                  </w:r>
                </w:p>
              </w:tc>
              <w:tc>
                <w:tcPr>
                  <w:tcW w:w="646" w:type="dxa"/>
                  <w:tcBorders>
                    <w:top w:val="single" w:color="auto" w:sz="4" w:space="0"/>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0.0003</w:t>
                  </w:r>
                </w:p>
              </w:tc>
              <w:tc>
                <w:tcPr>
                  <w:tcW w:w="646" w:type="dxa"/>
                  <w:tcBorders>
                    <w:top w:val="single" w:color="auto" w:sz="4" w:space="0"/>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0.01</w:t>
                  </w:r>
                </w:p>
              </w:tc>
              <w:tc>
                <w:tcPr>
                  <w:tcW w:w="646" w:type="dxa"/>
                  <w:tcBorders>
                    <w:top w:val="single" w:color="auto" w:sz="4" w:space="0"/>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0.0005</w:t>
                  </w:r>
                </w:p>
              </w:tc>
              <w:tc>
                <w:tcPr>
                  <w:tcW w:w="646" w:type="dxa"/>
                  <w:tcBorders>
                    <w:top w:val="single" w:color="auto" w:sz="4" w:space="0"/>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eastAsia" w:ascii="宋体" w:hAnsi="宋体" w:eastAsia="宋体" w:cs="宋体"/>
                      <w:i w:val="0"/>
                      <w:iCs w:val="0"/>
                      <w:color w:val="auto"/>
                      <w:kern w:val="0"/>
                      <w:sz w:val="21"/>
                      <w:szCs w:val="21"/>
                      <w:lang w:val="en-US" w:eastAsia="zh-CN" w:bidi="ar"/>
                    </w:rPr>
                    <w:t>＜</w:t>
                  </w:r>
                  <w:r>
                    <w:rPr>
                      <w:rFonts w:hint="default" w:ascii="Times New Roman" w:hAnsi="Times New Roman" w:eastAsia="宋体" w:cs="Times New Roman"/>
                      <w:i w:val="0"/>
                      <w:iCs w:val="0"/>
                      <w:color w:val="auto"/>
                      <w:kern w:val="0"/>
                      <w:sz w:val="21"/>
                      <w:szCs w:val="21"/>
                      <w:lang w:val="en-US" w:eastAsia="zh-CN" w:bidi="ar"/>
                    </w:rPr>
                    <w:t>0.0005</w:t>
                  </w:r>
                </w:p>
              </w:tc>
              <w:tc>
                <w:tcPr>
                  <w:tcW w:w="646" w:type="dxa"/>
                  <w:tcBorders>
                    <w:top w:val="single" w:color="auto" w:sz="4" w:space="0"/>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eastAsia" w:ascii="宋体" w:hAnsi="宋体" w:eastAsia="宋体" w:cs="宋体"/>
                      <w:i w:val="0"/>
                      <w:iCs w:val="0"/>
                      <w:color w:val="auto"/>
                      <w:kern w:val="0"/>
                      <w:sz w:val="21"/>
                      <w:szCs w:val="21"/>
                      <w:lang w:val="en-US" w:eastAsia="zh-CN" w:bidi="ar"/>
                    </w:rPr>
                    <w:t>＜</w:t>
                  </w:r>
                  <w:r>
                    <w:rPr>
                      <w:rFonts w:hint="default" w:ascii="Times New Roman" w:hAnsi="Times New Roman" w:eastAsia="宋体" w:cs="Times New Roman"/>
                      <w:i w:val="0"/>
                      <w:iCs w:val="0"/>
                      <w:color w:val="auto"/>
                      <w:kern w:val="0"/>
                      <w:sz w:val="21"/>
                      <w:szCs w:val="21"/>
                      <w:lang w:val="en-US" w:eastAsia="zh-CN" w:bidi="ar"/>
                    </w:rPr>
                    <w:t>0.0005</w:t>
                  </w:r>
                </w:p>
              </w:tc>
              <w:tc>
                <w:tcPr>
                  <w:tcW w:w="646" w:type="dxa"/>
                  <w:tcBorders>
                    <w:top w:val="single" w:color="auto" w:sz="4" w:space="0"/>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eastAsia" w:ascii="宋体" w:hAnsi="宋体" w:eastAsia="宋体" w:cs="宋体"/>
                      <w:i w:val="0"/>
                      <w:iCs w:val="0"/>
                      <w:color w:val="auto"/>
                      <w:kern w:val="0"/>
                      <w:sz w:val="21"/>
                      <w:szCs w:val="21"/>
                      <w:lang w:val="en-US" w:eastAsia="zh-CN" w:bidi="ar"/>
                    </w:rPr>
                    <w:t>＜</w:t>
                  </w:r>
                  <w:r>
                    <w:rPr>
                      <w:rFonts w:hint="default" w:ascii="Times New Roman" w:hAnsi="Times New Roman" w:eastAsia="宋体" w:cs="Times New Roman"/>
                      <w:i w:val="0"/>
                      <w:iCs w:val="0"/>
                      <w:color w:val="auto"/>
                      <w:kern w:val="0"/>
                      <w:sz w:val="21"/>
                      <w:szCs w:val="21"/>
                      <w:lang w:val="en-US" w:eastAsia="zh-CN" w:bidi="ar"/>
                    </w:rPr>
                    <w:t>0.0005</w:t>
                  </w:r>
                </w:p>
              </w:tc>
              <w:tc>
                <w:tcPr>
                  <w:tcW w:w="646" w:type="dxa"/>
                  <w:tcBorders>
                    <w:top w:val="single" w:color="auto" w:sz="4" w:space="0"/>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eastAsia" w:ascii="宋体" w:hAnsi="宋体" w:eastAsia="宋体" w:cs="宋体"/>
                      <w:i w:val="0"/>
                      <w:iCs w:val="0"/>
                      <w:color w:val="auto"/>
                      <w:kern w:val="0"/>
                      <w:sz w:val="21"/>
                      <w:szCs w:val="21"/>
                      <w:lang w:val="en-US" w:eastAsia="zh-CN" w:bidi="ar"/>
                    </w:rPr>
                    <w:t>＜</w:t>
                  </w:r>
                  <w:r>
                    <w:rPr>
                      <w:rFonts w:hint="default" w:ascii="Times New Roman" w:hAnsi="Times New Roman" w:eastAsia="宋体" w:cs="Times New Roman"/>
                      <w:i w:val="0"/>
                      <w:iCs w:val="0"/>
                      <w:color w:val="auto"/>
                      <w:kern w:val="0"/>
                      <w:sz w:val="21"/>
                      <w:szCs w:val="21"/>
                      <w:lang w:val="en-US" w:eastAsia="zh-CN" w:bidi="ar"/>
                    </w:rPr>
                    <w:t>0.0005</w:t>
                  </w:r>
                </w:p>
              </w:tc>
              <w:tc>
                <w:tcPr>
                  <w:tcW w:w="658" w:type="dxa"/>
                  <w:tcBorders>
                    <w:top w:val="single" w:color="auto" w:sz="4" w:space="0"/>
                    <w:left w:val="nil"/>
                    <w:bottom w:val="single" w:color="auto" w:sz="8"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eastAsia" w:cs="Times New Roman"/>
                      <w:i w:val="0"/>
                      <w:iCs w:val="0"/>
                      <w:color w:val="auto"/>
                      <w:kern w:val="0"/>
                      <w:sz w:val="21"/>
                      <w:szCs w:val="21"/>
                      <w:u w:val="none"/>
                      <w:lang w:val="en-US" w:eastAsia="zh-CN" w:bidi="ar"/>
                    </w:rPr>
                    <w:t>54.3281</w:t>
                  </w:r>
                </w:p>
              </w:tc>
            </w:tr>
          </w:tbl>
          <w:p>
            <w:pPr>
              <w:pStyle w:val="13"/>
              <w:keepNext w:val="0"/>
              <w:keepLines w:val="0"/>
              <w:pageBreakBefore w:val="0"/>
              <w:widowControl w:val="0"/>
              <w:numPr>
                <w:ilvl w:val="0"/>
                <w:numId w:val="0"/>
              </w:numPr>
              <w:suppressLineNumbers w:val="0"/>
              <w:tabs>
                <w:tab w:val="clear" w:pos="0"/>
                <w:tab w:val="clear" w:pos="2040"/>
              </w:tabs>
              <w:kinsoku/>
              <w:wordWrap/>
              <w:overflowPunct/>
              <w:topLinePunct w:val="0"/>
              <w:autoSpaceDE/>
              <w:autoSpaceDN/>
              <w:bidi w:val="0"/>
              <w:adjustRightInd w:val="0"/>
              <w:snapToGrid w:val="0"/>
              <w:spacing w:before="0" w:beforeAutospacing="0" w:after="0" w:afterAutospacing="0" w:line="240" w:lineRule="auto"/>
              <w:ind w:right="0"/>
              <w:jc w:val="center"/>
              <w:textAlignment w:val="auto"/>
              <w:outlineLvl w:val="9"/>
              <w:rPr>
                <w:rFonts w:hint="default"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铝液</w:t>
            </w:r>
          </w:p>
          <w:tbl>
            <w:tblPr>
              <w:tblStyle w:val="28"/>
              <w:tblW w:w="8423" w:type="dxa"/>
              <w:jc w:val="center"/>
              <w:tblInd w:w="0" w:type="dxa"/>
              <w:tblBorders>
                <w:top w:val="single" w:color="auto" w:sz="8" w:space="0"/>
                <w:left w:val="none" w:color="auto" w:sz="4" w:space="0"/>
                <w:bottom w:val="single" w:color="auto" w:sz="8"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7"/>
              <w:gridCol w:w="614"/>
              <w:gridCol w:w="668"/>
              <w:gridCol w:w="641"/>
              <w:gridCol w:w="654"/>
              <w:gridCol w:w="655"/>
              <w:gridCol w:w="627"/>
              <w:gridCol w:w="628"/>
              <w:gridCol w:w="654"/>
              <w:gridCol w:w="668"/>
              <w:gridCol w:w="628"/>
              <w:gridCol w:w="641"/>
              <w:gridCol w:w="678"/>
            </w:tblGrid>
            <w:tr>
              <w:tblPrEx>
                <w:tblBorders>
                  <w:top w:val="single" w:color="auto" w:sz="8" w:space="0"/>
                  <w:left w:val="none" w:color="auto" w:sz="4" w:space="0"/>
                  <w:bottom w:val="single" w:color="auto" w:sz="8"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6" w:hRule="atLeast"/>
                <w:jc w:val="center"/>
              </w:trPr>
              <w:tc>
                <w:tcPr>
                  <w:tcW w:w="667" w:type="dxa"/>
                  <w:tcBorders>
                    <w:top w:val="single" w:color="auto" w:sz="8" w:space="0"/>
                    <w:left w:val="nil"/>
                    <w:bottom w:val="single" w:color="auto" w:sz="4"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leftChars="0" w:right="0" w:rightChars="0"/>
                    <w:jc w:val="center"/>
                    <w:rPr>
                      <w:rFonts w:hint="eastAsia" w:ascii="Times New Roman" w:hAnsi="Times New Roman" w:eastAsia="宋体" w:cs="Times New Roman"/>
                      <w:b/>
                      <w:bCs w:val="0"/>
                      <w:color w:val="auto"/>
                      <w:spacing w:val="-10"/>
                      <w:kern w:val="2"/>
                      <w:sz w:val="21"/>
                      <w:szCs w:val="21"/>
                      <w:lang w:val="en-US" w:eastAsia="zh-CN"/>
                    </w:rPr>
                  </w:pPr>
                  <w:r>
                    <w:rPr>
                      <w:rFonts w:hint="eastAsia" w:ascii="宋体" w:hAnsi="宋体" w:eastAsia="宋体" w:cs="宋体"/>
                      <w:b/>
                      <w:bCs w:val="0"/>
                      <w:color w:val="auto"/>
                      <w:spacing w:val="-10"/>
                      <w:kern w:val="2"/>
                      <w:sz w:val="21"/>
                      <w:szCs w:val="21"/>
                      <w:lang w:val="en-US" w:eastAsia="zh-CN" w:bidi="ar"/>
                    </w:rPr>
                    <w:t>成分</w:t>
                  </w:r>
                </w:p>
              </w:tc>
              <w:tc>
                <w:tcPr>
                  <w:tcW w:w="614" w:type="dxa"/>
                  <w:tcBorders>
                    <w:top w:val="single" w:color="auto" w:sz="8" w:space="0"/>
                    <w:left w:val="nil"/>
                    <w:bottom w:val="single" w:color="auto" w:sz="4"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leftChars="0" w:right="0" w:rightChars="0"/>
                    <w:jc w:val="center"/>
                    <w:rPr>
                      <w:rFonts w:hint="default" w:ascii="Times New Roman" w:hAnsi="Times New Roman" w:eastAsia="宋体" w:cs="Times New Roman"/>
                      <w:b/>
                      <w:bCs w:val="0"/>
                      <w:color w:val="auto"/>
                      <w:spacing w:val="-10"/>
                      <w:kern w:val="2"/>
                      <w:sz w:val="21"/>
                      <w:szCs w:val="21"/>
                      <w:lang w:val="en-US" w:eastAsia="zh-CN"/>
                    </w:rPr>
                  </w:pPr>
                  <w:r>
                    <w:rPr>
                      <w:rFonts w:hint="default" w:ascii="Times New Roman" w:hAnsi="Times New Roman" w:eastAsia="宋体" w:cs="Times New Roman"/>
                      <w:b/>
                      <w:bCs w:val="0"/>
                      <w:color w:val="auto"/>
                      <w:spacing w:val="-10"/>
                      <w:kern w:val="2"/>
                      <w:sz w:val="21"/>
                      <w:szCs w:val="21"/>
                      <w:lang w:val="en-US" w:eastAsia="zh-CN" w:bidi="ar"/>
                    </w:rPr>
                    <w:t>Al</w:t>
                  </w:r>
                </w:p>
              </w:tc>
              <w:tc>
                <w:tcPr>
                  <w:tcW w:w="668" w:type="dxa"/>
                  <w:tcBorders>
                    <w:top w:val="single" w:color="auto" w:sz="8" w:space="0"/>
                    <w:left w:val="nil"/>
                    <w:bottom w:val="single" w:color="auto" w:sz="4"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leftChars="0" w:right="0" w:rightChars="0"/>
                    <w:jc w:val="center"/>
                    <w:rPr>
                      <w:rFonts w:hint="default" w:ascii="Times New Roman" w:hAnsi="Times New Roman" w:eastAsia="宋体" w:cs="Times New Roman"/>
                      <w:b/>
                      <w:bCs w:val="0"/>
                      <w:color w:val="auto"/>
                      <w:spacing w:val="-10"/>
                      <w:kern w:val="2"/>
                      <w:sz w:val="21"/>
                      <w:szCs w:val="21"/>
                      <w:lang w:val="en-US" w:eastAsia="zh-CN"/>
                    </w:rPr>
                  </w:pPr>
                  <w:r>
                    <w:rPr>
                      <w:rFonts w:hint="default" w:ascii="Times New Roman" w:hAnsi="Times New Roman" w:eastAsia="宋体" w:cs="Times New Roman"/>
                      <w:b/>
                      <w:bCs w:val="0"/>
                      <w:color w:val="auto"/>
                      <w:spacing w:val="-10"/>
                      <w:kern w:val="2"/>
                      <w:sz w:val="21"/>
                      <w:szCs w:val="21"/>
                      <w:lang w:val="en-US" w:eastAsia="zh-CN" w:bidi="ar"/>
                    </w:rPr>
                    <w:t>Zn</w:t>
                  </w:r>
                </w:p>
              </w:tc>
              <w:tc>
                <w:tcPr>
                  <w:tcW w:w="641" w:type="dxa"/>
                  <w:tcBorders>
                    <w:top w:val="single" w:color="auto" w:sz="8" w:space="0"/>
                    <w:left w:val="nil"/>
                    <w:bottom w:val="single" w:color="auto" w:sz="4"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leftChars="0" w:right="0" w:rightChars="0"/>
                    <w:jc w:val="center"/>
                    <w:rPr>
                      <w:rFonts w:hint="eastAsia" w:ascii="Times New Roman" w:hAnsi="Times New Roman" w:eastAsia="宋体" w:cs="Times New Roman"/>
                      <w:b/>
                      <w:bCs w:val="0"/>
                      <w:color w:val="auto"/>
                      <w:spacing w:val="-10"/>
                      <w:kern w:val="2"/>
                      <w:sz w:val="21"/>
                      <w:szCs w:val="21"/>
                      <w:lang w:val="en-US" w:eastAsia="zh-CN"/>
                    </w:rPr>
                  </w:pPr>
                  <w:r>
                    <w:rPr>
                      <w:rFonts w:hint="default" w:ascii="Times New Roman" w:hAnsi="Times New Roman" w:eastAsia="宋体" w:cs="Times New Roman"/>
                      <w:b/>
                      <w:bCs w:val="0"/>
                      <w:color w:val="auto"/>
                      <w:spacing w:val="-10"/>
                      <w:kern w:val="2"/>
                      <w:sz w:val="21"/>
                      <w:szCs w:val="21"/>
                      <w:lang w:val="en-US" w:eastAsia="zh-CN" w:bidi="ar"/>
                    </w:rPr>
                    <w:t>Si</w:t>
                  </w:r>
                </w:p>
              </w:tc>
              <w:tc>
                <w:tcPr>
                  <w:tcW w:w="654" w:type="dxa"/>
                  <w:tcBorders>
                    <w:top w:val="single" w:color="auto" w:sz="8" w:space="0"/>
                    <w:left w:val="nil"/>
                    <w:bottom w:val="single" w:color="auto" w:sz="4"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leftChars="0" w:right="0" w:rightChars="0"/>
                    <w:jc w:val="center"/>
                    <w:rPr>
                      <w:rFonts w:hint="default" w:ascii="Times New Roman" w:hAnsi="Times New Roman" w:eastAsia="宋体" w:cs="Times New Roman"/>
                      <w:b/>
                      <w:bCs w:val="0"/>
                      <w:color w:val="auto"/>
                      <w:spacing w:val="-10"/>
                      <w:kern w:val="2"/>
                      <w:sz w:val="21"/>
                      <w:szCs w:val="21"/>
                      <w:lang w:val="en-US" w:eastAsia="zh-CN"/>
                    </w:rPr>
                  </w:pPr>
                  <w:r>
                    <w:rPr>
                      <w:rFonts w:hint="default" w:ascii="Times New Roman" w:hAnsi="Times New Roman" w:eastAsia="宋体" w:cs="Times New Roman"/>
                      <w:b/>
                      <w:bCs w:val="0"/>
                      <w:color w:val="auto"/>
                      <w:spacing w:val="-10"/>
                      <w:kern w:val="2"/>
                      <w:sz w:val="21"/>
                      <w:szCs w:val="21"/>
                      <w:lang w:val="en-US" w:eastAsia="zh-CN" w:bidi="ar"/>
                    </w:rPr>
                    <w:t>Cd</w:t>
                  </w:r>
                </w:p>
              </w:tc>
              <w:tc>
                <w:tcPr>
                  <w:tcW w:w="655" w:type="dxa"/>
                  <w:tcBorders>
                    <w:top w:val="single" w:color="auto" w:sz="8" w:space="0"/>
                    <w:left w:val="nil"/>
                    <w:bottom w:val="single" w:color="auto" w:sz="4"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leftChars="0" w:right="0" w:rightChars="0"/>
                    <w:jc w:val="center"/>
                    <w:rPr>
                      <w:rFonts w:hint="default" w:ascii="Times New Roman" w:hAnsi="Times New Roman" w:eastAsia="宋体" w:cs="Times New Roman"/>
                      <w:b/>
                      <w:bCs w:val="0"/>
                      <w:color w:val="auto"/>
                      <w:spacing w:val="-10"/>
                      <w:kern w:val="2"/>
                      <w:sz w:val="21"/>
                      <w:szCs w:val="21"/>
                      <w:lang w:val="en-US" w:eastAsia="zh-CN"/>
                    </w:rPr>
                  </w:pPr>
                  <w:r>
                    <w:rPr>
                      <w:rFonts w:hint="default" w:ascii="Times New Roman" w:hAnsi="Times New Roman" w:eastAsia="宋体" w:cs="Times New Roman"/>
                      <w:b/>
                      <w:bCs w:val="0"/>
                      <w:color w:val="auto"/>
                      <w:spacing w:val="-10"/>
                      <w:kern w:val="2"/>
                      <w:sz w:val="21"/>
                      <w:szCs w:val="21"/>
                      <w:lang w:val="en-US" w:eastAsia="zh-CN" w:bidi="ar"/>
                    </w:rPr>
                    <w:t>Mg</w:t>
                  </w:r>
                </w:p>
              </w:tc>
              <w:tc>
                <w:tcPr>
                  <w:tcW w:w="627" w:type="dxa"/>
                  <w:tcBorders>
                    <w:top w:val="single" w:color="auto" w:sz="8" w:space="0"/>
                    <w:left w:val="nil"/>
                    <w:bottom w:val="single" w:color="auto" w:sz="4"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leftChars="0" w:right="0" w:rightChars="0"/>
                    <w:jc w:val="center"/>
                    <w:rPr>
                      <w:rFonts w:hint="default" w:ascii="Times New Roman" w:hAnsi="Times New Roman" w:eastAsia="宋体" w:cs="Times New Roman"/>
                      <w:b/>
                      <w:bCs w:val="0"/>
                      <w:color w:val="auto"/>
                      <w:spacing w:val="-10"/>
                      <w:kern w:val="2"/>
                      <w:sz w:val="21"/>
                      <w:szCs w:val="21"/>
                      <w:lang w:val="en-US" w:eastAsia="zh-CN"/>
                    </w:rPr>
                  </w:pPr>
                  <w:r>
                    <w:rPr>
                      <w:rFonts w:hint="default" w:ascii="Times New Roman" w:hAnsi="Times New Roman" w:eastAsia="宋体" w:cs="Times New Roman"/>
                      <w:b/>
                      <w:bCs w:val="0"/>
                      <w:color w:val="auto"/>
                      <w:spacing w:val="-10"/>
                      <w:kern w:val="2"/>
                      <w:sz w:val="21"/>
                      <w:szCs w:val="21"/>
                      <w:lang w:val="en-US" w:eastAsia="zh-CN" w:bidi="ar"/>
                    </w:rPr>
                    <w:t>Cl</w:t>
                  </w:r>
                </w:p>
              </w:tc>
              <w:tc>
                <w:tcPr>
                  <w:tcW w:w="628" w:type="dxa"/>
                  <w:tcBorders>
                    <w:top w:val="single" w:color="auto" w:sz="8" w:space="0"/>
                    <w:left w:val="nil"/>
                    <w:bottom w:val="single" w:color="auto" w:sz="4"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leftChars="0" w:right="0" w:rightChars="0"/>
                    <w:jc w:val="center"/>
                    <w:rPr>
                      <w:rFonts w:hint="eastAsia" w:ascii="Times New Roman" w:hAnsi="Times New Roman" w:eastAsia="宋体" w:cs="Times New Roman"/>
                      <w:b/>
                      <w:bCs w:val="0"/>
                      <w:color w:val="auto"/>
                      <w:spacing w:val="-10"/>
                      <w:kern w:val="2"/>
                      <w:sz w:val="21"/>
                      <w:szCs w:val="21"/>
                      <w:lang w:val="en-US" w:eastAsia="zh-CN"/>
                    </w:rPr>
                  </w:pPr>
                  <w:r>
                    <w:rPr>
                      <w:rFonts w:hint="default" w:ascii="Times New Roman" w:hAnsi="Times New Roman" w:eastAsia="宋体" w:cs="Times New Roman"/>
                      <w:b/>
                      <w:bCs w:val="0"/>
                      <w:color w:val="auto"/>
                      <w:spacing w:val="-10"/>
                      <w:kern w:val="2"/>
                      <w:sz w:val="21"/>
                      <w:szCs w:val="21"/>
                      <w:lang w:val="en-US" w:eastAsia="zh-CN" w:bidi="ar"/>
                    </w:rPr>
                    <w:t>F</w:t>
                  </w:r>
                </w:p>
              </w:tc>
              <w:tc>
                <w:tcPr>
                  <w:tcW w:w="654" w:type="dxa"/>
                  <w:tcBorders>
                    <w:top w:val="single" w:color="auto" w:sz="8" w:space="0"/>
                    <w:left w:val="nil"/>
                    <w:bottom w:val="single" w:color="auto" w:sz="4"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leftChars="0" w:right="0" w:rightChars="0"/>
                    <w:jc w:val="center"/>
                    <w:rPr>
                      <w:rFonts w:hint="default" w:ascii="Times New Roman" w:hAnsi="Times New Roman" w:eastAsia="宋体" w:cs="Times New Roman"/>
                      <w:b/>
                      <w:bCs w:val="0"/>
                      <w:color w:val="auto"/>
                      <w:spacing w:val="-10"/>
                      <w:kern w:val="2"/>
                      <w:sz w:val="21"/>
                      <w:szCs w:val="21"/>
                      <w:lang w:val="en-US" w:eastAsia="zh-CN"/>
                    </w:rPr>
                  </w:pPr>
                  <w:r>
                    <w:rPr>
                      <w:rFonts w:hint="default" w:ascii="Times New Roman" w:hAnsi="Times New Roman" w:eastAsia="宋体" w:cs="Times New Roman"/>
                      <w:b/>
                      <w:bCs w:val="0"/>
                      <w:color w:val="auto"/>
                      <w:spacing w:val="-10"/>
                      <w:kern w:val="2"/>
                      <w:sz w:val="21"/>
                      <w:szCs w:val="21"/>
                      <w:lang w:val="en-US" w:eastAsia="zh-CN" w:bidi="ar"/>
                    </w:rPr>
                    <w:t>Pb</w:t>
                  </w:r>
                </w:p>
              </w:tc>
              <w:tc>
                <w:tcPr>
                  <w:tcW w:w="668" w:type="dxa"/>
                  <w:tcBorders>
                    <w:top w:val="single" w:color="auto" w:sz="8" w:space="0"/>
                    <w:left w:val="nil"/>
                    <w:bottom w:val="single" w:color="auto" w:sz="4"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leftChars="0" w:right="0" w:rightChars="0"/>
                    <w:jc w:val="center"/>
                    <w:rPr>
                      <w:rFonts w:hint="default" w:ascii="Times New Roman" w:hAnsi="Times New Roman" w:eastAsia="宋体" w:cs="Times New Roman"/>
                      <w:b/>
                      <w:bCs w:val="0"/>
                      <w:color w:val="auto"/>
                      <w:spacing w:val="-10"/>
                      <w:kern w:val="2"/>
                      <w:sz w:val="21"/>
                      <w:szCs w:val="21"/>
                      <w:lang w:val="en-US" w:eastAsia="zh-CN"/>
                    </w:rPr>
                  </w:pPr>
                  <w:r>
                    <w:rPr>
                      <w:rFonts w:hint="default" w:ascii="Times New Roman" w:hAnsi="Times New Roman" w:eastAsia="宋体" w:cs="Times New Roman"/>
                      <w:b/>
                      <w:bCs w:val="0"/>
                      <w:color w:val="auto"/>
                      <w:spacing w:val="-10"/>
                      <w:kern w:val="2"/>
                      <w:sz w:val="21"/>
                      <w:szCs w:val="21"/>
                      <w:lang w:val="en-US" w:eastAsia="zh-CN" w:bidi="ar"/>
                    </w:rPr>
                    <w:t>As</w:t>
                  </w:r>
                </w:p>
              </w:tc>
              <w:tc>
                <w:tcPr>
                  <w:tcW w:w="628" w:type="dxa"/>
                  <w:tcBorders>
                    <w:top w:val="single" w:color="auto" w:sz="8" w:space="0"/>
                    <w:left w:val="nil"/>
                    <w:bottom w:val="single" w:color="auto" w:sz="4"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leftChars="0" w:right="0" w:rightChars="0"/>
                    <w:jc w:val="center"/>
                    <w:rPr>
                      <w:rFonts w:hint="default" w:ascii="Times New Roman" w:hAnsi="Times New Roman" w:eastAsia="宋体" w:cs="Times New Roman"/>
                      <w:b/>
                      <w:bCs w:val="0"/>
                      <w:color w:val="auto"/>
                      <w:spacing w:val="-10"/>
                      <w:kern w:val="2"/>
                      <w:sz w:val="21"/>
                      <w:szCs w:val="21"/>
                      <w:lang w:val="en-US" w:eastAsia="zh-CN"/>
                    </w:rPr>
                  </w:pPr>
                  <w:r>
                    <w:rPr>
                      <w:rFonts w:hint="default" w:ascii="Times New Roman" w:hAnsi="Times New Roman" w:eastAsia="宋体" w:cs="Times New Roman"/>
                      <w:b/>
                      <w:bCs w:val="0"/>
                      <w:color w:val="auto"/>
                      <w:spacing w:val="-10"/>
                      <w:kern w:val="2"/>
                      <w:sz w:val="21"/>
                      <w:szCs w:val="21"/>
                      <w:lang w:val="en-US" w:eastAsia="zh-CN" w:bidi="ar"/>
                    </w:rPr>
                    <w:t>Hg</w:t>
                  </w:r>
                </w:p>
              </w:tc>
              <w:tc>
                <w:tcPr>
                  <w:tcW w:w="641" w:type="dxa"/>
                  <w:tcBorders>
                    <w:top w:val="single" w:color="auto" w:sz="8" w:space="0"/>
                    <w:left w:val="nil"/>
                    <w:bottom w:val="single" w:color="auto" w:sz="4"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leftChars="0" w:right="0" w:rightChars="0"/>
                    <w:jc w:val="center"/>
                    <w:rPr>
                      <w:rFonts w:hint="default" w:ascii="Times New Roman" w:hAnsi="Times New Roman" w:eastAsia="宋体" w:cs="Times New Roman"/>
                      <w:b/>
                      <w:bCs w:val="0"/>
                      <w:color w:val="auto"/>
                      <w:spacing w:val="-10"/>
                      <w:kern w:val="2"/>
                      <w:sz w:val="21"/>
                      <w:szCs w:val="21"/>
                      <w:lang w:val="en-US" w:eastAsia="zh-CN"/>
                    </w:rPr>
                  </w:pPr>
                  <w:r>
                    <w:rPr>
                      <w:rFonts w:hint="default" w:ascii="Times New Roman" w:hAnsi="Times New Roman" w:eastAsia="宋体" w:cs="Times New Roman"/>
                      <w:b/>
                      <w:bCs w:val="0"/>
                      <w:color w:val="auto"/>
                      <w:spacing w:val="-10"/>
                      <w:kern w:val="2"/>
                      <w:sz w:val="21"/>
                      <w:szCs w:val="21"/>
                      <w:lang w:val="en-US" w:eastAsia="zh-CN" w:bidi="ar"/>
                    </w:rPr>
                    <w:t>Be</w:t>
                  </w:r>
                </w:p>
              </w:tc>
              <w:tc>
                <w:tcPr>
                  <w:tcW w:w="678" w:type="dxa"/>
                  <w:tcBorders>
                    <w:top w:val="single" w:color="auto" w:sz="8" w:space="0"/>
                    <w:left w:val="nil"/>
                    <w:bottom w:val="single" w:color="auto" w:sz="4" w:space="0"/>
                    <w:right w:val="nil"/>
                  </w:tcBorders>
                  <w:vAlign w:val="center"/>
                </w:tcPr>
                <w:p>
                  <w:pPr>
                    <w:keepNext w:val="0"/>
                    <w:keepLines w:val="0"/>
                    <w:widowControl w:val="0"/>
                    <w:suppressLineNumbers w:val="0"/>
                    <w:autoSpaceDE w:val="0"/>
                    <w:autoSpaceDN/>
                    <w:adjustRightInd w:val="0"/>
                    <w:snapToGrid w:val="0"/>
                    <w:spacing w:before="0" w:beforeAutospacing="0" w:after="0" w:afterAutospacing="0"/>
                    <w:ind w:left="0" w:leftChars="0" w:right="0" w:rightChars="0"/>
                    <w:jc w:val="center"/>
                    <w:rPr>
                      <w:rFonts w:hint="eastAsia" w:ascii="Times New Roman" w:hAnsi="Times New Roman" w:eastAsia="宋体" w:cs="Times New Roman"/>
                      <w:b/>
                      <w:bCs w:val="0"/>
                      <w:color w:val="auto"/>
                      <w:spacing w:val="-10"/>
                      <w:kern w:val="2"/>
                      <w:sz w:val="21"/>
                      <w:szCs w:val="21"/>
                      <w:lang w:val="en-US" w:eastAsia="zh-CN"/>
                    </w:rPr>
                  </w:pPr>
                  <w:r>
                    <w:rPr>
                      <w:rFonts w:hint="eastAsia" w:ascii="宋体" w:hAnsi="宋体" w:eastAsia="宋体" w:cs="宋体"/>
                      <w:b/>
                      <w:bCs w:val="0"/>
                      <w:color w:val="auto"/>
                      <w:spacing w:val="-10"/>
                      <w:kern w:val="2"/>
                      <w:sz w:val="21"/>
                      <w:szCs w:val="21"/>
                      <w:lang w:val="en-US" w:eastAsia="zh-CN" w:bidi="ar"/>
                    </w:rPr>
                    <w:t>其他</w:t>
                  </w:r>
                </w:p>
              </w:tc>
            </w:tr>
            <w:tr>
              <w:tblPrEx>
                <w:tblBorders>
                  <w:top w:val="single" w:color="auto" w:sz="8" w:space="0"/>
                  <w:left w:val="none" w:color="auto" w:sz="4" w:space="0"/>
                  <w:bottom w:val="single" w:color="auto" w:sz="8"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6" w:hRule="atLeast"/>
                <w:jc w:val="center"/>
              </w:trPr>
              <w:tc>
                <w:tcPr>
                  <w:tcW w:w="667" w:type="dxa"/>
                  <w:tcBorders>
                    <w:top w:val="single" w:color="auto" w:sz="4" w:space="0"/>
                    <w:left w:val="nil"/>
                    <w:bottom w:val="single" w:color="auto" w:sz="8"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leftChars="0" w:right="0" w:rightChars="0"/>
                    <w:jc w:val="center"/>
                    <w:rPr>
                      <w:rFonts w:hint="eastAsia" w:ascii="Times New Roman" w:hAnsi="Times New Roman" w:eastAsia="宋体" w:cs="Times New Roman"/>
                      <w:b/>
                      <w:bCs w:val="0"/>
                      <w:color w:val="auto"/>
                      <w:spacing w:val="-10"/>
                      <w:kern w:val="2"/>
                      <w:sz w:val="21"/>
                      <w:szCs w:val="21"/>
                      <w:lang w:val="en-US" w:eastAsia="zh-CN"/>
                    </w:rPr>
                  </w:pPr>
                  <w:r>
                    <w:rPr>
                      <w:rFonts w:hint="eastAsia" w:ascii="宋体" w:hAnsi="宋体" w:eastAsia="宋体" w:cs="宋体"/>
                      <w:b/>
                      <w:bCs w:val="0"/>
                      <w:color w:val="auto"/>
                      <w:spacing w:val="-10"/>
                      <w:kern w:val="2"/>
                      <w:sz w:val="21"/>
                      <w:szCs w:val="21"/>
                      <w:lang w:val="en-US" w:eastAsia="zh-CN" w:bidi="ar"/>
                    </w:rPr>
                    <w:t>含量</w:t>
                  </w:r>
                  <w:r>
                    <w:rPr>
                      <w:rFonts w:hint="default" w:ascii="Times New Roman" w:hAnsi="Times New Roman" w:eastAsia="宋体" w:cs="Times New Roman"/>
                      <w:b/>
                      <w:bCs w:val="0"/>
                      <w:color w:val="auto"/>
                      <w:spacing w:val="-10"/>
                      <w:kern w:val="2"/>
                      <w:sz w:val="21"/>
                      <w:szCs w:val="21"/>
                      <w:lang w:val="en-US" w:eastAsia="zh-CN" w:bidi="ar"/>
                    </w:rPr>
                    <w:t>%</w:t>
                  </w:r>
                </w:p>
              </w:tc>
              <w:tc>
                <w:tcPr>
                  <w:tcW w:w="614" w:type="dxa"/>
                  <w:tcBorders>
                    <w:top w:val="single" w:color="auto" w:sz="4" w:space="0"/>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90</w:t>
                  </w:r>
                </w:p>
              </w:tc>
              <w:tc>
                <w:tcPr>
                  <w:tcW w:w="668" w:type="dxa"/>
                  <w:tcBorders>
                    <w:top w:val="single" w:color="auto" w:sz="4" w:space="0"/>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eastAsia" w:cs="Times New Roman"/>
                      <w:i w:val="0"/>
                      <w:iCs w:val="0"/>
                      <w:color w:val="auto"/>
                      <w:kern w:val="0"/>
                      <w:sz w:val="21"/>
                      <w:szCs w:val="21"/>
                      <w:u w:val="none"/>
                      <w:lang w:val="en-US" w:eastAsia="zh-CN" w:bidi="ar"/>
                    </w:rPr>
                    <w:t>2.66</w:t>
                  </w:r>
                </w:p>
              </w:tc>
              <w:tc>
                <w:tcPr>
                  <w:tcW w:w="641" w:type="dxa"/>
                  <w:tcBorders>
                    <w:top w:val="single" w:color="auto" w:sz="4" w:space="0"/>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0.4</w:t>
                  </w:r>
                  <w:r>
                    <w:rPr>
                      <w:rFonts w:hint="eastAsia" w:cs="Times New Roman"/>
                      <w:i w:val="0"/>
                      <w:iCs w:val="0"/>
                      <w:color w:val="auto"/>
                      <w:kern w:val="0"/>
                      <w:sz w:val="21"/>
                      <w:szCs w:val="21"/>
                      <w:u w:val="none"/>
                      <w:lang w:val="en-US" w:eastAsia="zh-CN" w:bidi="ar"/>
                    </w:rPr>
                    <w:t>2</w:t>
                  </w:r>
                </w:p>
              </w:tc>
              <w:tc>
                <w:tcPr>
                  <w:tcW w:w="654" w:type="dxa"/>
                  <w:tcBorders>
                    <w:top w:val="single" w:color="auto" w:sz="4" w:space="0"/>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＜0.0005</w:t>
                  </w:r>
                </w:p>
              </w:tc>
              <w:tc>
                <w:tcPr>
                  <w:tcW w:w="655" w:type="dxa"/>
                  <w:tcBorders>
                    <w:top w:val="single" w:color="auto" w:sz="4" w:space="0"/>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0.01</w:t>
                  </w:r>
                  <w:r>
                    <w:rPr>
                      <w:rFonts w:hint="eastAsia" w:cs="Times New Roman"/>
                      <w:i w:val="0"/>
                      <w:iCs w:val="0"/>
                      <w:color w:val="auto"/>
                      <w:kern w:val="0"/>
                      <w:sz w:val="21"/>
                      <w:szCs w:val="21"/>
                      <w:u w:val="none"/>
                      <w:lang w:val="en-US" w:eastAsia="zh-CN" w:bidi="ar"/>
                    </w:rPr>
                    <w:t>5</w:t>
                  </w:r>
                </w:p>
              </w:tc>
              <w:tc>
                <w:tcPr>
                  <w:tcW w:w="627" w:type="dxa"/>
                  <w:tcBorders>
                    <w:top w:val="single" w:color="auto" w:sz="4" w:space="0"/>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r>
                    <w:rPr>
                      <w:rFonts w:hint="eastAsia" w:cs="Times New Roman"/>
                      <w:i w:val="0"/>
                      <w:iCs w:val="0"/>
                      <w:color w:val="auto"/>
                      <w:kern w:val="0"/>
                      <w:sz w:val="21"/>
                      <w:szCs w:val="21"/>
                      <w:u w:val="none"/>
                      <w:lang w:val="en-US" w:eastAsia="zh-CN" w:bidi="ar"/>
                    </w:rPr>
                    <w:t>197</w:t>
                  </w:r>
                </w:p>
              </w:tc>
              <w:tc>
                <w:tcPr>
                  <w:tcW w:w="628" w:type="dxa"/>
                  <w:tcBorders>
                    <w:top w:val="single" w:color="auto" w:sz="4" w:space="0"/>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0.001</w:t>
                  </w:r>
                  <w:r>
                    <w:rPr>
                      <w:rFonts w:hint="eastAsia" w:cs="Times New Roman"/>
                      <w:i w:val="0"/>
                      <w:iCs w:val="0"/>
                      <w:color w:val="auto"/>
                      <w:kern w:val="0"/>
                      <w:sz w:val="21"/>
                      <w:szCs w:val="21"/>
                      <w:u w:val="none"/>
                      <w:lang w:val="en-US" w:eastAsia="zh-CN" w:bidi="ar"/>
                    </w:rPr>
                    <w:t>2</w:t>
                  </w:r>
                </w:p>
              </w:tc>
              <w:tc>
                <w:tcPr>
                  <w:tcW w:w="654" w:type="dxa"/>
                  <w:tcBorders>
                    <w:top w:val="single" w:color="auto" w:sz="4" w:space="0"/>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eastAsia" w:ascii="宋体" w:hAnsi="宋体" w:eastAsia="宋体" w:cs="宋体"/>
                      <w:i w:val="0"/>
                      <w:iCs w:val="0"/>
                      <w:color w:val="auto"/>
                      <w:kern w:val="0"/>
                      <w:sz w:val="21"/>
                      <w:szCs w:val="21"/>
                      <w:lang w:val="en-US" w:eastAsia="zh-CN" w:bidi="ar"/>
                    </w:rPr>
                    <w:t>＜</w:t>
                  </w:r>
                  <w:r>
                    <w:rPr>
                      <w:rFonts w:hint="default" w:ascii="Times New Roman" w:hAnsi="Times New Roman" w:eastAsia="宋体" w:cs="Times New Roman"/>
                      <w:i w:val="0"/>
                      <w:iCs w:val="0"/>
                      <w:color w:val="auto"/>
                      <w:kern w:val="0"/>
                      <w:sz w:val="21"/>
                      <w:szCs w:val="21"/>
                      <w:lang w:val="en-US" w:eastAsia="zh-CN" w:bidi="ar"/>
                    </w:rPr>
                    <w:t>0.0005</w:t>
                  </w:r>
                </w:p>
              </w:tc>
              <w:tc>
                <w:tcPr>
                  <w:tcW w:w="668" w:type="dxa"/>
                  <w:tcBorders>
                    <w:top w:val="single" w:color="auto" w:sz="4" w:space="0"/>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eastAsia" w:ascii="宋体" w:hAnsi="宋体" w:eastAsia="宋体" w:cs="宋体"/>
                      <w:i w:val="0"/>
                      <w:iCs w:val="0"/>
                      <w:color w:val="auto"/>
                      <w:kern w:val="0"/>
                      <w:sz w:val="21"/>
                      <w:szCs w:val="21"/>
                      <w:lang w:val="en-US" w:eastAsia="zh-CN" w:bidi="ar"/>
                    </w:rPr>
                    <w:t>＜</w:t>
                  </w:r>
                  <w:r>
                    <w:rPr>
                      <w:rFonts w:hint="default" w:ascii="Times New Roman" w:hAnsi="Times New Roman" w:eastAsia="宋体" w:cs="Times New Roman"/>
                      <w:i w:val="0"/>
                      <w:iCs w:val="0"/>
                      <w:color w:val="auto"/>
                      <w:kern w:val="0"/>
                      <w:sz w:val="21"/>
                      <w:szCs w:val="21"/>
                      <w:lang w:val="en-US" w:eastAsia="zh-CN" w:bidi="ar"/>
                    </w:rPr>
                    <w:t>0.0005</w:t>
                  </w:r>
                </w:p>
              </w:tc>
              <w:tc>
                <w:tcPr>
                  <w:tcW w:w="628" w:type="dxa"/>
                  <w:tcBorders>
                    <w:top w:val="single" w:color="auto" w:sz="4" w:space="0"/>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eastAsia" w:ascii="宋体" w:hAnsi="宋体" w:eastAsia="宋体" w:cs="宋体"/>
                      <w:i w:val="0"/>
                      <w:iCs w:val="0"/>
                      <w:color w:val="auto"/>
                      <w:kern w:val="0"/>
                      <w:sz w:val="21"/>
                      <w:szCs w:val="21"/>
                      <w:lang w:val="en-US" w:eastAsia="zh-CN" w:bidi="ar"/>
                    </w:rPr>
                    <w:t>＜</w:t>
                  </w:r>
                  <w:r>
                    <w:rPr>
                      <w:rFonts w:hint="default" w:ascii="Times New Roman" w:hAnsi="Times New Roman" w:eastAsia="宋体" w:cs="Times New Roman"/>
                      <w:i w:val="0"/>
                      <w:iCs w:val="0"/>
                      <w:color w:val="auto"/>
                      <w:kern w:val="0"/>
                      <w:sz w:val="21"/>
                      <w:szCs w:val="21"/>
                      <w:lang w:val="en-US" w:eastAsia="zh-CN" w:bidi="ar"/>
                    </w:rPr>
                    <w:t>0.0005</w:t>
                  </w:r>
                </w:p>
              </w:tc>
              <w:tc>
                <w:tcPr>
                  <w:tcW w:w="641" w:type="dxa"/>
                  <w:tcBorders>
                    <w:top w:val="single" w:color="auto" w:sz="4" w:space="0"/>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eastAsia" w:ascii="宋体" w:hAnsi="宋体" w:eastAsia="宋体" w:cs="宋体"/>
                      <w:i w:val="0"/>
                      <w:iCs w:val="0"/>
                      <w:color w:val="auto"/>
                      <w:kern w:val="0"/>
                      <w:sz w:val="21"/>
                      <w:szCs w:val="21"/>
                      <w:lang w:val="en-US" w:eastAsia="zh-CN" w:bidi="ar"/>
                    </w:rPr>
                    <w:t>＜</w:t>
                  </w:r>
                  <w:r>
                    <w:rPr>
                      <w:rFonts w:hint="default" w:ascii="Times New Roman" w:hAnsi="Times New Roman" w:eastAsia="宋体" w:cs="Times New Roman"/>
                      <w:i w:val="0"/>
                      <w:iCs w:val="0"/>
                      <w:color w:val="auto"/>
                      <w:kern w:val="0"/>
                      <w:sz w:val="21"/>
                      <w:szCs w:val="21"/>
                      <w:lang w:val="en-US" w:eastAsia="zh-CN" w:bidi="ar"/>
                    </w:rPr>
                    <w:t>0.0005</w:t>
                  </w:r>
                </w:p>
              </w:tc>
              <w:tc>
                <w:tcPr>
                  <w:tcW w:w="678" w:type="dxa"/>
                  <w:tcBorders>
                    <w:top w:val="single" w:color="auto" w:sz="4" w:space="0"/>
                    <w:left w:val="nil"/>
                    <w:bottom w:val="single" w:color="auto" w:sz="8"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eastAsia" w:cs="Times New Roman"/>
                      <w:i w:val="0"/>
                      <w:iCs w:val="0"/>
                      <w:color w:val="auto"/>
                      <w:kern w:val="0"/>
                      <w:sz w:val="21"/>
                      <w:szCs w:val="21"/>
                      <w:u w:val="none"/>
                      <w:lang w:val="en-US" w:eastAsia="zh-CN" w:bidi="ar"/>
                    </w:rPr>
                    <w:t>6.7068</w:t>
                  </w:r>
                </w:p>
              </w:tc>
            </w:tr>
          </w:tbl>
          <w:p>
            <w:pPr>
              <w:pStyle w:val="13"/>
              <w:keepNext w:val="0"/>
              <w:keepLines w:val="0"/>
              <w:pageBreakBefore w:val="0"/>
              <w:widowControl w:val="0"/>
              <w:numPr>
                <w:ilvl w:val="0"/>
                <w:numId w:val="0"/>
              </w:numPr>
              <w:suppressLineNumbers w:val="0"/>
              <w:tabs>
                <w:tab w:val="clear" w:pos="0"/>
                <w:tab w:val="clear" w:pos="2040"/>
              </w:tabs>
              <w:kinsoku/>
              <w:wordWrap/>
              <w:overflowPunct/>
              <w:topLinePunct w:val="0"/>
              <w:autoSpaceDE/>
              <w:autoSpaceDN/>
              <w:bidi w:val="0"/>
              <w:adjustRightInd w:val="0"/>
              <w:snapToGrid w:val="0"/>
              <w:spacing w:before="0" w:beforeAutospacing="0" w:after="0" w:afterAutospacing="0" w:line="240" w:lineRule="auto"/>
              <w:ind w:right="0"/>
              <w:jc w:val="center"/>
              <w:textAlignment w:val="auto"/>
              <w:outlineLvl w:val="9"/>
              <w:rPr>
                <w:rFonts w:hint="eastAsia"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除尘灰成分一览表</w:t>
            </w:r>
          </w:p>
          <w:tbl>
            <w:tblPr>
              <w:tblStyle w:val="28"/>
              <w:tblW w:w="8423" w:type="dxa"/>
              <w:jc w:val="center"/>
              <w:tblInd w:w="0" w:type="dxa"/>
              <w:tblBorders>
                <w:top w:val="single" w:color="auto" w:sz="8" w:space="0"/>
                <w:left w:val="none" w:color="auto" w:sz="4" w:space="0"/>
                <w:bottom w:val="single" w:color="auto" w:sz="8"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647"/>
              <w:gridCol w:w="647"/>
              <w:gridCol w:w="647"/>
              <w:gridCol w:w="647"/>
              <w:gridCol w:w="647"/>
              <w:gridCol w:w="647"/>
              <w:gridCol w:w="647"/>
              <w:gridCol w:w="647"/>
              <w:gridCol w:w="647"/>
              <w:gridCol w:w="647"/>
              <w:gridCol w:w="648"/>
              <w:gridCol w:w="658"/>
            </w:tblGrid>
            <w:tr>
              <w:tblPrEx>
                <w:tblBorders>
                  <w:top w:val="single" w:color="auto" w:sz="8" w:space="0"/>
                  <w:left w:val="none" w:color="auto" w:sz="4" w:space="0"/>
                  <w:bottom w:val="single" w:color="auto" w:sz="8"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4" w:hRule="atLeast"/>
                <w:jc w:val="center"/>
              </w:trPr>
              <w:tc>
                <w:tcPr>
                  <w:tcW w:w="647" w:type="dxa"/>
                  <w:tcBorders>
                    <w:top w:val="single" w:color="auto" w:sz="8" w:space="0"/>
                    <w:left w:val="nil"/>
                    <w:bottom w:val="single" w:color="auto" w:sz="4"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leftChars="0" w:right="0" w:rightChars="0"/>
                    <w:jc w:val="center"/>
                    <w:rPr>
                      <w:rFonts w:hint="eastAsia" w:ascii="Times New Roman" w:hAnsi="Times New Roman" w:eastAsia="宋体" w:cs="Times New Roman"/>
                      <w:b/>
                      <w:bCs w:val="0"/>
                      <w:color w:val="auto"/>
                      <w:spacing w:val="-10"/>
                      <w:kern w:val="2"/>
                      <w:sz w:val="21"/>
                      <w:szCs w:val="21"/>
                      <w:lang w:val="en-US" w:eastAsia="zh-CN"/>
                    </w:rPr>
                  </w:pPr>
                  <w:r>
                    <w:rPr>
                      <w:rFonts w:hint="eastAsia" w:ascii="宋体" w:hAnsi="宋体" w:eastAsia="宋体" w:cs="宋体"/>
                      <w:b/>
                      <w:bCs w:val="0"/>
                      <w:color w:val="auto"/>
                      <w:spacing w:val="-10"/>
                      <w:kern w:val="2"/>
                      <w:sz w:val="21"/>
                      <w:szCs w:val="21"/>
                      <w:lang w:val="en-US" w:eastAsia="zh-CN" w:bidi="ar"/>
                    </w:rPr>
                    <w:t>成分</w:t>
                  </w:r>
                </w:p>
              </w:tc>
              <w:tc>
                <w:tcPr>
                  <w:tcW w:w="647" w:type="dxa"/>
                  <w:tcBorders>
                    <w:top w:val="single" w:color="auto" w:sz="8" w:space="0"/>
                    <w:left w:val="nil"/>
                    <w:bottom w:val="single" w:color="auto" w:sz="4"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leftChars="0" w:right="0" w:rightChars="0"/>
                    <w:jc w:val="center"/>
                    <w:rPr>
                      <w:rFonts w:hint="default" w:ascii="Times New Roman" w:hAnsi="Times New Roman" w:eastAsia="宋体" w:cs="Times New Roman"/>
                      <w:b/>
                      <w:bCs w:val="0"/>
                      <w:color w:val="auto"/>
                      <w:spacing w:val="-10"/>
                      <w:kern w:val="2"/>
                      <w:sz w:val="21"/>
                      <w:szCs w:val="21"/>
                      <w:lang w:val="en-US" w:eastAsia="zh-CN"/>
                    </w:rPr>
                  </w:pPr>
                  <w:r>
                    <w:rPr>
                      <w:rFonts w:hint="default" w:ascii="Times New Roman" w:hAnsi="Times New Roman" w:eastAsia="宋体" w:cs="Times New Roman"/>
                      <w:b/>
                      <w:bCs w:val="0"/>
                      <w:color w:val="auto"/>
                      <w:spacing w:val="-10"/>
                      <w:kern w:val="2"/>
                      <w:sz w:val="21"/>
                      <w:szCs w:val="21"/>
                      <w:lang w:val="en-US" w:eastAsia="zh-CN" w:bidi="ar"/>
                    </w:rPr>
                    <w:t>Al</w:t>
                  </w:r>
                </w:p>
              </w:tc>
              <w:tc>
                <w:tcPr>
                  <w:tcW w:w="647" w:type="dxa"/>
                  <w:tcBorders>
                    <w:top w:val="single" w:color="auto" w:sz="8" w:space="0"/>
                    <w:left w:val="nil"/>
                    <w:bottom w:val="single" w:color="auto" w:sz="4"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leftChars="0" w:right="0" w:rightChars="0"/>
                    <w:jc w:val="center"/>
                    <w:rPr>
                      <w:rFonts w:hint="default" w:ascii="Times New Roman" w:hAnsi="Times New Roman" w:eastAsia="宋体" w:cs="Times New Roman"/>
                      <w:b/>
                      <w:bCs w:val="0"/>
                      <w:color w:val="auto"/>
                      <w:spacing w:val="-10"/>
                      <w:kern w:val="2"/>
                      <w:sz w:val="21"/>
                      <w:szCs w:val="21"/>
                      <w:lang w:val="en-US" w:eastAsia="zh-CN"/>
                    </w:rPr>
                  </w:pPr>
                  <w:r>
                    <w:rPr>
                      <w:rFonts w:hint="default" w:ascii="Times New Roman" w:hAnsi="Times New Roman" w:eastAsia="宋体" w:cs="Times New Roman"/>
                      <w:b/>
                      <w:bCs w:val="0"/>
                      <w:color w:val="auto"/>
                      <w:spacing w:val="-10"/>
                      <w:kern w:val="2"/>
                      <w:sz w:val="21"/>
                      <w:szCs w:val="21"/>
                      <w:lang w:val="en-US" w:eastAsia="zh-CN" w:bidi="ar"/>
                    </w:rPr>
                    <w:t>Zn</w:t>
                  </w:r>
                </w:p>
              </w:tc>
              <w:tc>
                <w:tcPr>
                  <w:tcW w:w="647" w:type="dxa"/>
                  <w:tcBorders>
                    <w:top w:val="single" w:color="auto" w:sz="8" w:space="0"/>
                    <w:left w:val="nil"/>
                    <w:bottom w:val="single" w:color="auto" w:sz="4"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leftChars="0" w:right="0" w:rightChars="0"/>
                    <w:jc w:val="center"/>
                    <w:rPr>
                      <w:rFonts w:hint="eastAsia" w:ascii="Times New Roman" w:hAnsi="Times New Roman" w:eastAsia="宋体" w:cs="Times New Roman"/>
                      <w:b/>
                      <w:bCs w:val="0"/>
                      <w:color w:val="auto"/>
                      <w:spacing w:val="-10"/>
                      <w:kern w:val="2"/>
                      <w:sz w:val="21"/>
                      <w:szCs w:val="21"/>
                      <w:lang w:val="en-US" w:eastAsia="zh-CN"/>
                    </w:rPr>
                  </w:pPr>
                  <w:r>
                    <w:rPr>
                      <w:rFonts w:hint="default" w:ascii="Times New Roman" w:hAnsi="Times New Roman" w:eastAsia="宋体" w:cs="Times New Roman"/>
                      <w:b/>
                      <w:bCs w:val="0"/>
                      <w:color w:val="auto"/>
                      <w:spacing w:val="-10"/>
                      <w:kern w:val="2"/>
                      <w:sz w:val="21"/>
                      <w:szCs w:val="21"/>
                      <w:lang w:val="en-US" w:eastAsia="zh-CN" w:bidi="ar"/>
                    </w:rPr>
                    <w:t>Si</w:t>
                  </w:r>
                </w:p>
              </w:tc>
              <w:tc>
                <w:tcPr>
                  <w:tcW w:w="647" w:type="dxa"/>
                  <w:tcBorders>
                    <w:top w:val="single" w:color="auto" w:sz="8" w:space="0"/>
                    <w:left w:val="nil"/>
                    <w:bottom w:val="single" w:color="auto" w:sz="4"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leftChars="0" w:right="0" w:rightChars="0"/>
                    <w:jc w:val="center"/>
                    <w:rPr>
                      <w:rFonts w:hint="default" w:ascii="Times New Roman" w:hAnsi="Times New Roman" w:eastAsia="宋体" w:cs="Times New Roman"/>
                      <w:b/>
                      <w:bCs w:val="0"/>
                      <w:color w:val="auto"/>
                      <w:spacing w:val="-10"/>
                      <w:kern w:val="2"/>
                      <w:sz w:val="21"/>
                      <w:szCs w:val="21"/>
                      <w:lang w:val="en-US" w:eastAsia="zh-CN"/>
                    </w:rPr>
                  </w:pPr>
                  <w:r>
                    <w:rPr>
                      <w:rFonts w:hint="default" w:ascii="Times New Roman" w:hAnsi="Times New Roman" w:eastAsia="宋体" w:cs="Times New Roman"/>
                      <w:b/>
                      <w:bCs w:val="0"/>
                      <w:color w:val="auto"/>
                      <w:spacing w:val="-10"/>
                      <w:kern w:val="2"/>
                      <w:sz w:val="21"/>
                      <w:szCs w:val="21"/>
                      <w:lang w:val="en-US" w:eastAsia="zh-CN" w:bidi="ar"/>
                    </w:rPr>
                    <w:t>Cd</w:t>
                  </w:r>
                </w:p>
              </w:tc>
              <w:tc>
                <w:tcPr>
                  <w:tcW w:w="647" w:type="dxa"/>
                  <w:tcBorders>
                    <w:top w:val="single" w:color="auto" w:sz="8" w:space="0"/>
                    <w:left w:val="nil"/>
                    <w:bottom w:val="single" w:color="auto" w:sz="4"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leftChars="0" w:right="0" w:rightChars="0"/>
                    <w:jc w:val="center"/>
                    <w:rPr>
                      <w:rFonts w:hint="default" w:ascii="Times New Roman" w:hAnsi="Times New Roman" w:eastAsia="宋体" w:cs="Times New Roman"/>
                      <w:b/>
                      <w:bCs w:val="0"/>
                      <w:color w:val="auto"/>
                      <w:spacing w:val="-10"/>
                      <w:kern w:val="2"/>
                      <w:sz w:val="21"/>
                      <w:szCs w:val="21"/>
                      <w:lang w:val="en-US" w:eastAsia="zh-CN"/>
                    </w:rPr>
                  </w:pPr>
                  <w:r>
                    <w:rPr>
                      <w:rFonts w:hint="default" w:ascii="Times New Roman" w:hAnsi="Times New Roman" w:eastAsia="宋体" w:cs="Times New Roman"/>
                      <w:b/>
                      <w:bCs w:val="0"/>
                      <w:color w:val="auto"/>
                      <w:spacing w:val="-10"/>
                      <w:kern w:val="2"/>
                      <w:sz w:val="21"/>
                      <w:szCs w:val="21"/>
                      <w:lang w:val="en-US" w:eastAsia="zh-CN" w:bidi="ar"/>
                    </w:rPr>
                    <w:t>Mg</w:t>
                  </w:r>
                </w:p>
              </w:tc>
              <w:tc>
                <w:tcPr>
                  <w:tcW w:w="647" w:type="dxa"/>
                  <w:tcBorders>
                    <w:top w:val="single" w:color="auto" w:sz="8" w:space="0"/>
                    <w:left w:val="nil"/>
                    <w:bottom w:val="single" w:color="auto" w:sz="4"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leftChars="0" w:right="0" w:rightChars="0"/>
                    <w:jc w:val="center"/>
                    <w:rPr>
                      <w:rFonts w:hint="default" w:ascii="Times New Roman" w:hAnsi="Times New Roman" w:eastAsia="宋体" w:cs="Times New Roman"/>
                      <w:b/>
                      <w:bCs w:val="0"/>
                      <w:color w:val="auto"/>
                      <w:spacing w:val="-10"/>
                      <w:kern w:val="2"/>
                      <w:sz w:val="21"/>
                      <w:szCs w:val="21"/>
                      <w:lang w:val="en-US" w:eastAsia="zh-CN"/>
                    </w:rPr>
                  </w:pPr>
                  <w:r>
                    <w:rPr>
                      <w:rFonts w:hint="default" w:ascii="Times New Roman" w:hAnsi="Times New Roman" w:eastAsia="宋体" w:cs="Times New Roman"/>
                      <w:b/>
                      <w:bCs w:val="0"/>
                      <w:color w:val="auto"/>
                      <w:spacing w:val="-10"/>
                      <w:kern w:val="2"/>
                      <w:sz w:val="21"/>
                      <w:szCs w:val="21"/>
                      <w:lang w:val="en-US" w:eastAsia="zh-CN" w:bidi="ar"/>
                    </w:rPr>
                    <w:t>Cl</w:t>
                  </w:r>
                </w:p>
              </w:tc>
              <w:tc>
                <w:tcPr>
                  <w:tcW w:w="647" w:type="dxa"/>
                  <w:tcBorders>
                    <w:top w:val="single" w:color="auto" w:sz="8" w:space="0"/>
                    <w:left w:val="nil"/>
                    <w:bottom w:val="single" w:color="auto" w:sz="4"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leftChars="0" w:right="0" w:rightChars="0"/>
                    <w:jc w:val="center"/>
                    <w:rPr>
                      <w:rFonts w:hint="eastAsia" w:ascii="Times New Roman" w:hAnsi="Times New Roman" w:eastAsia="宋体" w:cs="Times New Roman"/>
                      <w:b/>
                      <w:bCs w:val="0"/>
                      <w:color w:val="auto"/>
                      <w:spacing w:val="-10"/>
                      <w:kern w:val="2"/>
                      <w:sz w:val="21"/>
                      <w:szCs w:val="21"/>
                      <w:lang w:val="en-US" w:eastAsia="zh-CN"/>
                    </w:rPr>
                  </w:pPr>
                  <w:r>
                    <w:rPr>
                      <w:rFonts w:hint="default" w:ascii="Times New Roman" w:hAnsi="Times New Roman" w:eastAsia="宋体" w:cs="Times New Roman"/>
                      <w:b/>
                      <w:bCs w:val="0"/>
                      <w:color w:val="auto"/>
                      <w:spacing w:val="-10"/>
                      <w:kern w:val="2"/>
                      <w:sz w:val="21"/>
                      <w:szCs w:val="21"/>
                      <w:lang w:val="en-US" w:eastAsia="zh-CN" w:bidi="ar"/>
                    </w:rPr>
                    <w:t>F</w:t>
                  </w:r>
                </w:p>
              </w:tc>
              <w:tc>
                <w:tcPr>
                  <w:tcW w:w="647" w:type="dxa"/>
                  <w:tcBorders>
                    <w:top w:val="single" w:color="auto" w:sz="8" w:space="0"/>
                    <w:left w:val="nil"/>
                    <w:bottom w:val="single" w:color="auto" w:sz="4"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leftChars="0" w:right="0" w:rightChars="0"/>
                    <w:jc w:val="center"/>
                    <w:rPr>
                      <w:rFonts w:hint="default" w:ascii="Times New Roman" w:hAnsi="Times New Roman" w:eastAsia="宋体" w:cs="Times New Roman"/>
                      <w:b/>
                      <w:bCs w:val="0"/>
                      <w:color w:val="auto"/>
                      <w:spacing w:val="-10"/>
                      <w:kern w:val="2"/>
                      <w:sz w:val="21"/>
                      <w:szCs w:val="21"/>
                      <w:lang w:val="en-US" w:eastAsia="zh-CN"/>
                    </w:rPr>
                  </w:pPr>
                  <w:r>
                    <w:rPr>
                      <w:rFonts w:hint="default" w:ascii="Times New Roman" w:hAnsi="Times New Roman" w:eastAsia="宋体" w:cs="Times New Roman"/>
                      <w:b/>
                      <w:bCs w:val="0"/>
                      <w:color w:val="auto"/>
                      <w:spacing w:val="-10"/>
                      <w:kern w:val="2"/>
                      <w:sz w:val="21"/>
                      <w:szCs w:val="21"/>
                      <w:lang w:val="en-US" w:eastAsia="zh-CN" w:bidi="ar"/>
                    </w:rPr>
                    <w:t>Pb</w:t>
                  </w:r>
                </w:p>
              </w:tc>
              <w:tc>
                <w:tcPr>
                  <w:tcW w:w="647" w:type="dxa"/>
                  <w:tcBorders>
                    <w:top w:val="single" w:color="auto" w:sz="8" w:space="0"/>
                    <w:left w:val="nil"/>
                    <w:bottom w:val="single" w:color="auto" w:sz="4"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leftChars="0" w:right="0" w:rightChars="0"/>
                    <w:jc w:val="center"/>
                    <w:rPr>
                      <w:rFonts w:hint="default" w:ascii="Times New Roman" w:hAnsi="Times New Roman" w:eastAsia="宋体" w:cs="Times New Roman"/>
                      <w:b/>
                      <w:bCs w:val="0"/>
                      <w:color w:val="auto"/>
                      <w:spacing w:val="-10"/>
                      <w:kern w:val="2"/>
                      <w:sz w:val="21"/>
                      <w:szCs w:val="21"/>
                      <w:lang w:val="en-US" w:eastAsia="zh-CN"/>
                    </w:rPr>
                  </w:pPr>
                  <w:r>
                    <w:rPr>
                      <w:rFonts w:hint="default" w:ascii="Times New Roman" w:hAnsi="Times New Roman" w:eastAsia="宋体" w:cs="Times New Roman"/>
                      <w:b/>
                      <w:bCs w:val="0"/>
                      <w:color w:val="auto"/>
                      <w:spacing w:val="-10"/>
                      <w:kern w:val="2"/>
                      <w:sz w:val="21"/>
                      <w:szCs w:val="21"/>
                      <w:lang w:val="en-US" w:eastAsia="zh-CN" w:bidi="ar"/>
                    </w:rPr>
                    <w:t>As</w:t>
                  </w:r>
                </w:p>
              </w:tc>
              <w:tc>
                <w:tcPr>
                  <w:tcW w:w="647" w:type="dxa"/>
                  <w:tcBorders>
                    <w:top w:val="single" w:color="auto" w:sz="8" w:space="0"/>
                    <w:left w:val="nil"/>
                    <w:bottom w:val="single" w:color="auto" w:sz="4"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leftChars="0" w:right="0" w:rightChars="0"/>
                    <w:jc w:val="center"/>
                    <w:rPr>
                      <w:rFonts w:hint="default" w:ascii="Times New Roman" w:hAnsi="Times New Roman" w:eastAsia="宋体" w:cs="Times New Roman"/>
                      <w:b/>
                      <w:bCs w:val="0"/>
                      <w:color w:val="auto"/>
                      <w:spacing w:val="-10"/>
                      <w:kern w:val="2"/>
                      <w:sz w:val="21"/>
                      <w:szCs w:val="21"/>
                      <w:lang w:val="en-US" w:eastAsia="zh-CN"/>
                    </w:rPr>
                  </w:pPr>
                  <w:r>
                    <w:rPr>
                      <w:rFonts w:hint="default" w:ascii="Times New Roman" w:hAnsi="Times New Roman" w:eastAsia="宋体" w:cs="Times New Roman"/>
                      <w:b/>
                      <w:bCs w:val="0"/>
                      <w:color w:val="auto"/>
                      <w:spacing w:val="-10"/>
                      <w:kern w:val="2"/>
                      <w:sz w:val="21"/>
                      <w:szCs w:val="21"/>
                      <w:lang w:val="en-US" w:eastAsia="zh-CN" w:bidi="ar"/>
                    </w:rPr>
                    <w:t>Hg</w:t>
                  </w:r>
                </w:p>
              </w:tc>
              <w:tc>
                <w:tcPr>
                  <w:tcW w:w="648" w:type="dxa"/>
                  <w:tcBorders>
                    <w:top w:val="single" w:color="auto" w:sz="8" w:space="0"/>
                    <w:left w:val="nil"/>
                    <w:bottom w:val="single" w:color="auto" w:sz="4"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leftChars="0" w:right="0" w:rightChars="0"/>
                    <w:jc w:val="center"/>
                    <w:rPr>
                      <w:rFonts w:hint="default" w:ascii="Times New Roman" w:hAnsi="Times New Roman" w:eastAsia="宋体" w:cs="Times New Roman"/>
                      <w:b/>
                      <w:bCs w:val="0"/>
                      <w:color w:val="auto"/>
                      <w:spacing w:val="-10"/>
                      <w:kern w:val="2"/>
                      <w:sz w:val="21"/>
                      <w:szCs w:val="21"/>
                      <w:lang w:val="en-US" w:eastAsia="zh-CN"/>
                    </w:rPr>
                  </w:pPr>
                  <w:r>
                    <w:rPr>
                      <w:rFonts w:hint="default" w:ascii="Times New Roman" w:hAnsi="Times New Roman" w:eastAsia="宋体" w:cs="Times New Roman"/>
                      <w:b/>
                      <w:bCs w:val="0"/>
                      <w:color w:val="auto"/>
                      <w:spacing w:val="-10"/>
                      <w:kern w:val="2"/>
                      <w:sz w:val="21"/>
                      <w:szCs w:val="21"/>
                      <w:lang w:val="en-US" w:eastAsia="zh-CN" w:bidi="ar"/>
                    </w:rPr>
                    <w:t>Be</w:t>
                  </w:r>
                </w:p>
              </w:tc>
              <w:tc>
                <w:tcPr>
                  <w:tcW w:w="658" w:type="dxa"/>
                  <w:tcBorders>
                    <w:top w:val="single" w:color="auto" w:sz="8" w:space="0"/>
                    <w:left w:val="nil"/>
                    <w:bottom w:val="single" w:color="auto" w:sz="4" w:space="0"/>
                    <w:right w:val="nil"/>
                  </w:tcBorders>
                  <w:vAlign w:val="center"/>
                </w:tcPr>
                <w:p>
                  <w:pPr>
                    <w:keepNext w:val="0"/>
                    <w:keepLines w:val="0"/>
                    <w:widowControl w:val="0"/>
                    <w:suppressLineNumbers w:val="0"/>
                    <w:autoSpaceDE w:val="0"/>
                    <w:autoSpaceDN/>
                    <w:adjustRightInd w:val="0"/>
                    <w:snapToGrid w:val="0"/>
                    <w:spacing w:before="0" w:beforeAutospacing="0" w:after="0" w:afterAutospacing="0"/>
                    <w:ind w:left="0" w:leftChars="0" w:right="0" w:rightChars="0"/>
                    <w:jc w:val="center"/>
                    <w:rPr>
                      <w:rFonts w:hint="eastAsia" w:ascii="Times New Roman" w:hAnsi="Times New Roman" w:eastAsia="宋体" w:cs="Times New Roman"/>
                      <w:b/>
                      <w:bCs w:val="0"/>
                      <w:color w:val="auto"/>
                      <w:spacing w:val="-10"/>
                      <w:kern w:val="2"/>
                      <w:sz w:val="21"/>
                      <w:szCs w:val="21"/>
                      <w:lang w:val="en-US" w:eastAsia="zh-CN"/>
                    </w:rPr>
                  </w:pPr>
                  <w:r>
                    <w:rPr>
                      <w:rFonts w:hint="eastAsia" w:ascii="宋体" w:hAnsi="宋体" w:eastAsia="宋体" w:cs="宋体"/>
                      <w:b/>
                      <w:bCs w:val="0"/>
                      <w:color w:val="auto"/>
                      <w:spacing w:val="-10"/>
                      <w:kern w:val="2"/>
                      <w:sz w:val="21"/>
                      <w:szCs w:val="21"/>
                      <w:lang w:val="en-US" w:eastAsia="zh-CN" w:bidi="ar"/>
                    </w:rPr>
                    <w:t>其他</w:t>
                  </w:r>
                </w:p>
              </w:tc>
            </w:tr>
            <w:tr>
              <w:tblPrEx>
                <w:tblBorders>
                  <w:top w:val="single" w:color="auto" w:sz="8" w:space="0"/>
                  <w:left w:val="none" w:color="auto" w:sz="4" w:space="0"/>
                  <w:bottom w:val="single" w:color="auto" w:sz="8"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4" w:hRule="atLeast"/>
                <w:jc w:val="center"/>
              </w:trPr>
              <w:tc>
                <w:tcPr>
                  <w:tcW w:w="647" w:type="dxa"/>
                  <w:tcBorders>
                    <w:top w:val="single" w:color="auto" w:sz="4" w:space="0"/>
                    <w:left w:val="nil"/>
                    <w:bottom w:val="single" w:color="auto" w:sz="8"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leftChars="0" w:right="0" w:rightChars="0"/>
                    <w:jc w:val="center"/>
                    <w:rPr>
                      <w:rFonts w:hint="eastAsia" w:ascii="Times New Roman" w:hAnsi="Times New Roman" w:eastAsia="宋体" w:cs="Times New Roman"/>
                      <w:b/>
                      <w:bCs w:val="0"/>
                      <w:color w:val="auto"/>
                      <w:spacing w:val="-10"/>
                      <w:kern w:val="2"/>
                      <w:sz w:val="21"/>
                      <w:szCs w:val="21"/>
                      <w:lang w:val="en-US" w:eastAsia="zh-CN"/>
                    </w:rPr>
                  </w:pPr>
                  <w:r>
                    <w:rPr>
                      <w:rFonts w:hint="eastAsia" w:ascii="宋体" w:hAnsi="宋体" w:eastAsia="宋体" w:cs="宋体"/>
                      <w:b/>
                      <w:bCs w:val="0"/>
                      <w:color w:val="auto"/>
                      <w:spacing w:val="-10"/>
                      <w:kern w:val="2"/>
                      <w:sz w:val="21"/>
                      <w:szCs w:val="21"/>
                      <w:lang w:val="en-US" w:eastAsia="zh-CN" w:bidi="ar"/>
                    </w:rPr>
                    <w:t>含量</w:t>
                  </w:r>
                  <w:r>
                    <w:rPr>
                      <w:rFonts w:hint="default" w:ascii="Times New Roman" w:hAnsi="Times New Roman" w:eastAsia="宋体" w:cs="Times New Roman"/>
                      <w:b/>
                      <w:bCs w:val="0"/>
                      <w:color w:val="auto"/>
                      <w:spacing w:val="-10"/>
                      <w:kern w:val="2"/>
                      <w:sz w:val="21"/>
                      <w:szCs w:val="21"/>
                      <w:lang w:val="en-US" w:eastAsia="zh-CN" w:bidi="ar"/>
                    </w:rPr>
                    <w:t>%</w:t>
                  </w:r>
                </w:p>
              </w:tc>
              <w:tc>
                <w:tcPr>
                  <w:tcW w:w="647" w:type="dxa"/>
                  <w:tcBorders>
                    <w:top w:val="single" w:color="auto" w:sz="4" w:space="0"/>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2.2</w:t>
                  </w:r>
                </w:p>
              </w:tc>
              <w:tc>
                <w:tcPr>
                  <w:tcW w:w="647" w:type="dxa"/>
                  <w:tcBorders>
                    <w:top w:val="single" w:color="auto" w:sz="4" w:space="0"/>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42.36</w:t>
                  </w:r>
                </w:p>
              </w:tc>
              <w:tc>
                <w:tcPr>
                  <w:tcW w:w="647" w:type="dxa"/>
                  <w:tcBorders>
                    <w:top w:val="single" w:color="auto" w:sz="4" w:space="0"/>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0.61</w:t>
                  </w:r>
                </w:p>
              </w:tc>
              <w:tc>
                <w:tcPr>
                  <w:tcW w:w="647" w:type="dxa"/>
                  <w:tcBorders>
                    <w:top w:val="single" w:color="auto" w:sz="4" w:space="0"/>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＜0.0005</w:t>
                  </w:r>
                </w:p>
              </w:tc>
              <w:tc>
                <w:tcPr>
                  <w:tcW w:w="647" w:type="dxa"/>
                  <w:tcBorders>
                    <w:top w:val="single" w:color="auto" w:sz="4" w:space="0"/>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0.066</w:t>
                  </w:r>
                </w:p>
              </w:tc>
              <w:tc>
                <w:tcPr>
                  <w:tcW w:w="647" w:type="dxa"/>
                  <w:tcBorders>
                    <w:top w:val="single" w:color="auto" w:sz="4" w:space="0"/>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18.09</w:t>
                  </w:r>
                </w:p>
              </w:tc>
              <w:tc>
                <w:tcPr>
                  <w:tcW w:w="647" w:type="dxa"/>
                  <w:tcBorders>
                    <w:top w:val="single" w:color="auto" w:sz="4" w:space="0"/>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1.34</w:t>
                  </w:r>
                </w:p>
              </w:tc>
              <w:tc>
                <w:tcPr>
                  <w:tcW w:w="647" w:type="dxa"/>
                  <w:tcBorders>
                    <w:top w:val="single" w:color="auto" w:sz="4" w:space="0"/>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eastAsia" w:ascii="宋体" w:hAnsi="宋体" w:eastAsia="宋体" w:cs="宋体"/>
                      <w:i w:val="0"/>
                      <w:iCs w:val="0"/>
                      <w:color w:val="auto"/>
                      <w:kern w:val="0"/>
                      <w:sz w:val="21"/>
                      <w:szCs w:val="21"/>
                      <w:lang w:val="en-US" w:eastAsia="zh-CN" w:bidi="ar"/>
                    </w:rPr>
                    <w:t>＜</w:t>
                  </w:r>
                  <w:r>
                    <w:rPr>
                      <w:rFonts w:hint="default" w:ascii="Times New Roman" w:hAnsi="Times New Roman" w:eastAsia="宋体" w:cs="Times New Roman"/>
                      <w:i w:val="0"/>
                      <w:iCs w:val="0"/>
                      <w:color w:val="auto"/>
                      <w:kern w:val="0"/>
                      <w:sz w:val="21"/>
                      <w:szCs w:val="21"/>
                      <w:lang w:val="en-US" w:eastAsia="zh-CN" w:bidi="ar"/>
                    </w:rPr>
                    <w:t>0.0005</w:t>
                  </w:r>
                </w:p>
              </w:tc>
              <w:tc>
                <w:tcPr>
                  <w:tcW w:w="647" w:type="dxa"/>
                  <w:tcBorders>
                    <w:top w:val="single" w:color="auto" w:sz="4" w:space="0"/>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eastAsia" w:ascii="宋体" w:hAnsi="宋体" w:eastAsia="宋体" w:cs="宋体"/>
                      <w:i w:val="0"/>
                      <w:iCs w:val="0"/>
                      <w:color w:val="auto"/>
                      <w:kern w:val="0"/>
                      <w:sz w:val="21"/>
                      <w:szCs w:val="21"/>
                      <w:lang w:val="en-US" w:eastAsia="zh-CN" w:bidi="ar"/>
                    </w:rPr>
                    <w:t>＜</w:t>
                  </w:r>
                  <w:r>
                    <w:rPr>
                      <w:rFonts w:hint="default" w:ascii="Times New Roman" w:hAnsi="Times New Roman" w:eastAsia="宋体" w:cs="Times New Roman"/>
                      <w:i w:val="0"/>
                      <w:iCs w:val="0"/>
                      <w:color w:val="auto"/>
                      <w:kern w:val="0"/>
                      <w:sz w:val="21"/>
                      <w:szCs w:val="21"/>
                      <w:lang w:val="en-US" w:eastAsia="zh-CN" w:bidi="ar"/>
                    </w:rPr>
                    <w:t>0.0005</w:t>
                  </w:r>
                </w:p>
              </w:tc>
              <w:tc>
                <w:tcPr>
                  <w:tcW w:w="647" w:type="dxa"/>
                  <w:tcBorders>
                    <w:top w:val="single" w:color="auto" w:sz="4" w:space="0"/>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eastAsia" w:ascii="宋体" w:hAnsi="宋体" w:eastAsia="宋体" w:cs="宋体"/>
                      <w:i w:val="0"/>
                      <w:iCs w:val="0"/>
                      <w:color w:val="auto"/>
                      <w:kern w:val="0"/>
                      <w:sz w:val="21"/>
                      <w:szCs w:val="21"/>
                      <w:lang w:val="en-US" w:eastAsia="zh-CN" w:bidi="ar"/>
                    </w:rPr>
                    <w:t>＜</w:t>
                  </w:r>
                  <w:r>
                    <w:rPr>
                      <w:rFonts w:hint="default" w:ascii="Times New Roman" w:hAnsi="Times New Roman" w:eastAsia="宋体" w:cs="Times New Roman"/>
                      <w:i w:val="0"/>
                      <w:iCs w:val="0"/>
                      <w:color w:val="auto"/>
                      <w:kern w:val="0"/>
                      <w:sz w:val="21"/>
                      <w:szCs w:val="21"/>
                      <w:lang w:val="en-US" w:eastAsia="zh-CN" w:bidi="ar"/>
                    </w:rPr>
                    <w:t>0.0005</w:t>
                  </w:r>
                </w:p>
              </w:tc>
              <w:tc>
                <w:tcPr>
                  <w:tcW w:w="648" w:type="dxa"/>
                  <w:tcBorders>
                    <w:top w:val="single" w:color="auto" w:sz="4" w:space="0"/>
                    <w:left w:val="nil"/>
                    <w:bottom w:val="single" w:color="auto" w:sz="8"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eastAsia" w:ascii="宋体" w:hAnsi="宋体" w:eastAsia="宋体" w:cs="宋体"/>
                      <w:i w:val="0"/>
                      <w:iCs w:val="0"/>
                      <w:color w:val="auto"/>
                      <w:kern w:val="0"/>
                      <w:sz w:val="21"/>
                      <w:szCs w:val="21"/>
                      <w:lang w:val="en-US" w:eastAsia="zh-CN" w:bidi="ar"/>
                    </w:rPr>
                    <w:t>＜</w:t>
                  </w:r>
                  <w:r>
                    <w:rPr>
                      <w:rFonts w:hint="default" w:ascii="Times New Roman" w:hAnsi="Times New Roman" w:eastAsia="宋体" w:cs="Times New Roman"/>
                      <w:i w:val="0"/>
                      <w:iCs w:val="0"/>
                      <w:color w:val="auto"/>
                      <w:kern w:val="0"/>
                      <w:sz w:val="21"/>
                      <w:szCs w:val="21"/>
                      <w:lang w:val="en-US" w:eastAsia="zh-CN" w:bidi="ar"/>
                    </w:rPr>
                    <w:t>0.0005</w:t>
                  </w:r>
                </w:p>
              </w:tc>
              <w:tc>
                <w:tcPr>
                  <w:tcW w:w="658" w:type="dxa"/>
                  <w:tcBorders>
                    <w:top w:val="single" w:color="auto" w:sz="4" w:space="0"/>
                    <w:left w:val="nil"/>
                    <w:bottom w:val="single" w:color="auto" w:sz="8"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spacing w:val="-10"/>
                      <w:kern w:val="2"/>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35.334</w:t>
                  </w:r>
                </w:p>
              </w:tc>
            </w:tr>
          </w:tbl>
          <w:p>
            <w:pPr>
              <w:keepNext w:val="0"/>
              <w:keepLines w:val="0"/>
              <w:widowControl w:val="0"/>
              <w:suppressLineNumbers w:val="0"/>
              <w:autoSpaceDE w:val="0"/>
              <w:autoSpaceDN w:val="0"/>
              <w:adjustRightInd w:val="0"/>
              <w:spacing w:before="0" w:beforeAutospacing="0" w:after="0" w:afterAutospacing="0"/>
              <w:ind w:left="0" w:right="0" w:firstLine="0" w:firstLineChars="0"/>
              <w:jc w:val="center"/>
              <w:rPr>
                <w:rFonts w:hint="default" w:ascii="Times New Roman" w:hAnsi="Times New Roman" w:eastAsia="宋体" w:cs="Times New Roman"/>
                <w:b/>
                <w:bCs w:val="0"/>
                <w:color w:val="auto"/>
                <w:kern w:val="0"/>
                <w:sz w:val="24"/>
                <w:szCs w:val="24"/>
              </w:rPr>
            </w:pPr>
            <w:r>
              <w:rPr>
                <w:rFonts w:hint="eastAsia" w:ascii="宋体" w:hAnsi="宋体" w:eastAsia="宋体" w:cs="宋体"/>
                <w:b/>
                <w:bCs w:val="0"/>
                <w:color w:val="auto"/>
                <w:kern w:val="0"/>
                <w:sz w:val="24"/>
                <w:szCs w:val="24"/>
                <w:lang w:val="en-US" w:eastAsia="zh-CN" w:bidi="ar"/>
              </w:rPr>
              <w:t>炒灰剂成分一览表</w:t>
            </w:r>
          </w:p>
          <w:tbl>
            <w:tblPr>
              <w:tblStyle w:val="28"/>
              <w:tblW w:w="8420" w:type="dxa"/>
              <w:jc w:val="center"/>
              <w:tblInd w:w="0"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14"/>
              <w:gridCol w:w="1111"/>
              <w:gridCol w:w="1240"/>
              <w:gridCol w:w="1213"/>
              <w:gridCol w:w="1242"/>
              <w:gridCol w:w="1283"/>
              <w:gridCol w:w="1217"/>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89" w:hRule="atLeast"/>
                <w:jc w:val="center"/>
              </w:trPr>
              <w:tc>
                <w:tcPr>
                  <w:tcW w:w="1114" w:type="dxa"/>
                  <w:tcBorders>
                    <w:top w:val="single" w:color="auto" w:sz="8" w:space="0"/>
                    <w:bottom w:val="single" w:color="auto" w:sz="4"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right="0"/>
                    <w:jc w:val="center"/>
                    <w:rPr>
                      <w:rFonts w:hint="default" w:ascii="Times New Roman" w:hAnsi="Times New Roman" w:eastAsia="宋体" w:cs="Times New Roman"/>
                      <w:b/>
                      <w:bCs w:val="0"/>
                      <w:color w:val="auto"/>
                      <w:kern w:val="2"/>
                      <w:sz w:val="21"/>
                      <w:szCs w:val="21"/>
                      <w:lang w:val="en-US" w:eastAsia="zh-CN"/>
                    </w:rPr>
                  </w:pPr>
                  <w:r>
                    <w:rPr>
                      <w:rFonts w:hint="eastAsia" w:ascii="宋体" w:hAnsi="宋体" w:eastAsia="宋体" w:cs="宋体"/>
                      <w:b/>
                      <w:bCs w:val="0"/>
                      <w:color w:val="auto"/>
                      <w:kern w:val="2"/>
                      <w:sz w:val="21"/>
                      <w:szCs w:val="21"/>
                      <w:lang w:val="en-US" w:eastAsia="zh-CN" w:bidi="ar"/>
                    </w:rPr>
                    <w:t>成分名称</w:t>
                  </w:r>
                </w:p>
              </w:tc>
              <w:tc>
                <w:tcPr>
                  <w:tcW w:w="1111" w:type="dxa"/>
                  <w:tcBorders>
                    <w:top w:val="single" w:color="auto" w:sz="8"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right="0"/>
                    <w:jc w:val="center"/>
                    <w:rPr>
                      <w:rFonts w:hint="default" w:ascii="Times New Roman" w:hAnsi="Times New Roman" w:eastAsia="宋体" w:cs="Times New Roman"/>
                      <w:b/>
                      <w:bCs w:val="0"/>
                      <w:color w:val="auto"/>
                      <w:kern w:val="2"/>
                      <w:sz w:val="21"/>
                      <w:szCs w:val="21"/>
                      <w:lang w:val="en-US" w:eastAsia="zh-CN"/>
                    </w:rPr>
                  </w:pPr>
                  <w:r>
                    <w:rPr>
                      <w:rFonts w:hint="eastAsia" w:ascii="宋体" w:hAnsi="宋体" w:eastAsia="宋体" w:cs="宋体"/>
                      <w:b/>
                      <w:bCs w:val="0"/>
                      <w:color w:val="auto"/>
                      <w:kern w:val="2"/>
                      <w:sz w:val="21"/>
                      <w:szCs w:val="21"/>
                      <w:lang w:val="en-US" w:eastAsia="zh-CN" w:bidi="ar"/>
                    </w:rPr>
                    <w:t>氯化钠</w:t>
                  </w:r>
                </w:p>
              </w:tc>
              <w:tc>
                <w:tcPr>
                  <w:tcW w:w="1240" w:type="dxa"/>
                  <w:tcBorders>
                    <w:top w:val="single" w:color="auto" w:sz="8"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right="0"/>
                    <w:jc w:val="center"/>
                    <w:rPr>
                      <w:rFonts w:hint="default" w:ascii="Times New Roman" w:hAnsi="Times New Roman" w:eastAsia="宋体" w:cs="Times New Roman"/>
                      <w:b/>
                      <w:bCs w:val="0"/>
                      <w:color w:val="auto"/>
                      <w:kern w:val="2"/>
                      <w:sz w:val="21"/>
                      <w:szCs w:val="21"/>
                      <w:lang w:val="en-US" w:eastAsia="zh-CN"/>
                    </w:rPr>
                  </w:pPr>
                  <w:r>
                    <w:rPr>
                      <w:rFonts w:hint="eastAsia" w:ascii="宋体" w:hAnsi="宋体" w:eastAsia="宋体" w:cs="宋体"/>
                      <w:b/>
                      <w:bCs w:val="0"/>
                      <w:color w:val="auto"/>
                      <w:kern w:val="2"/>
                      <w:sz w:val="21"/>
                      <w:szCs w:val="21"/>
                      <w:lang w:val="en-US" w:eastAsia="zh-CN" w:bidi="ar"/>
                    </w:rPr>
                    <w:t>氯化钾</w:t>
                  </w:r>
                </w:p>
              </w:tc>
              <w:tc>
                <w:tcPr>
                  <w:tcW w:w="1213" w:type="dxa"/>
                  <w:tcBorders>
                    <w:top w:val="single" w:color="auto" w:sz="8"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right="0"/>
                    <w:jc w:val="center"/>
                    <w:rPr>
                      <w:rFonts w:hint="default" w:ascii="Times New Roman" w:hAnsi="Times New Roman" w:eastAsia="宋体" w:cs="Times New Roman"/>
                      <w:b/>
                      <w:bCs w:val="0"/>
                      <w:color w:val="auto"/>
                      <w:kern w:val="2"/>
                      <w:sz w:val="21"/>
                      <w:szCs w:val="21"/>
                      <w:lang w:val="en-US" w:eastAsia="zh-CN"/>
                    </w:rPr>
                  </w:pPr>
                  <w:r>
                    <w:rPr>
                      <w:rFonts w:hint="eastAsia" w:ascii="宋体" w:hAnsi="宋体" w:eastAsia="宋体" w:cs="宋体"/>
                      <w:b/>
                      <w:bCs w:val="0"/>
                      <w:color w:val="auto"/>
                      <w:kern w:val="2"/>
                      <w:sz w:val="21"/>
                      <w:szCs w:val="21"/>
                      <w:lang w:val="en-US" w:eastAsia="zh-CN" w:bidi="ar"/>
                    </w:rPr>
                    <w:t>硫酸钠</w:t>
                  </w:r>
                </w:p>
              </w:tc>
              <w:tc>
                <w:tcPr>
                  <w:tcW w:w="1242" w:type="dxa"/>
                  <w:tcBorders>
                    <w:top w:val="single" w:color="auto" w:sz="8" w:space="0"/>
                    <w:left w:val="single" w:color="auto" w:sz="4" w:space="0"/>
                    <w:bottom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right="0"/>
                    <w:jc w:val="center"/>
                    <w:rPr>
                      <w:rFonts w:hint="default" w:ascii="Times New Roman" w:hAnsi="Times New Roman" w:cs="Times New Roman"/>
                      <w:b/>
                      <w:bCs w:val="0"/>
                      <w:color w:val="auto"/>
                      <w:kern w:val="2"/>
                      <w:sz w:val="21"/>
                      <w:szCs w:val="21"/>
                      <w:lang w:val="en-US" w:eastAsia="zh-CN"/>
                    </w:rPr>
                  </w:pPr>
                  <w:r>
                    <w:rPr>
                      <w:rFonts w:hint="eastAsia" w:ascii="宋体" w:hAnsi="宋体" w:eastAsia="宋体" w:cs="宋体"/>
                      <w:b/>
                      <w:bCs w:val="0"/>
                      <w:color w:val="auto"/>
                      <w:kern w:val="2"/>
                      <w:sz w:val="21"/>
                      <w:szCs w:val="21"/>
                      <w:lang w:val="en-US" w:eastAsia="zh-CN" w:bidi="ar"/>
                    </w:rPr>
                    <w:t>二氧化硅</w:t>
                  </w:r>
                </w:p>
              </w:tc>
              <w:tc>
                <w:tcPr>
                  <w:tcW w:w="1283" w:type="dxa"/>
                  <w:tcBorders>
                    <w:top w:val="single" w:color="auto" w:sz="8" w:space="0"/>
                    <w:left w:val="single" w:color="auto" w:sz="4" w:space="0"/>
                    <w:bottom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right="0"/>
                    <w:jc w:val="center"/>
                    <w:rPr>
                      <w:rFonts w:hint="eastAsia" w:ascii="宋体" w:hAnsi="宋体" w:eastAsia="宋体" w:cs="宋体"/>
                      <w:b/>
                      <w:bCs w:val="0"/>
                      <w:color w:val="auto"/>
                      <w:kern w:val="2"/>
                      <w:sz w:val="21"/>
                      <w:szCs w:val="21"/>
                      <w:lang w:val="en-US" w:eastAsia="zh-CN" w:bidi="ar"/>
                    </w:rPr>
                  </w:pPr>
                  <w:r>
                    <w:rPr>
                      <w:rFonts w:hint="eastAsia" w:ascii="宋体" w:hAnsi="宋体" w:eastAsia="宋体" w:cs="宋体"/>
                      <w:b/>
                      <w:bCs w:val="0"/>
                      <w:color w:val="auto"/>
                      <w:kern w:val="2"/>
                      <w:sz w:val="21"/>
                      <w:szCs w:val="21"/>
                      <w:lang w:val="en-US" w:eastAsia="zh-CN" w:bidi="ar"/>
                    </w:rPr>
                    <w:t>碳酸钠</w:t>
                  </w:r>
                </w:p>
              </w:tc>
              <w:tc>
                <w:tcPr>
                  <w:tcW w:w="1217" w:type="dxa"/>
                  <w:tcBorders>
                    <w:top w:val="single" w:color="auto" w:sz="8" w:space="0"/>
                    <w:left w:val="single" w:color="auto" w:sz="4" w:space="0"/>
                    <w:bottom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right="0"/>
                    <w:jc w:val="center"/>
                    <w:rPr>
                      <w:rFonts w:hint="eastAsia" w:ascii="宋体" w:hAnsi="宋体" w:eastAsia="宋体" w:cs="宋体"/>
                      <w:b/>
                      <w:bCs w:val="0"/>
                      <w:color w:val="auto"/>
                      <w:kern w:val="2"/>
                      <w:sz w:val="21"/>
                      <w:szCs w:val="21"/>
                      <w:lang w:val="en-US" w:eastAsia="zh-CN" w:bidi="ar"/>
                    </w:rPr>
                  </w:pPr>
                  <w:r>
                    <w:rPr>
                      <w:rFonts w:hint="eastAsia" w:ascii="宋体" w:hAnsi="宋体" w:eastAsia="宋体" w:cs="宋体"/>
                      <w:b/>
                      <w:bCs w:val="0"/>
                      <w:color w:val="auto"/>
                      <w:kern w:val="2"/>
                      <w:sz w:val="21"/>
                      <w:szCs w:val="21"/>
                      <w:lang w:val="en-US" w:eastAsia="zh-CN" w:bidi="ar"/>
                    </w:rPr>
                    <w:t>其他</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1114" w:type="dxa"/>
                  <w:tcBorders>
                    <w:top w:val="single" w:color="auto" w:sz="4" w:space="0"/>
                    <w:bottom w:val="single" w:color="auto" w:sz="8"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right="0"/>
                    <w:jc w:val="center"/>
                    <w:rPr>
                      <w:rFonts w:hint="default" w:ascii="Times New Roman" w:hAnsi="Times New Roman" w:eastAsia="宋体" w:cs="Times New Roman"/>
                      <w:b w:val="0"/>
                      <w:bCs/>
                      <w:color w:val="auto"/>
                      <w:kern w:val="2"/>
                      <w:sz w:val="21"/>
                      <w:szCs w:val="21"/>
                      <w:lang w:val="en-US" w:eastAsia="zh-CN"/>
                    </w:rPr>
                  </w:pPr>
                  <w:r>
                    <w:rPr>
                      <w:rFonts w:hint="eastAsia" w:ascii="宋体" w:hAnsi="宋体" w:eastAsia="宋体" w:cs="宋体"/>
                      <w:b w:val="0"/>
                      <w:bCs/>
                      <w:color w:val="auto"/>
                      <w:kern w:val="2"/>
                      <w:sz w:val="21"/>
                      <w:szCs w:val="21"/>
                      <w:lang w:val="en-US" w:eastAsia="zh-CN" w:bidi="ar"/>
                    </w:rPr>
                    <w:t>含量</w:t>
                  </w:r>
                </w:p>
              </w:tc>
              <w:tc>
                <w:tcPr>
                  <w:tcW w:w="1111" w:type="dxa"/>
                  <w:tcBorders>
                    <w:top w:val="single" w:color="auto" w:sz="4" w:space="0"/>
                    <w:left w:val="single" w:color="auto" w:sz="4" w:space="0"/>
                    <w:bottom w:val="single" w:color="auto" w:sz="8"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right="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bidi="ar"/>
                    </w:rPr>
                    <w:t>4</w:t>
                  </w:r>
                  <w:r>
                    <w:rPr>
                      <w:rFonts w:hint="default" w:ascii="Times New Roman" w:hAnsi="Times New Roman" w:eastAsia="宋体" w:cs="Times New Roman"/>
                      <w:b w:val="0"/>
                      <w:bCs/>
                      <w:color w:val="auto"/>
                      <w:kern w:val="2"/>
                      <w:sz w:val="21"/>
                      <w:szCs w:val="21"/>
                      <w:lang w:val="en-US" w:eastAsia="zh-CN" w:bidi="ar"/>
                    </w:rPr>
                    <w:t>0%</w:t>
                  </w:r>
                </w:p>
              </w:tc>
              <w:tc>
                <w:tcPr>
                  <w:tcW w:w="1240" w:type="dxa"/>
                  <w:tcBorders>
                    <w:top w:val="single" w:color="auto" w:sz="4" w:space="0"/>
                    <w:left w:val="single" w:color="auto" w:sz="4" w:space="0"/>
                    <w:bottom w:val="single" w:color="auto" w:sz="8"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right="0"/>
                    <w:jc w:val="center"/>
                    <w:rPr>
                      <w:rFonts w:hint="default" w:ascii="Times New Roman" w:hAnsi="Times New Roman" w:eastAsia="宋体" w:cs="Times New Roman"/>
                      <w:b w:val="0"/>
                      <w:bCs/>
                      <w:color w:val="auto"/>
                      <w:kern w:val="2"/>
                      <w:sz w:val="21"/>
                      <w:szCs w:val="21"/>
                      <w:lang w:val="en-US" w:eastAsia="zh-CN"/>
                    </w:rPr>
                  </w:pPr>
                  <w:r>
                    <w:rPr>
                      <w:rFonts w:hint="default" w:ascii="Times New Roman" w:hAnsi="Times New Roman" w:eastAsia="宋体" w:cs="Times New Roman"/>
                      <w:b w:val="0"/>
                      <w:bCs/>
                      <w:color w:val="auto"/>
                      <w:kern w:val="2"/>
                      <w:sz w:val="21"/>
                      <w:szCs w:val="21"/>
                      <w:lang w:val="en-US" w:eastAsia="zh-CN" w:bidi="ar"/>
                    </w:rPr>
                    <w:t>30%</w:t>
                  </w:r>
                </w:p>
              </w:tc>
              <w:tc>
                <w:tcPr>
                  <w:tcW w:w="1213" w:type="dxa"/>
                  <w:tcBorders>
                    <w:top w:val="single" w:color="auto" w:sz="4" w:space="0"/>
                    <w:left w:val="single" w:color="auto" w:sz="4" w:space="0"/>
                    <w:bottom w:val="single" w:color="auto" w:sz="8" w:space="0"/>
                    <w:right w:val="single" w:color="auto" w:sz="4"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right="0"/>
                    <w:jc w:val="center"/>
                    <w:rPr>
                      <w:rFonts w:hint="default" w:ascii="Times New Roman" w:hAnsi="Times New Roman" w:eastAsia="宋体" w:cs="Times New Roman"/>
                      <w:b w:val="0"/>
                      <w:bCs/>
                      <w:color w:val="auto"/>
                      <w:kern w:val="2"/>
                      <w:sz w:val="21"/>
                      <w:szCs w:val="21"/>
                      <w:lang w:val="en-US" w:eastAsia="zh-CN"/>
                    </w:rPr>
                  </w:pPr>
                  <w:r>
                    <w:rPr>
                      <w:rFonts w:hint="default" w:ascii="Times New Roman" w:hAnsi="Times New Roman" w:eastAsia="宋体" w:cs="Times New Roman"/>
                      <w:b w:val="0"/>
                      <w:bCs/>
                      <w:color w:val="auto"/>
                      <w:kern w:val="2"/>
                      <w:sz w:val="21"/>
                      <w:szCs w:val="21"/>
                      <w:lang w:val="en-US" w:eastAsia="zh-CN" w:bidi="ar"/>
                    </w:rPr>
                    <w:t>10%</w:t>
                  </w:r>
                </w:p>
              </w:tc>
              <w:tc>
                <w:tcPr>
                  <w:tcW w:w="1242" w:type="dxa"/>
                  <w:tcBorders>
                    <w:top w:val="single" w:color="auto" w:sz="4" w:space="0"/>
                    <w:left w:val="single" w:color="auto" w:sz="4" w:space="0"/>
                    <w:bottom w:val="single" w:color="auto" w:sz="8"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right="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bidi="ar"/>
                    </w:rPr>
                    <w:t>5</w:t>
                  </w:r>
                  <w:r>
                    <w:rPr>
                      <w:rFonts w:hint="default" w:ascii="Times New Roman" w:hAnsi="Times New Roman" w:eastAsia="宋体" w:cs="Times New Roman"/>
                      <w:b w:val="0"/>
                      <w:bCs/>
                      <w:color w:val="auto"/>
                      <w:kern w:val="2"/>
                      <w:sz w:val="21"/>
                      <w:szCs w:val="21"/>
                      <w:lang w:val="en-US" w:eastAsia="zh-CN" w:bidi="ar"/>
                    </w:rPr>
                    <w:t>%</w:t>
                  </w:r>
                </w:p>
              </w:tc>
              <w:tc>
                <w:tcPr>
                  <w:tcW w:w="1283" w:type="dxa"/>
                  <w:tcBorders>
                    <w:top w:val="single" w:color="auto" w:sz="4" w:space="0"/>
                    <w:left w:val="single" w:color="auto" w:sz="4" w:space="0"/>
                    <w:bottom w:val="single" w:color="auto" w:sz="8"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right="0"/>
                    <w:jc w:val="center"/>
                    <w:rPr>
                      <w:rFonts w:hint="default" w:ascii="Times New Roman" w:hAnsi="Times New Roman" w:eastAsia="宋体" w:cs="Times New Roman"/>
                      <w:b w:val="0"/>
                      <w:bCs/>
                      <w:color w:val="auto"/>
                      <w:kern w:val="2"/>
                      <w:sz w:val="21"/>
                      <w:szCs w:val="21"/>
                      <w:lang w:val="en-US" w:eastAsia="zh-CN" w:bidi="ar"/>
                    </w:rPr>
                  </w:pPr>
                  <w:r>
                    <w:rPr>
                      <w:rFonts w:hint="eastAsia" w:ascii="Times New Roman" w:hAnsi="Times New Roman" w:eastAsia="宋体" w:cs="Times New Roman"/>
                      <w:b w:val="0"/>
                      <w:bCs/>
                      <w:color w:val="auto"/>
                      <w:kern w:val="2"/>
                      <w:sz w:val="21"/>
                      <w:szCs w:val="21"/>
                      <w:lang w:val="en-US" w:eastAsia="zh-CN" w:bidi="ar"/>
                    </w:rPr>
                    <w:t>10％</w:t>
                  </w:r>
                </w:p>
              </w:tc>
              <w:tc>
                <w:tcPr>
                  <w:tcW w:w="1217" w:type="dxa"/>
                  <w:tcBorders>
                    <w:top w:val="single" w:color="auto" w:sz="4" w:space="0"/>
                    <w:left w:val="single" w:color="auto" w:sz="4" w:space="0"/>
                    <w:bottom w:val="single" w:color="auto" w:sz="8" w:space="0"/>
                  </w:tcBorders>
                  <w:vAlign w:val="center"/>
                </w:tcPr>
                <w:p>
                  <w:pPr>
                    <w:keepNext w:val="0"/>
                    <w:keepLines w:val="0"/>
                    <w:widowControl w:val="0"/>
                    <w:suppressLineNumbers w:val="0"/>
                    <w:autoSpaceDE w:val="0"/>
                    <w:autoSpaceDN/>
                    <w:adjustRightInd w:val="0"/>
                    <w:snapToGrid w:val="0"/>
                    <w:spacing w:before="0" w:beforeAutospacing="0" w:after="0" w:afterAutospacing="0"/>
                    <w:ind w:left="0" w:right="0"/>
                    <w:jc w:val="center"/>
                    <w:rPr>
                      <w:rFonts w:hint="default" w:ascii="Times New Roman" w:hAnsi="Times New Roman" w:eastAsia="宋体" w:cs="Times New Roman"/>
                      <w:b w:val="0"/>
                      <w:bCs/>
                      <w:color w:val="auto"/>
                      <w:kern w:val="2"/>
                      <w:sz w:val="21"/>
                      <w:szCs w:val="21"/>
                      <w:lang w:val="en-US" w:eastAsia="zh-CN" w:bidi="ar"/>
                    </w:rPr>
                  </w:pPr>
                  <w:r>
                    <w:rPr>
                      <w:rFonts w:hint="eastAsia" w:ascii="Times New Roman" w:hAnsi="Times New Roman" w:eastAsia="宋体" w:cs="Times New Roman"/>
                      <w:b w:val="0"/>
                      <w:bCs/>
                      <w:color w:val="auto"/>
                      <w:kern w:val="2"/>
                      <w:sz w:val="21"/>
                      <w:szCs w:val="21"/>
                      <w:lang w:val="en-US" w:eastAsia="zh-CN" w:bidi="ar"/>
                    </w:rPr>
                    <w:t>5％</w:t>
                  </w:r>
                </w:p>
              </w:tc>
            </w:tr>
          </w:tbl>
          <w:p>
            <w:pPr>
              <w:pStyle w:val="13"/>
              <w:keepNext w:val="0"/>
              <w:keepLines w:val="0"/>
              <w:pageBreakBefore w:val="0"/>
              <w:widowControl w:val="0"/>
              <w:numPr>
                <w:ilvl w:val="0"/>
                <w:numId w:val="0"/>
              </w:numPr>
              <w:suppressLineNumbers w:val="0"/>
              <w:tabs>
                <w:tab w:val="clear" w:pos="0"/>
                <w:tab w:val="clear" w:pos="2040"/>
              </w:tabs>
              <w:kinsoku/>
              <w:wordWrap/>
              <w:overflowPunct/>
              <w:topLinePunct w:val="0"/>
              <w:autoSpaceDE/>
              <w:autoSpaceDN/>
              <w:bidi w:val="0"/>
              <w:adjustRightInd w:val="0"/>
              <w:snapToGrid w:val="0"/>
              <w:spacing w:before="0" w:beforeAutospacing="0" w:after="0" w:afterAutospacing="0" w:line="360" w:lineRule="auto"/>
              <w:ind w:right="0"/>
              <w:textAlignment w:val="auto"/>
              <w:outlineLvl w:val="9"/>
              <w:rPr>
                <w:rFonts w:hint="default" w:ascii="Times New Roman" w:hAnsi="Times New Roman" w:eastAsia="宋体" w:cs="Times New Roman"/>
                <w:b/>
                <w:bCs/>
                <w:color w:val="auto"/>
                <w:sz w:val="24"/>
                <w:szCs w:val="24"/>
                <w:highlight w:val="none"/>
                <w:u w:val="none" w:color="auto"/>
                <w:lang w:val="en-US" w:eastAsia="zh-CN"/>
              </w:rPr>
            </w:pPr>
            <w:r>
              <w:rPr>
                <w:rFonts w:hint="eastAsia" w:cs="Times New Roman"/>
                <w:b/>
                <w:bCs/>
                <w:color w:val="auto"/>
                <w:sz w:val="24"/>
                <w:szCs w:val="24"/>
                <w:highlight w:val="none"/>
                <w:u w:val="none" w:color="auto"/>
                <w:lang w:val="en-US" w:eastAsia="zh-CN"/>
              </w:rPr>
              <w:t>注：</w:t>
            </w:r>
            <w:r>
              <w:rPr>
                <w:rFonts w:hint="eastAsia" w:cs="Times New Roman"/>
                <w:b w:val="0"/>
                <w:bCs w:val="0"/>
                <w:color w:val="auto"/>
                <w:sz w:val="24"/>
                <w:szCs w:val="24"/>
                <w:highlight w:val="none"/>
                <w:u w:val="none" w:color="auto"/>
                <w:lang w:val="en-US" w:eastAsia="zh-CN"/>
              </w:rPr>
              <w:t>＜0.0005属于未检出；其他中的成分主要为混合稀土（La和Ce）及其他盐类物质。</w:t>
            </w:r>
          </w:p>
          <w:p>
            <w:pPr>
              <w:pStyle w:val="13"/>
              <w:keepNext w:val="0"/>
              <w:keepLines w:val="0"/>
              <w:pageBreakBefore w:val="0"/>
              <w:widowControl w:val="0"/>
              <w:numPr>
                <w:ilvl w:val="0"/>
                <w:numId w:val="0"/>
              </w:numPr>
              <w:suppressLineNumbers w:val="0"/>
              <w:tabs>
                <w:tab w:val="clear" w:pos="0"/>
                <w:tab w:val="clear" w:pos="2040"/>
              </w:tabs>
              <w:kinsoku/>
              <w:wordWrap/>
              <w:overflowPunct/>
              <w:topLinePunct w:val="0"/>
              <w:autoSpaceDE/>
              <w:autoSpaceDN/>
              <w:bidi w:val="0"/>
              <w:adjustRightInd w:val="0"/>
              <w:snapToGrid w:val="0"/>
              <w:spacing w:before="0" w:beforeAutospacing="0" w:after="0" w:afterAutospacing="0" w:line="360" w:lineRule="auto"/>
              <w:ind w:right="0"/>
              <w:textAlignment w:val="auto"/>
              <w:outlineLvl w:val="9"/>
              <w:rPr>
                <w:rFonts w:hint="default" w:ascii="Times New Roman" w:hAnsi="Times New Roman" w:eastAsia="宋体" w:cs="Times New Roman"/>
                <w:b/>
                <w:bCs/>
                <w:color w:val="auto"/>
                <w:sz w:val="24"/>
                <w:szCs w:val="24"/>
                <w:highlight w:val="none"/>
                <w:u w:val="none" w:color="auto"/>
              </w:rPr>
            </w:pPr>
            <w:r>
              <w:rPr>
                <w:rFonts w:hint="eastAsia" w:ascii="Times New Roman" w:hAnsi="Times New Roman" w:eastAsia="宋体" w:cs="Times New Roman"/>
                <w:b/>
                <w:bCs/>
                <w:color w:val="auto"/>
                <w:sz w:val="24"/>
                <w:szCs w:val="24"/>
                <w:highlight w:val="none"/>
                <w:u w:val="none" w:color="auto"/>
                <w:lang w:val="en-US" w:eastAsia="zh-CN"/>
              </w:rPr>
              <w:t>7.</w:t>
            </w:r>
            <w:r>
              <w:rPr>
                <w:rFonts w:hint="default" w:ascii="Times New Roman" w:hAnsi="Times New Roman" w:eastAsia="宋体" w:cs="Times New Roman"/>
                <w:b/>
                <w:bCs/>
                <w:color w:val="auto"/>
                <w:sz w:val="24"/>
                <w:szCs w:val="24"/>
                <w:highlight w:val="none"/>
                <w:u w:val="none" w:color="auto"/>
              </w:rPr>
              <w:t>机构设置及劳动定员</w:t>
            </w:r>
          </w:p>
          <w:p>
            <w:pPr>
              <w:pStyle w:val="13"/>
              <w:keepNext w:val="0"/>
              <w:keepLines w:val="0"/>
              <w:pageBreakBefore w:val="0"/>
              <w:widowControl w:val="0"/>
              <w:numPr>
                <w:ilvl w:val="0"/>
                <w:numId w:val="0"/>
              </w:numPr>
              <w:suppressLineNumbers w:val="0"/>
              <w:tabs>
                <w:tab w:val="clear" w:pos="0"/>
                <w:tab w:val="clear" w:pos="2040"/>
              </w:tabs>
              <w:kinsoku/>
              <w:wordWrap/>
              <w:overflowPunct/>
              <w:topLinePunct w:val="0"/>
              <w:autoSpaceDE/>
              <w:autoSpaceDN/>
              <w:bidi w:val="0"/>
              <w:adjustRightInd w:val="0"/>
              <w:snapToGrid w:val="0"/>
              <w:spacing w:before="0" w:beforeAutospacing="0" w:after="0" w:afterAutospacing="0" w:line="360" w:lineRule="auto"/>
              <w:ind w:leftChars="0" w:right="0" w:firstLine="480" w:firstLineChars="200"/>
              <w:textAlignment w:val="auto"/>
              <w:outlineLvl w:val="9"/>
              <w:rPr>
                <w:rFonts w:hint="default" w:ascii="Times New Roman" w:hAnsi="Times New Roman" w:cs="Times New Roman"/>
                <w:color w:val="auto"/>
                <w:sz w:val="24"/>
                <w:szCs w:val="24"/>
                <w:u w:val="none" w:color="auto"/>
                <w:lang w:val="en-US"/>
              </w:rPr>
            </w:pPr>
            <w:r>
              <w:rPr>
                <w:rFonts w:hint="eastAsia" w:ascii="Times New Roman" w:hAnsi="Times New Roman" w:eastAsia="宋体" w:cs="Times New Roman"/>
                <w:b w:val="0"/>
                <w:bCs w:val="0"/>
                <w:color w:val="auto"/>
                <w:sz w:val="24"/>
                <w:szCs w:val="24"/>
                <w:highlight w:val="none"/>
                <w:u w:val="none" w:color="auto"/>
                <w:lang w:val="en-US" w:eastAsia="zh-CN"/>
              </w:rPr>
              <w:t>本项目不新增劳动定员，由厂区现有职工调配，劳动定员及工作制度无变动。本项目年工作天数为200d，项目炒灰工序与扒渣工序保持同步运行。</w:t>
            </w:r>
          </w:p>
          <w:p>
            <w:pPr>
              <w:pStyle w:val="13"/>
              <w:keepNext w:val="0"/>
              <w:keepLines w:val="0"/>
              <w:pageBreakBefore w:val="0"/>
              <w:widowControl w:val="0"/>
              <w:numPr>
                <w:ilvl w:val="0"/>
                <w:numId w:val="0"/>
              </w:numPr>
              <w:suppressLineNumbers w:val="0"/>
              <w:tabs>
                <w:tab w:val="clear" w:pos="0"/>
                <w:tab w:val="clear" w:pos="2040"/>
              </w:tabs>
              <w:kinsoku/>
              <w:wordWrap/>
              <w:overflowPunct/>
              <w:topLinePunct w:val="0"/>
              <w:autoSpaceDE/>
              <w:autoSpaceDN/>
              <w:bidi w:val="0"/>
              <w:adjustRightInd w:val="0"/>
              <w:snapToGrid w:val="0"/>
              <w:spacing w:before="0" w:beforeAutospacing="0" w:after="0" w:afterAutospacing="0" w:line="360" w:lineRule="auto"/>
              <w:ind w:right="0"/>
              <w:textAlignment w:val="auto"/>
              <w:outlineLvl w:val="9"/>
              <w:rPr>
                <w:rFonts w:hint="default" w:ascii="Times New Roman" w:hAnsi="Times New Roman" w:eastAsia="宋体" w:cs="Times New Roman"/>
                <w:b/>
                <w:bCs/>
                <w:color w:val="auto"/>
                <w:sz w:val="24"/>
                <w:szCs w:val="24"/>
                <w:highlight w:val="none"/>
                <w:u w:val="none" w:color="auto"/>
                <w:lang w:val="en-US" w:eastAsia="zh-CN"/>
              </w:rPr>
            </w:pPr>
            <w:r>
              <w:rPr>
                <w:rFonts w:hint="eastAsia" w:cs="Times New Roman"/>
                <w:b/>
                <w:bCs/>
                <w:color w:val="auto"/>
                <w:sz w:val="24"/>
                <w:szCs w:val="24"/>
                <w:highlight w:val="none"/>
                <w:u w:val="none" w:color="auto"/>
                <w:lang w:val="en-US" w:eastAsia="zh-CN"/>
              </w:rPr>
              <w:t>8</w:t>
            </w:r>
            <w:r>
              <w:rPr>
                <w:rFonts w:hint="eastAsia" w:ascii="Times New Roman" w:hAnsi="Times New Roman" w:eastAsia="宋体" w:cs="Times New Roman"/>
                <w:b/>
                <w:bCs/>
                <w:color w:val="auto"/>
                <w:sz w:val="24"/>
                <w:szCs w:val="24"/>
                <w:highlight w:val="none"/>
                <w:u w:val="none" w:color="auto"/>
                <w:lang w:val="en-US" w:eastAsia="zh-CN"/>
              </w:rPr>
              <w:t>.</w:t>
            </w:r>
            <w:r>
              <w:rPr>
                <w:rFonts w:hint="default" w:ascii="Times New Roman" w:hAnsi="Times New Roman" w:eastAsia="宋体" w:cs="Times New Roman"/>
                <w:b/>
                <w:bCs/>
                <w:color w:val="auto"/>
                <w:sz w:val="24"/>
                <w:szCs w:val="24"/>
                <w:highlight w:val="none"/>
                <w:u w:val="none" w:color="auto"/>
                <w:lang w:val="en-US" w:eastAsia="zh-CN"/>
              </w:rPr>
              <w:t>厂区平面布置</w:t>
            </w:r>
          </w:p>
          <w:p>
            <w:pPr>
              <w:pStyle w:val="13"/>
              <w:keepNext w:val="0"/>
              <w:keepLines w:val="0"/>
              <w:pageBreakBefore w:val="0"/>
              <w:widowControl w:val="0"/>
              <w:numPr>
                <w:ilvl w:val="0"/>
                <w:numId w:val="0"/>
              </w:numPr>
              <w:suppressLineNumbers w:val="0"/>
              <w:tabs>
                <w:tab w:val="clear" w:pos="0"/>
                <w:tab w:val="clear" w:pos="2040"/>
              </w:tabs>
              <w:kinsoku/>
              <w:wordWrap/>
              <w:overflowPunct/>
              <w:topLinePunct w:val="0"/>
              <w:autoSpaceDE/>
              <w:autoSpaceDN/>
              <w:bidi w:val="0"/>
              <w:adjustRightInd w:val="0"/>
              <w:snapToGrid w:val="0"/>
              <w:spacing w:before="0" w:beforeAutospacing="0" w:after="0" w:afterAutospacing="0" w:line="360" w:lineRule="auto"/>
              <w:ind w:right="0" w:firstLine="480" w:firstLineChars="200"/>
              <w:textAlignment w:val="auto"/>
              <w:outlineLvl w:val="9"/>
              <w:rPr>
                <w:rFonts w:hint="default" w:ascii="Times New Roman" w:hAnsi="Times New Roman" w:eastAsia="宋体" w:cs="Times New Roman"/>
                <w:b w:val="0"/>
                <w:bCs w:val="0"/>
                <w:color w:val="auto"/>
                <w:sz w:val="24"/>
                <w:szCs w:val="24"/>
                <w:highlight w:val="none"/>
                <w:u w:val="none" w:color="auto"/>
                <w:lang w:val="en-US" w:eastAsia="zh-CN"/>
              </w:rPr>
            </w:pPr>
            <w:r>
              <w:rPr>
                <w:rFonts w:hint="default" w:ascii="Times New Roman" w:hAnsi="Times New Roman" w:eastAsia="宋体" w:cs="Times New Roman"/>
                <w:b w:val="0"/>
                <w:bCs w:val="0"/>
                <w:color w:val="auto"/>
                <w:sz w:val="24"/>
                <w:szCs w:val="24"/>
                <w:highlight w:val="none"/>
                <w:u w:val="none" w:color="auto"/>
                <w:lang w:val="en-US" w:eastAsia="zh-CN"/>
              </w:rPr>
              <w:t>本项目</w:t>
            </w:r>
            <w:r>
              <w:rPr>
                <w:rFonts w:hint="eastAsia" w:ascii="Times New Roman" w:hAnsi="Times New Roman" w:eastAsia="宋体" w:cs="Times New Roman"/>
                <w:b w:val="0"/>
                <w:bCs w:val="0"/>
                <w:color w:val="auto"/>
                <w:sz w:val="24"/>
                <w:szCs w:val="24"/>
                <w:highlight w:val="none"/>
                <w:u w:val="none" w:color="auto"/>
                <w:lang w:val="en-US" w:eastAsia="zh-CN"/>
              </w:rPr>
              <w:t>利用厂区现有车间，车间呈东西长南北宽，建设1台铝灰炒灰机及1台冷灰桶，坐落在车间中东部偏北，车间两端为原料区，中间为成品区，车间功能布局合理，车间功能布局图详见附图</w:t>
            </w:r>
            <w:r>
              <w:rPr>
                <w:rFonts w:hint="eastAsia" w:ascii="Times New Roman" w:hAnsi="Times New Roman" w:eastAsia="宋体" w:cs="Times New Roman"/>
                <w:b w:val="0"/>
                <w:bCs w:val="0"/>
                <w:color w:val="auto"/>
                <w:sz w:val="24"/>
                <w:szCs w:val="24"/>
                <w:highlight w:val="none"/>
                <w:u w:val="none" w:color="auto"/>
                <w:lang w:eastAsia="zh-CN"/>
              </w:rPr>
              <w:t>。</w:t>
            </w:r>
          </w:p>
          <w:p>
            <w:pPr>
              <w:pStyle w:val="13"/>
              <w:keepNext w:val="0"/>
              <w:keepLines w:val="0"/>
              <w:pageBreakBefore w:val="0"/>
              <w:widowControl w:val="0"/>
              <w:numPr>
                <w:ilvl w:val="0"/>
                <w:numId w:val="0"/>
              </w:numPr>
              <w:suppressLineNumbers w:val="0"/>
              <w:tabs>
                <w:tab w:val="clear" w:pos="0"/>
                <w:tab w:val="clear" w:pos="2040"/>
              </w:tabs>
              <w:kinsoku/>
              <w:wordWrap/>
              <w:overflowPunct/>
              <w:topLinePunct w:val="0"/>
              <w:autoSpaceDE/>
              <w:autoSpaceDN/>
              <w:bidi w:val="0"/>
              <w:adjustRightInd w:val="0"/>
              <w:snapToGrid w:val="0"/>
              <w:spacing w:before="0" w:beforeAutospacing="0" w:after="0" w:afterAutospacing="0" w:line="360" w:lineRule="auto"/>
              <w:ind w:right="0"/>
              <w:textAlignment w:val="auto"/>
              <w:outlineLvl w:val="9"/>
              <w:rPr>
                <w:rFonts w:hint="default" w:ascii="Times New Roman" w:hAnsi="Times New Roman" w:eastAsia="宋体" w:cs="Times New Roman"/>
                <w:b/>
                <w:bCs/>
                <w:color w:val="auto"/>
                <w:sz w:val="24"/>
                <w:szCs w:val="24"/>
                <w:highlight w:val="none"/>
                <w:u w:val="none" w:color="auto"/>
              </w:rPr>
            </w:pPr>
            <w:r>
              <w:rPr>
                <w:rFonts w:hint="eastAsia" w:cs="Times New Roman"/>
                <w:b/>
                <w:bCs/>
                <w:color w:val="auto"/>
                <w:sz w:val="24"/>
                <w:szCs w:val="24"/>
                <w:highlight w:val="none"/>
                <w:u w:val="none" w:color="auto"/>
                <w:lang w:val="en-US" w:eastAsia="zh-CN"/>
              </w:rPr>
              <w:t>9</w:t>
            </w:r>
            <w:r>
              <w:rPr>
                <w:rFonts w:hint="eastAsia" w:ascii="Times New Roman" w:hAnsi="Times New Roman" w:eastAsia="宋体" w:cs="Times New Roman"/>
                <w:b/>
                <w:bCs/>
                <w:color w:val="auto"/>
                <w:sz w:val="24"/>
                <w:szCs w:val="24"/>
                <w:highlight w:val="none"/>
                <w:u w:val="none" w:color="auto"/>
                <w:lang w:val="en-US" w:eastAsia="zh-CN"/>
              </w:rPr>
              <w:t>.</w:t>
            </w:r>
            <w:r>
              <w:rPr>
                <w:rFonts w:hint="default" w:ascii="Times New Roman" w:hAnsi="Times New Roman" w:eastAsia="宋体" w:cs="Times New Roman"/>
                <w:b/>
                <w:bCs/>
                <w:color w:val="auto"/>
                <w:sz w:val="24"/>
                <w:szCs w:val="24"/>
                <w:highlight w:val="none"/>
                <w:u w:val="none" w:color="auto"/>
              </w:rPr>
              <w:t>公用工程</w:t>
            </w:r>
          </w:p>
          <w:p>
            <w:pPr>
              <w:pStyle w:val="13"/>
              <w:keepNext w:val="0"/>
              <w:keepLines w:val="0"/>
              <w:pageBreakBefore w:val="0"/>
              <w:widowControl w:val="0"/>
              <w:numPr>
                <w:ilvl w:val="0"/>
                <w:numId w:val="0"/>
              </w:numPr>
              <w:suppressLineNumbers w:val="0"/>
              <w:tabs>
                <w:tab w:val="clear" w:pos="0"/>
                <w:tab w:val="clear" w:pos="2040"/>
              </w:tabs>
              <w:kinsoku/>
              <w:wordWrap/>
              <w:overflowPunct/>
              <w:topLinePunct w:val="0"/>
              <w:autoSpaceDE/>
              <w:autoSpaceDN/>
              <w:bidi w:val="0"/>
              <w:adjustRightInd w:val="0"/>
              <w:snapToGrid w:val="0"/>
              <w:spacing w:before="0" w:beforeAutospacing="0" w:after="0" w:afterAutospacing="0" w:line="360" w:lineRule="auto"/>
              <w:ind w:right="0" w:firstLine="241" w:firstLineChars="100"/>
              <w:textAlignment w:val="auto"/>
              <w:outlineLvl w:val="9"/>
              <w:rPr>
                <w:rFonts w:hint="default" w:ascii="Times New Roman" w:hAnsi="Times New Roman" w:eastAsia="宋体" w:cs="Times New Roman"/>
                <w:b/>
                <w:bCs/>
                <w:color w:val="auto"/>
                <w:sz w:val="24"/>
                <w:szCs w:val="24"/>
                <w:highlight w:val="none"/>
                <w:u w:val="none" w:color="auto"/>
                <w:lang w:val="en-US" w:eastAsia="zh-CN"/>
              </w:rPr>
            </w:pPr>
            <w:r>
              <w:rPr>
                <w:rFonts w:hint="eastAsia" w:cs="Times New Roman"/>
                <w:b/>
                <w:bCs/>
                <w:color w:val="auto"/>
                <w:sz w:val="24"/>
                <w:szCs w:val="24"/>
                <w:highlight w:val="none"/>
                <w:u w:val="none" w:color="auto"/>
                <w:lang w:val="en-US" w:eastAsia="zh-CN"/>
              </w:rPr>
              <w:t>9</w:t>
            </w:r>
            <w:r>
              <w:rPr>
                <w:rFonts w:hint="eastAsia" w:ascii="Times New Roman" w:hAnsi="Times New Roman" w:eastAsia="宋体" w:cs="Times New Roman"/>
                <w:b/>
                <w:bCs/>
                <w:color w:val="auto"/>
                <w:sz w:val="24"/>
                <w:szCs w:val="24"/>
                <w:highlight w:val="none"/>
                <w:u w:val="none" w:color="auto"/>
                <w:lang w:val="en-US" w:eastAsia="zh-CN"/>
              </w:rPr>
              <w:t>.1</w:t>
            </w:r>
            <w:r>
              <w:rPr>
                <w:rFonts w:hint="default" w:ascii="Times New Roman" w:hAnsi="Times New Roman" w:eastAsia="宋体" w:cs="Times New Roman"/>
                <w:b/>
                <w:bCs/>
                <w:color w:val="auto"/>
                <w:sz w:val="24"/>
                <w:szCs w:val="24"/>
                <w:highlight w:val="none"/>
                <w:u w:val="none" w:color="auto"/>
                <w:lang w:val="en-US" w:eastAsia="zh-CN"/>
              </w:rPr>
              <w:t>供排水</w:t>
            </w:r>
          </w:p>
          <w:p>
            <w:pPr>
              <w:pStyle w:val="13"/>
              <w:keepNext w:val="0"/>
              <w:keepLines w:val="0"/>
              <w:pageBreakBefore w:val="0"/>
              <w:widowControl w:val="0"/>
              <w:numPr>
                <w:ilvl w:val="0"/>
                <w:numId w:val="0"/>
              </w:numPr>
              <w:suppressLineNumbers w:val="0"/>
              <w:tabs>
                <w:tab w:val="clear" w:pos="0"/>
                <w:tab w:val="clear" w:pos="2040"/>
              </w:tabs>
              <w:kinsoku/>
              <w:wordWrap/>
              <w:overflowPunct/>
              <w:topLinePunct w:val="0"/>
              <w:autoSpaceDE/>
              <w:autoSpaceDN/>
              <w:bidi w:val="0"/>
              <w:adjustRightInd w:val="0"/>
              <w:snapToGrid w:val="0"/>
              <w:spacing w:before="0" w:beforeAutospacing="0" w:after="0" w:afterAutospacing="0" w:line="360" w:lineRule="auto"/>
              <w:ind w:right="0" w:firstLine="480" w:firstLineChars="200"/>
              <w:textAlignment w:val="auto"/>
              <w:outlineLvl w:val="9"/>
              <w:rPr>
                <w:rFonts w:hint="default" w:ascii="Times New Roman" w:hAnsi="Times New Roman" w:eastAsia="宋体" w:cs="Times New Roman"/>
                <w:b w:val="0"/>
                <w:bCs w:val="0"/>
                <w:color w:val="auto"/>
                <w:sz w:val="24"/>
                <w:szCs w:val="24"/>
                <w:highlight w:val="none"/>
                <w:u w:val="none" w:color="auto"/>
                <w:lang w:val="en-US" w:eastAsia="zh-CN"/>
              </w:rPr>
            </w:pPr>
            <w:r>
              <w:rPr>
                <w:rFonts w:hint="default" w:ascii="Times New Roman" w:hAnsi="Times New Roman" w:eastAsia="宋体" w:cs="Times New Roman"/>
                <w:b w:val="0"/>
                <w:bCs w:val="0"/>
                <w:color w:val="auto"/>
                <w:sz w:val="24"/>
                <w:szCs w:val="24"/>
                <w:highlight w:val="none"/>
                <w:u w:val="none" w:color="auto"/>
                <w:lang w:val="en-US" w:eastAsia="zh-CN"/>
              </w:rPr>
              <w:t>本项目</w:t>
            </w:r>
            <w:r>
              <w:rPr>
                <w:rFonts w:hint="eastAsia" w:ascii="Times New Roman" w:hAnsi="Times New Roman" w:eastAsia="宋体" w:cs="Times New Roman"/>
                <w:b w:val="0"/>
                <w:bCs w:val="0"/>
                <w:color w:val="auto"/>
                <w:sz w:val="24"/>
                <w:szCs w:val="24"/>
                <w:highlight w:val="none"/>
                <w:u w:val="none" w:color="auto"/>
                <w:lang w:val="en-US" w:eastAsia="zh-CN"/>
              </w:rPr>
              <w:t>职工由现有职工调配，不新增职工人数，无新增生活用水；项目生产废水主要为冷灰桶冷却用水及车间</w:t>
            </w:r>
            <w:r>
              <w:rPr>
                <w:rFonts w:hint="eastAsia" w:cs="Times New Roman"/>
                <w:b w:val="0"/>
                <w:bCs w:val="0"/>
                <w:color w:val="auto"/>
                <w:sz w:val="24"/>
                <w:szCs w:val="24"/>
                <w:highlight w:val="none"/>
                <w:u w:val="none" w:color="auto"/>
                <w:lang w:val="en-US" w:eastAsia="zh-CN"/>
              </w:rPr>
              <w:t>洒扫用水</w:t>
            </w:r>
            <w:r>
              <w:rPr>
                <w:rFonts w:hint="eastAsia" w:ascii="Times New Roman" w:hAnsi="Times New Roman" w:eastAsia="宋体" w:cs="Times New Roman"/>
                <w:b w:val="0"/>
                <w:bCs w:val="0"/>
                <w:color w:val="auto"/>
                <w:sz w:val="24"/>
                <w:szCs w:val="24"/>
                <w:highlight w:val="none"/>
                <w:u w:val="none" w:color="auto"/>
                <w:lang w:val="en-US" w:eastAsia="zh-CN"/>
              </w:rPr>
              <w:t>。冷灰桶冷却用水经闭式冷却水循环系统收集、处理后循环使用，不外排；车间</w:t>
            </w:r>
            <w:r>
              <w:rPr>
                <w:rFonts w:hint="eastAsia" w:cs="Times New Roman"/>
                <w:b w:val="0"/>
                <w:bCs w:val="0"/>
                <w:color w:val="auto"/>
                <w:sz w:val="24"/>
                <w:szCs w:val="24"/>
                <w:highlight w:val="none"/>
                <w:u w:val="none" w:color="auto"/>
                <w:lang w:val="en-US" w:eastAsia="zh-CN"/>
              </w:rPr>
              <w:t>洒扫</w:t>
            </w:r>
            <w:r>
              <w:rPr>
                <w:rFonts w:hint="eastAsia" w:ascii="Times New Roman" w:hAnsi="Times New Roman" w:eastAsia="宋体" w:cs="Times New Roman"/>
                <w:b w:val="0"/>
                <w:bCs w:val="0"/>
                <w:color w:val="auto"/>
                <w:sz w:val="24"/>
                <w:szCs w:val="24"/>
                <w:highlight w:val="none"/>
                <w:u w:val="none" w:color="auto"/>
                <w:lang w:val="en-US" w:eastAsia="zh-CN"/>
              </w:rPr>
              <w:t>废水</w:t>
            </w:r>
            <w:r>
              <w:rPr>
                <w:rFonts w:hint="eastAsia" w:cs="Times New Roman"/>
                <w:b w:val="0"/>
                <w:bCs w:val="0"/>
                <w:color w:val="auto"/>
                <w:sz w:val="24"/>
                <w:szCs w:val="24"/>
                <w:highlight w:val="none"/>
                <w:u w:val="none" w:color="auto"/>
                <w:lang w:val="en-US" w:eastAsia="zh-CN"/>
              </w:rPr>
              <w:t>全部蒸发损耗，不外排</w:t>
            </w:r>
            <w:r>
              <w:rPr>
                <w:rFonts w:hint="eastAsia" w:ascii="Times New Roman" w:hAnsi="Times New Roman" w:eastAsia="宋体" w:cs="Times New Roman"/>
                <w:b w:val="0"/>
                <w:bCs w:val="0"/>
                <w:color w:val="auto"/>
                <w:sz w:val="24"/>
                <w:szCs w:val="24"/>
                <w:highlight w:val="none"/>
                <w:u w:val="none" w:color="auto"/>
                <w:lang w:val="en-US" w:eastAsia="zh-CN"/>
              </w:rPr>
              <w:t>。</w:t>
            </w:r>
          </w:p>
          <w:p>
            <w:pPr>
              <w:pStyle w:val="13"/>
              <w:keepNext w:val="0"/>
              <w:keepLines w:val="0"/>
              <w:pageBreakBefore w:val="0"/>
              <w:widowControl w:val="0"/>
              <w:numPr>
                <w:ilvl w:val="0"/>
                <w:numId w:val="0"/>
              </w:numPr>
              <w:suppressLineNumbers w:val="0"/>
              <w:tabs>
                <w:tab w:val="clear" w:pos="0"/>
                <w:tab w:val="clear" w:pos="2040"/>
              </w:tabs>
              <w:kinsoku/>
              <w:wordWrap/>
              <w:overflowPunct/>
              <w:topLinePunct w:val="0"/>
              <w:autoSpaceDE/>
              <w:autoSpaceDN/>
              <w:bidi w:val="0"/>
              <w:adjustRightInd w:val="0"/>
              <w:snapToGrid w:val="0"/>
              <w:spacing w:before="0" w:beforeAutospacing="0" w:after="0" w:afterAutospacing="0" w:line="360" w:lineRule="auto"/>
              <w:ind w:right="0" w:firstLine="241" w:firstLineChars="100"/>
              <w:textAlignment w:val="auto"/>
              <w:outlineLvl w:val="9"/>
              <w:rPr>
                <w:rFonts w:hint="default" w:ascii="Times New Roman" w:hAnsi="Times New Roman" w:eastAsia="宋体" w:cs="Times New Roman"/>
                <w:b/>
                <w:bCs/>
                <w:color w:val="auto"/>
                <w:sz w:val="24"/>
                <w:szCs w:val="24"/>
                <w:highlight w:val="none"/>
                <w:u w:val="none" w:color="auto"/>
              </w:rPr>
            </w:pPr>
            <w:r>
              <w:rPr>
                <w:rFonts w:hint="eastAsia" w:cs="Times New Roman"/>
                <w:b/>
                <w:bCs/>
                <w:color w:val="auto"/>
                <w:sz w:val="24"/>
                <w:szCs w:val="24"/>
                <w:highlight w:val="none"/>
                <w:u w:val="none" w:color="auto"/>
                <w:lang w:val="en-US" w:eastAsia="zh-CN"/>
              </w:rPr>
              <w:t>9</w:t>
            </w:r>
            <w:r>
              <w:rPr>
                <w:rFonts w:hint="eastAsia" w:ascii="Times New Roman" w:hAnsi="Times New Roman" w:eastAsia="宋体" w:cs="Times New Roman"/>
                <w:b/>
                <w:bCs/>
                <w:color w:val="auto"/>
                <w:sz w:val="24"/>
                <w:szCs w:val="24"/>
                <w:highlight w:val="none"/>
                <w:u w:val="none" w:color="auto"/>
                <w:lang w:val="en-US" w:eastAsia="zh-CN"/>
              </w:rPr>
              <w:t>.2</w:t>
            </w:r>
            <w:r>
              <w:rPr>
                <w:rFonts w:hint="default" w:ascii="Times New Roman" w:hAnsi="Times New Roman" w:eastAsia="宋体" w:cs="Times New Roman"/>
                <w:b/>
                <w:bCs/>
                <w:color w:val="auto"/>
                <w:sz w:val="24"/>
                <w:szCs w:val="24"/>
                <w:highlight w:val="none"/>
                <w:u w:val="none" w:color="auto"/>
              </w:rPr>
              <w:t>供电</w:t>
            </w:r>
          </w:p>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360" w:lineRule="auto"/>
              <w:ind w:left="0" w:leftChars="0" w:right="0" w:firstLine="480" w:firstLineChars="200"/>
              <w:textAlignment w:val="auto"/>
              <w:rPr>
                <w:rFonts w:hint="eastAsia" w:ascii="Times New Roman" w:hAnsi="Times New Roman" w:eastAsia="宋体" w:cs="Times New Roman"/>
                <w:b w:val="0"/>
                <w:bCs w:val="0"/>
                <w:color w:val="auto"/>
                <w:sz w:val="24"/>
                <w:szCs w:val="24"/>
                <w:highlight w:val="none"/>
                <w:u w:val="none" w:color="auto"/>
                <w:lang w:val="en-US" w:eastAsia="zh-CN"/>
              </w:rPr>
            </w:pPr>
            <w:r>
              <w:rPr>
                <w:rFonts w:hint="default" w:ascii="Times New Roman" w:hAnsi="Times New Roman" w:eastAsia="宋体" w:cs="Times New Roman"/>
                <w:b w:val="0"/>
                <w:bCs w:val="0"/>
                <w:color w:val="auto"/>
                <w:sz w:val="24"/>
                <w:szCs w:val="24"/>
                <w:highlight w:val="none"/>
                <w:u w:val="none" w:color="auto"/>
                <w:lang w:val="en-US" w:eastAsia="zh-CN"/>
              </w:rPr>
              <w:t>本项目</w:t>
            </w:r>
            <w:r>
              <w:rPr>
                <w:rFonts w:hint="eastAsia" w:ascii="Times New Roman" w:hAnsi="Times New Roman" w:eastAsia="宋体" w:cs="Times New Roman"/>
                <w:b w:val="0"/>
                <w:bCs w:val="0"/>
                <w:color w:val="auto"/>
                <w:sz w:val="24"/>
                <w:szCs w:val="24"/>
                <w:highlight w:val="none"/>
                <w:u w:val="none" w:color="auto"/>
                <w:lang w:val="en-US" w:eastAsia="zh-CN"/>
              </w:rPr>
              <w:t>由宜沟镇电网供给，满足需求。</w:t>
            </w:r>
          </w:p>
          <w:p>
            <w:pPr>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360" w:lineRule="auto"/>
              <w:ind w:left="0" w:right="0"/>
              <w:textAlignment w:val="auto"/>
              <w:rPr>
                <w:rFonts w:hint="eastAsia" w:ascii="Times New Roman" w:hAnsi="Times New Roman" w:eastAsia="宋体" w:cs="Times New Roman"/>
                <w:b/>
                <w:bCs/>
                <w:color w:val="auto"/>
                <w:sz w:val="24"/>
                <w:szCs w:val="24"/>
                <w:highlight w:val="none"/>
                <w:u w:val="none" w:color="auto"/>
                <w:lang w:val="en-US" w:eastAsia="zh-CN"/>
              </w:rPr>
            </w:pPr>
            <w:r>
              <w:rPr>
                <w:rFonts w:hint="eastAsia" w:cs="Times New Roman"/>
                <w:b/>
                <w:bCs/>
                <w:color w:val="auto"/>
                <w:kern w:val="2"/>
                <w:sz w:val="24"/>
                <w:szCs w:val="24"/>
                <w:u w:color="auto"/>
                <w:lang w:val="en-US" w:eastAsia="zh-CN" w:bidi="ar-SA"/>
              </w:rPr>
              <w:t>10</w:t>
            </w:r>
            <w:r>
              <w:rPr>
                <w:rFonts w:hint="eastAsia" w:ascii="Times New Roman" w:hAnsi="Times New Roman" w:eastAsia="宋体" w:cs="Times New Roman"/>
                <w:b/>
                <w:bCs/>
                <w:color w:val="auto"/>
                <w:kern w:val="2"/>
                <w:sz w:val="24"/>
                <w:szCs w:val="24"/>
                <w:u w:color="auto"/>
                <w:lang w:val="en-US" w:eastAsia="zh-CN" w:bidi="ar-SA"/>
              </w:rPr>
              <w:t>.</w:t>
            </w:r>
            <w:r>
              <w:rPr>
                <w:rFonts w:hint="eastAsia" w:ascii="Times New Roman" w:hAnsi="Times New Roman" w:eastAsia="宋体" w:cs="Times New Roman"/>
                <w:b/>
                <w:bCs/>
                <w:color w:val="auto"/>
                <w:sz w:val="24"/>
                <w:szCs w:val="24"/>
                <w:highlight w:val="none"/>
                <w:u w:val="none" w:color="auto"/>
                <w:lang w:val="en-US" w:eastAsia="zh-CN"/>
              </w:rPr>
              <w:t>物料平衡分析</w:t>
            </w:r>
          </w:p>
          <w:p>
            <w:pPr>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360" w:lineRule="auto"/>
              <w:ind w:left="0" w:right="0" w:firstLine="241" w:firstLineChars="100"/>
              <w:textAlignment w:val="auto"/>
              <w:rPr>
                <w:rFonts w:hint="eastAsia" w:ascii="Times New Roman" w:hAnsi="Times New Roman" w:eastAsia="宋体" w:cs="Times New Roman"/>
                <w:b/>
                <w:bCs/>
                <w:color w:val="auto"/>
                <w:sz w:val="24"/>
                <w:szCs w:val="24"/>
                <w:highlight w:val="none"/>
                <w:u w:val="none" w:color="auto"/>
                <w:lang w:val="en-US" w:eastAsia="zh-CN"/>
              </w:rPr>
            </w:pPr>
            <w:r>
              <w:rPr>
                <w:rFonts w:hint="eastAsia" w:cs="Times New Roman"/>
                <w:b/>
                <w:bCs/>
                <w:color w:val="auto"/>
                <w:sz w:val="24"/>
                <w:szCs w:val="24"/>
                <w:highlight w:val="none"/>
                <w:u w:val="none" w:color="auto"/>
                <w:lang w:val="en-US" w:eastAsia="zh-CN"/>
              </w:rPr>
              <w:t>10</w:t>
            </w:r>
            <w:r>
              <w:rPr>
                <w:rFonts w:hint="eastAsia" w:ascii="Times New Roman" w:hAnsi="Times New Roman" w:eastAsia="宋体" w:cs="Times New Roman"/>
                <w:b/>
                <w:bCs/>
                <w:color w:val="auto"/>
                <w:sz w:val="24"/>
                <w:szCs w:val="24"/>
                <w:highlight w:val="none"/>
                <w:u w:val="none" w:color="auto"/>
                <w:lang w:val="en-US" w:eastAsia="zh-CN"/>
              </w:rPr>
              <w:t>.1本项目总物料平衡</w:t>
            </w:r>
          </w:p>
          <w:p>
            <w:pPr>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240" w:lineRule="auto"/>
              <w:ind w:left="0" w:right="0" w:firstLine="241" w:firstLineChars="100"/>
              <w:jc w:val="center"/>
              <w:textAlignment w:val="auto"/>
              <w:rPr>
                <w:rFonts w:hint="eastAsia"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总物料平衡一</w:t>
            </w:r>
            <w:r>
              <w:rPr>
                <w:rFonts w:hint="default" w:ascii="Times New Roman" w:hAnsi="Times New Roman" w:eastAsia="宋体" w:cs="Times New Roman"/>
                <w:b/>
                <w:bCs/>
                <w:color w:val="auto"/>
                <w:sz w:val="24"/>
                <w:szCs w:val="24"/>
                <w:highlight w:val="none"/>
                <w:u w:val="none" w:color="auto"/>
                <w:lang w:val="en-US" w:eastAsia="zh-CN"/>
              </w:rPr>
              <w:t>览表</w:t>
            </w:r>
          </w:p>
          <w:tbl>
            <w:tblPr>
              <w:tblStyle w:val="27"/>
              <w:tblW w:w="8420" w:type="dxa"/>
              <w:jc w:val="center"/>
              <w:tblInd w:w="0"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105"/>
              <w:gridCol w:w="2105"/>
              <w:gridCol w:w="2105"/>
              <w:gridCol w:w="2105"/>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307" w:hRule="atLeast"/>
                <w:jc w:val="center"/>
              </w:trPr>
              <w:tc>
                <w:tcPr>
                  <w:tcW w:w="4210" w:type="dxa"/>
                  <w:gridSpan w:val="2"/>
                  <w:tcBorders>
                    <w:top w:val="single" w:color="auto" w:sz="8"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eastAsia" w:ascii="宋体" w:hAnsi="宋体" w:eastAsia="宋体" w:cs="宋体"/>
                      <w:b/>
                      <w:bCs/>
                      <w:color w:val="auto"/>
                      <w:kern w:val="0"/>
                      <w:sz w:val="21"/>
                      <w:szCs w:val="21"/>
                      <w:lang w:val="en-US" w:eastAsia="zh-CN" w:bidi="ar"/>
                    </w:rPr>
                    <w:t>投入</w:t>
                  </w:r>
                </w:p>
              </w:tc>
              <w:tc>
                <w:tcPr>
                  <w:tcW w:w="4210" w:type="dxa"/>
                  <w:gridSpan w:val="2"/>
                  <w:tcBorders>
                    <w:top w:val="single" w:color="auto" w:sz="8" w:space="0"/>
                    <w:left w:val="single" w:color="auto" w:sz="4" w:space="0"/>
                    <w:bottom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eastAsia" w:ascii="宋体" w:hAnsi="宋体" w:eastAsia="宋体" w:cs="宋体"/>
                      <w:b/>
                      <w:bCs/>
                      <w:color w:val="auto"/>
                      <w:kern w:val="0"/>
                      <w:sz w:val="21"/>
                      <w:szCs w:val="21"/>
                      <w:lang w:val="en-US" w:eastAsia="zh-CN" w:bidi="ar"/>
                    </w:rPr>
                    <w:t>产出</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jc w:val="center"/>
              </w:trPr>
              <w:tc>
                <w:tcPr>
                  <w:tcW w:w="2105" w:type="dxa"/>
                  <w:tcBorders>
                    <w:top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eastAsia" w:ascii="宋体" w:hAnsi="宋体" w:eastAsia="宋体" w:cs="宋体"/>
                      <w:b/>
                      <w:bCs/>
                      <w:color w:val="auto"/>
                      <w:kern w:val="0"/>
                      <w:sz w:val="21"/>
                      <w:szCs w:val="21"/>
                      <w:lang w:val="en-US" w:eastAsia="zh-CN" w:bidi="ar"/>
                    </w:rPr>
                    <w:t>物料名称</w:t>
                  </w:r>
                </w:p>
              </w:tc>
              <w:tc>
                <w:tcPr>
                  <w:tcW w:w="21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default" w:ascii="Times New Roman" w:hAnsi="Times New Roman" w:eastAsia="宋体" w:cs="Times New Roman"/>
                      <w:b/>
                      <w:bCs/>
                      <w:color w:val="auto"/>
                      <w:kern w:val="0"/>
                      <w:sz w:val="21"/>
                      <w:szCs w:val="21"/>
                      <w:lang w:val="en-US" w:eastAsia="zh-CN" w:bidi="ar"/>
                    </w:rPr>
                    <w:t>数量（t/a）</w:t>
                  </w:r>
                </w:p>
              </w:tc>
              <w:tc>
                <w:tcPr>
                  <w:tcW w:w="21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default" w:ascii="Times New Roman" w:hAnsi="Times New Roman" w:eastAsia="宋体" w:cs="Times New Roman"/>
                      <w:b/>
                      <w:bCs/>
                      <w:color w:val="auto"/>
                      <w:kern w:val="0"/>
                      <w:sz w:val="21"/>
                      <w:szCs w:val="21"/>
                      <w:lang w:val="en-US" w:eastAsia="zh-CN" w:bidi="ar"/>
                    </w:rPr>
                    <w:t>物料名称</w:t>
                  </w:r>
                </w:p>
              </w:tc>
              <w:tc>
                <w:tcPr>
                  <w:tcW w:w="2105" w:type="dxa"/>
                  <w:tcBorders>
                    <w:top w:val="single" w:color="auto" w:sz="4" w:space="0"/>
                    <w:left w:val="single" w:color="auto" w:sz="4" w:space="0"/>
                    <w:bottom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default" w:ascii="Times New Roman" w:hAnsi="Times New Roman" w:eastAsia="宋体" w:cs="Times New Roman"/>
                      <w:b/>
                      <w:bCs/>
                      <w:color w:val="auto"/>
                      <w:kern w:val="0"/>
                      <w:sz w:val="21"/>
                      <w:szCs w:val="21"/>
                      <w:lang w:val="en-US" w:eastAsia="zh-CN" w:bidi="ar"/>
                    </w:rPr>
                    <w:t>数量（t/a）</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jc w:val="center"/>
              </w:trPr>
              <w:tc>
                <w:tcPr>
                  <w:tcW w:w="2105" w:type="dxa"/>
                  <w:vMerge w:val="restart"/>
                  <w:tcBorders>
                    <w:top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bidi="ar"/>
                    </w:rPr>
                    <w:t>熔炼渣</w:t>
                  </w:r>
                </w:p>
              </w:tc>
              <w:tc>
                <w:tcPr>
                  <w:tcW w:w="2105" w:type="dxa"/>
                  <w:vMerge w:val="restart"/>
                  <w:tcBorders>
                    <w:top w:val="single" w:color="auto" w:sz="4" w:space="0"/>
                    <w:left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lang w:val="en-US"/>
                    </w:rPr>
                  </w:pPr>
                  <w:r>
                    <w:rPr>
                      <w:rFonts w:hint="eastAsia" w:ascii="Times New Roman" w:hAnsi="Times New Roman" w:eastAsia="宋体" w:cs="Times New Roman"/>
                      <w:color w:val="auto"/>
                      <w:kern w:val="0"/>
                      <w:sz w:val="21"/>
                      <w:szCs w:val="21"/>
                      <w:lang w:val="en-US" w:eastAsia="zh-CN" w:bidi="ar"/>
                    </w:rPr>
                    <w:t>700</w:t>
                  </w:r>
                </w:p>
              </w:tc>
              <w:tc>
                <w:tcPr>
                  <w:tcW w:w="21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eastAsia" w:ascii="宋体" w:hAnsi="宋体" w:eastAsia="宋体" w:cs="宋体"/>
                      <w:color w:val="auto"/>
                      <w:kern w:val="0"/>
                      <w:sz w:val="21"/>
                      <w:szCs w:val="21"/>
                      <w:lang w:val="en-US" w:eastAsia="zh-CN" w:bidi="ar"/>
                    </w:rPr>
                    <w:t>铝液</w:t>
                  </w:r>
                </w:p>
              </w:tc>
              <w:tc>
                <w:tcPr>
                  <w:tcW w:w="2105" w:type="dxa"/>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lang w:val="en-US"/>
                    </w:rPr>
                  </w:pPr>
                  <w:r>
                    <w:rPr>
                      <w:rFonts w:hint="eastAsia" w:cs="Times New Roman"/>
                      <w:color w:val="auto"/>
                      <w:kern w:val="0"/>
                      <w:sz w:val="21"/>
                      <w:szCs w:val="21"/>
                      <w:lang w:val="en-US" w:eastAsia="zh-CN" w:bidi="ar"/>
                    </w:rPr>
                    <w:t>210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jc w:val="center"/>
              </w:trPr>
              <w:tc>
                <w:tcPr>
                  <w:tcW w:w="2105" w:type="dxa"/>
                  <w:vMerge w:val="continue"/>
                  <w:tcBorders>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0"/>
                      <w:sz w:val="21"/>
                      <w:szCs w:val="21"/>
                    </w:rPr>
                  </w:pPr>
                </w:p>
              </w:tc>
              <w:tc>
                <w:tcPr>
                  <w:tcW w:w="2105"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p>
              </w:tc>
              <w:tc>
                <w:tcPr>
                  <w:tcW w:w="21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eastAsia" w:ascii="宋体" w:hAnsi="宋体" w:eastAsia="宋体" w:cs="宋体"/>
                      <w:color w:val="auto"/>
                      <w:kern w:val="0"/>
                      <w:sz w:val="21"/>
                      <w:szCs w:val="21"/>
                      <w:lang w:val="en-US" w:eastAsia="zh-CN" w:bidi="ar"/>
                    </w:rPr>
                    <w:t>颗粒物排放量</w:t>
                  </w:r>
                </w:p>
              </w:tc>
              <w:tc>
                <w:tcPr>
                  <w:tcW w:w="2105" w:type="dxa"/>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0.0067</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jc w:val="center"/>
              </w:trPr>
              <w:tc>
                <w:tcPr>
                  <w:tcW w:w="2105" w:type="dxa"/>
                  <w:vMerge w:val="restart"/>
                  <w:tcBorders>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 w:val="21"/>
                      <w:szCs w:val="21"/>
                    </w:rPr>
                  </w:pPr>
                  <w:r>
                    <w:rPr>
                      <w:rFonts w:hint="eastAsia" w:ascii="宋体" w:hAnsi="宋体" w:eastAsia="宋体" w:cs="宋体"/>
                      <w:color w:val="auto"/>
                      <w:kern w:val="0"/>
                      <w:sz w:val="21"/>
                      <w:szCs w:val="21"/>
                      <w:lang w:val="en-US" w:eastAsia="zh-CN" w:bidi="ar"/>
                    </w:rPr>
                    <w:t>炒灰剂</w:t>
                  </w:r>
                </w:p>
              </w:tc>
              <w:tc>
                <w:tcPr>
                  <w:tcW w:w="210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 w:val="21"/>
                      <w:szCs w:val="21"/>
                      <w:lang w:val="en-US"/>
                    </w:rPr>
                  </w:pPr>
                  <w:r>
                    <w:rPr>
                      <w:rFonts w:hint="eastAsia" w:ascii="Times New Roman" w:hAnsi="Times New Roman" w:eastAsia="宋体" w:cs="Times New Roman"/>
                      <w:color w:val="auto"/>
                      <w:kern w:val="0"/>
                      <w:sz w:val="21"/>
                      <w:szCs w:val="21"/>
                      <w:lang w:val="en-US" w:eastAsia="zh-CN" w:bidi="ar"/>
                    </w:rPr>
                    <w:t>0.5</w:t>
                  </w:r>
                </w:p>
              </w:tc>
              <w:tc>
                <w:tcPr>
                  <w:tcW w:w="21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bidi="ar"/>
                    </w:rPr>
                    <w:t>二次熔炼渣</w:t>
                  </w:r>
                </w:p>
              </w:tc>
              <w:tc>
                <w:tcPr>
                  <w:tcW w:w="2105" w:type="dxa"/>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lang w:val="en-US" w:eastAsia="zh-CN"/>
                    </w:rPr>
                  </w:pPr>
                  <w:r>
                    <w:rPr>
                      <w:rFonts w:hint="eastAsia" w:cs="Times New Roman"/>
                      <w:color w:val="auto"/>
                      <w:lang w:val="en-US" w:eastAsia="zh-CN"/>
                    </w:rPr>
                    <w:t>490.3514</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jc w:val="center"/>
              </w:trPr>
              <w:tc>
                <w:tcPr>
                  <w:tcW w:w="2105" w:type="dxa"/>
                  <w:vMerge w:val="continue"/>
                  <w:tcBorders>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210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21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 w:val="21"/>
                      <w:szCs w:val="21"/>
                    </w:rPr>
                  </w:pPr>
                  <w:r>
                    <w:rPr>
                      <w:rFonts w:hint="eastAsia" w:ascii="宋体" w:hAnsi="宋体" w:eastAsia="宋体" w:cs="宋体"/>
                      <w:color w:val="auto"/>
                      <w:kern w:val="0"/>
                      <w:sz w:val="21"/>
                      <w:szCs w:val="21"/>
                      <w:lang w:val="en-US" w:eastAsia="zh-CN" w:bidi="ar"/>
                    </w:rPr>
                    <w:t>除尘灰</w:t>
                  </w:r>
                  <w:r>
                    <w:rPr>
                      <w:rFonts w:hint="eastAsia" w:ascii="宋体" w:hAnsi="宋体" w:cs="宋体"/>
                      <w:color w:val="auto"/>
                      <w:kern w:val="0"/>
                      <w:sz w:val="21"/>
                      <w:szCs w:val="21"/>
                      <w:lang w:val="en-US" w:eastAsia="zh-CN" w:bidi="ar"/>
                    </w:rPr>
                    <w:t>（含落地灰）</w:t>
                  </w:r>
                </w:p>
              </w:tc>
              <w:tc>
                <w:tcPr>
                  <w:tcW w:w="2105" w:type="dxa"/>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 w:val="21"/>
                      <w:szCs w:val="21"/>
                      <w:lang w:val="en-US"/>
                    </w:rPr>
                  </w:pPr>
                  <w:r>
                    <w:rPr>
                      <w:rFonts w:hint="eastAsia" w:cs="Times New Roman"/>
                      <w:color w:val="auto"/>
                      <w:kern w:val="0"/>
                      <w:sz w:val="21"/>
                      <w:szCs w:val="21"/>
                      <w:lang w:val="en-US" w:eastAsia="zh-CN" w:bidi="ar"/>
                    </w:rPr>
                    <w:t>0.1419</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jc w:val="center"/>
              </w:trPr>
              <w:tc>
                <w:tcPr>
                  <w:tcW w:w="2105" w:type="dxa"/>
                  <w:tcBorders>
                    <w:top w:val="single" w:color="auto" w:sz="4" w:space="0"/>
                    <w:bottom w:val="single" w:color="auto" w:sz="8"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 w:val="21"/>
                      <w:szCs w:val="21"/>
                    </w:rPr>
                  </w:pPr>
                  <w:r>
                    <w:rPr>
                      <w:rFonts w:hint="eastAsia" w:ascii="宋体" w:hAnsi="宋体" w:eastAsia="宋体" w:cs="宋体"/>
                      <w:color w:val="auto"/>
                      <w:kern w:val="0"/>
                      <w:sz w:val="21"/>
                      <w:szCs w:val="21"/>
                      <w:lang w:val="en-US" w:eastAsia="zh-CN" w:bidi="ar"/>
                    </w:rPr>
                    <w:t>合计</w:t>
                  </w:r>
                </w:p>
              </w:tc>
              <w:tc>
                <w:tcPr>
                  <w:tcW w:w="2105" w:type="dxa"/>
                  <w:tcBorders>
                    <w:top w:val="single" w:color="auto" w:sz="4" w:space="0"/>
                    <w:left w:val="single" w:color="auto" w:sz="4" w:space="0"/>
                    <w:bottom w:val="single" w:color="auto" w:sz="8"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lang w:val="en-US"/>
                    </w:rPr>
                  </w:pPr>
                  <w:r>
                    <w:rPr>
                      <w:rFonts w:hint="eastAsia" w:ascii="Times New Roman" w:hAnsi="Times New Roman" w:eastAsia="宋体" w:cs="Times New Roman"/>
                      <w:color w:val="auto"/>
                      <w:kern w:val="0"/>
                      <w:sz w:val="21"/>
                      <w:szCs w:val="21"/>
                      <w:lang w:val="en-US" w:eastAsia="zh-CN" w:bidi="ar"/>
                    </w:rPr>
                    <w:t>700.5</w:t>
                  </w:r>
                </w:p>
              </w:tc>
              <w:tc>
                <w:tcPr>
                  <w:tcW w:w="2105" w:type="dxa"/>
                  <w:tcBorders>
                    <w:top w:val="single" w:color="auto" w:sz="4" w:space="0"/>
                    <w:left w:val="single" w:color="auto" w:sz="4" w:space="0"/>
                    <w:bottom w:val="single" w:color="auto" w:sz="8"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bidi="ar"/>
                    </w:rPr>
                    <w:t>合计</w:t>
                  </w:r>
                </w:p>
              </w:tc>
              <w:tc>
                <w:tcPr>
                  <w:tcW w:w="2105" w:type="dxa"/>
                  <w:tcBorders>
                    <w:top w:val="single" w:color="auto" w:sz="4" w:space="0"/>
                    <w:left w:val="single" w:color="auto" w:sz="4" w:space="0"/>
                    <w:bottom w:val="single" w:color="auto"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lang w:val="en-US"/>
                    </w:rPr>
                  </w:pPr>
                  <w:r>
                    <w:rPr>
                      <w:rFonts w:hint="eastAsia" w:ascii="Times New Roman" w:hAnsi="Times New Roman" w:eastAsia="宋体" w:cs="Times New Roman"/>
                      <w:color w:val="auto"/>
                      <w:kern w:val="0"/>
                      <w:sz w:val="21"/>
                      <w:szCs w:val="21"/>
                      <w:lang w:val="en-US" w:eastAsia="zh-CN" w:bidi="ar"/>
                    </w:rPr>
                    <w:t>700.5</w:t>
                  </w:r>
                </w:p>
              </w:tc>
            </w:tr>
          </w:tbl>
          <w:p>
            <w:pPr>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360" w:lineRule="auto"/>
              <w:ind w:left="0" w:right="0" w:firstLine="241" w:firstLineChars="100"/>
              <w:textAlignment w:val="auto"/>
              <w:rPr>
                <w:rFonts w:hint="eastAsia" w:ascii="Times New Roman" w:hAnsi="Times New Roman" w:eastAsia="宋体" w:cs="Times New Roman"/>
                <w:b/>
                <w:bCs/>
                <w:color w:val="auto"/>
                <w:kern w:val="2"/>
                <w:sz w:val="24"/>
                <w:szCs w:val="24"/>
                <w:lang w:val="en-US" w:eastAsia="zh-CN" w:bidi="ar-SA"/>
              </w:rPr>
            </w:pPr>
            <w:r>
              <w:rPr>
                <w:rFonts w:hint="eastAsia" w:cs="Times New Roman"/>
                <w:b/>
                <w:bCs/>
                <w:color w:val="auto"/>
                <w:kern w:val="2"/>
                <w:sz w:val="24"/>
                <w:szCs w:val="24"/>
                <w:lang w:val="en-US" w:eastAsia="zh-CN" w:bidi="ar-SA"/>
              </w:rPr>
              <w:t>10</w:t>
            </w:r>
            <w:r>
              <w:rPr>
                <w:rFonts w:hint="eastAsia" w:ascii="Times New Roman" w:hAnsi="Times New Roman" w:eastAsia="宋体" w:cs="Times New Roman"/>
                <w:b/>
                <w:bCs/>
                <w:color w:val="auto"/>
                <w:kern w:val="2"/>
                <w:sz w:val="24"/>
                <w:szCs w:val="24"/>
                <w:lang w:val="en-US" w:eastAsia="zh-CN" w:bidi="ar-SA"/>
              </w:rPr>
              <w:t>.2本项目铝元素平衡</w:t>
            </w:r>
          </w:p>
          <w:p>
            <w:pPr>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240" w:lineRule="auto"/>
              <w:ind w:left="0" w:right="0" w:firstLine="241" w:firstLineChars="100"/>
              <w:jc w:val="center"/>
              <w:textAlignment w:val="auto"/>
              <w:rPr>
                <w:rFonts w:hint="default"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铝元素平衡一览表</w:t>
            </w:r>
          </w:p>
          <w:tbl>
            <w:tblPr>
              <w:tblStyle w:val="27"/>
              <w:tblW w:w="8420" w:type="dxa"/>
              <w:jc w:val="center"/>
              <w:tblInd w:w="0" w:type="dxa"/>
              <w:tblBorders>
                <w:top w:val="single" w:color="auto" w:sz="8" w:space="0"/>
                <w:left w:val="none" w:color="auto" w:sz="6" w:space="0"/>
                <w:bottom w:val="single" w:color="auto" w:sz="8" w:space="0"/>
                <w:right w:val="none" w:color="auto" w:sz="6"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104"/>
              <w:gridCol w:w="2105"/>
              <w:gridCol w:w="2104"/>
              <w:gridCol w:w="2107"/>
            </w:tblGrid>
            <w:tr>
              <w:tblPrEx>
                <w:tblBorders>
                  <w:top w:val="single" w:color="auto" w:sz="8" w:space="0"/>
                  <w:left w:val="none" w:color="auto" w:sz="6" w:space="0"/>
                  <w:bottom w:val="single" w:color="auto" w:sz="8" w:space="0"/>
                  <w:right w:val="none" w:color="auto" w:sz="6"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307" w:hRule="atLeast"/>
                <w:jc w:val="center"/>
              </w:trPr>
              <w:tc>
                <w:tcPr>
                  <w:tcW w:w="4209" w:type="dxa"/>
                  <w:gridSpan w:val="2"/>
                  <w:tcBorders>
                    <w:top w:val="single" w:color="auto" w:sz="8"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eastAsia" w:ascii="宋体" w:hAnsi="宋体" w:eastAsia="宋体" w:cs="宋体"/>
                      <w:b/>
                      <w:bCs/>
                      <w:color w:val="auto"/>
                      <w:kern w:val="0"/>
                      <w:sz w:val="21"/>
                      <w:szCs w:val="21"/>
                      <w:lang w:val="en-US" w:eastAsia="zh-CN" w:bidi="ar"/>
                    </w:rPr>
                    <w:t>投入</w:t>
                  </w:r>
                </w:p>
              </w:tc>
              <w:tc>
                <w:tcPr>
                  <w:tcW w:w="4211" w:type="dxa"/>
                  <w:gridSpan w:val="2"/>
                  <w:tcBorders>
                    <w:top w:val="single" w:color="auto" w:sz="8" w:space="0"/>
                    <w:left w:val="nil"/>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eastAsia" w:ascii="宋体" w:hAnsi="宋体" w:eastAsia="宋体" w:cs="宋体"/>
                      <w:b/>
                      <w:bCs/>
                      <w:color w:val="auto"/>
                      <w:kern w:val="0"/>
                      <w:sz w:val="21"/>
                      <w:szCs w:val="21"/>
                      <w:lang w:val="en-US" w:eastAsia="zh-CN" w:bidi="ar"/>
                    </w:rPr>
                    <w:t>产出</w:t>
                  </w:r>
                </w:p>
              </w:tc>
            </w:tr>
            <w:tr>
              <w:tblPrEx>
                <w:tblBorders>
                  <w:top w:val="single" w:color="auto" w:sz="8" w:space="0"/>
                  <w:left w:val="none" w:color="auto" w:sz="6" w:space="0"/>
                  <w:bottom w:val="single" w:color="auto" w:sz="8"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jc w:val="center"/>
              </w:trPr>
              <w:tc>
                <w:tcPr>
                  <w:tcW w:w="2104"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eastAsia" w:ascii="宋体" w:hAnsi="宋体" w:eastAsia="宋体" w:cs="宋体"/>
                      <w:b/>
                      <w:bCs/>
                      <w:color w:val="auto"/>
                      <w:kern w:val="0"/>
                      <w:sz w:val="21"/>
                      <w:szCs w:val="21"/>
                      <w:lang w:val="en-US" w:eastAsia="zh-CN" w:bidi="ar"/>
                    </w:rPr>
                    <w:t>物料名称</w:t>
                  </w:r>
                </w:p>
              </w:tc>
              <w:tc>
                <w:tcPr>
                  <w:tcW w:w="210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eastAsia" w:ascii="宋体" w:hAnsi="宋体" w:eastAsia="宋体" w:cs="宋体"/>
                      <w:b/>
                      <w:bCs/>
                      <w:color w:val="auto"/>
                      <w:kern w:val="0"/>
                      <w:sz w:val="21"/>
                      <w:szCs w:val="21"/>
                      <w:lang w:val="en-US" w:eastAsia="zh-CN" w:bidi="ar"/>
                    </w:rPr>
                    <w:t>数量</w:t>
                  </w:r>
                  <w:r>
                    <w:rPr>
                      <w:rFonts w:hint="default" w:ascii="Times New Roman" w:hAnsi="Times New Roman" w:eastAsia="宋体" w:cs="Times New Roman"/>
                      <w:b/>
                      <w:bCs/>
                      <w:color w:val="auto"/>
                      <w:kern w:val="0"/>
                      <w:sz w:val="21"/>
                      <w:szCs w:val="21"/>
                      <w:lang w:val="en-US" w:eastAsia="zh-CN" w:bidi="ar"/>
                    </w:rPr>
                    <w:t>（t/a）</w:t>
                  </w:r>
                </w:p>
              </w:tc>
              <w:tc>
                <w:tcPr>
                  <w:tcW w:w="2104"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eastAsia" w:ascii="宋体" w:hAnsi="宋体" w:eastAsia="宋体" w:cs="宋体"/>
                      <w:b/>
                      <w:bCs/>
                      <w:color w:val="auto"/>
                      <w:kern w:val="0"/>
                      <w:sz w:val="21"/>
                      <w:szCs w:val="21"/>
                      <w:lang w:val="en-US" w:eastAsia="zh-CN" w:bidi="ar"/>
                    </w:rPr>
                    <w:t>物料名称</w:t>
                  </w:r>
                </w:p>
              </w:tc>
              <w:tc>
                <w:tcPr>
                  <w:tcW w:w="2107" w:type="dxa"/>
                  <w:tcBorders>
                    <w:top w:val="single" w:color="auto" w:sz="4" w:space="0"/>
                    <w:left w:val="nil"/>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eastAsia" w:ascii="宋体" w:hAnsi="宋体" w:eastAsia="宋体" w:cs="宋体"/>
                      <w:b/>
                      <w:bCs/>
                      <w:color w:val="auto"/>
                      <w:kern w:val="0"/>
                      <w:sz w:val="21"/>
                      <w:szCs w:val="21"/>
                      <w:lang w:val="en-US" w:eastAsia="zh-CN" w:bidi="ar"/>
                    </w:rPr>
                    <w:t>数量</w:t>
                  </w:r>
                  <w:r>
                    <w:rPr>
                      <w:rFonts w:hint="default" w:ascii="Times New Roman" w:hAnsi="Times New Roman" w:eastAsia="宋体" w:cs="Times New Roman"/>
                      <w:b/>
                      <w:bCs/>
                      <w:color w:val="auto"/>
                      <w:kern w:val="0"/>
                      <w:sz w:val="21"/>
                      <w:szCs w:val="21"/>
                      <w:lang w:val="en-US" w:eastAsia="zh-CN" w:bidi="ar"/>
                    </w:rPr>
                    <w:t>（t/a）</w:t>
                  </w:r>
                </w:p>
              </w:tc>
            </w:tr>
            <w:tr>
              <w:tblPrEx>
                <w:tblBorders>
                  <w:top w:val="single" w:color="auto" w:sz="8" w:space="0"/>
                  <w:left w:val="none" w:color="auto" w:sz="6" w:space="0"/>
                  <w:bottom w:val="single" w:color="auto" w:sz="8"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2104" w:type="dxa"/>
                  <w:vMerge w:val="restart"/>
                  <w:tcBorders>
                    <w:top w:val="nil"/>
                    <w:left w:val="nil"/>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bidi="ar"/>
                    </w:rPr>
                    <w:t>熔炼渣中铝</w:t>
                  </w:r>
                </w:p>
              </w:tc>
              <w:tc>
                <w:tcPr>
                  <w:tcW w:w="2105" w:type="dxa"/>
                  <w:vMerge w:val="restart"/>
                  <w:tcBorders>
                    <w:top w:val="nil"/>
                    <w:left w:val="nil"/>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bidi="ar"/>
                    </w:rPr>
                    <w:t>285.46</w:t>
                  </w:r>
                </w:p>
              </w:tc>
              <w:tc>
                <w:tcPr>
                  <w:tcW w:w="2104"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eastAsia" w:ascii="宋体" w:hAnsi="宋体" w:eastAsia="宋体" w:cs="宋体"/>
                      <w:color w:val="auto"/>
                      <w:kern w:val="0"/>
                      <w:sz w:val="21"/>
                      <w:szCs w:val="21"/>
                      <w:lang w:val="en-US" w:eastAsia="zh-CN" w:bidi="ar"/>
                    </w:rPr>
                    <w:t>铝液中铝</w:t>
                  </w:r>
                </w:p>
              </w:tc>
              <w:tc>
                <w:tcPr>
                  <w:tcW w:w="2107" w:type="dxa"/>
                  <w:tcBorders>
                    <w:top w:val="single" w:color="auto" w:sz="4" w:space="0"/>
                    <w:left w:val="nil"/>
                    <w:bottom w:val="single" w:color="auto"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lang w:val="en-US"/>
                    </w:rPr>
                  </w:pPr>
                  <w:r>
                    <w:rPr>
                      <w:rFonts w:hint="eastAsia" w:cs="Times New Roman"/>
                      <w:color w:val="auto"/>
                      <w:kern w:val="0"/>
                      <w:sz w:val="21"/>
                      <w:szCs w:val="21"/>
                      <w:lang w:val="en-US" w:eastAsia="zh-CN" w:bidi="ar"/>
                    </w:rPr>
                    <w:t>189.0057</w:t>
                  </w:r>
                </w:p>
              </w:tc>
            </w:tr>
            <w:tr>
              <w:tblPrEx>
                <w:tblBorders>
                  <w:top w:val="single" w:color="auto" w:sz="8" w:space="0"/>
                  <w:left w:val="none" w:color="auto" w:sz="6" w:space="0"/>
                  <w:bottom w:val="single" w:color="auto" w:sz="8"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jc w:val="center"/>
              </w:trPr>
              <w:tc>
                <w:tcPr>
                  <w:tcW w:w="2104" w:type="dxa"/>
                  <w:vMerge w:val="continue"/>
                  <w:tcBorders>
                    <w:left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2105" w:type="dxa"/>
                  <w:vMerge w:val="continue"/>
                  <w:tcBorders>
                    <w:left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2104"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eastAsia" w:ascii="宋体" w:hAnsi="宋体" w:eastAsia="宋体" w:cs="宋体"/>
                      <w:color w:val="auto"/>
                      <w:kern w:val="0"/>
                      <w:sz w:val="21"/>
                      <w:szCs w:val="21"/>
                      <w:lang w:val="en-US" w:eastAsia="zh-CN" w:bidi="ar"/>
                    </w:rPr>
                    <w:t>颗粒物排放量中铝</w:t>
                  </w:r>
                </w:p>
              </w:tc>
              <w:tc>
                <w:tcPr>
                  <w:tcW w:w="2107" w:type="dxa"/>
                  <w:tcBorders>
                    <w:top w:val="single" w:color="auto" w:sz="4" w:space="0"/>
                    <w:left w:val="nil"/>
                    <w:bottom w:val="single" w:color="auto"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0.00</w:t>
                  </w:r>
                  <w:r>
                    <w:rPr>
                      <w:rFonts w:hint="eastAsia" w:cs="Times New Roman"/>
                      <w:color w:val="auto"/>
                      <w:kern w:val="0"/>
                      <w:sz w:val="21"/>
                      <w:szCs w:val="21"/>
                      <w:lang w:val="en-US" w:eastAsia="zh-CN"/>
                    </w:rPr>
                    <w:t>1</w:t>
                  </w:r>
                  <w:r>
                    <w:rPr>
                      <w:rFonts w:hint="eastAsia" w:ascii="Times New Roman" w:hAnsi="Times New Roman" w:eastAsia="宋体" w:cs="Times New Roman"/>
                      <w:color w:val="auto"/>
                      <w:kern w:val="0"/>
                      <w:sz w:val="21"/>
                      <w:szCs w:val="21"/>
                      <w:lang w:val="en-US" w:eastAsia="zh-CN"/>
                    </w:rPr>
                    <w:t>1</w:t>
                  </w:r>
                </w:p>
              </w:tc>
            </w:tr>
            <w:tr>
              <w:tblPrEx>
                <w:tblBorders>
                  <w:top w:val="single" w:color="auto" w:sz="8" w:space="0"/>
                  <w:left w:val="none" w:color="auto" w:sz="6" w:space="0"/>
                  <w:bottom w:val="single" w:color="auto" w:sz="8"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jc w:val="center"/>
              </w:trPr>
              <w:tc>
                <w:tcPr>
                  <w:tcW w:w="2104" w:type="dxa"/>
                  <w:vMerge w:val="continue"/>
                  <w:tcBorders>
                    <w:left w:val="nil"/>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 w:val="21"/>
                      <w:szCs w:val="21"/>
                    </w:rPr>
                  </w:pPr>
                </w:p>
              </w:tc>
              <w:tc>
                <w:tcPr>
                  <w:tcW w:w="2105" w:type="dxa"/>
                  <w:vMerge w:val="continue"/>
                  <w:tcBorders>
                    <w:left w:val="nil"/>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 w:val="21"/>
                      <w:szCs w:val="21"/>
                    </w:rPr>
                  </w:pPr>
                </w:p>
              </w:tc>
              <w:tc>
                <w:tcPr>
                  <w:tcW w:w="2104"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bidi="ar"/>
                    </w:rPr>
                    <w:t>二次熔炼渣中铝</w:t>
                  </w:r>
                </w:p>
              </w:tc>
              <w:tc>
                <w:tcPr>
                  <w:tcW w:w="2107" w:type="dxa"/>
                  <w:tcBorders>
                    <w:top w:val="single" w:color="auto" w:sz="4" w:space="0"/>
                    <w:left w:val="nil"/>
                    <w:bottom w:val="single" w:color="auto"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lang w:val="en-US"/>
                    </w:rPr>
                  </w:pPr>
                  <w:r>
                    <w:rPr>
                      <w:rFonts w:hint="eastAsia" w:cs="Times New Roman"/>
                      <w:color w:val="auto"/>
                      <w:kern w:val="2"/>
                      <w:sz w:val="21"/>
                      <w:szCs w:val="21"/>
                      <w:lang w:val="en-US" w:eastAsia="zh-CN" w:bidi="ar"/>
                    </w:rPr>
                    <w:t>96.45</w:t>
                  </w:r>
                </w:p>
              </w:tc>
            </w:tr>
            <w:tr>
              <w:tblPrEx>
                <w:tblBorders>
                  <w:top w:val="single" w:color="auto" w:sz="8" w:space="0"/>
                  <w:left w:val="none" w:color="auto" w:sz="6" w:space="0"/>
                  <w:bottom w:val="single" w:color="auto" w:sz="8" w:space="0"/>
                  <w:right w:val="none" w:color="auto" w:sz="6" w:space="0"/>
                  <w:insideH w:val="single" w:color="auto" w:sz="4" w:space="0"/>
                  <w:insideV w:val="single" w:color="auto" w:sz="4" w:space="0"/>
                </w:tblBorders>
                <w:tblLayout w:type="fixed"/>
              </w:tblPrEx>
              <w:trPr>
                <w:trHeight w:val="307" w:hRule="atLeast"/>
                <w:jc w:val="center"/>
              </w:trPr>
              <w:tc>
                <w:tcPr>
                  <w:tcW w:w="2104" w:type="dxa"/>
                  <w:vMerge w:val="continue"/>
                  <w:tcBorders>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2105" w:type="dxa"/>
                  <w:vMerge w:val="continue"/>
                  <w:tcBorders>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2104"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 w:val="21"/>
                      <w:szCs w:val="21"/>
                    </w:rPr>
                  </w:pPr>
                  <w:r>
                    <w:rPr>
                      <w:rFonts w:hint="eastAsia" w:ascii="宋体" w:hAnsi="宋体" w:eastAsia="宋体" w:cs="宋体"/>
                      <w:color w:val="auto"/>
                      <w:kern w:val="0"/>
                      <w:sz w:val="21"/>
                      <w:szCs w:val="21"/>
                      <w:lang w:val="en-US" w:eastAsia="zh-CN" w:bidi="ar"/>
                    </w:rPr>
                    <w:t>除尘灰中铝</w:t>
                  </w:r>
                </w:p>
              </w:tc>
              <w:tc>
                <w:tcPr>
                  <w:tcW w:w="2107" w:type="dxa"/>
                  <w:tcBorders>
                    <w:top w:val="single" w:color="auto" w:sz="4" w:space="0"/>
                    <w:left w:val="nil"/>
                    <w:bottom w:val="single" w:color="auto"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 w:val="21"/>
                      <w:szCs w:val="21"/>
                      <w:lang w:val="en-US"/>
                    </w:rPr>
                  </w:pPr>
                  <w:r>
                    <w:rPr>
                      <w:rFonts w:hint="eastAsia" w:cs="Times New Roman"/>
                      <w:color w:val="auto"/>
                      <w:kern w:val="0"/>
                      <w:sz w:val="21"/>
                      <w:szCs w:val="21"/>
                      <w:lang w:val="en-US" w:eastAsia="zh-CN" w:bidi="ar"/>
                    </w:rPr>
                    <w:t>0.0032</w:t>
                  </w:r>
                </w:p>
              </w:tc>
            </w:tr>
            <w:tr>
              <w:tblPrEx>
                <w:tblBorders>
                  <w:top w:val="single" w:color="auto" w:sz="8" w:space="0"/>
                  <w:left w:val="none" w:color="auto" w:sz="6" w:space="0"/>
                  <w:bottom w:val="single" w:color="auto" w:sz="8"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jc w:val="center"/>
              </w:trPr>
              <w:tc>
                <w:tcPr>
                  <w:tcW w:w="2104" w:type="dxa"/>
                  <w:tcBorders>
                    <w:top w:val="single" w:color="auto" w:sz="4" w:space="0"/>
                    <w:left w:val="nil"/>
                    <w:bottom w:val="single" w:color="auto" w:sz="8"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 w:val="21"/>
                      <w:szCs w:val="21"/>
                    </w:rPr>
                  </w:pPr>
                  <w:r>
                    <w:rPr>
                      <w:rFonts w:hint="eastAsia" w:ascii="宋体" w:hAnsi="宋体" w:eastAsia="宋体" w:cs="宋体"/>
                      <w:color w:val="auto"/>
                      <w:kern w:val="0"/>
                      <w:sz w:val="21"/>
                      <w:szCs w:val="21"/>
                      <w:lang w:val="en-US" w:eastAsia="zh-CN" w:bidi="ar"/>
                    </w:rPr>
                    <w:t>合计</w:t>
                  </w:r>
                </w:p>
              </w:tc>
              <w:tc>
                <w:tcPr>
                  <w:tcW w:w="2105" w:type="dxa"/>
                  <w:tcBorders>
                    <w:top w:val="single" w:color="auto" w:sz="4" w:space="0"/>
                    <w:left w:val="nil"/>
                    <w:bottom w:val="single" w:color="auto" w:sz="8"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bidi="ar"/>
                    </w:rPr>
                    <w:t>285.46</w:t>
                  </w:r>
                </w:p>
              </w:tc>
              <w:tc>
                <w:tcPr>
                  <w:tcW w:w="2104" w:type="dxa"/>
                  <w:tcBorders>
                    <w:top w:val="single" w:color="auto" w:sz="4" w:space="0"/>
                    <w:left w:val="nil"/>
                    <w:bottom w:val="single" w:color="auto" w:sz="8"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bidi="ar"/>
                    </w:rPr>
                    <w:t>合计</w:t>
                  </w:r>
                </w:p>
              </w:tc>
              <w:tc>
                <w:tcPr>
                  <w:tcW w:w="2107" w:type="dxa"/>
                  <w:tcBorders>
                    <w:top w:val="single" w:color="auto" w:sz="4" w:space="0"/>
                    <w:left w:val="nil"/>
                    <w:bottom w:val="single" w:color="auto" w:sz="8" w:space="0"/>
                    <w:right w:val="nil"/>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bidi="ar"/>
                    </w:rPr>
                    <w:t>285.46</w:t>
                  </w:r>
                </w:p>
              </w:tc>
            </w:tr>
          </w:tbl>
          <w:p>
            <w:pPr>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360" w:lineRule="auto"/>
              <w:ind w:left="0" w:right="0" w:firstLine="241" w:firstLineChars="100"/>
              <w:textAlignment w:val="auto"/>
              <w:rPr>
                <w:rFonts w:hint="default" w:ascii="Times New Roman" w:hAnsi="Times New Roman" w:eastAsia="宋体" w:cs="Times New Roman"/>
                <w:b/>
                <w:bCs/>
                <w:color w:val="auto"/>
                <w:kern w:val="2"/>
                <w:sz w:val="24"/>
                <w:szCs w:val="24"/>
                <w:lang w:val="en-US" w:eastAsia="zh-CN" w:bidi="ar-SA"/>
              </w:rPr>
            </w:pPr>
            <w:r>
              <w:rPr>
                <w:rFonts w:hint="eastAsia" w:cs="Times New Roman"/>
                <w:b/>
                <w:bCs/>
                <w:color w:val="auto"/>
                <w:kern w:val="2"/>
                <w:sz w:val="24"/>
                <w:szCs w:val="24"/>
                <w:lang w:val="en-US" w:eastAsia="zh-CN" w:bidi="ar-SA"/>
              </w:rPr>
              <w:t>10</w:t>
            </w:r>
            <w:r>
              <w:rPr>
                <w:rFonts w:hint="eastAsia" w:ascii="Times New Roman" w:hAnsi="Times New Roman" w:eastAsia="宋体" w:cs="Times New Roman"/>
                <w:b/>
                <w:bCs/>
                <w:color w:val="auto"/>
                <w:kern w:val="2"/>
                <w:sz w:val="24"/>
                <w:szCs w:val="24"/>
                <w:lang w:val="en-US" w:eastAsia="zh-CN" w:bidi="ar-SA"/>
              </w:rPr>
              <w:t>.3本项目氟元素平衡</w:t>
            </w:r>
          </w:p>
          <w:p>
            <w:pPr>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氟元素平衡一览表</w:t>
            </w:r>
          </w:p>
          <w:tbl>
            <w:tblPr>
              <w:tblStyle w:val="27"/>
              <w:tblW w:w="8420" w:type="dxa"/>
              <w:jc w:val="center"/>
              <w:tblInd w:w="0" w:type="dxa"/>
              <w:tblBorders>
                <w:top w:val="single" w:color="auto" w:sz="8" w:space="0"/>
                <w:left w:val="none" w:color="auto" w:sz="6" w:space="0"/>
                <w:bottom w:val="single" w:color="auto" w:sz="8" w:space="0"/>
                <w:right w:val="none" w:color="auto" w:sz="6"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104"/>
              <w:gridCol w:w="2105"/>
              <w:gridCol w:w="2104"/>
              <w:gridCol w:w="2107"/>
            </w:tblGrid>
            <w:tr>
              <w:tblPrEx>
                <w:tblBorders>
                  <w:top w:val="single" w:color="auto" w:sz="8" w:space="0"/>
                  <w:left w:val="none" w:color="auto" w:sz="6" w:space="0"/>
                  <w:bottom w:val="single" w:color="auto" w:sz="8" w:space="0"/>
                  <w:right w:val="none" w:color="auto" w:sz="6"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307" w:hRule="atLeast"/>
                <w:jc w:val="center"/>
              </w:trPr>
              <w:tc>
                <w:tcPr>
                  <w:tcW w:w="4209" w:type="dxa"/>
                  <w:gridSpan w:val="2"/>
                  <w:tcBorders>
                    <w:top w:val="single" w:color="auto" w:sz="8"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eastAsia" w:ascii="宋体" w:hAnsi="宋体" w:eastAsia="宋体" w:cs="宋体"/>
                      <w:b/>
                      <w:bCs/>
                      <w:color w:val="auto"/>
                      <w:kern w:val="0"/>
                      <w:sz w:val="21"/>
                      <w:szCs w:val="21"/>
                      <w:lang w:val="en-US" w:eastAsia="zh-CN" w:bidi="ar"/>
                    </w:rPr>
                    <w:t>投入</w:t>
                  </w:r>
                </w:p>
              </w:tc>
              <w:tc>
                <w:tcPr>
                  <w:tcW w:w="4211" w:type="dxa"/>
                  <w:gridSpan w:val="2"/>
                  <w:tcBorders>
                    <w:top w:val="single" w:color="auto" w:sz="8" w:space="0"/>
                    <w:left w:val="nil"/>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eastAsia" w:ascii="宋体" w:hAnsi="宋体" w:eastAsia="宋体" w:cs="宋体"/>
                      <w:b/>
                      <w:bCs/>
                      <w:color w:val="auto"/>
                      <w:kern w:val="0"/>
                      <w:sz w:val="21"/>
                      <w:szCs w:val="21"/>
                      <w:lang w:val="en-US" w:eastAsia="zh-CN" w:bidi="ar"/>
                    </w:rPr>
                    <w:t>产出</w:t>
                  </w:r>
                </w:p>
              </w:tc>
            </w:tr>
            <w:tr>
              <w:tblPrEx>
                <w:tblBorders>
                  <w:top w:val="single" w:color="auto" w:sz="8" w:space="0"/>
                  <w:left w:val="none" w:color="auto" w:sz="6" w:space="0"/>
                  <w:bottom w:val="single" w:color="auto" w:sz="8"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jc w:val="center"/>
              </w:trPr>
              <w:tc>
                <w:tcPr>
                  <w:tcW w:w="2104"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eastAsia" w:ascii="宋体" w:hAnsi="宋体" w:eastAsia="宋体" w:cs="宋体"/>
                      <w:b/>
                      <w:bCs/>
                      <w:color w:val="auto"/>
                      <w:kern w:val="0"/>
                      <w:sz w:val="21"/>
                      <w:szCs w:val="21"/>
                      <w:lang w:val="en-US" w:eastAsia="zh-CN" w:bidi="ar"/>
                    </w:rPr>
                    <w:t>物料名称</w:t>
                  </w:r>
                </w:p>
              </w:tc>
              <w:tc>
                <w:tcPr>
                  <w:tcW w:w="210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eastAsia" w:ascii="宋体" w:hAnsi="宋体" w:eastAsia="宋体" w:cs="宋体"/>
                      <w:b/>
                      <w:bCs/>
                      <w:color w:val="auto"/>
                      <w:kern w:val="0"/>
                      <w:sz w:val="21"/>
                      <w:szCs w:val="21"/>
                      <w:lang w:val="en-US" w:eastAsia="zh-CN" w:bidi="ar"/>
                    </w:rPr>
                    <w:t>数量（</w:t>
                  </w:r>
                  <w:r>
                    <w:rPr>
                      <w:rFonts w:hint="default" w:ascii="Times New Roman" w:hAnsi="Times New Roman" w:eastAsia="宋体" w:cs="Times New Roman"/>
                      <w:b/>
                      <w:bCs/>
                      <w:color w:val="auto"/>
                      <w:kern w:val="0"/>
                      <w:sz w:val="21"/>
                      <w:szCs w:val="21"/>
                      <w:lang w:val="en-US" w:eastAsia="zh-CN" w:bidi="ar"/>
                    </w:rPr>
                    <w:t>t/a</w:t>
                  </w:r>
                  <w:r>
                    <w:rPr>
                      <w:rFonts w:hint="eastAsia" w:ascii="宋体" w:hAnsi="宋体" w:eastAsia="宋体" w:cs="宋体"/>
                      <w:b/>
                      <w:bCs/>
                      <w:color w:val="auto"/>
                      <w:kern w:val="0"/>
                      <w:sz w:val="21"/>
                      <w:szCs w:val="21"/>
                      <w:lang w:val="en-US" w:eastAsia="zh-CN" w:bidi="ar"/>
                    </w:rPr>
                    <w:t>）</w:t>
                  </w:r>
                </w:p>
              </w:tc>
              <w:tc>
                <w:tcPr>
                  <w:tcW w:w="2104"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eastAsia" w:ascii="宋体" w:hAnsi="宋体" w:eastAsia="宋体" w:cs="宋体"/>
                      <w:b/>
                      <w:bCs/>
                      <w:color w:val="auto"/>
                      <w:kern w:val="0"/>
                      <w:sz w:val="21"/>
                      <w:szCs w:val="21"/>
                      <w:lang w:val="en-US" w:eastAsia="zh-CN" w:bidi="ar"/>
                    </w:rPr>
                    <w:t>物料名称</w:t>
                  </w:r>
                </w:p>
              </w:tc>
              <w:tc>
                <w:tcPr>
                  <w:tcW w:w="2107" w:type="dxa"/>
                  <w:tcBorders>
                    <w:top w:val="single" w:color="auto" w:sz="4" w:space="0"/>
                    <w:left w:val="nil"/>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eastAsia" w:ascii="宋体" w:hAnsi="宋体" w:eastAsia="宋体" w:cs="宋体"/>
                      <w:b/>
                      <w:bCs/>
                      <w:color w:val="auto"/>
                      <w:kern w:val="0"/>
                      <w:sz w:val="21"/>
                      <w:szCs w:val="21"/>
                      <w:lang w:val="en-US" w:eastAsia="zh-CN" w:bidi="ar"/>
                    </w:rPr>
                    <w:t>数量（</w:t>
                  </w:r>
                  <w:r>
                    <w:rPr>
                      <w:rFonts w:hint="default" w:ascii="Times New Roman" w:hAnsi="Times New Roman" w:eastAsia="宋体" w:cs="Times New Roman"/>
                      <w:b/>
                      <w:bCs/>
                      <w:color w:val="auto"/>
                      <w:kern w:val="0"/>
                      <w:sz w:val="21"/>
                      <w:szCs w:val="21"/>
                      <w:lang w:val="en-US" w:eastAsia="zh-CN" w:bidi="ar"/>
                    </w:rPr>
                    <w:t>t/a</w:t>
                  </w:r>
                  <w:r>
                    <w:rPr>
                      <w:rFonts w:hint="eastAsia" w:ascii="宋体" w:hAnsi="宋体" w:eastAsia="宋体" w:cs="宋体"/>
                      <w:b/>
                      <w:bCs/>
                      <w:color w:val="auto"/>
                      <w:kern w:val="0"/>
                      <w:sz w:val="21"/>
                      <w:szCs w:val="21"/>
                      <w:lang w:val="en-US" w:eastAsia="zh-CN" w:bidi="ar"/>
                    </w:rPr>
                    <w:t>）</w:t>
                  </w:r>
                </w:p>
              </w:tc>
            </w:tr>
            <w:tr>
              <w:tblPrEx>
                <w:tblBorders>
                  <w:top w:val="single" w:color="auto" w:sz="8" w:space="0"/>
                  <w:left w:val="none" w:color="auto" w:sz="6" w:space="0"/>
                  <w:bottom w:val="single" w:color="auto" w:sz="8"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2104"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bidi="ar"/>
                    </w:rPr>
                    <w:t>熔炼渣中氟</w:t>
                  </w:r>
                </w:p>
              </w:tc>
              <w:tc>
                <w:tcPr>
                  <w:tcW w:w="2105"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bidi="ar"/>
                    </w:rPr>
                    <w:t>0.007</w:t>
                  </w:r>
                </w:p>
              </w:tc>
              <w:tc>
                <w:tcPr>
                  <w:tcW w:w="2104"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eastAsia" w:ascii="宋体" w:hAnsi="宋体" w:eastAsia="宋体" w:cs="宋体"/>
                      <w:color w:val="auto"/>
                      <w:kern w:val="0"/>
                      <w:sz w:val="21"/>
                      <w:szCs w:val="21"/>
                      <w:lang w:val="en-US" w:eastAsia="zh-CN" w:bidi="ar"/>
                    </w:rPr>
                    <w:t>铝液中氟</w:t>
                  </w:r>
                </w:p>
              </w:tc>
              <w:tc>
                <w:tcPr>
                  <w:tcW w:w="2107" w:type="dxa"/>
                  <w:tcBorders>
                    <w:top w:val="single" w:color="auto" w:sz="4" w:space="0"/>
                    <w:left w:val="nil"/>
                    <w:bottom w:val="single" w:color="auto"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lang w:val="en-US"/>
                    </w:rPr>
                  </w:pPr>
                  <w:r>
                    <w:rPr>
                      <w:rFonts w:hint="eastAsia" w:ascii="Times New Roman" w:hAnsi="Times New Roman" w:eastAsia="宋体" w:cs="Times New Roman"/>
                      <w:color w:val="auto"/>
                      <w:kern w:val="0"/>
                      <w:sz w:val="21"/>
                      <w:szCs w:val="21"/>
                      <w:lang w:val="en-US" w:eastAsia="zh-CN" w:bidi="ar"/>
                    </w:rPr>
                    <w:t>0.0026</w:t>
                  </w:r>
                </w:p>
              </w:tc>
            </w:tr>
            <w:tr>
              <w:tblPrEx>
                <w:tblBorders>
                  <w:top w:val="single" w:color="auto" w:sz="8" w:space="0"/>
                  <w:left w:val="none" w:color="auto" w:sz="6" w:space="0"/>
                  <w:bottom w:val="single" w:color="auto" w:sz="8"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jc w:val="center"/>
              </w:trPr>
              <w:tc>
                <w:tcPr>
                  <w:tcW w:w="2104"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2105"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2104"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eastAsia" w:ascii="宋体" w:hAnsi="宋体" w:eastAsia="宋体" w:cs="宋体"/>
                      <w:color w:val="auto"/>
                      <w:kern w:val="0"/>
                      <w:sz w:val="21"/>
                      <w:szCs w:val="21"/>
                      <w:lang w:val="en-US" w:eastAsia="zh-CN" w:bidi="ar"/>
                    </w:rPr>
                    <w:t>颗粒物排放量中氟</w:t>
                  </w:r>
                </w:p>
              </w:tc>
              <w:tc>
                <w:tcPr>
                  <w:tcW w:w="2107" w:type="dxa"/>
                  <w:tcBorders>
                    <w:top w:val="single" w:color="auto" w:sz="4" w:space="0"/>
                    <w:left w:val="nil"/>
                    <w:bottom w:val="single" w:color="auto"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lang w:val="en-US"/>
                    </w:rPr>
                  </w:pPr>
                  <w:r>
                    <w:rPr>
                      <w:rFonts w:hint="eastAsia" w:ascii="Times New Roman" w:hAnsi="Times New Roman" w:eastAsia="宋体" w:cs="Times New Roman"/>
                      <w:color w:val="auto"/>
                      <w:kern w:val="0"/>
                      <w:sz w:val="21"/>
                      <w:szCs w:val="21"/>
                      <w:lang w:val="en-US" w:eastAsia="zh-CN" w:bidi="ar"/>
                    </w:rPr>
                    <w:t>0.00004</w:t>
                  </w:r>
                  <w:r>
                    <w:rPr>
                      <w:rFonts w:hint="eastAsia" w:cs="Times New Roman"/>
                      <w:color w:val="auto"/>
                      <w:kern w:val="0"/>
                      <w:sz w:val="21"/>
                      <w:szCs w:val="21"/>
                      <w:lang w:val="en-US" w:eastAsia="zh-CN" w:bidi="ar"/>
                    </w:rPr>
                    <w:t>5</w:t>
                  </w:r>
                </w:p>
              </w:tc>
            </w:tr>
            <w:tr>
              <w:tblPrEx>
                <w:tblBorders>
                  <w:top w:val="single" w:color="auto" w:sz="8" w:space="0"/>
                  <w:left w:val="none" w:color="auto" w:sz="6" w:space="0"/>
                  <w:bottom w:val="single" w:color="auto" w:sz="8"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jc w:val="center"/>
              </w:trPr>
              <w:tc>
                <w:tcPr>
                  <w:tcW w:w="2104"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2105"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2104"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bidi="ar"/>
                    </w:rPr>
                    <w:t>二次熔炼渣中氟</w:t>
                  </w:r>
                </w:p>
              </w:tc>
              <w:tc>
                <w:tcPr>
                  <w:tcW w:w="2107" w:type="dxa"/>
                  <w:tcBorders>
                    <w:top w:val="single" w:color="auto" w:sz="4" w:space="0"/>
                    <w:left w:val="nil"/>
                    <w:bottom w:val="single" w:color="auto"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lang w:val="en-US"/>
                    </w:rPr>
                  </w:pPr>
                  <w:r>
                    <w:rPr>
                      <w:rFonts w:hint="default" w:ascii="Times New Roman" w:hAnsi="Times New Roman" w:eastAsia="宋体" w:cs="Times New Roman"/>
                      <w:color w:val="auto"/>
                      <w:kern w:val="2"/>
                      <w:sz w:val="21"/>
                      <w:szCs w:val="21"/>
                      <w:lang w:val="en-US" w:eastAsia="zh-CN" w:bidi="ar"/>
                    </w:rPr>
                    <w:t>0.002</w:t>
                  </w:r>
                  <w:r>
                    <w:rPr>
                      <w:rFonts w:hint="eastAsia" w:cs="Times New Roman"/>
                      <w:color w:val="auto"/>
                      <w:kern w:val="2"/>
                      <w:sz w:val="21"/>
                      <w:szCs w:val="21"/>
                      <w:lang w:val="en-US" w:eastAsia="zh-CN" w:bidi="ar"/>
                    </w:rPr>
                    <w:t>4</w:t>
                  </w:r>
                </w:p>
              </w:tc>
            </w:tr>
            <w:tr>
              <w:tblPrEx>
                <w:tblBorders>
                  <w:top w:val="single" w:color="auto" w:sz="8" w:space="0"/>
                  <w:left w:val="none" w:color="auto" w:sz="6" w:space="0"/>
                  <w:bottom w:val="single" w:color="auto" w:sz="8"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jc w:val="center"/>
              </w:trPr>
              <w:tc>
                <w:tcPr>
                  <w:tcW w:w="2104"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2105"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2104"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 w:val="21"/>
                      <w:szCs w:val="21"/>
                    </w:rPr>
                  </w:pPr>
                  <w:r>
                    <w:rPr>
                      <w:rFonts w:hint="eastAsia" w:ascii="宋体" w:hAnsi="宋体" w:eastAsia="宋体" w:cs="宋体"/>
                      <w:color w:val="auto"/>
                      <w:kern w:val="0"/>
                      <w:sz w:val="21"/>
                      <w:szCs w:val="21"/>
                      <w:lang w:val="en-US" w:eastAsia="zh-CN" w:bidi="ar"/>
                    </w:rPr>
                    <w:t>除尘灰中氟</w:t>
                  </w:r>
                </w:p>
              </w:tc>
              <w:tc>
                <w:tcPr>
                  <w:tcW w:w="2107" w:type="dxa"/>
                  <w:tcBorders>
                    <w:top w:val="single" w:color="auto" w:sz="4" w:space="0"/>
                    <w:left w:val="nil"/>
                    <w:bottom w:val="single" w:color="auto"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 w:val="21"/>
                      <w:szCs w:val="21"/>
                      <w:lang w:val="en-US"/>
                    </w:rPr>
                  </w:pPr>
                  <w:r>
                    <w:rPr>
                      <w:rFonts w:hint="default" w:ascii="Times New Roman" w:hAnsi="Times New Roman" w:eastAsia="宋体" w:cs="Times New Roman"/>
                      <w:color w:val="auto"/>
                      <w:kern w:val="0"/>
                      <w:sz w:val="21"/>
                      <w:szCs w:val="21"/>
                      <w:lang w:val="en-US" w:eastAsia="zh-CN" w:bidi="ar"/>
                    </w:rPr>
                    <w:t>0.00</w:t>
                  </w:r>
                  <w:r>
                    <w:rPr>
                      <w:rFonts w:hint="eastAsia" w:cs="Times New Roman"/>
                      <w:color w:val="auto"/>
                      <w:kern w:val="0"/>
                      <w:sz w:val="21"/>
                      <w:szCs w:val="21"/>
                      <w:lang w:val="en-US" w:eastAsia="zh-CN" w:bidi="ar"/>
                    </w:rPr>
                    <w:t>1955</w:t>
                  </w:r>
                </w:p>
              </w:tc>
            </w:tr>
            <w:tr>
              <w:tblPrEx>
                <w:tblBorders>
                  <w:top w:val="single" w:color="auto" w:sz="8" w:space="0"/>
                  <w:left w:val="none" w:color="auto" w:sz="6" w:space="0"/>
                  <w:bottom w:val="single" w:color="auto" w:sz="8"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jc w:val="center"/>
              </w:trPr>
              <w:tc>
                <w:tcPr>
                  <w:tcW w:w="2104" w:type="dxa"/>
                  <w:tcBorders>
                    <w:top w:val="single" w:color="auto" w:sz="4" w:space="0"/>
                    <w:left w:val="nil"/>
                    <w:bottom w:val="single" w:color="auto" w:sz="8"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 w:val="21"/>
                      <w:szCs w:val="21"/>
                    </w:rPr>
                  </w:pPr>
                  <w:r>
                    <w:rPr>
                      <w:rFonts w:hint="eastAsia" w:ascii="宋体" w:hAnsi="宋体" w:eastAsia="宋体" w:cs="宋体"/>
                      <w:color w:val="auto"/>
                      <w:kern w:val="0"/>
                      <w:sz w:val="21"/>
                      <w:szCs w:val="21"/>
                      <w:lang w:val="en-US" w:eastAsia="zh-CN" w:bidi="ar"/>
                    </w:rPr>
                    <w:t>合计</w:t>
                  </w:r>
                </w:p>
              </w:tc>
              <w:tc>
                <w:tcPr>
                  <w:tcW w:w="2105" w:type="dxa"/>
                  <w:tcBorders>
                    <w:top w:val="single" w:color="auto" w:sz="4" w:space="0"/>
                    <w:left w:val="nil"/>
                    <w:bottom w:val="single" w:color="auto" w:sz="8"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bidi="ar"/>
                    </w:rPr>
                    <w:t>0.007</w:t>
                  </w:r>
                </w:p>
              </w:tc>
              <w:tc>
                <w:tcPr>
                  <w:tcW w:w="2104" w:type="dxa"/>
                  <w:tcBorders>
                    <w:top w:val="single" w:color="auto" w:sz="4" w:space="0"/>
                    <w:left w:val="nil"/>
                    <w:bottom w:val="single" w:color="auto" w:sz="8"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bidi="ar"/>
                    </w:rPr>
                    <w:t>合计</w:t>
                  </w:r>
                </w:p>
              </w:tc>
              <w:tc>
                <w:tcPr>
                  <w:tcW w:w="2107" w:type="dxa"/>
                  <w:tcBorders>
                    <w:top w:val="single" w:color="auto" w:sz="4" w:space="0"/>
                    <w:left w:val="nil"/>
                    <w:bottom w:val="single" w:color="auto" w:sz="8" w:space="0"/>
                    <w:right w:val="nil"/>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bidi="ar"/>
                    </w:rPr>
                    <w:t>0.007</w:t>
                  </w:r>
                </w:p>
              </w:tc>
            </w:tr>
          </w:tbl>
          <w:p>
            <w:pPr>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360" w:lineRule="auto"/>
              <w:ind w:left="0" w:right="0" w:firstLine="241" w:firstLineChars="100"/>
              <w:textAlignment w:val="auto"/>
              <w:rPr>
                <w:rFonts w:hint="eastAsia" w:ascii="Times New Roman" w:hAnsi="Times New Roman" w:eastAsia="宋体" w:cs="Times New Roman"/>
                <w:b/>
                <w:bCs/>
                <w:color w:val="auto"/>
                <w:kern w:val="2"/>
                <w:sz w:val="24"/>
                <w:szCs w:val="24"/>
                <w:lang w:val="en-US" w:eastAsia="zh-CN" w:bidi="ar-SA"/>
              </w:rPr>
            </w:pPr>
          </w:p>
          <w:p>
            <w:pPr>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360" w:lineRule="auto"/>
              <w:ind w:left="0" w:right="0" w:firstLine="241" w:firstLineChars="100"/>
              <w:textAlignment w:val="auto"/>
              <w:rPr>
                <w:rFonts w:hint="eastAsia" w:ascii="Times New Roman" w:hAnsi="Times New Roman" w:eastAsia="宋体" w:cs="Times New Roman"/>
                <w:b/>
                <w:bCs/>
                <w:color w:val="auto"/>
                <w:kern w:val="2"/>
                <w:sz w:val="24"/>
                <w:szCs w:val="24"/>
                <w:lang w:val="en-US" w:eastAsia="zh-CN" w:bidi="ar-SA"/>
              </w:rPr>
            </w:pPr>
          </w:p>
          <w:p>
            <w:pPr>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360" w:lineRule="auto"/>
              <w:ind w:left="0" w:right="0" w:firstLine="241" w:firstLineChars="100"/>
              <w:textAlignment w:val="auto"/>
              <w:rPr>
                <w:rFonts w:hint="eastAsia" w:ascii="Times New Roman" w:hAnsi="Times New Roman" w:eastAsia="宋体" w:cs="Times New Roman"/>
                <w:b/>
                <w:bCs/>
                <w:color w:val="auto"/>
                <w:kern w:val="2"/>
                <w:sz w:val="24"/>
                <w:szCs w:val="24"/>
                <w:lang w:val="en-US" w:eastAsia="zh-CN" w:bidi="ar-SA"/>
              </w:rPr>
            </w:pPr>
            <w:r>
              <w:rPr>
                <w:rFonts w:hint="eastAsia" w:cs="Times New Roman"/>
                <w:b/>
                <w:bCs/>
                <w:color w:val="auto"/>
                <w:kern w:val="2"/>
                <w:sz w:val="24"/>
                <w:szCs w:val="24"/>
                <w:lang w:val="en-US" w:eastAsia="zh-CN" w:bidi="ar-SA"/>
              </w:rPr>
              <w:t>10</w:t>
            </w:r>
            <w:r>
              <w:rPr>
                <w:rFonts w:hint="eastAsia" w:ascii="Times New Roman" w:hAnsi="Times New Roman" w:eastAsia="宋体" w:cs="Times New Roman"/>
                <w:b/>
                <w:bCs/>
                <w:color w:val="auto"/>
                <w:kern w:val="2"/>
                <w:sz w:val="24"/>
                <w:szCs w:val="24"/>
                <w:lang w:val="en-US" w:eastAsia="zh-CN" w:bidi="ar-SA"/>
              </w:rPr>
              <w:t>.4本项目氯元素平衡</w:t>
            </w:r>
          </w:p>
          <w:p>
            <w:pPr>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240" w:lineRule="auto"/>
              <w:ind w:left="0" w:right="0" w:firstLine="241" w:firstLineChars="100"/>
              <w:jc w:val="center"/>
              <w:textAlignment w:val="auto"/>
              <w:rPr>
                <w:rFonts w:hint="default"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氯</w:t>
            </w:r>
            <w:r>
              <w:rPr>
                <w:rFonts w:hint="default" w:ascii="Times New Roman" w:hAnsi="Times New Roman" w:eastAsia="宋体" w:cs="Times New Roman"/>
                <w:b/>
                <w:bCs/>
                <w:color w:val="auto"/>
                <w:kern w:val="2"/>
                <w:sz w:val="24"/>
                <w:szCs w:val="24"/>
                <w:lang w:val="en-US" w:eastAsia="zh-CN" w:bidi="ar-SA"/>
              </w:rPr>
              <w:t>元素平衡一览表</w:t>
            </w:r>
          </w:p>
          <w:tbl>
            <w:tblPr>
              <w:tblStyle w:val="27"/>
              <w:tblW w:w="8420" w:type="dxa"/>
              <w:jc w:val="center"/>
              <w:tblInd w:w="0" w:type="dxa"/>
              <w:tblBorders>
                <w:top w:val="single" w:color="auto" w:sz="8" w:space="0"/>
                <w:left w:val="none" w:color="auto" w:sz="6" w:space="0"/>
                <w:bottom w:val="single" w:color="auto" w:sz="8" w:space="0"/>
                <w:right w:val="none" w:color="auto" w:sz="6"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103"/>
              <w:gridCol w:w="2105"/>
              <w:gridCol w:w="2104"/>
              <w:gridCol w:w="2108"/>
            </w:tblGrid>
            <w:tr>
              <w:tblPrEx>
                <w:tblBorders>
                  <w:top w:val="single" w:color="auto" w:sz="8" w:space="0"/>
                  <w:left w:val="none" w:color="auto" w:sz="6" w:space="0"/>
                  <w:bottom w:val="single" w:color="auto" w:sz="8" w:space="0"/>
                  <w:right w:val="none" w:color="auto" w:sz="6"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307" w:hRule="atLeast"/>
                <w:jc w:val="center"/>
              </w:trPr>
              <w:tc>
                <w:tcPr>
                  <w:tcW w:w="4208" w:type="dxa"/>
                  <w:gridSpan w:val="2"/>
                  <w:tcBorders>
                    <w:top w:val="single" w:color="auto" w:sz="8"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eastAsia" w:ascii="宋体" w:hAnsi="宋体" w:eastAsia="宋体" w:cs="宋体"/>
                      <w:b/>
                      <w:bCs/>
                      <w:color w:val="auto"/>
                      <w:kern w:val="0"/>
                      <w:sz w:val="21"/>
                      <w:szCs w:val="21"/>
                      <w:lang w:val="en-US" w:eastAsia="zh-CN" w:bidi="ar"/>
                    </w:rPr>
                    <w:t>投入</w:t>
                  </w:r>
                </w:p>
              </w:tc>
              <w:tc>
                <w:tcPr>
                  <w:tcW w:w="4212" w:type="dxa"/>
                  <w:gridSpan w:val="2"/>
                  <w:tcBorders>
                    <w:top w:val="single" w:color="auto" w:sz="8" w:space="0"/>
                    <w:left w:val="nil"/>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eastAsia" w:ascii="宋体" w:hAnsi="宋体" w:eastAsia="宋体" w:cs="宋体"/>
                      <w:b/>
                      <w:bCs/>
                      <w:color w:val="auto"/>
                      <w:kern w:val="0"/>
                      <w:sz w:val="21"/>
                      <w:szCs w:val="21"/>
                      <w:lang w:val="en-US" w:eastAsia="zh-CN" w:bidi="ar"/>
                    </w:rPr>
                    <w:t>产出</w:t>
                  </w:r>
                </w:p>
              </w:tc>
            </w:tr>
            <w:tr>
              <w:tblPrEx>
                <w:tblBorders>
                  <w:top w:val="single" w:color="auto" w:sz="8" w:space="0"/>
                  <w:left w:val="none" w:color="auto" w:sz="6" w:space="0"/>
                  <w:bottom w:val="single" w:color="auto" w:sz="8"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jc w:val="center"/>
              </w:trPr>
              <w:tc>
                <w:tcPr>
                  <w:tcW w:w="210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eastAsia" w:ascii="宋体" w:hAnsi="宋体" w:eastAsia="宋体" w:cs="宋体"/>
                      <w:b/>
                      <w:bCs/>
                      <w:color w:val="auto"/>
                      <w:kern w:val="0"/>
                      <w:sz w:val="21"/>
                      <w:szCs w:val="21"/>
                      <w:lang w:val="en-US" w:eastAsia="zh-CN" w:bidi="ar"/>
                    </w:rPr>
                    <w:t>物料名称</w:t>
                  </w:r>
                </w:p>
              </w:tc>
              <w:tc>
                <w:tcPr>
                  <w:tcW w:w="210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eastAsia" w:ascii="宋体" w:hAnsi="宋体" w:eastAsia="宋体" w:cs="宋体"/>
                      <w:b/>
                      <w:bCs/>
                      <w:color w:val="auto"/>
                      <w:kern w:val="0"/>
                      <w:sz w:val="21"/>
                      <w:szCs w:val="21"/>
                      <w:lang w:val="en-US" w:eastAsia="zh-CN" w:bidi="ar"/>
                    </w:rPr>
                    <w:t>数量（</w:t>
                  </w:r>
                  <w:r>
                    <w:rPr>
                      <w:rFonts w:hint="default" w:ascii="Times New Roman" w:hAnsi="Times New Roman" w:eastAsia="宋体" w:cs="Times New Roman"/>
                      <w:b/>
                      <w:bCs/>
                      <w:color w:val="auto"/>
                      <w:kern w:val="0"/>
                      <w:sz w:val="21"/>
                      <w:szCs w:val="21"/>
                      <w:lang w:val="en-US" w:eastAsia="zh-CN" w:bidi="ar"/>
                    </w:rPr>
                    <w:t>t/a</w:t>
                  </w:r>
                  <w:r>
                    <w:rPr>
                      <w:rFonts w:hint="eastAsia" w:ascii="宋体" w:hAnsi="宋体" w:eastAsia="宋体" w:cs="宋体"/>
                      <w:b/>
                      <w:bCs/>
                      <w:color w:val="auto"/>
                      <w:kern w:val="0"/>
                      <w:sz w:val="21"/>
                      <w:szCs w:val="21"/>
                      <w:lang w:val="en-US" w:eastAsia="zh-CN" w:bidi="ar"/>
                    </w:rPr>
                    <w:t>）</w:t>
                  </w:r>
                </w:p>
              </w:tc>
              <w:tc>
                <w:tcPr>
                  <w:tcW w:w="2104"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eastAsia" w:ascii="宋体" w:hAnsi="宋体" w:eastAsia="宋体" w:cs="宋体"/>
                      <w:b/>
                      <w:bCs/>
                      <w:color w:val="auto"/>
                      <w:kern w:val="0"/>
                      <w:sz w:val="21"/>
                      <w:szCs w:val="21"/>
                      <w:lang w:val="en-US" w:eastAsia="zh-CN" w:bidi="ar"/>
                    </w:rPr>
                    <w:t>物料名称</w:t>
                  </w:r>
                </w:p>
              </w:tc>
              <w:tc>
                <w:tcPr>
                  <w:tcW w:w="2108" w:type="dxa"/>
                  <w:tcBorders>
                    <w:top w:val="single" w:color="auto" w:sz="4" w:space="0"/>
                    <w:left w:val="nil"/>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eastAsia" w:ascii="宋体" w:hAnsi="宋体" w:eastAsia="宋体" w:cs="宋体"/>
                      <w:b/>
                      <w:bCs/>
                      <w:color w:val="auto"/>
                      <w:kern w:val="0"/>
                      <w:sz w:val="21"/>
                      <w:szCs w:val="21"/>
                      <w:lang w:val="en-US" w:eastAsia="zh-CN" w:bidi="ar"/>
                    </w:rPr>
                    <w:t>数量（</w:t>
                  </w:r>
                  <w:r>
                    <w:rPr>
                      <w:rFonts w:hint="default" w:ascii="Times New Roman" w:hAnsi="Times New Roman" w:eastAsia="宋体" w:cs="Times New Roman"/>
                      <w:b/>
                      <w:bCs/>
                      <w:color w:val="auto"/>
                      <w:kern w:val="0"/>
                      <w:sz w:val="21"/>
                      <w:szCs w:val="21"/>
                      <w:lang w:val="en-US" w:eastAsia="zh-CN" w:bidi="ar"/>
                    </w:rPr>
                    <w:t>t/a</w:t>
                  </w:r>
                  <w:r>
                    <w:rPr>
                      <w:rFonts w:hint="eastAsia" w:ascii="宋体" w:hAnsi="宋体" w:eastAsia="宋体" w:cs="宋体"/>
                      <w:b/>
                      <w:bCs/>
                      <w:color w:val="auto"/>
                      <w:kern w:val="0"/>
                      <w:sz w:val="21"/>
                      <w:szCs w:val="21"/>
                      <w:lang w:val="en-US" w:eastAsia="zh-CN" w:bidi="ar"/>
                    </w:rPr>
                    <w:t>）</w:t>
                  </w:r>
                </w:p>
              </w:tc>
            </w:tr>
            <w:tr>
              <w:tblPrEx>
                <w:tblBorders>
                  <w:top w:val="single" w:color="auto" w:sz="8" w:space="0"/>
                  <w:left w:val="none" w:color="auto" w:sz="6" w:space="0"/>
                  <w:bottom w:val="single" w:color="auto" w:sz="8"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2103"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bidi="ar"/>
                    </w:rPr>
                    <w:t>熔炼渣中氯</w:t>
                  </w:r>
                </w:p>
              </w:tc>
              <w:tc>
                <w:tcPr>
                  <w:tcW w:w="2105"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bidi="ar"/>
                    </w:rPr>
                    <w:t>0.49</w:t>
                  </w:r>
                </w:p>
              </w:tc>
              <w:tc>
                <w:tcPr>
                  <w:tcW w:w="2104"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eastAsia" w:ascii="宋体" w:hAnsi="宋体" w:eastAsia="宋体" w:cs="宋体"/>
                      <w:color w:val="auto"/>
                      <w:kern w:val="0"/>
                      <w:sz w:val="21"/>
                      <w:szCs w:val="21"/>
                      <w:lang w:val="en-US" w:eastAsia="zh-CN" w:bidi="ar"/>
                    </w:rPr>
                    <w:t>铝液中氯</w:t>
                  </w:r>
                </w:p>
              </w:tc>
              <w:tc>
                <w:tcPr>
                  <w:tcW w:w="2108" w:type="dxa"/>
                  <w:tcBorders>
                    <w:top w:val="single" w:color="auto" w:sz="4" w:space="0"/>
                    <w:left w:val="nil"/>
                    <w:bottom w:val="single" w:color="auto"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lang w:val="en-US"/>
                    </w:rPr>
                  </w:pPr>
                  <w:r>
                    <w:rPr>
                      <w:rFonts w:hint="eastAsia" w:cs="Times New Roman"/>
                      <w:color w:val="auto"/>
                      <w:kern w:val="0"/>
                      <w:sz w:val="21"/>
                      <w:szCs w:val="21"/>
                      <w:lang w:val="en-US" w:eastAsia="zh-CN" w:bidi="ar"/>
                    </w:rPr>
                    <w:t>0.4137</w:t>
                  </w:r>
                </w:p>
              </w:tc>
            </w:tr>
            <w:tr>
              <w:tblPrEx>
                <w:tblBorders>
                  <w:top w:val="single" w:color="auto" w:sz="8" w:space="0"/>
                  <w:left w:val="none" w:color="auto" w:sz="6" w:space="0"/>
                  <w:bottom w:val="single" w:color="auto" w:sz="8"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jc w:val="center"/>
              </w:trPr>
              <w:tc>
                <w:tcPr>
                  <w:tcW w:w="2103"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2105"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2104"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eastAsia" w:ascii="宋体" w:hAnsi="宋体" w:eastAsia="宋体" w:cs="宋体"/>
                      <w:color w:val="auto"/>
                      <w:kern w:val="0"/>
                      <w:sz w:val="21"/>
                      <w:szCs w:val="21"/>
                      <w:lang w:val="en-US" w:eastAsia="zh-CN" w:bidi="ar"/>
                    </w:rPr>
                    <w:t>颗粒物排放量中氯</w:t>
                  </w:r>
                </w:p>
              </w:tc>
              <w:tc>
                <w:tcPr>
                  <w:tcW w:w="2108" w:type="dxa"/>
                  <w:tcBorders>
                    <w:top w:val="single" w:color="auto" w:sz="4" w:space="0"/>
                    <w:left w:val="nil"/>
                    <w:bottom w:val="single" w:color="auto"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0.000</w:t>
                  </w:r>
                  <w:r>
                    <w:rPr>
                      <w:rFonts w:hint="eastAsia" w:cs="Times New Roman"/>
                      <w:color w:val="auto"/>
                      <w:kern w:val="0"/>
                      <w:sz w:val="21"/>
                      <w:szCs w:val="21"/>
                      <w:lang w:val="en-US" w:eastAsia="zh-CN"/>
                    </w:rPr>
                    <w:t>9</w:t>
                  </w:r>
                </w:p>
              </w:tc>
            </w:tr>
            <w:tr>
              <w:tblPrEx>
                <w:tblBorders>
                  <w:top w:val="single" w:color="auto" w:sz="8" w:space="0"/>
                  <w:left w:val="none" w:color="auto" w:sz="6" w:space="0"/>
                  <w:bottom w:val="single" w:color="auto" w:sz="8"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jc w:val="center"/>
              </w:trPr>
              <w:tc>
                <w:tcPr>
                  <w:tcW w:w="2103"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2105"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2104"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bidi="ar"/>
                    </w:rPr>
                    <w:t>二次熔炼渣中氯</w:t>
                  </w:r>
                </w:p>
              </w:tc>
              <w:tc>
                <w:tcPr>
                  <w:tcW w:w="2108" w:type="dxa"/>
                  <w:tcBorders>
                    <w:top w:val="single" w:color="auto" w:sz="4" w:space="0"/>
                    <w:left w:val="nil"/>
                    <w:bottom w:val="single" w:color="auto"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lang w:val="en-US"/>
                    </w:rPr>
                  </w:pPr>
                  <w:r>
                    <w:rPr>
                      <w:rFonts w:hint="eastAsia" w:cs="Times New Roman"/>
                      <w:color w:val="auto"/>
                      <w:kern w:val="2"/>
                      <w:sz w:val="21"/>
                      <w:szCs w:val="21"/>
                      <w:lang w:val="en-US" w:eastAsia="zh-CN" w:bidi="ar"/>
                    </w:rPr>
                    <w:t>0.049</w:t>
                  </w:r>
                </w:p>
              </w:tc>
            </w:tr>
            <w:tr>
              <w:tblPrEx>
                <w:tblBorders>
                  <w:top w:val="single" w:color="auto" w:sz="8" w:space="0"/>
                  <w:left w:val="none" w:color="auto" w:sz="6" w:space="0"/>
                  <w:bottom w:val="single" w:color="auto" w:sz="8"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jc w:val="center"/>
              </w:trPr>
              <w:tc>
                <w:tcPr>
                  <w:tcW w:w="2103"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2105"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2104"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 w:val="21"/>
                      <w:szCs w:val="21"/>
                    </w:rPr>
                  </w:pPr>
                  <w:r>
                    <w:rPr>
                      <w:rFonts w:hint="eastAsia" w:ascii="宋体" w:hAnsi="宋体" w:eastAsia="宋体" w:cs="宋体"/>
                      <w:color w:val="auto"/>
                      <w:kern w:val="0"/>
                      <w:sz w:val="21"/>
                      <w:szCs w:val="21"/>
                      <w:lang w:val="en-US" w:eastAsia="zh-CN" w:bidi="ar"/>
                    </w:rPr>
                    <w:t>除尘灰中氯</w:t>
                  </w:r>
                </w:p>
              </w:tc>
              <w:tc>
                <w:tcPr>
                  <w:tcW w:w="2108" w:type="dxa"/>
                  <w:tcBorders>
                    <w:top w:val="single" w:color="auto" w:sz="4" w:space="0"/>
                    <w:left w:val="nil"/>
                    <w:bottom w:val="single" w:color="auto"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 w:val="21"/>
                      <w:szCs w:val="21"/>
                      <w:lang w:val="en-US"/>
                    </w:rPr>
                  </w:pPr>
                  <w:r>
                    <w:rPr>
                      <w:rFonts w:hint="eastAsia" w:cs="Times New Roman"/>
                      <w:color w:val="auto"/>
                      <w:kern w:val="0"/>
                      <w:sz w:val="21"/>
                      <w:szCs w:val="21"/>
                      <w:lang w:val="en-US" w:eastAsia="zh-CN" w:bidi="ar"/>
                    </w:rPr>
                    <w:t>0.0264</w:t>
                  </w:r>
                </w:p>
              </w:tc>
            </w:tr>
            <w:tr>
              <w:tblPrEx>
                <w:tblBorders>
                  <w:top w:val="single" w:color="auto" w:sz="8" w:space="0"/>
                  <w:left w:val="none" w:color="auto" w:sz="6" w:space="0"/>
                  <w:bottom w:val="single" w:color="auto" w:sz="8"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jc w:val="center"/>
              </w:trPr>
              <w:tc>
                <w:tcPr>
                  <w:tcW w:w="210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 w:val="21"/>
                      <w:szCs w:val="21"/>
                    </w:rPr>
                  </w:pPr>
                  <w:r>
                    <w:rPr>
                      <w:rFonts w:hint="eastAsia" w:ascii="宋体" w:hAnsi="宋体" w:eastAsia="宋体" w:cs="宋体"/>
                      <w:color w:val="auto"/>
                      <w:kern w:val="0"/>
                      <w:sz w:val="21"/>
                      <w:szCs w:val="21"/>
                      <w:lang w:val="en-US" w:eastAsia="zh-CN" w:bidi="ar"/>
                    </w:rPr>
                    <w:t>合计</w:t>
                  </w:r>
                </w:p>
              </w:tc>
              <w:tc>
                <w:tcPr>
                  <w:tcW w:w="210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bidi="ar"/>
                    </w:rPr>
                    <w:t>0.49</w:t>
                  </w:r>
                </w:p>
              </w:tc>
              <w:tc>
                <w:tcPr>
                  <w:tcW w:w="2104"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bidi="ar"/>
                    </w:rPr>
                    <w:t>合计</w:t>
                  </w:r>
                </w:p>
              </w:tc>
              <w:tc>
                <w:tcPr>
                  <w:tcW w:w="2108" w:type="dxa"/>
                  <w:tcBorders>
                    <w:top w:val="single" w:color="auto" w:sz="4" w:space="0"/>
                    <w:left w:val="nil"/>
                    <w:bottom w:val="single" w:color="auto"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bidi="ar"/>
                    </w:rPr>
                    <w:t>0.49</w:t>
                  </w:r>
                </w:p>
              </w:tc>
            </w:tr>
          </w:tbl>
          <w:p>
            <w:pPr>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240" w:lineRule="auto"/>
              <w:ind w:left="0" w:right="0"/>
              <w:textAlignment w:val="auto"/>
              <w:rPr>
                <w:rFonts w:hint="eastAsia"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kern w:val="2"/>
                <w:sz w:val="24"/>
                <w:szCs w:val="24"/>
                <w:lang w:val="en-US" w:eastAsia="zh-CN" w:bidi="ar-SA"/>
              </w:rPr>
              <w:t>1</w:t>
            </w:r>
            <w:r>
              <w:rPr>
                <w:rFonts w:hint="eastAsia" w:cs="Times New Roman"/>
                <w:b/>
                <w:bCs/>
                <w:color w:val="auto"/>
                <w:kern w:val="2"/>
                <w:sz w:val="24"/>
                <w:szCs w:val="24"/>
                <w:lang w:val="en-US" w:eastAsia="zh-CN" w:bidi="ar-SA"/>
              </w:rPr>
              <w:t>1</w:t>
            </w:r>
            <w:r>
              <w:rPr>
                <w:rFonts w:hint="eastAsia" w:ascii="Times New Roman" w:hAnsi="Times New Roman" w:eastAsia="宋体" w:cs="Times New Roman"/>
                <w:b/>
                <w:bCs/>
                <w:color w:val="auto"/>
                <w:kern w:val="2"/>
                <w:sz w:val="24"/>
                <w:szCs w:val="24"/>
                <w:lang w:val="en-US" w:eastAsia="zh-CN" w:bidi="ar-SA"/>
              </w:rPr>
              <w:t>.</w:t>
            </w:r>
            <w:r>
              <w:rPr>
                <w:rFonts w:hint="eastAsia" w:ascii="Times New Roman" w:hAnsi="Times New Roman" w:eastAsia="宋体" w:cs="Times New Roman"/>
                <w:b/>
                <w:bCs/>
                <w:color w:val="auto"/>
                <w:sz w:val="24"/>
                <w:szCs w:val="24"/>
                <w:highlight w:val="none"/>
                <w:u w:val="none" w:color="auto"/>
                <w:lang w:val="en-US" w:eastAsia="zh-CN"/>
              </w:rPr>
              <w:t>水平衡分析</w:t>
            </w:r>
          </w:p>
          <w:p>
            <w:pPr>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default"/>
                <w:color w:val="auto"/>
              </w:rPr>
              <w:drawing>
                <wp:anchor distT="0" distB="0" distL="114300" distR="114300" simplePos="0" relativeHeight="251674624" behindDoc="0" locked="0" layoutInCell="1" allowOverlap="1">
                  <wp:simplePos x="0" y="0"/>
                  <wp:positionH relativeFrom="column">
                    <wp:posOffset>743585</wp:posOffset>
                  </wp:positionH>
                  <wp:positionV relativeFrom="paragraph">
                    <wp:posOffset>24765</wp:posOffset>
                  </wp:positionV>
                  <wp:extent cx="3670935" cy="2570480"/>
                  <wp:effectExtent l="0" t="0" r="5715" b="1270"/>
                  <wp:wrapTopAndBottom/>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9"/>
                          <a:stretch>
                            <a:fillRect/>
                          </a:stretch>
                        </pic:blipFill>
                        <pic:spPr>
                          <a:xfrm>
                            <a:off x="0" y="0"/>
                            <a:ext cx="3670935" cy="2570480"/>
                          </a:xfrm>
                          <a:prstGeom prst="rect">
                            <a:avLst/>
                          </a:prstGeom>
                          <a:noFill/>
                          <a:ln>
                            <a:noFill/>
                          </a:ln>
                        </pic:spPr>
                      </pic:pic>
                    </a:graphicData>
                  </a:graphic>
                </wp:anchor>
              </w:drawing>
            </w:r>
            <w:r>
              <w:rPr>
                <w:rFonts w:hint="eastAsia" w:ascii="Times New Roman" w:hAnsi="Times New Roman" w:eastAsia="宋体" w:cs="Times New Roman"/>
                <w:b/>
                <w:bCs/>
                <w:color w:val="auto"/>
                <w:sz w:val="24"/>
                <w:szCs w:val="24"/>
                <w:highlight w:val="none"/>
                <w:u w:val="none" w:color="auto"/>
                <w:lang w:val="en-US" w:eastAsia="zh-CN"/>
              </w:rPr>
              <w:t>本项目水平衡图（m</w:t>
            </w:r>
            <w:r>
              <w:rPr>
                <w:rFonts w:hint="eastAsia" w:ascii="Times New Roman" w:hAnsi="Times New Roman" w:eastAsia="宋体" w:cs="Times New Roman"/>
                <w:b/>
                <w:bCs/>
                <w:color w:val="auto"/>
                <w:sz w:val="24"/>
                <w:szCs w:val="24"/>
                <w:highlight w:val="none"/>
                <w:u w:val="none" w:color="auto"/>
                <w:vertAlign w:val="superscript"/>
                <w:lang w:val="en-US" w:eastAsia="zh-CN"/>
              </w:rPr>
              <w:t>3</w:t>
            </w:r>
            <w:r>
              <w:rPr>
                <w:rFonts w:hint="eastAsia" w:ascii="Times New Roman" w:hAnsi="Times New Roman" w:eastAsia="宋体" w:cs="Times New Roman"/>
                <w:b/>
                <w:bCs/>
                <w:color w:val="auto"/>
                <w:sz w:val="24"/>
                <w:szCs w:val="24"/>
                <w:highlight w:val="none"/>
                <w:u w:val="none" w:color="auto"/>
                <w:lang w:val="en-US" w:eastAsia="zh-CN"/>
              </w:rPr>
              <w: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21" w:type="dxa"/>
            <w:vAlign w:val="center"/>
          </w:tcPr>
          <w:p>
            <w:pPr>
              <w:pStyle w:val="23"/>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rPr>
              <w:t>工艺流程和产排污环节</w:t>
            </w:r>
          </w:p>
        </w:tc>
        <w:tc>
          <w:tcPr>
            <w:tcW w:w="8639" w:type="dxa"/>
            <w:vAlign w:val="top"/>
          </w:tcPr>
          <w:p>
            <w:pPr>
              <w:keepNext w:val="0"/>
              <w:keepLines w:val="0"/>
              <w:pageBreakBefore w:val="0"/>
              <w:widowControl w:val="0"/>
              <w:numPr>
                <w:ilvl w:val="0"/>
                <w:numId w:val="0"/>
              </w:numPr>
              <w:suppressLineNumbers w:val="0"/>
              <w:tabs>
                <w:tab w:val="clear" w:pos="0"/>
                <w:tab w:val="clear" w:pos="2040"/>
              </w:tabs>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b/>
                <w:bCs w:val="0"/>
                <w:color w:val="auto"/>
                <w:sz w:val="24"/>
                <w:szCs w:val="24"/>
                <w:u w:val="none" w:color="auto"/>
                <w:lang w:val="en-US" w:eastAsia="zh-CN"/>
              </w:rPr>
            </w:pPr>
            <w:r>
              <w:rPr>
                <w:rFonts w:hint="eastAsia" w:ascii="Times New Roman" w:hAnsi="Times New Roman" w:eastAsia="宋体" w:cs="Times New Roman"/>
                <w:b/>
                <w:bCs w:val="0"/>
                <w:color w:val="auto"/>
                <w:sz w:val="24"/>
                <w:szCs w:val="24"/>
                <w:u w:val="none" w:color="auto"/>
                <w:lang w:val="en-US" w:eastAsia="zh-CN"/>
              </w:rPr>
              <w:t>1.</w:t>
            </w:r>
            <w:r>
              <w:rPr>
                <w:rFonts w:hint="default" w:ascii="Times New Roman" w:hAnsi="Times New Roman" w:eastAsia="宋体" w:cs="Times New Roman"/>
                <w:b/>
                <w:bCs w:val="0"/>
                <w:color w:val="auto"/>
                <w:sz w:val="24"/>
                <w:szCs w:val="24"/>
                <w:u w:val="none" w:color="auto"/>
                <w:lang w:val="en-US" w:eastAsia="zh-CN"/>
              </w:rPr>
              <w:t>施工期工艺流程</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val="0"/>
                <w:bCs w:val="0"/>
                <w:color w:val="auto"/>
                <w:sz w:val="24"/>
                <w:szCs w:val="24"/>
                <w:highlight w:val="none"/>
                <w:u w:val="none" w:color="auto"/>
                <w:lang w:eastAsia="zh-CN"/>
              </w:rPr>
              <w:t>本项目在现有厂房内建设，施工期仅为安装新设备等产生的噪声污染。由于设备安装均在厂房内进行，且时间较短，故施工期对周围声环境影响较小。</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b/>
                <w:bCs/>
                <w:color w:val="auto"/>
                <w:sz w:val="24"/>
                <w:szCs w:val="24"/>
                <w:u w:val="none" w:color="auto"/>
                <w:lang w:eastAsia="zh-CN"/>
              </w:rPr>
            </w:pPr>
            <w:r>
              <w:rPr>
                <w:rFonts w:hint="eastAsia" w:ascii="Times New Roman" w:hAnsi="Times New Roman" w:eastAsia="宋体" w:cs="Times New Roman"/>
                <w:b/>
                <w:bCs/>
                <w:color w:val="auto"/>
                <w:sz w:val="24"/>
                <w:szCs w:val="24"/>
                <w:u w:val="none" w:color="auto"/>
                <w:lang w:val="en-US" w:eastAsia="zh-CN"/>
              </w:rPr>
              <w:t>2.</w:t>
            </w:r>
            <w:r>
              <w:rPr>
                <w:rFonts w:hint="default" w:ascii="Times New Roman" w:hAnsi="Times New Roman" w:eastAsia="宋体" w:cs="Times New Roman"/>
                <w:b/>
                <w:bCs/>
                <w:color w:val="auto"/>
                <w:sz w:val="24"/>
                <w:szCs w:val="24"/>
                <w:u w:val="none" w:color="auto"/>
              </w:rPr>
              <w:t>运营期</w:t>
            </w:r>
            <w:r>
              <w:rPr>
                <w:rFonts w:hint="default" w:ascii="Times New Roman" w:hAnsi="Times New Roman" w:eastAsia="宋体" w:cs="Times New Roman"/>
                <w:b/>
                <w:bCs/>
                <w:color w:val="auto"/>
                <w:sz w:val="24"/>
                <w:szCs w:val="24"/>
                <w:u w:val="none" w:color="auto"/>
                <w:lang w:eastAsia="zh-CN"/>
              </w:rPr>
              <w:t>工艺流程</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b w:val="0"/>
                <w:bCs w:val="0"/>
                <w:color w:val="auto"/>
                <w:sz w:val="24"/>
                <w:szCs w:val="24"/>
                <w:highlight w:val="none"/>
                <w:u w:val="none" w:color="auto"/>
                <w:lang w:val="en-US" w:eastAsia="zh-CN"/>
              </w:rPr>
            </w:pPr>
            <w:r>
              <w:rPr>
                <w:rFonts w:hint="eastAsia" w:ascii="Times New Roman" w:hAnsi="Times New Roman" w:eastAsia="宋体" w:cs="Times New Roman"/>
                <w:b w:val="0"/>
                <w:bCs w:val="0"/>
                <w:color w:val="auto"/>
                <w:sz w:val="24"/>
                <w:szCs w:val="24"/>
                <w:highlight w:val="none"/>
                <w:u w:val="none" w:color="auto"/>
                <w:lang w:val="en-US" w:eastAsia="zh-CN"/>
              </w:rPr>
              <w:t>本次建设年产6万吨铝锌合金配套炒灰机项目，本项目主要对年产6万吨铝锌合金生产线扒渣工序产生的熔炼渣进行内部回收再利用，运营期工艺流程如下图所示。</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b w:val="0"/>
                <w:bCs w:val="0"/>
                <w:color w:val="auto"/>
                <w:sz w:val="24"/>
                <w:szCs w:val="24"/>
                <w:highlight w:val="none"/>
                <w:u w:val="none" w:color="auto"/>
                <w:lang w:val="en-US" w:eastAsia="zh-CN"/>
              </w:rPr>
            </w:pP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b w:val="0"/>
                <w:bCs w:val="0"/>
                <w:color w:val="auto"/>
                <w:sz w:val="24"/>
                <w:szCs w:val="24"/>
                <w:highlight w:val="none"/>
                <w:u w:val="none" w:color="auto"/>
                <w:lang w:val="en-US" w:eastAsia="zh-CN"/>
              </w:rPr>
            </w:pP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b w:val="0"/>
                <w:bCs w:val="0"/>
                <w:color w:val="auto"/>
                <w:sz w:val="24"/>
                <w:szCs w:val="24"/>
                <w:highlight w:val="none"/>
                <w:u w:val="none" w:color="auto"/>
                <w:lang w:val="en-US" w:eastAsia="zh-CN"/>
              </w:rPr>
            </w:pP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b w:val="0"/>
                <w:bCs w:val="0"/>
                <w:color w:val="auto"/>
                <w:sz w:val="24"/>
                <w:szCs w:val="24"/>
                <w:highlight w:val="none"/>
                <w:u w:val="none" w:color="auto"/>
                <w:lang w:val="en-US" w:eastAsia="zh-CN"/>
              </w:rPr>
            </w:pP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b w:val="0"/>
                <w:bCs w:val="0"/>
                <w:color w:val="auto"/>
                <w:sz w:val="24"/>
                <w:szCs w:val="24"/>
                <w:highlight w:val="none"/>
                <w:u w:val="none" w:color="auto"/>
                <w:lang w:val="en-US" w:eastAsia="zh-CN"/>
              </w:rPr>
            </w:pPr>
          </w:p>
          <w:p>
            <w:pPr>
              <w:pStyle w:val="2"/>
              <w:keepLines w:val="0"/>
              <w:suppressLineNumbers w:val="0"/>
              <w:spacing w:beforeAutospacing="0" w:afterAutospacing="0"/>
              <w:ind w:right="0"/>
              <w:jc w:val="center"/>
              <w:outlineLvl w:val="9"/>
              <w:rPr>
                <w:rFonts w:hint="default" w:ascii="Times New Roman" w:hAnsi="Times New Roman" w:eastAsia="宋体" w:cs="Times New Roman"/>
                <w:color w:val="auto"/>
                <w:sz w:val="24"/>
                <w:szCs w:val="24"/>
                <w:u w:val="none" w:color="auto"/>
              </w:rPr>
            </w:pPr>
            <w:r>
              <w:rPr>
                <w:rFonts w:hint="default" w:ascii="Times New Roman" w:hAnsi="Times New Roman" w:cs="Times New Roman"/>
                <w:color w:val="auto"/>
              </w:rPr>
              <w:drawing>
                <wp:anchor distT="0" distB="0" distL="114300" distR="114300" simplePos="0" relativeHeight="251661312" behindDoc="0" locked="0" layoutInCell="1" allowOverlap="1">
                  <wp:simplePos x="0" y="0"/>
                  <wp:positionH relativeFrom="column">
                    <wp:posOffset>334010</wp:posOffset>
                  </wp:positionH>
                  <wp:positionV relativeFrom="page">
                    <wp:posOffset>9525</wp:posOffset>
                  </wp:positionV>
                  <wp:extent cx="4735195" cy="4052570"/>
                  <wp:effectExtent l="0" t="0" r="8255" b="5080"/>
                  <wp:wrapTopAndBottom/>
                  <wp:docPr id="2" name="图片 1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161"/>
                          <pic:cNvPicPr>
                            <a:picLocks noChangeAspect="1"/>
                          </pic:cNvPicPr>
                        </pic:nvPicPr>
                        <pic:blipFill>
                          <a:blip r:embed="rId10"/>
                          <a:stretch>
                            <a:fillRect/>
                          </a:stretch>
                        </pic:blipFill>
                        <pic:spPr>
                          <a:xfrm>
                            <a:off x="0" y="0"/>
                            <a:ext cx="4735195" cy="4052570"/>
                          </a:xfrm>
                          <a:prstGeom prst="rect">
                            <a:avLst/>
                          </a:prstGeom>
                          <a:noFill/>
                          <a:ln>
                            <a:noFill/>
                          </a:ln>
                        </pic:spPr>
                      </pic:pic>
                    </a:graphicData>
                  </a:graphic>
                </wp:anchor>
              </w:drawing>
            </w:r>
            <w:r>
              <w:rPr>
                <w:rFonts w:hint="default" w:ascii="Times New Roman" w:hAnsi="Times New Roman" w:eastAsia="宋体" w:cs="Times New Roman"/>
                <w:b/>
                <w:bCs/>
                <w:color w:val="auto"/>
                <w:sz w:val="24"/>
                <w:szCs w:val="24"/>
                <w:highlight w:val="none"/>
                <w:u w:val="none" w:color="auto"/>
                <w:lang w:val="en-US" w:eastAsia="zh-CN"/>
              </w:rPr>
              <w:t>运营期</w:t>
            </w:r>
            <w:r>
              <w:rPr>
                <w:rFonts w:hint="default" w:ascii="Times New Roman" w:hAnsi="Times New Roman" w:eastAsia="宋体" w:cs="Times New Roman"/>
                <w:b/>
                <w:bCs/>
                <w:color w:val="auto"/>
                <w:sz w:val="24"/>
                <w:szCs w:val="24"/>
                <w:highlight w:val="none"/>
                <w:u w:val="none" w:color="auto"/>
                <w:lang w:eastAsia="zh-CN"/>
              </w:rPr>
              <w:t>工艺流程及产污环节图</w:t>
            </w:r>
          </w:p>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360" w:lineRule="auto"/>
              <w:ind w:left="0" w:leftChars="0" w:right="0" w:firstLine="482" w:firstLineChars="200"/>
              <w:textAlignment w:val="auto"/>
              <w:rPr>
                <w:rFonts w:hint="eastAsia"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工艺流程简述：</w:t>
            </w:r>
          </w:p>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360" w:lineRule="auto"/>
              <w:ind w:left="0" w:leftChars="0" w:right="0" w:firstLine="480" w:firstLineChars="200"/>
              <w:textAlignment w:val="auto"/>
              <w:rPr>
                <w:rFonts w:hint="eastAsia" w:ascii="Times New Roman" w:hAnsi="Times New Roman" w:eastAsia="宋体" w:cs="Times New Roman"/>
                <w:b w:val="0"/>
                <w:bCs w:val="0"/>
                <w:color w:val="auto"/>
                <w:sz w:val="24"/>
                <w:szCs w:val="24"/>
                <w:highlight w:val="none"/>
                <w:u w:val="none" w:color="auto"/>
                <w:lang w:val="en-US" w:eastAsia="zh-CN"/>
              </w:rPr>
            </w:pPr>
            <w:r>
              <w:rPr>
                <w:rFonts w:hint="eastAsia" w:ascii="Times New Roman" w:hAnsi="Times New Roman" w:eastAsia="宋体" w:cs="Times New Roman"/>
                <w:b w:val="0"/>
                <w:bCs w:val="0"/>
                <w:color w:val="auto"/>
                <w:sz w:val="24"/>
                <w:szCs w:val="24"/>
                <w:highlight w:val="none"/>
                <w:u w:val="none" w:color="auto"/>
                <w:lang w:val="en-US" w:eastAsia="zh-CN"/>
              </w:rPr>
              <w:t>本项目主要对扒渣工序产生的S1熔炼渣进行内部回收再利用。扒渣产生的炉渣和熔化炉渣仍含有大部分合金，因此使用炒灰机进行回收利用（回收率</w:t>
            </w:r>
            <w:r>
              <w:rPr>
                <w:rFonts w:hint="eastAsia" w:cs="Times New Roman"/>
                <w:b w:val="0"/>
                <w:bCs w:val="0"/>
                <w:color w:val="auto"/>
                <w:sz w:val="24"/>
                <w:szCs w:val="24"/>
                <w:highlight w:val="none"/>
                <w:u w:val="none" w:color="auto"/>
                <w:lang w:val="en-US" w:eastAsia="zh-CN"/>
              </w:rPr>
              <w:t>3</w:t>
            </w:r>
            <w:r>
              <w:rPr>
                <w:rFonts w:hint="eastAsia" w:ascii="Times New Roman" w:hAnsi="Times New Roman" w:eastAsia="宋体" w:cs="Times New Roman"/>
                <w:b w:val="0"/>
                <w:bCs w:val="0"/>
                <w:color w:val="auto"/>
                <w:sz w:val="24"/>
                <w:szCs w:val="24"/>
                <w:highlight w:val="none"/>
                <w:u w:val="none" w:color="auto"/>
                <w:lang w:val="en-US" w:eastAsia="zh-CN"/>
              </w:rPr>
              <w:t>0%）。炒灰是根据固液体的物理性质不同，比重不同而将其进行分离的工序。炒灰机利用炉渣余热，通过搅拌，夹杂的金属液逐渐沉向容器底部形成熔池，灰则留在熔池上部。在搅拌的作用下，灰从容器上部的出灰孔排出，铝液斗装满后由叉车运输到现有工程熔炼炉回用。炒灰机上料过程中产生上料粉尘G3；炒灰过程产生炒灰粉尘G4，炒灰过程中产生的二次熔炼渣S3和噪声N2。</w:t>
            </w:r>
          </w:p>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360" w:lineRule="auto"/>
              <w:ind w:left="0" w:leftChars="0" w:right="0" w:firstLine="480" w:firstLineChars="200"/>
              <w:textAlignment w:val="auto"/>
              <w:rPr>
                <w:rFonts w:hint="default" w:ascii="Times New Roman" w:hAnsi="Times New Roman" w:eastAsia="宋体" w:cs="Times New Roman"/>
                <w:b w:val="0"/>
                <w:bCs w:val="0"/>
                <w:color w:val="auto"/>
                <w:sz w:val="24"/>
                <w:szCs w:val="24"/>
                <w:highlight w:val="none"/>
                <w:u w:val="none" w:color="auto"/>
                <w:lang w:val="en-US" w:eastAsia="zh-CN"/>
              </w:rPr>
            </w:pPr>
            <w:r>
              <w:rPr>
                <w:rFonts w:hint="default" w:ascii="Times New Roman" w:hAnsi="Times New Roman" w:eastAsia="宋体" w:cs="Times New Roman"/>
                <w:b w:val="0"/>
                <w:bCs w:val="0"/>
                <w:color w:val="auto"/>
                <w:sz w:val="24"/>
                <w:szCs w:val="24"/>
                <w:highlight w:val="none"/>
                <w:u w:val="none" w:color="auto"/>
                <w:lang w:val="en-US" w:eastAsia="zh-CN"/>
              </w:rPr>
              <w:t>冷灰桶采用间接冷却方式，冷却循环水系统喷淋</w:t>
            </w:r>
            <w:r>
              <w:rPr>
                <w:rFonts w:hint="eastAsia" w:ascii="Times New Roman" w:hAnsi="Times New Roman" w:eastAsia="宋体" w:cs="Times New Roman"/>
                <w:b w:val="0"/>
                <w:bCs w:val="0"/>
                <w:color w:val="auto"/>
                <w:sz w:val="24"/>
                <w:szCs w:val="24"/>
                <w:highlight w:val="none"/>
                <w:u w:val="none" w:color="auto"/>
                <w:lang w:val="en-US" w:eastAsia="zh-CN"/>
              </w:rPr>
              <w:t>冷灰桶</w:t>
            </w:r>
            <w:r>
              <w:rPr>
                <w:rFonts w:hint="default" w:ascii="Times New Roman" w:hAnsi="Times New Roman" w:eastAsia="宋体" w:cs="Times New Roman"/>
                <w:b w:val="0"/>
                <w:bCs w:val="0"/>
                <w:color w:val="auto"/>
                <w:sz w:val="24"/>
                <w:szCs w:val="24"/>
                <w:highlight w:val="none"/>
                <w:u w:val="none" w:color="auto"/>
                <w:lang w:val="en-US" w:eastAsia="zh-CN"/>
              </w:rPr>
              <w:t>外壳，与</w:t>
            </w:r>
            <w:r>
              <w:rPr>
                <w:rFonts w:hint="eastAsia" w:ascii="Times New Roman" w:hAnsi="Times New Roman" w:eastAsia="宋体" w:cs="Times New Roman"/>
                <w:b w:val="0"/>
                <w:bCs w:val="0"/>
                <w:color w:val="auto"/>
                <w:sz w:val="24"/>
                <w:szCs w:val="24"/>
                <w:highlight w:val="none"/>
                <w:u w:val="none" w:color="auto"/>
                <w:lang w:val="en-US" w:eastAsia="zh-CN"/>
              </w:rPr>
              <w:t>熔炼渣</w:t>
            </w:r>
            <w:r>
              <w:rPr>
                <w:rFonts w:hint="default" w:ascii="Times New Roman" w:hAnsi="Times New Roman" w:eastAsia="宋体" w:cs="Times New Roman"/>
                <w:b w:val="0"/>
                <w:bCs w:val="0"/>
                <w:color w:val="auto"/>
                <w:sz w:val="24"/>
                <w:szCs w:val="24"/>
                <w:highlight w:val="none"/>
                <w:u w:val="none" w:color="auto"/>
                <w:lang w:val="en-US" w:eastAsia="zh-CN"/>
              </w:rPr>
              <w:t>互不接触，</w:t>
            </w:r>
            <w:r>
              <w:rPr>
                <w:rFonts w:hint="eastAsia" w:ascii="Times New Roman" w:hAnsi="Times New Roman" w:eastAsia="宋体" w:cs="Times New Roman"/>
                <w:b w:val="0"/>
                <w:bCs w:val="0"/>
                <w:color w:val="auto"/>
                <w:sz w:val="24"/>
                <w:szCs w:val="24"/>
                <w:highlight w:val="none"/>
                <w:u w:val="none" w:color="auto"/>
                <w:lang w:val="en-US" w:eastAsia="zh-CN"/>
              </w:rPr>
              <w:t>熔炼渣</w:t>
            </w:r>
            <w:r>
              <w:rPr>
                <w:rFonts w:hint="default" w:ascii="Times New Roman" w:hAnsi="Times New Roman" w:eastAsia="宋体" w:cs="Times New Roman"/>
                <w:b w:val="0"/>
                <w:bCs w:val="0"/>
                <w:color w:val="auto"/>
                <w:sz w:val="24"/>
                <w:szCs w:val="24"/>
                <w:highlight w:val="none"/>
                <w:u w:val="none" w:color="auto"/>
                <w:lang w:val="en-US" w:eastAsia="zh-CN"/>
              </w:rPr>
              <w:t>走桶内，冷却水走桶外。</w:t>
            </w:r>
            <w:r>
              <w:rPr>
                <w:rFonts w:hint="eastAsia" w:ascii="Times New Roman" w:hAnsi="Times New Roman" w:eastAsia="宋体" w:cs="Times New Roman"/>
                <w:b w:val="0"/>
                <w:bCs w:val="0"/>
                <w:color w:val="auto"/>
                <w:sz w:val="24"/>
                <w:szCs w:val="24"/>
                <w:highlight w:val="none"/>
                <w:u w:val="none" w:color="auto"/>
                <w:lang w:val="en-US" w:eastAsia="zh-CN"/>
              </w:rPr>
              <w:t>熔炼渣</w:t>
            </w:r>
            <w:r>
              <w:rPr>
                <w:rFonts w:hint="default" w:ascii="Times New Roman" w:hAnsi="Times New Roman" w:eastAsia="宋体" w:cs="Times New Roman"/>
                <w:b w:val="0"/>
                <w:bCs w:val="0"/>
                <w:color w:val="auto"/>
                <w:sz w:val="24"/>
                <w:szCs w:val="24"/>
                <w:highlight w:val="none"/>
                <w:u w:val="none" w:color="auto"/>
                <w:lang w:val="en-US" w:eastAsia="zh-CN"/>
              </w:rPr>
              <w:t>经过炒灰</w:t>
            </w:r>
            <w:r>
              <w:rPr>
                <w:rFonts w:hint="eastAsia" w:cs="Times New Roman"/>
                <w:b w:val="0"/>
                <w:bCs w:val="0"/>
                <w:color w:val="auto"/>
                <w:sz w:val="24"/>
                <w:szCs w:val="24"/>
                <w:highlight w:val="none"/>
                <w:u w:val="none" w:color="auto"/>
                <w:lang w:val="en-US" w:eastAsia="zh-CN"/>
              </w:rPr>
              <w:t>机</w:t>
            </w:r>
            <w:r>
              <w:rPr>
                <w:rFonts w:hint="default" w:ascii="Times New Roman" w:hAnsi="Times New Roman" w:eastAsia="宋体" w:cs="Times New Roman"/>
                <w:b w:val="0"/>
                <w:bCs w:val="0"/>
                <w:color w:val="auto"/>
                <w:sz w:val="24"/>
                <w:szCs w:val="24"/>
                <w:highlight w:val="none"/>
                <w:u w:val="none" w:color="auto"/>
                <w:lang w:val="en-US" w:eastAsia="zh-CN"/>
              </w:rPr>
              <w:t>分离铝液后剩余</w:t>
            </w:r>
            <w:r>
              <w:rPr>
                <w:rFonts w:hint="eastAsia" w:ascii="Times New Roman" w:hAnsi="Times New Roman" w:eastAsia="宋体" w:cs="Times New Roman"/>
                <w:b w:val="0"/>
                <w:bCs w:val="0"/>
                <w:color w:val="auto"/>
                <w:sz w:val="24"/>
                <w:szCs w:val="24"/>
                <w:highlight w:val="none"/>
                <w:u w:val="none" w:color="auto"/>
                <w:lang w:val="en-US" w:eastAsia="zh-CN"/>
              </w:rPr>
              <w:t>熔炼渣</w:t>
            </w:r>
            <w:r>
              <w:rPr>
                <w:rFonts w:hint="default" w:ascii="Times New Roman" w:hAnsi="Times New Roman" w:eastAsia="宋体" w:cs="Times New Roman"/>
                <w:b w:val="0"/>
                <w:bCs w:val="0"/>
                <w:color w:val="auto"/>
                <w:sz w:val="24"/>
                <w:szCs w:val="24"/>
                <w:highlight w:val="none"/>
                <w:u w:val="none" w:color="auto"/>
                <w:lang w:val="en-US" w:eastAsia="zh-CN"/>
              </w:rPr>
              <w:t>进入冷灰桶开始翻滚，循环冷却水均匀喷洒至桶身，热渣通过桶身与循环冷却水进行换热，冷却桶通过正反翻滚交替增加换热面积提高换热效率，冷却后的</w:t>
            </w:r>
            <w:r>
              <w:rPr>
                <w:rFonts w:hint="eastAsia" w:ascii="Times New Roman" w:hAnsi="Times New Roman" w:eastAsia="宋体" w:cs="Times New Roman"/>
                <w:b w:val="0"/>
                <w:bCs w:val="0"/>
                <w:color w:val="auto"/>
                <w:sz w:val="24"/>
                <w:szCs w:val="24"/>
                <w:highlight w:val="none"/>
                <w:u w:val="none" w:color="auto"/>
                <w:lang w:val="en-US" w:eastAsia="zh-CN"/>
              </w:rPr>
              <w:t>熔炼渣</w:t>
            </w:r>
            <w:r>
              <w:rPr>
                <w:rFonts w:hint="default" w:ascii="Times New Roman" w:hAnsi="Times New Roman" w:eastAsia="宋体" w:cs="Times New Roman"/>
                <w:b w:val="0"/>
                <w:bCs w:val="0"/>
                <w:color w:val="auto"/>
                <w:sz w:val="24"/>
                <w:szCs w:val="24"/>
                <w:highlight w:val="none"/>
                <w:u w:val="none" w:color="auto"/>
                <w:lang w:val="en-US" w:eastAsia="zh-CN"/>
              </w:rPr>
              <w:t>通过</w:t>
            </w:r>
            <w:r>
              <w:rPr>
                <w:rFonts w:hint="eastAsia" w:ascii="Times New Roman" w:hAnsi="Times New Roman" w:eastAsia="宋体" w:cs="Times New Roman"/>
                <w:b w:val="0"/>
                <w:bCs w:val="0"/>
                <w:color w:val="auto"/>
                <w:sz w:val="24"/>
                <w:szCs w:val="24"/>
                <w:highlight w:val="none"/>
                <w:u w:val="none" w:color="auto"/>
                <w:lang w:val="en-US" w:eastAsia="zh-CN"/>
              </w:rPr>
              <w:t>大吨包收集后装入专用密闭容器内，暂存于危废间，定期由有处置资质的单位拉运处理</w:t>
            </w:r>
            <w:r>
              <w:rPr>
                <w:rFonts w:hint="default" w:ascii="Times New Roman" w:hAnsi="Times New Roman" w:eastAsia="宋体" w:cs="Times New Roman"/>
                <w:b w:val="0"/>
                <w:bCs w:val="0"/>
                <w:color w:val="auto"/>
                <w:sz w:val="24"/>
                <w:szCs w:val="24"/>
                <w:highlight w:val="none"/>
                <w:u w:val="none" w:color="auto"/>
                <w:lang w:val="en-US" w:eastAsia="zh-CN"/>
              </w:rPr>
              <w:t>。冷灰桶</w:t>
            </w:r>
            <w:r>
              <w:rPr>
                <w:rFonts w:hint="eastAsia" w:ascii="Times New Roman" w:hAnsi="Times New Roman" w:eastAsia="宋体" w:cs="Times New Roman"/>
                <w:b w:val="0"/>
                <w:bCs w:val="0"/>
                <w:color w:val="auto"/>
                <w:sz w:val="24"/>
                <w:szCs w:val="24"/>
                <w:highlight w:val="none"/>
                <w:u w:val="none" w:color="auto"/>
                <w:lang w:val="en-US" w:eastAsia="zh-CN"/>
              </w:rPr>
              <w:t>间接</w:t>
            </w:r>
            <w:r>
              <w:rPr>
                <w:rFonts w:hint="default" w:ascii="Times New Roman" w:hAnsi="Times New Roman" w:eastAsia="宋体" w:cs="Times New Roman"/>
                <w:b w:val="0"/>
                <w:bCs w:val="0"/>
                <w:color w:val="auto"/>
                <w:sz w:val="24"/>
                <w:szCs w:val="24"/>
                <w:highlight w:val="none"/>
                <w:u w:val="none" w:color="auto"/>
                <w:lang w:val="en-US" w:eastAsia="zh-CN"/>
              </w:rPr>
              <w:t>冷却水</w:t>
            </w:r>
            <w:r>
              <w:rPr>
                <w:rFonts w:hint="eastAsia" w:cs="Times New Roman"/>
                <w:b w:val="0"/>
                <w:bCs w:val="0"/>
                <w:color w:val="auto"/>
                <w:sz w:val="24"/>
                <w:szCs w:val="24"/>
                <w:highlight w:val="none"/>
                <w:u w:val="none" w:color="auto"/>
                <w:lang w:val="en-US" w:eastAsia="zh-CN"/>
              </w:rPr>
              <w:t>，</w:t>
            </w:r>
            <w:r>
              <w:rPr>
                <w:rFonts w:hint="default" w:ascii="Times New Roman" w:hAnsi="Times New Roman" w:eastAsia="宋体" w:cs="Times New Roman"/>
                <w:b w:val="0"/>
                <w:bCs w:val="0"/>
                <w:color w:val="auto"/>
                <w:sz w:val="24"/>
                <w:szCs w:val="24"/>
                <w:highlight w:val="none"/>
                <w:u w:val="none" w:color="auto"/>
                <w:lang w:val="en-US" w:eastAsia="zh-CN"/>
              </w:rPr>
              <w:t>循环使用，定期补充，不外排。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138" w:hRule="atLeast"/>
          <w:jc w:val="center"/>
        </w:trPr>
        <w:tc>
          <w:tcPr>
            <w:tcW w:w="421" w:type="dxa"/>
            <w:vAlign w:val="center"/>
          </w:tcPr>
          <w:p>
            <w:pPr>
              <w:pStyle w:val="23"/>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bCs/>
                <w:color w:val="auto"/>
                <w:kern w:val="2"/>
                <w:sz w:val="24"/>
                <w:szCs w:val="24"/>
                <w:u w:val="none" w:color="auto"/>
              </w:rPr>
              <w:t>与项目有关的原有环境污染问题</w:t>
            </w:r>
          </w:p>
        </w:tc>
        <w:tc>
          <w:tcPr>
            <w:tcW w:w="8639"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ascii="Times New Roman" w:hAnsi="Times New Roman" w:cs="Times New Roman"/>
                <w:b/>
                <w:bCs w:val="0"/>
                <w:color w:val="auto"/>
                <w:sz w:val="24"/>
                <w:szCs w:val="24"/>
                <w:u w:val="none" w:color="auto"/>
              </w:rPr>
            </w:pPr>
            <w:r>
              <w:rPr>
                <w:rFonts w:hint="default" w:ascii="Times New Roman" w:hAnsi="Times New Roman" w:cs="Times New Roman"/>
                <w:b/>
                <w:bCs w:val="0"/>
                <w:color w:val="auto"/>
                <w:sz w:val="24"/>
                <w:szCs w:val="24"/>
                <w:u w:val="none" w:color="auto"/>
              </w:rPr>
              <w:t>1</w:t>
            </w:r>
            <w:r>
              <w:rPr>
                <w:rFonts w:hint="eastAsia" w:ascii="Times New Roman" w:hAnsi="Times New Roman" w:cs="Times New Roman"/>
                <w:b/>
                <w:bCs w:val="0"/>
                <w:color w:val="auto"/>
                <w:sz w:val="24"/>
                <w:szCs w:val="24"/>
                <w:u w:val="none" w:color="auto"/>
                <w:lang w:val="en-US" w:eastAsia="zh-CN"/>
              </w:rPr>
              <w:t>.现有工程</w:t>
            </w:r>
            <w:r>
              <w:rPr>
                <w:rFonts w:hint="default" w:ascii="Times New Roman" w:hAnsi="Times New Roman" w:cs="Times New Roman"/>
                <w:b/>
                <w:bCs w:val="0"/>
                <w:color w:val="auto"/>
                <w:sz w:val="24"/>
                <w:szCs w:val="24"/>
                <w:u w:val="none" w:color="auto"/>
              </w:rPr>
              <w:t>环保手续履行情况</w:t>
            </w:r>
          </w:p>
          <w:p>
            <w:pPr>
              <w:pStyle w:val="29"/>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0"/>
                <w:sz w:val="24"/>
                <w:szCs w:val="24"/>
                <w:u w:val="none" w:color="auto"/>
                <w:lang w:val="en-US" w:eastAsia="zh-CN"/>
              </w:rPr>
            </w:pPr>
            <w:r>
              <w:rPr>
                <w:rFonts w:hint="default" w:ascii="Times New Roman" w:hAnsi="Times New Roman" w:eastAsia="宋体" w:cs="Times New Roman"/>
                <w:b w:val="0"/>
                <w:bCs w:val="0"/>
                <w:color w:val="auto"/>
                <w:kern w:val="0"/>
                <w:sz w:val="24"/>
                <w:szCs w:val="24"/>
                <w:u w:val="none" w:color="auto"/>
                <w:lang w:val="en-US" w:eastAsia="zh-CN"/>
              </w:rPr>
              <w:t>安阳神龙腾达新材科技有限公司（以下简称神龙腾达）成立于2017年7月，位于安阳市新型制造业产业园区中原路与宜兴大道交叉口东北方位，是一家专业生产、销售镀锌板带、彩涂板带、冷轧精细板带的钢铁制品企业。企业</w:t>
            </w:r>
            <w:r>
              <w:rPr>
                <w:rFonts w:hint="eastAsia" w:ascii="Times New Roman" w:hAnsi="Times New Roman" w:eastAsia="宋体" w:cs="Times New Roman"/>
                <w:b w:val="0"/>
                <w:bCs w:val="0"/>
                <w:color w:val="auto"/>
                <w:kern w:val="0"/>
                <w:sz w:val="24"/>
                <w:szCs w:val="24"/>
                <w:u w:val="none" w:color="auto"/>
                <w:lang w:val="en-US" w:eastAsia="zh-CN"/>
              </w:rPr>
              <w:t>现有工程</w:t>
            </w:r>
            <w:r>
              <w:rPr>
                <w:rFonts w:hint="default" w:ascii="Times New Roman" w:hAnsi="Times New Roman" w:eastAsia="宋体" w:cs="Times New Roman"/>
                <w:b w:val="0"/>
                <w:bCs w:val="0"/>
                <w:color w:val="auto"/>
                <w:kern w:val="0"/>
                <w:sz w:val="24"/>
                <w:szCs w:val="24"/>
                <w:u w:val="none" w:color="auto"/>
                <w:lang w:val="en-US" w:eastAsia="zh-CN"/>
              </w:rPr>
              <w:t>环保手续执行情况见下表。</w:t>
            </w:r>
          </w:p>
          <w:p>
            <w:pPr>
              <w:pStyle w:val="29"/>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240" w:lineRule="auto"/>
              <w:ind w:left="0" w:right="0" w:firstLine="482" w:firstLineChars="200"/>
              <w:jc w:val="center"/>
              <w:textAlignment w:val="auto"/>
              <w:rPr>
                <w:rFonts w:hint="default" w:ascii="Times New Roman" w:hAnsi="Times New Roman" w:eastAsia="宋体" w:cs="Times New Roman"/>
                <w:b/>
                <w:bCs/>
                <w:color w:val="auto"/>
                <w:kern w:val="0"/>
                <w:sz w:val="24"/>
                <w:szCs w:val="24"/>
                <w:u w:val="none" w:color="auto"/>
                <w:lang w:val="en-US" w:eastAsia="zh-CN"/>
              </w:rPr>
            </w:pPr>
            <w:r>
              <w:rPr>
                <w:rFonts w:hint="default" w:ascii="Times New Roman" w:hAnsi="Times New Roman" w:eastAsia="宋体" w:cs="Times New Roman"/>
                <w:b/>
                <w:bCs/>
                <w:color w:val="auto"/>
                <w:kern w:val="0"/>
                <w:sz w:val="24"/>
                <w:szCs w:val="24"/>
                <w:u w:val="none" w:color="auto"/>
                <w:lang w:val="en-US" w:eastAsia="zh-CN"/>
              </w:rPr>
              <w:t>厂区建设项目环评手续及实际建设情况表</w:t>
            </w:r>
          </w:p>
          <w:tbl>
            <w:tblPr>
              <w:tblStyle w:val="27"/>
              <w:tblW w:w="8420" w:type="dxa"/>
              <w:jc w:val="center"/>
              <w:tblInd w:w="0" w:type="dxa"/>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Layout w:type="fixed"/>
              <w:tblCellMar>
                <w:top w:w="15" w:type="dxa"/>
                <w:left w:w="15" w:type="dxa"/>
                <w:bottom w:w="15" w:type="dxa"/>
                <w:right w:w="15" w:type="dxa"/>
              </w:tblCellMar>
            </w:tblPr>
            <w:tblGrid>
              <w:gridCol w:w="2086"/>
              <w:gridCol w:w="2751"/>
              <w:gridCol w:w="2237"/>
              <w:gridCol w:w="1346"/>
            </w:tblGrid>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Layout w:type="fixed"/>
                <w:tblCellMar>
                  <w:top w:w="15" w:type="dxa"/>
                  <w:left w:w="15" w:type="dxa"/>
                  <w:bottom w:w="15" w:type="dxa"/>
                  <w:right w:w="15" w:type="dxa"/>
                </w:tblCellMar>
              </w:tblPrEx>
              <w:trPr>
                <w:trHeight w:val="438" w:hRule="atLeast"/>
                <w:jc w:val="center"/>
              </w:trPr>
              <w:tc>
                <w:tcPr>
                  <w:tcW w:w="2086" w:type="dxa"/>
                  <w:tcBorders>
                    <w:bottom w:val="single" w:color="000000" w:sz="2" w:space="0"/>
                  </w:tcBorders>
                  <w:vAlign w:val="center"/>
                </w:tcPr>
                <w:p>
                  <w:pPr>
                    <w:keepNext w:val="0"/>
                    <w:keepLines w:val="0"/>
                    <w:widowControl/>
                    <w:suppressLineNumbers w:val="0"/>
                    <w:spacing w:before="0" w:beforeAutospacing="0" w:after="0" w:afterAutospacing="0" w:line="240" w:lineRule="exact"/>
                    <w:ind w:left="0" w:right="0"/>
                    <w:jc w:val="center"/>
                    <w:textAlignment w:val="center"/>
                    <w:rPr>
                      <w:rFonts w:hint="default" w:ascii="Times New Roman" w:hAnsi="Times New Roman" w:eastAsia="宋体" w:cs="Times New Roman"/>
                      <w:b/>
                      <w:bCs/>
                      <w:color w:val="auto"/>
                      <w:sz w:val="21"/>
                      <w:szCs w:val="21"/>
                      <w:u w:val="none" w:color="auto"/>
                    </w:rPr>
                  </w:pPr>
                  <w:r>
                    <w:rPr>
                      <w:rFonts w:hint="default" w:ascii="Times New Roman" w:hAnsi="Times New Roman" w:eastAsia="宋体" w:cs="Times New Roman"/>
                      <w:b/>
                      <w:bCs/>
                      <w:color w:val="auto"/>
                      <w:kern w:val="0"/>
                      <w:sz w:val="21"/>
                      <w:szCs w:val="21"/>
                      <w:u w:val="none" w:color="auto"/>
                    </w:rPr>
                    <w:t>项目名称</w:t>
                  </w:r>
                </w:p>
              </w:tc>
              <w:tc>
                <w:tcPr>
                  <w:tcW w:w="2751" w:type="dxa"/>
                  <w:tcBorders>
                    <w:bottom w:val="single" w:color="000000" w:sz="2" w:space="0"/>
                  </w:tcBorders>
                  <w:vAlign w:val="center"/>
                </w:tcPr>
                <w:p>
                  <w:pPr>
                    <w:keepNext w:val="0"/>
                    <w:keepLines w:val="0"/>
                    <w:widowControl/>
                    <w:suppressLineNumbers w:val="0"/>
                    <w:spacing w:before="0" w:beforeAutospacing="0" w:after="0" w:afterAutospacing="0" w:line="240" w:lineRule="exact"/>
                    <w:ind w:left="0" w:right="0"/>
                    <w:jc w:val="center"/>
                    <w:textAlignment w:val="center"/>
                    <w:rPr>
                      <w:rFonts w:hint="default" w:ascii="Times New Roman" w:hAnsi="Times New Roman" w:eastAsia="宋体" w:cs="Times New Roman"/>
                      <w:b/>
                      <w:bCs/>
                      <w:color w:val="auto"/>
                      <w:kern w:val="0"/>
                      <w:sz w:val="21"/>
                      <w:szCs w:val="21"/>
                      <w:u w:val="none" w:color="auto"/>
                    </w:rPr>
                  </w:pPr>
                  <w:r>
                    <w:rPr>
                      <w:rFonts w:hint="default" w:ascii="Times New Roman" w:hAnsi="Times New Roman" w:eastAsia="宋体" w:cs="Times New Roman"/>
                      <w:b/>
                      <w:bCs/>
                      <w:color w:val="auto"/>
                      <w:kern w:val="0"/>
                      <w:sz w:val="21"/>
                      <w:szCs w:val="21"/>
                      <w:u w:val="none" w:color="auto"/>
                    </w:rPr>
                    <w:t>产品方案</w:t>
                  </w:r>
                </w:p>
              </w:tc>
              <w:tc>
                <w:tcPr>
                  <w:tcW w:w="2237" w:type="dxa"/>
                  <w:tcBorders>
                    <w:bottom w:val="single" w:color="000000" w:sz="2" w:space="0"/>
                  </w:tcBorders>
                  <w:vAlign w:val="center"/>
                </w:tcPr>
                <w:p>
                  <w:pPr>
                    <w:keepNext w:val="0"/>
                    <w:keepLines w:val="0"/>
                    <w:widowControl/>
                    <w:suppressLineNumbers w:val="0"/>
                    <w:spacing w:before="0" w:beforeAutospacing="0" w:after="0" w:afterAutospacing="0" w:line="240" w:lineRule="exact"/>
                    <w:ind w:left="0" w:right="0"/>
                    <w:jc w:val="center"/>
                    <w:textAlignment w:val="center"/>
                    <w:rPr>
                      <w:rFonts w:hint="default" w:ascii="Times New Roman" w:hAnsi="Times New Roman" w:eastAsia="宋体" w:cs="Times New Roman"/>
                      <w:b/>
                      <w:bCs/>
                      <w:color w:val="auto"/>
                      <w:kern w:val="0"/>
                      <w:sz w:val="21"/>
                      <w:szCs w:val="21"/>
                      <w:u w:val="none" w:color="auto"/>
                    </w:rPr>
                  </w:pPr>
                  <w:r>
                    <w:rPr>
                      <w:rFonts w:hint="default" w:ascii="Times New Roman" w:hAnsi="Times New Roman" w:eastAsia="宋体" w:cs="Times New Roman"/>
                      <w:b/>
                      <w:bCs/>
                      <w:color w:val="auto"/>
                      <w:kern w:val="0"/>
                      <w:sz w:val="21"/>
                      <w:szCs w:val="21"/>
                      <w:u w:val="none" w:color="auto"/>
                    </w:rPr>
                    <w:t>环评批复</w:t>
                  </w:r>
                </w:p>
              </w:tc>
              <w:tc>
                <w:tcPr>
                  <w:tcW w:w="1346" w:type="dxa"/>
                  <w:tcBorders>
                    <w:bottom w:val="single" w:color="000000" w:sz="2" w:space="0"/>
                  </w:tcBorders>
                  <w:vAlign w:val="center"/>
                </w:tcPr>
                <w:p>
                  <w:pPr>
                    <w:keepNext w:val="0"/>
                    <w:keepLines w:val="0"/>
                    <w:widowControl/>
                    <w:suppressLineNumbers w:val="0"/>
                    <w:spacing w:before="0" w:beforeAutospacing="0" w:after="0" w:afterAutospacing="0" w:line="240" w:lineRule="exact"/>
                    <w:ind w:left="0" w:right="0"/>
                    <w:jc w:val="center"/>
                    <w:textAlignment w:val="center"/>
                    <w:rPr>
                      <w:rFonts w:hint="default" w:ascii="Times New Roman" w:hAnsi="Times New Roman" w:eastAsia="宋体" w:cs="Times New Roman"/>
                      <w:b/>
                      <w:bCs/>
                      <w:color w:val="auto"/>
                      <w:kern w:val="0"/>
                      <w:sz w:val="21"/>
                      <w:szCs w:val="21"/>
                      <w:u w:val="none" w:color="auto"/>
                    </w:rPr>
                  </w:pPr>
                  <w:r>
                    <w:rPr>
                      <w:rFonts w:hint="default" w:ascii="Times New Roman" w:hAnsi="Times New Roman" w:eastAsia="宋体" w:cs="Times New Roman"/>
                      <w:b/>
                      <w:bCs/>
                      <w:color w:val="auto"/>
                      <w:kern w:val="0"/>
                      <w:sz w:val="21"/>
                      <w:szCs w:val="21"/>
                      <w:u w:val="none" w:color="auto"/>
                    </w:rPr>
                    <w:t>竣工验收</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Layout w:type="fixed"/>
                <w:tblCellMar>
                  <w:top w:w="15" w:type="dxa"/>
                  <w:left w:w="15" w:type="dxa"/>
                  <w:bottom w:w="15" w:type="dxa"/>
                  <w:right w:w="15" w:type="dxa"/>
                </w:tblCellMar>
              </w:tblPrEx>
              <w:trPr>
                <w:trHeight w:val="406" w:hRule="atLeast"/>
                <w:jc w:val="center"/>
              </w:trPr>
              <w:tc>
                <w:tcPr>
                  <w:tcW w:w="2086" w:type="dxa"/>
                  <w:vMerge w:val="restart"/>
                  <w:vAlign w:val="center"/>
                </w:tcPr>
                <w:p>
                  <w:pPr>
                    <w:keepNext w:val="0"/>
                    <w:keepLines w:val="0"/>
                    <w:widowControl/>
                    <w:suppressLineNumbers w:val="0"/>
                    <w:spacing w:before="0" w:beforeAutospacing="0" w:after="0" w:afterAutospacing="0" w:line="240" w:lineRule="exact"/>
                    <w:ind w:left="0" w:right="0"/>
                    <w:jc w:val="center"/>
                    <w:textAlignment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年产250万吨冷轧涂镀板项目</w:t>
                  </w:r>
                </w:p>
              </w:tc>
              <w:tc>
                <w:tcPr>
                  <w:tcW w:w="2751" w:type="dxa"/>
                  <w:vMerge w:val="restart"/>
                  <w:vAlign w:val="center"/>
                </w:tcPr>
                <w:p>
                  <w:pPr>
                    <w:keepNext w:val="0"/>
                    <w:keepLines w:val="0"/>
                    <w:widowControl/>
                    <w:suppressLineNumbers w:val="0"/>
                    <w:spacing w:before="0" w:beforeAutospacing="0" w:after="0" w:afterAutospacing="0" w:line="240" w:lineRule="exact"/>
                    <w:ind w:left="0" w:right="0"/>
                    <w:jc w:val="both"/>
                    <w:textAlignment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一期工程建设规模为40万t/a镀锌板及60万t/a彩涂板</w:t>
                  </w:r>
                </w:p>
              </w:tc>
              <w:tc>
                <w:tcPr>
                  <w:tcW w:w="2237" w:type="dxa"/>
                  <w:vMerge w:val="restart"/>
                  <w:vAlign w:val="center"/>
                </w:tcPr>
                <w:p>
                  <w:pPr>
                    <w:keepNext w:val="0"/>
                    <w:keepLines w:val="0"/>
                    <w:widowControl/>
                    <w:suppressLineNumbers w:val="0"/>
                    <w:spacing w:before="0" w:beforeAutospacing="0" w:after="0" w:afterAutospacing="0" w:line="240" w:lineRule="exact"/>
                    <w:ind w:left="0" w:right="0"/>
                    <w:jc w:val="center"/>
                    <w:textAlignment w:val="center"/>
                    <w:rPr>
                      <w:rFonts w:hint="default" w:ascii="Times New Roman" w:hAnsi="Times New Roman" w:eastAsia="宋体" w:cs="Times New Roman"/>
                      <w:color w:val="auto"/>
                      <w:kern w:val="0"/>
                      <w:sz w:val="21"/>
                      <w:szCs w:val="21"/>
                      <w:u w:val="none" w:color="auto"/>
                    </w:rPr>
                  </w:pPr>
                  <w:r>
                    <w:rPr>
                      <w:rFonts w:hint="default" w:ascii="Times New Roman" w:hAnsi="Times New Roman" w:eastAsia="宋体" w:cs="Times New Roman"/>
                      <w:color w:val="auto"/>
                      <w:kern w:val="0"/>
                      <w:sz w:val="21"/>
                      <w:szCs w:val="21"/>
                      <w:u w:val="none" w:color="auto"/>
                    </w:rPr>
                    <w:t>安环建书</w:t>
                  </w:r>
                  <w:r>
                    <w:rPr>
                      <w:rFonts w:hint="eastAsia" w:ascii="Times New Roman" w:hAnsi="Times New Roman" w:eastAsia="宋体" w:cs="Times New Roman"/>
                      <w:color w:val="auto"/>
                      <w:kern w:val="0"/>
                      <w:sz w:val="21"/>
                      <w:szCs w:val="21"/>
                      <w:u w:val="none" w:color="auto"/>
                      <w:lang w:eastAsia="zh-CN"/>
                    </w:rPr>
                    <w:t>〔</w:t>
                  </w:r>
                  <w:r>
                    <w:rPr>
                      <w:rFonts w:hint="default" w:ascii="Times New Roman" w:hAnsi="Times New Roman" w:eastAsia="宋体" w:cs="Times New Roman"/>
                      <w:color w:val="auto"/>
                      <w:kern w:val="0"/>
                      <w:sz w:val="21"/>
                      <w:szCs w:val="21"/>
                      <w:u w:val="none" w:color="auto"/>
                    </w:rPr>
                    <w:t>2018</w:t>
                  </w:r>
                  <w:r>
                    <w:rPr>
                      <w:rFonts w:hint="eastAsia" w:ascii="Times New Roman" w:hAnsi="Times New Roman" w:eastAsia="宋体" w:cs="Times New Roman"/>
                      <w:color w:val="auto"/>
                      <w:kern w:val="0"/>
                      <w:sz w:val="21"/>
                      <w:szCs w:val="21"/>
                      <w:u w:val="none" w:color="auto"/>
                      <w:lang w:eastAsia="zh-CN"/>
                    </w:rPr>
                    <w:t>〕</w:t>
                  </w:r>
                  <w:r>
                    <w:rPr>
                      <w:rFonts w:hint="default" w:ascii="Times New Roman" w:hAnsi="Times New Roman" w:eastAsia="宋体" w:cs="Times New Roman"/>
                      <w:color w:val="auto"/>
                      <w:kern w:val="0"/>
                      <w:sz w:val="21"/>
                      <w:szCs w:val="21"/>
                      <w:u w:val="none" w:color="auto"/>
                    </w:rPr>
                    <w:t>2号</w:t>
                  </w:r>
                </w:p>
              </w:tc>
              <w:tc>
                <w:tcPr>
                  <w:tcW w:w="1346" w:type="dxa"/>
                  <w:vAlign w:val="center"/>
                </w:tcPr>
                <w:p>
                  <w:pPr>
                    <w:keepNext w:val="0"/>
                    <w:keepLines w:val="0"/>
                    <w:widowControl/>
                    <w:suppressLineNumbers w:val="0"/>
                    <w:spacing w:before="0" w:beforeAutospacing="0" w:after="0" w:afterAutospacing="0" w:line="240" w:lineRule="exact"/>
                    <w:ind w:left="0" w:right="0"/>
                    <w:jc w:val="center"/>
                    <w:textAlignment w:val="center"/>
                    <w:rPr>
                      <w:rFonts w:hint="default" w:ascii="Times New Roman" w:hAnsi="Times New Roman" w:eastAsia="宋体" w:cs="Times New Roman"/>
                      <w:color w:val="auto"/>
                      <w:kern w:val="0"/>
                      <w:sz w:val="21"/>
                      <w:szCs w:val="21"/>
                      <w:u w:val="none" w:color="auto"/>
                    </w:rPr>
                  </w:pPr>
                  <w:r>
                    <w:rPr>
                      <w:rFonts w:hint="default" w:ascii="Times New Roman" w:hAnsi="Times New Roman" w:eastAsia="宋体" w:cs="Times New Roman"/>
                      <w:color w:val="auto"/>
                      <w:kern w:val="0"/>
                      <w:sz w:val="21"/>
                      <w:szCs w:val="21"/>
                      <w:u w:val="none" w:color="auto"/>
                    </w:rPr>
                    <w:t>自主验收2019年</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Layout w:type="fixed"/>
                <w:tblCellMar>
                  <w:top w:w="15" w:type="dxa"/>
                  <w:left w:w="15" w:type="dxa"/>
                  <w:bottom w:w="15" w:type="dxa"/>
                  <w:right w:w="15" w:type="dxa"/>
                </w:tblCellMar>
              </w:tblPrEx>
              <w:trPr>
                <w:trHeight w:val="406" w:hRule="atLeast"/>
                <w:jc w:val="center"/>
              </w:trPr>
              <w:tc>
                <w:tcPr>
                  <w:tcW w:w="2086" w:type="dxa"/>
                  <w:vMerge w:val="continue"/>
                  <w:vAlign w:val="center"/>
                </w:tcPr>
                <w:p>
                  <w:pPr>
                    <w:keepNext w:val="0"/>
                    <w:keepLines w:val="0"/>
                    <w:widowControl/>
                    <w:suppressLineNumbers w:val="0"/>
                    <w:spacing w:before="0" w:beforeAutospacing="0" w:after="0" w:afterAutospacing="0" w:line="240" w:lineRule="exact"/>
                    <w:ind w:left="0" w:right="0"/>
                    <w:jc w:val="center"/>
                    <w:textAlignment w:val="center"/>
                    <w:rPr>
                      <w:rFonts w:hint="default" w:ascii="Times New Roman" w:hAnsi="Times New Roman" w:eastAsia="宋体" w:cs="Times New Roman"/>
                      <w:color w:val="auto"/>
                      <w:sz w:val="21"/>
                      <w:szCs w:val="21"/>
                      <w:u w:val="none" w:color="auto"/>
                    </w:rPr>
                  </w:pPr>
                </w:p>
              </w:tc>
              <w:tc>
                <w:tcPr>
                  <w:tcW w:w="2751" w:type="dxa"/>
                  <w:vMerge w:val="continue"/>
                  <w:vAlign w:val="center"/>
                </w:tcPr>
                <w:p>
                  <w:pPr>
                    <w:keepNext w:val="0"/>
                    <w:keepLines w:val="0"/>
                    <w:widowControl/>
                    <w:suppressLineNumbers w:val="0"/>
                    <w:spacing w:before="0" w:beforeAutospacing="0" w:after="0" w:afterAutospacing="0" w:line="240" w:lineRule="exact"/>
                    <w:ind w:left="0" w:right="0"/>
                    <w:jc w:val="center"/>
                    <w:textAlignment w:val="center"/>
                    <w:rPr>
                      <w:rFonts w:hint="default" w:ascii="Times New Roman" w:hAnsi="Times New Roman" w:eastAsia="宋体" w:cs="Times New Roman"/>
                      <w:color w:val="auto"/>
                      <w:sz w:val="21"/>
                      <w:szCs w:val="21"/>
                      <w:u w:val="none" w:color="auto"/>
                    </w:rPr>
                  </w:pPr>
                </w:p>
              </w:tc>
              <w:tc>
                <w:tcPr>
                  <w:tcW w:w="2237" w:type="dxa"/>
                  <w:vMerge w:val="continue"/>
                  <w:vAlign w:val="center"/>
                </w:tcPr>
                <w:p>
                  <w:pPr>
                    <w:keepNext w:val="0"/>
                    <w:keepLines w:val="0"/>
                    <w:widowControl/>
                    <w:suppressLineNumbers w:val="0"/>
                    <w:spacing w:before="0" w:beforeAutospacing="0" w:after="0" w:afterAutospacing="0" w:line="240" w:lineRule="exact"/>
                    <w:ind w:left="0" w:right="0"/>
                    <w:jc w:val="center"/>
                    <w:textAlignment w:val="center"/>
                    <w:rPr>
                      <w:rFonts w:hint="default" w:ascii="Times New Roman" w:hAnsi="Times New Roman" w:eastAsia="宋体" w:cs="Times New Roman"/>
                      <w:color w:val="auto"/>
                      <w:kern w:val="0"/>
                      <w:sz w:val="21"/>
                      <w:szCs w:val="21"/>
                      <w:u w:val="none" w:color="auto"/>
                    </w:rPr>
                  </w:pPr>
                </w:p>
              </w:tc>
              <w:tc>
                <w:tcPr>
                  <w:tcW w:w="1346" w:type="dxa"/>
                  <w:vAlign w:val="center"/>
                </w:tcPr>
                <w:p>
                  <w:pPr>
                    <w:keepNext w:val="0"/>
                    <w:keepLines w:val="0"/>
                    <w:widowControl/>
                    <w:suppressLineNumbers w:val="0"/>
                    <w:spacing w:before="0" w:beforeAutospacing="0" w:after="0" w:afterAutospacing="0" w:line="240" w:lineRule="exact"/>
                    <w:ind w:left="0" w:right="0"/>
                    <w:jc w:val="center"/>
                    <w:textAlignment w:val="center"/>
                    <w:rPr>
                      <w:rFonts w:hint="default" w:ascii="Times New Roman" w:hAnsi="Times New Roman" w:eastAsia="宋体" w:cs="Times New Roman"/>
                      <w:color w:val="auto"/>
                      <w:kern w:val="0"/>
                      <w:sz w:val="21"/>
                      <w:szCs w:val="21"/>
                      <w:u w:val="none" w:color="auto"/>
                    </w:rPr>
                  </w:pPr>
                  <w:r>
                    <w:rPr>
                      <w:rFonts w:hint="default" w:ascii="Times New Roman" w:hAnsi="Times New Roman" w:eastAsia="宋体" w:cs="Times New Roman"/>
                      <w:color w:val="auto"/>
                      <w:kern w:val="0"/>
                      <w:sz w:val="21"/>
                      <w:szCs w:val="21"/>
                      <w:u w:val="none" w:color="auto"/>
                    </w:rPr>
                    <w:t>自主验收2020年</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Layout w:type="fixed"/>
                <w:tblCellMar>
                  <w:top w:w="15" w:type="dxa"/>
                  <w:left w:w="15" w:type="dxa"/>
                  <w:bottom w:w="15" w:type="dxa"/>
                  <w:right w:w="15" w:type="dxa"/>
                </w:tblCellMar>
              </w:tblPrEx>
              <w:trPr>
                <w:trHeight w:val="406" w:hRule="atLeast"/>
                <w:jc w:val="center"/>
              </w:trPr>
              <w:tc>
                <w:tcPr>
                  <w:tcW w:w="2086" w:type="dxa"/>
                  <w:vMerge w:val="continue"/>
                  <w:vAlign w:val="center"/>
                </w:tcPr>
                <w:p>
                  <w:pPr>
                    <w:keepNext w:val="0"/>
                    <w:keepLines w:val="0"/>
                    <w:widowControl/>
                    <w:suppressLineNumbers w:val="0"/>
                    <w:spacing w:before="0" w:beforeAutospacing="0" w:after="0" w:afterAutospacing="0" w:line="240" w:lineRule="exact"/>
                    <w:ind w:left="0" w:right="0"/>
                    <w:jc w:val="center"/>
                    <w:textAlignment w:val="center"/>
                    <w:rPr>
                      <w:rFonts w:hint="default" w:ascii="Times New Roman" w:hAnsi="Times New Roman" w:eastAsia="宋体" w:cs="Times New Roman"/>
                      <w:color w:val="auto"/>
                      <w:sz w:val="21"/>
                      <w:szCs w:val="21"/>
                      <w:u w:val="none" w:color="auto"/>
                    </w:rPr>
                  </w:pPr>
                </w:p>
              </w:tc>
              <w:tc>
                <w:tcPr>
                  <w:tcW w:w="2751" w:type="dxa"/>
                  <w:vAlign w:val="center"/>
                </w:tcPr>
                <w:p>
                  <w:pPr>
                    <w:keepNext w:val="0"/>
                    <w:keepLines w:val="0"/>
                    <w:widowControl/>
                    <w:suppressLineNumbers w:val="0"/>
                    <w:spacing w:before="0" w:beforeAutospacing="0" w:after="0" w:afterAutospacing="0" w:line="240" w:lineRule="exact"/>
                    <w:ind w:left="0" w:right="0"/>
                    <w:jc w:val="both"/>
                    <w:textAlignment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二期工程建设规模为60万t/a镀锌板、60万t/a彩涂板及30万t/a冷轧板</w:t>
                  </w:r>
                </w:p>
              </w:tc>
              <w:tc>
                <w:tcPr>
                  <w:tcW w:w="2237" w:type="dxa"/>
                  <w:vMerge w:val="continue"/>
                  <w:vAlign w:val="center"/>
                </w:tcPr>
                <w:p>
                  <w:pPr>
                    <w:keepNext w:val="0"/>
                    <w:keepLines w:val="0"/>
                    <w:widowControl/>
                    <w:suppressLineNumbers w:val="0"/>
                    <w:spacing w:before="0" w:beforeAutospacing="0" w:after="0" w:afterAutospacing="0" w:line="240" w:lineRule="exact"/>
                    <w:ind w:left="0" w:right="0"/>
                    <w:jc w:val="center"/>
                    <w:textAlignment w:val="center"/>
                    <w:rPr>
                      <w:rFonts w:hint="default" w:ascii="Times New Roman" w:hAnsi="Times New Roman" w:eastAsia="宋体" w:cs="Times New Roman"/>
                      <w:color w:val="auto"/>
                      <w:kern w:val="0"/>
                      <w:sz w:val="21"/>
                      <w:szCs w:val="21"/>
                      <w:u w:val="none" w:color="auto"/>
                    </w:rPr>
                  </w:pPr>
                </w:p>
              </w:tc>
              <w:tc>
                <w:tcPr>
                  <w:tcW w:w="1346" w:type="dxa"/>
                  <w:vAlign w:val="center"/>
                </w:tcPr>
                <w:p>
                  <w:pPr>
                    <w:keepNext w:val="0"/>
                    <w:keepLines w:val="0"/>
                    <w:widowControl/>
                    <w:suppressLineNumbers w:val="0"/>
                    <w:spacing w:before="0" w:beforeAutospacing="0" w:after="0" w:afterAutospacing="0" w:line="240" w:lineRule="exact"/>
                    <w:ind w:left="0" w:right="0"/>
                    <w:jc w:val="center"/>
                    <w:textAlignment w:val="center"/>
                    <w:rPr>
                      <w:rFonts w:hint="eastAsia" w:ascii="Times New Roman" w:hAnsi="Times New Roman" w:eastAsia="宋体" w:cs="Times New Roman"/>
                      <w:color w:val="auto"/>
                      <w:kern w:val="0"/>
                      <w:sz w:val="21"/>
                      <w:szCs w:val="21"/>
                      <w:u w:val="none" w:color="auto"/>
                      <w:lang w:eastAsia="zh-CN"/>
                    </w:rPr>
                  </w:pPr>
                  <w:r>
                    <w:rPr>
                      <w:rFonts w:hint="eastAsia" w:ascii="Times New Roman" w:hAnsi="Times New Roman" w:eastAsia="宋体" w:cs="Times New Roman"/>
                      <w:color w:val="auto"/>
                      <w:kern w:val="0"/>
                      <w:sz w:val="21"/>
                      <w:szCs w:val="21"/>
                      <w:u w:val="none" w:color="auto"/>
                      <w:lang w:val="en-US" w:eastAsia="zh-CN"/>
                    </w:rPr>
                    <w:t>/</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Layout w:type="fixed"/>
                <w:tblCellMar>
                  <w:top w:w="15" w:type="dxa"/>
                  <w:left w:w="15" w:type="dxa"/>
                  <w:bottom w:w="15" w:type="dxa"/>
                  <w:right w:w="15" w:type="dxa"/>
                </w:tblCellMar>
              </w:tblPrEx>
              <w:trPr>
                <w:trHeight w:val="426" w:hRule="atLeast"/>
                <w:jc w:val="center"/>
              </w:trPr>
              <w:tc>
                <w:tcPr>
                  <w:tcW w:w="2086" w:type="dxa"/>
                  <w:vAlign w:val="center"/>
                </w:tcPr>
                <w:p>
                  <w:pPr>
                    <w:keepNext w:val="0"/>
                    <w:keepLines w:val="0"/>
                    <w:widowControl/>
                    <w:suppressLineNumbers w:val="0"/>
                    <w:spacing w:before="0" w:beforeAutospacing="0" w:after="0" w:afterAutospacing="0" w:line="240" w:lineRule="exact"/>
                    <w:ind w:left="0" w:right="0"/>
                    <w:jc w:val="center"/>
                    <w:textAlignment w:val="center"/>
                    <w:rPr>
                      <w:rFonts w:hint="default" w:ascii="Times New Roman" w:hAnsi="Times New Roman" w:eastAsia="宋体" w:cs="Times New Roman"/>
                      <w:bCs/>
                      <w:color w:val="auto"/>
                      <w:sz w:val="21"/>
                      <w:szCs w:val="21"/>
                      <w:u w:val="none" w:color="auto"/>
                    </w:rPr>
                  </w:pPr>
                  <w:r>
                    <w:rPr>
                      <w:rFonts w:hint="default" w:ascii="Times New Roman" w:hAnsi="Times New Roman" w:eastAsia="宋体" w:cs="Times New Roman"/>
                      <w:bCs/>
                      <w:color w:val="auto"/>
                      <w:sz w:val="21"/>
                      <w:szCs w:val="21"/>
                      <w:u w:val="none" w:color="auto"/>
                    </w:rPr>
                    <w:t>工业废水处理技术改造项目</w:t>
                  </w:r>
                </w:p>
              </w:tc>
              <w:tc>
                <w:tcPr>
                  <w:tcW w:w="2751" w:type="dxa"/>
                  <w:vAlign w:val="center"/>
                </w:tcPr>
                <w:p>
                  <w:pPr>
                    <w:keepNext w:val="0"/>
                    <w:keepLines w:val="0"/>
                    <w:widowControl/>
                    <w:suppressLineNumbers w:val="0"/>
                    <w:spacing w:before="0" w:beforeAutospacing="0" w:after="0" w:afterAutospacing="0" w:line="240" w:lineRule="exact"/>
                    <w:ind w:left="0" w:right="0"/>
                    <w:jc w:val="both"/>
                    <w:textAlignment w:val="center"/>
                    <w:rPr>
                      <w:rFonts w:hint="default" w:ascii="Times New Roman" w:hAnsi="Times New Roman" w:eastAsia="宋体" w:cs="Times New Roman"/>
                      <w:bCs/>
                      <w:color w:val="auto"/>
                      <w:sz w:val="21"/>
                      <w:szCs w:val="21"/>
                      <w:u w:val="none" w:color="auto"/>
                    </w:rPr>
                  </w:pPr>
                  <w:r>
                    <w:rPr>
                      <w:rFonts w:hint="default" w:ascii="Times New Roman" w:hAnsi="Times New Roman" w:eastAsia="宋体" w:cs="Times New Roman"/>
                      <w:bCs/>
                      <w:color w:val="auto"/>
                      <w:sz w:val="21"/>
                      <w:szCs w:val="21"/>
                      <w:u w:val="none" w:color="auto"/>
                    </w:rPr>
                    <w:t>对一期工程废水处理工艺进一步改造，优化升级，使废水高效达标处理，污泥经资源减量化处置</w:t>
                  </w:r>
                </w:p>
              </w:tc>
              <w:tc>
                <w:tcPr>
                  <w:tcW w:w="2237" w:type="dxa"/>
                  <w:vAlign w:val="center"/>
                </w:tcPr>
                <w:p>
                  <w:pPr>
                    <w:keepNext w:val="0"/>
                    <w:keepLines w:val="0"/>
                    <w:widowControl/>
                    <w:suppressLineNumbers w:val="0"/>
                    <w:spacing w:before="0" w:beforeAutospacing="0" w:after="0" w:afterAutospacing="0" w:line="240" w:lineRule="exact"/>
                    <w:ind w:left="0" w:right="0"/>
                    <w:jc w:val="center"/>
                    <w:textAlignment w:val="center"/>
                    <w:rPr>
                      <w:rFonts w:hint="default" w:ascii="Times New Roman" w:hAnsi="Times New Roman" w:eastAsia="宋体" w:cs="Times New Roman"/>
                      <w:color w:val="auto"/>
                      <w:kern w:val="0"/>
                      <w:sz w:val="21"/>
                      <w:szCs w:val="21"/>
                      <w:u w:val="none" w:color="auto"/>
                    </w:rPr>
                  </w:pPr>
                  <w:r>
                    <w:rPr>
                      <w:rFonts w:hint="default" w:ascii="Times New Roman" w:hAnsi="Times New Roman" w:eastAsia="宋体" w:cs="Times New Roman"/>
                      <w:color w:val="auto"/>
                      <w:kern w:val="0"/>
                      <w:sz w:val="21"/>
                      <w:szCs w:val="21"/>
                      <w:u w:val="none" w:color="auto"/>
                    </w:rPr>
                    <w:t>汤环管字</w:t>
                  </w:r>
                  <w:r>
                    <w:rPr>
                      <w:rFonts w:hint="eastAsia" w:ascii="Times New Roman" w:hAnsi="Times New Roman" w:eastAsia="宋体" w:cs="Times New Roman"/>
                      <w:color w:val="auto"/>
                      <w:kern w:val="0"/>
                      <w:sz w:val="21"/>
                      <w:szCs w:val="21"/>
                      <w:u w:val="none" w:color="auto"/>
                      <w:lang w:eastAsia="zh-CN"/>
                    </w:rPr>
                    <w:t>〔</w:t>
                  </w:r>
                  <w:r>
                    <w:rPr>
                      <w:rFonts w:hint="default" w:ascii="Times New Roman" w:hAnsi="Times New Roman" w:eastAsia="宋体" w:cs="Times New Roman"/>
                      <w:color w:val="auto"/>
                      <w:kern w:val="0"/>
                      <w:sz w:val="21"/>
                      <w:szCs w:val="21"/>
                      <w:u w:val="none" w:color="auto"/>
                    </w:rPr>
                    <w:t>2018</w:t>
                  </w:r>
                  <w:r>
                    <w:rPr>
                      <w:rFonts w:hint="eastAsia" w:ascii="Times New Roman" w:hAnsi="Times New Roman" w:eastAsia="宋体" w:cs="Times New Roman"/>
                      <w:color w:val="auto"/>
                      <w:kern w:val="0"/>
                      <w:sz w:val="21"/>
                      <w:szCs w:val="21"/>
                      <w:u w:val="none" w:color="auto"/>
                      <w:lang w:eastAsia="zh-CN"/>
                    </w:rPr>
                    <w:t>〕</w:t>
                  </w:r>
                  <w:r>
                    <w:rPr>
                      <w:rFonts w:hint="default" w:ascii="Times New Roman" w:hAnsi="Times New Roman" w:eastAsia="宋体" w:cs="Times New Roman"/>
                      <w:color w:val="auto"/>
                      <w:kern w:val="0"/>
                      <w:sz w:val="21"/>
                      <w:szCs w:val="21"/>
                      <w:u w:val="none" w:color="auto"/>
                    </w:rPr>
                    <w:t>81号</w:t>
                  </w:r>
                </w:p>
              </w:tc>
              <w:tc>
                <w:tcPr>
                  <w:tcW w:w="1346" w:type="dxa"/>
                  <w:vAlign w:val="center"/>
                </w:tcPr>
                <w:p>
                  <w:pPr>
                    <w:keepNext w:val="0"/>
                    <w:keepLines w:val="0"/>
                    <w:widowControl/>
                    <w:suppressLineNumbers w:val="0"/>
                    <w:spacing w:before="0" w:beforeAutospacing="0" w:after="0" w:afterAutospacing="0" w:line="240" w:lineRule="exact"/>
                    <w:ind w:left="0" w:right="0"/>
                    <w:jc w:val="center"/>
                    <w:textAlignment w:val="center"/>
                    <w:rPr>
                      <w:rFonts w:hint="default" w:ascii="Times New Roman" w:hAnsi="Times New Roman" w:eastAsia="宋体" w:cs="Times New Roman"/>
                      <w:color w:val="auto"/>
                      <w:kern w:val="0"/>
                      <w:sz w:val="21"/>
                      <w:szCs w:val="21"/>
                      <w:u w:val="none" w:color="auto"/>
                    </w:rPr>
                  </w:pPr>
                  <w:r>
                    <w:rPr>
                      <w:rFonts w:hint="default" w:ascii="Times New Roman" w:hAnsi="Times New Roman" w:eastAsia="宋体" w:cs="Times New Roman"/>
                      <w:color w:val="auto"/>
                      <w:kern w:val="0"/>
                      <w:sz w:val="21"/>
                      <w:szCs w:val="21"/>
                      <w:u w:val="none" w:color="auto"/>
                    </w:rPr>
                    <w:t>自主验收2020年</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Layout w:type="fixed"/>
              </w:tblPrEx>
              <w:trPr>
                <w:trHeight w:val="426" w:hRule="atLeast"/>
                <w:jc w:val="center"/>
              </w:trPr>
              <w:tc>
                <w:tcPr>
                  <w:tcW w:w="2086" w:type="dxa"/>
                  <w:vAlign w:val="center"/>
                </w:tcPr>
                <w:p>
                  <w:pPr>
                    <w:keepNext w:val="0"/>
                    <w:keepLines w:val="0"/>
                    <w:widowControl/>
                    <w:suppressLineNumbers w:val="0"/>
                    <w:spacing w:before="0" w:beforeAutospacing="0" w:after="0" w:afterAutospacing="0" w:line="240" w:lineRule="exact"/>
                    <w:ind w:left="0" w:right="0"/>
                    <w:jc w:val="center"/>
                    <w:textAlignment w:val="center"/>
                    <w:rPr>
                      <w:rFonts w:hint="eastAsia" w:ascii="Times New Roman" w:hAnsi="Times New Roman" w:eastAsia="宋体" w:cs="Times New Roman"/>
                      <w:bCs/>
                      <w:color w:val="auto"/>
                      <w:sz w:val="21"/>
                      <w:szCs w:val="21"/>
                      <w:highlight w:val="none"/>
                      <w:u w:val="none" w:color="auto"/>
                      <w:lang w:eastAsia="zh-CN"/>
                    </w:rPr>
                  </w:pPr>
                  <w:r>
                    <w:rPr>
                      <w:rFonts w:hint="eastAsia" w:ascii="Times New Roman" w:hAnsi="Times New Roman" w:eastAsia="宋体" w:cs="Times New Roman"/>
                      <w:bCs/>
                      <w:color w:val="auto"/>
                      <w:sz w:val="21"/>
                      <w:szCs w:val="21"/>
                      <w:highlight w:val="none"/>
                      <w:u w:val="none" w:color="auto"/>
                      <w:lang w:eastAsia="zh-CN"/>
                    </w:rPr>
                    <w:t>彩涂生产线高温焚烧炉技术改造项目</w:t>
                  </w:r>
                </w:p>
              </w:tc>
              <w:tc>
                <w:tcPr>
                  <w:tcW w:w="2751" w:type="dxa"/>
                  <w:vAlign w:val="center"/>
                </w:tcPr>
                <w:p>
                  <w:pPr>
                    <w:keepNext w:val="0"/>
                    <w:keepLines w:val="0"/>
                    <w:widowControl/>
                    <w:suppressLineNumbers w:val="0"/>
                    <w:spacing w:before="0" w:beforeAutospacing="0" w:after="0" w:afterAutospacing="0" w:line="240" w:lineRule="exact"/>
                    <w:ind w:left="0" w:right="0"/>
                    <w:jc w:val="center"/>
                    <w:textAlignment w:val="center"/>
                    <w:rPr>
                      <w:rFonts w:hint="eastAsia" w:ascii="Times New Roman" w:hAnsi="Times New Roman" w:eastAsia="宋体" w:cs="Times New Roman"/>
                      <w:color w:val="auto"/>
                      <w:kern w:val="0"/>
                      <w:sz w:val="21"/>
                      <w:szCs w:val="21"/>
                      <w:highlight w:val="none"/>
                      <w:u w:val="none" w:color="auto"/>
                      <w:lang w:val="en-US" w:eastAsia="zh-CN"/>
                    </w:rPr>
                  </w:pPr>
                  <w:r>
                    <w:rPr>
                      <w:rFonts w:hint="eastAsia" w:ascii="Times New Roman" w:hAnsi="Times New Roman" w:eastAsia="宋体" w:cs="Times New Roman"/>
                      <w:color w:val="auto"/>
                      <w:kern w:val="0"/>
                      <w:sz w:val="21"/>
                      <w:szCs w:val="21"/>
                      <w:highlight w:val="none"/>
                      <w:u w:val="none" w:color="auto"/>
                      <w:lang w:val="en-US" w:eastAsia="zh-CN"/>
                    </w:rPr>
                    <w:t>/</w:t>
                  </w:r>
                </w:p>
              </w:tc>
              <w:tc>
                <w:tcPr>
                  <w:tcW w:w="2237" w:type="dxa"/>
                  <w:vAlign w:val="center"/>
                </w:tcPr>
                <w:p>
                  <w:pPr>
                    <w:keepNext w:val="0"/>
                    <w:keepLines w:val="0"/>
                    <w:widowControl/>
                    <w:suppressLineNumbers w:val="0"/>
                    <w:spacing w:before="0" w:beforeAutospacing="0" w:after="0" w:afterAutospacing="0" w:line="240" w:lineRule="exact"/>
                    <w:ind w:left="0" w:right="0"/>
                    <w:jc w:val="center"/>
                    <w:textAlignment w:val="center"/>
                    <w:rPr>
                      <w:rFonts w:hint="default" w:ascii="Times New Roman" w:hAnsi="Times New Roman" w:eastAsia="宋体" w:cs="Times New Roman"/>
                      <w:color w:val="auto"/>
                      <w:kern w:val="0"/>
                      <w:sz w:val="21"/>
                      <w:szCs w:val="21"/>
                      <w:highlight w:val="none"/>
                      <w:u w:val="none" w:color="auto"/>
                    </w:rPr>
                  </w:pPr>
                  <w:r>
                    <w:rPr>
                      <w:rFonts w:hint="default" w:ascii="Times New Roman" w:hAnsi="Times New Roman" w:eastAsia="宋体" w:cs="Times New Roman"/>
                      <w:color w:val="auto"/>
                      <w:kern w:val="0"/>
                      <w:sz w:val="21"/>
                      <w:szCs w:val="21"/>
                      <w:highlight w:val="none"/>
                      <w:u w:val="none" w:color="auto"/>
                    </w:rPr>
                    <w:t>汤环管字</w:t>
                  </w:r>
                  <w:r>
                    <w:rPr>
                      <w:rFonts w:hint="eastAsia" w:ascii="宋体" w:hAnsi="宋体" w:eastAsia="宋体" w:cs="宋体"/>
                      <w:color w:val="auto"/>
                      <w:kern w:val="0"/>
                      <w:sz w:val="21"/>
                      <w:szCs w:val="21"/>
                      <w:highlight w:val="none"/>
                      <w:u w:val="none" w:color="auto"/>
                    </w:rPr>
                    <w:t>〔</w:t>
                  </w:r>
                  <w:r>
                    <w:rPr>
                      <w:rFonts w:hint="default" w:ascii="Times New Roman" w:hAnsi="Times New Roman" w:eastAsia="宋体" w:cs="Times New Roman"/>
                      <w:color w:val="auto"/>
                      <w:kern w:val="0"/>
                      <w:sz w:val="21"/>
                      <w:szCs w:val="21"/>
                      <w:highlight w:val="none"/>
                      <w:u w:val="none" w:color="auto"/>
                    </w:rPr>
                    <w:t>20</w:t>
                  </w:r>
                  <w:r>
                    <w:rPr>
                      <w:rFonts w:hint="eastAsia" w:ascii="Times New Roman" w:hAnsi="Times New Roman" w:eastAsia="宋体" w:cs="Times New Roman"/>
                      <w:color w:val="auto"/>
                      <w:kern w:val="0"/>
                      <w:sz w:val="21"/>
                      <w:szCs w:val="21"/>
                      <w:highlight w:val="none"/>
                      <w:u w:val="none" w:color="auto"/>
                      <w:lang w:val="en-US" w:eastAsia="zh-CN"/>
                    </w:rPr>
                    <w:t>22</w:t>
                  </w:r>
                  <w:r>
                    <w:rPr>
                      <w:rFonts w:hint="eastAsia" w:ascii="Times New Roman" w:hAnsi="Times New Roman" w:eastAsia="宋体" w:cs="Times New Roman"/>
                      <w:color w:val="auto"/>
                      <w:kern w:val="0"/>
                      <w:sz w:val="21"/>
                      <w:szCs w:val="21"/>
                      <w:highlight w:val="none"/>
                      <w:u w:val="none" w:color="auto"/>
                      <w:lang w:eastAsia="zh-CN"/>
                    </w:rPr>
                    <w:t>〕</w:t>
                  </w:r>
                  <w:r>
                    <w:rPr>
                      <w:rFonts w:hint="default" w:ascii="Times New Roman" w:hAnsi="Times New Roman" w:eastAsia="宋体" w:cs="Times New Roman"/>
                      <w:color w:val="auto"/>
                      <w:kern w:val="0"/>
                      <w:sz w:val="21"/>
                      <w:szCs w:val="21"/>
                      <w:highlight w:val="none"/>
                      <w:u w:val="none" w:color="auto"/>
                    </w:rPr>
                    <w:t>2号</w:t>
                  </w:r>
                </w:p>
              </w:tc>
              <w:tc>
                <w:tcPr>
                  <w:tcW w:w="1346" w:type="dxa"/>
                  <w:vAlign w:val="center"/>
                </w:tcPr>
                <w:p>
                  <w:pPr>
                    <w:keepNext w:val="0"/>
                    <w:keepLines w:val="0"/>
                    <w:widowControl/>
                    <w:suppressLineNumbers w:val="0"/>
                    <w:spacing w:before="0" w:beforeAutospacing="0" w:after="0" w:afterAutospacing="0" w:line="240" w:lineRule="exact"/>
                    <w:ind w:left="0" w:right="0"/>
                    <w:jc w:val="center"/>
                    <w:textAlignment w:val="center"/>
                    <w:rPr>
                      <w:rFonts w:hint="eastAsia" w:ascii="Times New Roman" w:hAnsi="Times New Roman" w:eastAsia="宋体" w:cs="Times New Roman"/>
                      <w:color w:val="auto"/>
                      <w:kern w:val="0"/>
                      <w:sz w:val="21"/>
                      <w:szCs w:val="21"/>
                      <w:highlight w:val="none"/>
                      <w:u w:val="none" w:color="auto"/>
                      <w:lang w:eastAsia="zh-CN"/>
                    </w:rPr>
                  </w:pPr>
                  <w:r>
                    <w:rPr>
                      <w:rFonts w:hint="default" w:ascii="Times New Roman" w:hAnsi="Times New Roman" w:eastAsia="宋体" w:cs="Times New Roman"/>
                      <w:color w:val="auto"/>
                      <w:kern w:val="0"/>
                      <w:sz w:val="21"/>
                      <w:szCs w:val="21"/>
                      <w:u w:val="none" w:color="auto"/>
                    </w:rPr>
                    <w:t>自主验收202</w:t>
                  </w:r>
                  <w:r>
                    <w:rPr>
                      <w:rFonts w:hint="eastAsia" w:ascii="Times New Roman" w:hAnsi="Times New Roman" w:eastAsia="宋体" w:cs="Times New Roman"/>
                      <w:color w:val="auto"/>
                      <w:kern w:val="0"/>
                      <w:sz w:val="21"/>
                      <w:szCs w:val="21"/>
                      <w:u w:val="none" w:color="auto"/>
                      <w:lang w:val="en-US" w:eastAsia="zh-CN"/>
                    </w:rPr>
                    <w:t>2</w:t>
                  </w:r>
                  <w:r>
                    <w:rPr>
                      <w:rFonts w:hint="default" w:ascii="Times New Roman" w:hAnsi="Times New Roman" w:eastAsia="宋体" w:cs="Times New Roman"/>
                      <w:color w:val="auto"/>
                      <w:kern w:val="0"/>
                      <w:sz w:val="21"/>
                      <w:szCs w:val="21"/>
                      <w:u w:val="none" w:color="auto"/>
                    </w:rPr>
                    <w:t>年</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Layout w:type="fixed"/>
                <w:tblCellMar>
                  <w:top w:w="15" w:type="dxa"/>
                  <w:left w:w="15" w:type="dxa"/>
                  <w:bottom w:w="15" w:type="dxa"/>
                  <w:right w:w="15" w:type="dxa"/>
                </w:tblCellMar>
              </w:tblPrEx>
              <w:trPr>
                <w:trHeight w:val="426" w:hRule="atLeast"/>
                <w:jc w:val="center"/>
              </w:trPr>
              <w:tc>
                <w:tcPr>
                  <w:tcW w:w="2086" w:type="dxa"/>
                  <w:vAlign w:val="center"/>
                </w:tcPr>
                <w:p>
                  <w:pPr>
                    <w:keepNext w:val="0"/>
                    <w:keepLines w:val="0"/>
                    <w:widowControl/>
                    <w:suppressLineNumbers w:val="0"/>
                    <w:spacing w:before="0" w:beforeAutospacing="0" w:after="0" w:afterAutospacing="0" w:line="240" w:lineRule="exact"/>
                    <w:ind w:left="0" w:right="0"/>
                    <w:jc w:val="center"/>
                    <w:textAlignment w:val="center"/>
                    <w:rPr>
                      <w:rFonts w:hint="eastAsia" w:ascii="Times New Roman" w:hAnsi="Times New Roman" w:eastAsia="宋体" w:cs="Times New Roman"/>
                      <w:bCs/>
                      <w:color w:val="auto"/>
                      <w:sz w:val="21"/>
                      <w:szCs w:val="21"/>
                      <w:highlight w:val="none"/>
                      <w:u w:val="none" w:color="auto"/>
                      <w:lang w:eastAsia="zh-CN"/>
                    </w:rPr>
                  </w:pPr>
                  <w:r>
                    <w:rPr>
                      <w:rFonts w:hint="eastAsia" w:ascii="Times New Roman" w:hAnsi="Times New Roman" w:eastAsia="宋体" w:cs="Times New Roman"/>
                      <w:bCs/>
                      <w:color w:val="auto"/>
                      <w:sz w:val="21"/>
                      <w:szCs w:val="21"/>
                      <w:highlight w:val="none"/>
                      <w:u w:val="none" w:color="auto"/>
                      <w:lang w:eastAsia="zh-CN"/>
                    </w:rPr>
                    <w:t>安阳神龙腾达新材料科技有限公司危废库、镀锌退火炉和污水处理站废气改造项目</w:t>
                  </w:r>
                </w:p>
              </w:tc>
              <w:tc>
                <w:tcPr>
                  <w:tcW w:w="2751" w:type="dxa"/>
                  <w:vAlign w:val="center"/>
                </w:tcPr>
                <w:p>
                  <w:pPr>
                    <w:keepNext w:val="0"/>
                    <w:keepLines w:val="0"/>
                    <w:widowControl/>
                    <w:suppressLineNumbers w:val="0"/>
                    <w:spacing w:before="0" w:beforeAutospacing="0" w:after="0" w:afterAutospacing="0" w:line="240" w:lineRule="exact"/>
                    <w:ind w:left="0" w:right="0"/>
                    <w:jc w:val="center"/>
                    <w:textAlignment w:val="center"/>
                    <w:rPr>
                      <w:rFonts w:hint="default" w:ascii="Times New Roman" w:hAnsi="Times New Roman" w:eastAsia="宋体" w:cs="Times New Roman"/>
                      <w:color w:val="auto"/>
                      <w:kern w:val="0"/>
                      <w:sz w:val="21"/>
                      <w:szCs w:val="21"/>
                      <w:highlight w:val="none"/>
                      <w:u w:val="none" w:color="auto"/>
                      <w:lang w:val="en-US" w:eastAsia="zh-CN"/>
                    </w:rPr>
                  </w:pPr>
                  <w:r>
                    <w:rPr>
                      <w:rFonts w:hint="eastAsia" w:ascii="Times New Roman" w:hAnsi="Times New Roman" w:eastAsia="宋体" w:cs="Times New Roman"/>
                      <w:color w:val="auto"/>
                      <w:kern w:val="0"/>
                      <w:sz w:val="21"/>
                      <w:szCs w:val="21"/>
                      <w:highlight w:val="none"/>
                      <w:u w:val="none" w:color="auto"/>
                      <w:lang w:val="en-US" w:eastAsia="zh-CN"/>
                    </w:rPr>
                    <w:t>/</w:t>
                  </w:r>
                </w:p>
              </w:tc>
              <w:tc>
                <w:tcPr>
                  <w:tcW w:w="2237" w:type="dxa"/>
                  <w:vAlign w:val="center"/>
                </w:tcPr>
                <w:p>
                  <w:pPr>
                    <w:keepNext w:val="0"/>
                    <w:keepLines w:val="0"/>
                    <w:widowControl/>
                    <w:suppressLineNumbers w:val="0"/>
                    <w:spacing w:before="0" w:beforeAutospacing="0" w:after="0" w:afterAutospacing="0" w:line="240" w:lineRule="exact"/>
                    <w:ind w:left="0" w:right="0"/>
                    <w:jc w:val="center"/>
                    <w:textAlignment w:val="center"/>
                    <w:rPr>
                      <w:rFonts w:hint="default" w:ascii="Times New Roman" w:hAnsi="Times New Roman" w:eastAsia="宋体" w:cs="Times New Roman"/>
                      <w:color w:val="auto"/>
                      <w:kern w:val="0"/>
                      <w:sz w:val="21"/>
                      <w:szCs w:val="21"/>
                      <w:highlight w:val="none"/>
                      <w:u w:val="none" w:color="auto"/>
                      <w:lang w:val="en-US" w:eastAsia="zh-CN"/>
                    </w:rPr>
                  </w:pPr>
                  <w:r>
                    <w:rPr>
                      <w:rFonts w:hint="eastAsia" w:ascii="Times New Roman" w:hAnsi="Times New Roman" w:eastAsia="宋体" w:cs="Times New Roman"/>
                      <w:color w:val="auto"/>
                      <w:kern w:val="0"/>
                      <w:sz w:val="21"/>
                      <w:szCs w:val="21"/>
                      <w:highlight w:val="none"/>
                      <w:u w:val="none" w:color="auto"/>
                      <w:lang w:eastAsia="zh-CN"/>
                    </w:rPr>
                    <w:t>编号：</w:t>
                  </w:r>
                  <w:r>
                    <w:rPr>
                      <w:rFonts w:hint="eastAsia" w:ascii="Times New Roman" w:hAnsi="Times New Roman" w:eastAsia="宋体" w:cs="Times New Roman"/>
                      <w:color w:val="auto"/>
                      <w:kern w:val="0"/>
                      <w:sz w:val="21"/>
                      <w:szCs w:val="21"/>
                      <w:highlight w:val="none"/>
                      <w:u w:val="none" w:color="auto"/>
                      <w:lang w:val="en-US" w:eastAsia="zh-CN"/>
                    </w:rPr>
                    <w:t>202341052300000021，2023年4月14日</w:t>
                  </w:r>
                </w:p>
              </w:tc>
              <w:tc>
                <w:tcPr>
                  <w:tcW w:w="1346" w:type="dxa"/>
                  <w:vAlign w:val="center"/>
                </w:tcPr>
                <w:p>
                  <w:pPr>
                    <w:keepNext w:val="0"/>
                    <w:keepLines w:val="0"/>
                    <w:widowControl/>
                    <w:suppressLineNumbers w:val="0"/>
                    <w:spacing w:before="0" w:beforeAutospacing="0" w:after="0" w:afterAutospacing="0" w:line="240" w:lineRule="exact"/>
                    <w:ind w:left="0" w:right="0"/>
                    <w:jc w:val="center"/>
                    <w:textAlignment w:val="center"/>
                    <w:rPr>
                      <w:rFonts w:hint="default" w:ascii="Times New Roman" w:hAnsi="Times New Roman" w:eastAsia="宋体" w:cs="Times New Roman"/>
                      <w:color w:val="auto"/>
                      <w:kern w:val="0"/>
                      <w:sz w:val="21"/>
                      <w:szCs w:val="21"/>
                      <w:u w:val="none" w:color="auto"/>
                      <w:lang w:val="en-US" w:eastAsia="zh-CN"/>
                    </w:rPr>
                  </w:pPr>
                  <w:r>
                    <w:rPr>
                      <w:rFonts w:hint="eastAsia" w:ascii="Times New Roman" w:hAnsi="Times New Roman" w:eastAsia="宋体" w:cs="Times New Roman"/>
                      <w:color w:val="auto"/>
                      <w:kern w:val="0"/>
                      <w:sz w:val="21"/>
                      <w:szCs w:val="21"/>
                      <w:u w:val="none" w:color="auto"/>
                      <w:lang w:val="en-US" w:eastAsia="zh-CN"/>
                    </w:rPr>
                    <w:t>/</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Layout w:type="fixed"/>
                <w:tblCellMar>
                  <w:top w:w="15" w:type="dxa"/>
                  <w:left w:w="15" w:type="dxa"/>
                  <w:bottom w:w="15" w:type="dxa"/>
                  <w:right w:w="15" w:type="dxa"/>
                </w:tblCellMar>
              </w:tblPrEx>
              <w:trPr>
                <w:trHeight w:val="426" w:hRule="atLeast"/>
                <w:jc w:val="center"/>
              </w:trPr>
              <w:tc>
                <w:tcPr>
                  <w:tcW w:w="2086" w:type="dxa"/>
                  <w:vMerge w:val="restart"/>
                  <w:vAlign w:val="center"/>
                </w:tcPr>
                <w:p>
                  <w:pPr>
                    <w:keepNext w:val="0"/>
                    <w:keepLines w:val="0"/>
                    <w:widowControl/>
                    <w:suppressLineNumbers w:val="0"/>
                    <w:spacing w:before="0" w:beforeAutospacing="0" w:after="0" w:afterAutospacing="0" w:line="240" w:lineRule="exact"/>
                    <w:ind w:left="0" w:right="0"/>
                    <w:jc w:val="center"/>
                    <w:textAlignment w:val="center"/>
                    <w:rPr>
                      <w:rFonts w:hint="eastAsia" w:ascii="Times New Roman" w:hAnsi="Times New Roman" w:eastAsia="宋体" w:cs="Times New Roman"/>
                      <w:bCs/>
                      <w:color w:val="auto"/>
                      <w:sz w:val="21"/>
                      <w:szCs w:val="21"/>
                      <w:highlight w:val="none"/>
                      <w:u w:val="none" w:color="auto"/>
                      <w:lang w:eastAsia="zh-CN"/>
                    </w:rPr>
                  </w:pPr>
                  <w:r>
                    <w:rPr>
                      <w:rFonts w:hint="eastAsia" w:ascii="Times New Roman" w:hAnsi="Times New Roman" w:eastAsia="宋体" w:cs="Times New Roman"/>
                      <w:bCs/>
                      <w:color w:val="auto"/>
                      <w:sz w:val="21"/>
                      <w:szCs w:val="21"/>
                      <w:highlight w:val="none"/>
                      <w:u w:val="none" w:color="auto"/>
                      <w:lang w:eastAsia="zh-CN"/>
                    </w:rPr>
                    <w:t>年产6万吨铝锌合金项目</w:t>
                  </w:r>
                </w:p>
              </w:tc>
              <w:tc>
                <w:tcPr>
                  <w:tcW w:w="2751" w:type="dxa"/>
                  <w:vAlign w:val="center"/>
                </w:tcPr>
                <w:p>
                  <w:pPr>
                    <w:keepNext w:val="0"/>
                    <w:keepLines w:val="0"/>
                    <w:widowControl/>
                    <w:suppressLineNumbers w:val="0"/>
                    <w:spacing w:before="0" w:beforeAutospacing="0" w:after="0" w:afterAutospacing="0" w:line="240" w:lineRule="exact"/>
                    <w:ind w:left="0" w:right="0"/>
                    <w:jc w:val="both"/>
                    <w:textAlignment w:val="center"/>
                    <w:rPr>
                      <w:rFonts w:hint="default" w:ascii="Times New Roman" w:hAnsi="Times New Roman" w:eastAsia="宋体" w:cs="Times New Roman"/>
                      <w:color w:val="auto"/>
                      <w:kern w:val="0"/>
                      <w:sz w:val="21"/>
                      <w:szCs w:val="21"/>
                      <w:highlight w:val="none"/>
                      <w:u w:val="none" w:color="auto"/>
                      <w:lang w:val="en-US" w:eastAsia="zh-CN"/>
                    </w:rPr>
                  </w:pPr>
                  <w:r>
                    <w:rPr>
                      <w:rFonts w:hint="eastAsia" w:ascii="Times New Roman" w:hAnsi="Times New Roman" w:eastAsia="宋体" w:cs="Times New Roman"/>
                      <w:color w:val="auto"/>
                      <w:kern w:val="0"/>
                      <w:sz w:val="21"/>
                      <w:szCs w:val="21"/>
                      <w:highlight w:val="none"/>
                      <w:u w:val="none" w:color="auto"/>
                      <w:lang w:val="en-US" w:eastAsia="zh-CN"/>
                    </w:rPr>
                    <w:t>一期工程建设规模为3万吨铝锌合金</w:t>
                  </w:r>
                </w:p>
              </w:tc>
              <w:tc>
                <w:tcPr>
                  <w:tcW w:w="2237" w:type="dxa"/>
                  <w:vMerge w:val="restart"/>
                  <w:vAlign w:val="center"/>
                </w:tcPr>
                <w:p>
                  <w:pPr>
                    <w:keepNext w:val="0"/>
                    <w:keepLines w:val="0"/>
                    <w:widowControl/>
                    <w:suppressLineNumbers w:val="0"/>
                    <w:spacing w:before="0" w:beforeAutospacing="0" w:after="0" w:afterAutospacing="0" w:line="240" w:lineRule="exact"/>
                    <w:ind w:left="0" w:right="0"/>
                    <w:jc w:val="center"/>
                    <w:textAlignment w:val="center"/>
                    <w:rPr>
                      <w:rFonts w:hint="default" w:ascii="Times New Roman" w:hAnsi="Times New Roman" w:eastAsia="宋体" w:cs="Times New Roman"/>
                      <w:color w:val="auto"/>
                      <w:kern w:val="0"/>
                      <w:sz w:val="21"/>
                      <w:szCs w:val="21"/>
                      <w:highlight w:val="none"/>
                      <w:u w:val="none" w:color="auto"/>
                      <w:lang w:val="en-US" w:eastAsia="zh-CN"/>
                    </w:rPr>
                  </w:pPr>
                  <w:r>
                    <w:rPr>
                      <w:rFonts w:hint="eastAsia" w:ascii="Times New Roman" w:hAnsi="Times New Roman" w:eastAsia="宋体" w:cs="Times New Roman"/>
                      <w:color w:val="auto"/>
                      <w:kern w:val="0"/>
                      <w:sz w:val="21"/>
                      <w:szCs w:val="21"/>
                      <w:highlight w:val="none"/>
                      <w:u w:val="none" w:color="auto"/>
                      <w:lang w:eastAsia="zh-CN"/>
                    </w:rPr>
                    <w:t>汤环管字〔202</w:t>
                  </w:r>
                  <w:r>
                    <w:rPr>
                      <w:rFonts w:hint="eastAsia" w:ascii="Times New Roman" w:hAnsi="Times New Roman" w:eastAsia="宋体" w:cs="Times New Roman"/>
                      <w:color w:val="auto"/>
                      <w:kern w:val="0"/>
                      <w:sz w:val="21"/>
                      <w:szCs w:val="21"/>
                      <w:highlight w:val="none"/>
                      <w:u w:val="none" w:color="auto"/>
                      <w:lang w:val="en-US" w:eastAsia="zh-CN"/>
                    </w:rPr>
                    <w:t>4</w:t>
                  </w:r>
                  <w:r>
                    <w:rPr>
                      <w:rFonts w:hint="eastAsia" w:ascii="Times New Roman" w:hAnsi="Times New Roman" w:eastAsia="宋体" w:cs="Times New Roman"/>
                      <w:color w:val="auto"/>
                      <w:kern w:val="0"/>
                      <w:sz w:val="21"/>
                      <w:szCs w:val="21"/>
                      <w:highlight w:val="none"/>
                      <w:u w:val="none" w:color="auto"/>
                      <w:lang w:eastAsia="zh-CN"/>
                    </w:rPr>
                    <w:t>〕</w:t>
                  </w:r>
                  <w:r>
                    <w:rPr>
                      <w:rFonts w:hint="eastAsia" w:ascii="Times New Roman" w:hAnsi="Times New Roman" w:eastAsia="宋体" w:cs="Times New Roman"/>
                      <w:color w:val="auto"/>
                      <w:kern w:val="0"/>
                      <w:sz w:val="21"/>
                      <w:szCs w:val="21"/>
                      <w:highlight w:val="none"/>
                      <w:u w:val="none" w:color="auto"/>
                      <w:lang w:val="en-US" w:eastAsia="zh-CN"/>
                    </w:rPr>
                    <w:t>45号</w:t>
                  </w:r>
                </w:p>
              </w:tc>
              <w:tc>
                <w:tcPr>
                  <w:tcW w:w="1346" w:type="dxa"/>
                  <w:vMerge w:val="restart"/>
                  <w:vAlign w:val="center"/>
                </w:tcPr>
                <w:p>
                  <w:pPr>
                    <w:keepNext w:val="0"/>
                    <w:keepLines w:val="0"/>
                    <w:widowControl/>
                    <w:suppressLineNumbers w:val="0"/>
                    <w:spacing w:before="0" w:beforeAutospacing="0" w:after="0" w:afterAutospacing="0" w:line="240" w:lineRule="exact"/>
                    <w:ind w:left="0" w:right="0"/>
                    <w:jc w:val="center"/>
                    <w:textAlignment w:val="center"/>
                    <w:rPr>
                      <w:rFonts w:hint="default" w:ascii="Times New Roman" w:hAnsi="Times New Roman" w:eastAsia="宋体" w:cs="Times New Roman"/>
                      <w:color w:val="auto"/>
                      <w:kern w:val="0"/>
                      <w:sz w:val="21"/>
                      <w:szCs w:val="21"/>
                      <w:u w:val="none" w:color="auto"/>
                      <w:lang w:val="en-US" w:eastAsia="zh-CN"/>
                    </w:rPr>
                  </w:pPr>
                  <w:r>
                    <w:rPr>
                      <w:rFonts w:hint="eastAsia" w:ascii="Times New Roman" w:hAnsi="Times New Roman" w:eastAsia="宋体" w:cs="Times New Roman"/>
                      <w:color w:val="auto"/>
                      <w:kern w:val="0"/>
                      <w:sz w:val="21"/>
                      <w:szCs w:val="21"/>
                      <w:u w:val="none" w:color="auto"/>
                      <w:lang w:val="en-US" w:eastAsia="zh-CN"/>
                    </w:rPr>
                    <w:t>/</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Layout w:type="fixed"/>
                <w:tblCellMar>
                  <w:top w:w="15" w:type="dxa"/>
                  <w:left w:w="15" w:type="dxa"/>
                  <w:bottom w:w="15" w:type="dxa"/>
                  <w:right w:w="15" w:type="dxa"/>
                </w:tblCellMar>
              </w:tblPrEx>
              <w:trPr>
                <w:trHeight w:val="426" w:hRule="atLeast"/>
                <w:jc w:val="center"/>
              </w:trPr>
              <w:tc>
                <w:tcPr>
                  <w:tcW w:w="2086" w:type="dxa"/>
                  <w:vMerge w:val="continue"/>
                  <w:vAlign w:val="center"/>
                </w:tcPr>
                <w:p>
                  <w:pPr>
                    <w:keepNext w:val="0"/>
                    <w:keepLines w:val="0"/>
                    <w:widowControl/>
                    <w:suppressLineNumbers w:val="0"/>
                    <w:spacing w:before="0" w:beforeAutospacing="0" w:after="0" w:afterAutospacing="0" w:line="240" w:lineRule="exact"/>
                    <w:ind w:left="0" w:right="0"/>
                    <w:jc w:val="center"/>
                    <w:textAlignment w:val="center"/>
                    <w:rPr>
                      <w:rFonts w:hint="eastAsia" w:ascii="Times New Roman" w:hAnsi="Times New Roman" w:eastAsia="宋体" w:cs="Times New Roman"/>
                      <w:bCs/>
                      <w:color w:val="auto"/>
                      <w:sz w:val="21"/>
                      <w:szCs w:val="21"/>
                      <w:highlight w:val="none"/>
                      <w:u w:val="none" w:color="auto"/>
                      <w:lang w:eastAsia="zh-CN"/>
                    </w:rPr>
                  </w:pPr>
                </w:p>
              </w:tc>
              <w:tc>
                <w:tcPr>
                  <w:tcW w:w="2751" w:type="dxa"/>
                  <w:vAlign w:val="center"/>
                </w:tcPr>
                <w:p>
                  <w:pPr>
                    <w:keepNext w:val="0"/>
                    <w:keepLines w:val="0"/>
                    <w:widowControl/>
                    <w:suppressLineNumbers w:val="0"/>
                    <w:spacing w:before="0" w:beforeAutospacing="0" w:after="0" w:afterAutospacing="0" w:line="240" w:lineRule="exact"/>
                    <w:ind w:left="0" w:right="0"/>
                    <w:jc w:val="both"/>
                    <w:textAlignment w:val="center"/>
                    <w:rPr>
                      <w:rFonts w:hint="eastAsia" w:ascii="Times New Roman" w:hAnsi="Times New Roman" w:eastAsia="宋体" w:cs="Times New Roman"/>
                      <w:color w:val="auto"/>
                      <w:kern w:val="0"/>
                      <w:sz w:val="21"/>
                      <w:szCs w:val="21"/>
                      <w:highlight w:val="none"/>
                      <w:u w:val="none" w:color="auto"/>
                      <w:lang w:val="en-US" w:eastAsia="zh-CN"/>
                    </w:rPr>
                  </w:pPr>
                  <w:r>
                    <w:rPr>
                      <w:rFonts w:hint="eastAsia" w:ascii="Times New Roman" w:hAnsi="Times New Roman" w:eastAsia="宋体" w:cs="Times New Roman"/>
                      <w:color w:val="auto"/>
                      <w:kern w:val="0"/>
                      <w:sz w:val="21"/>
                      <w:szCs w:val="21"/>
                      <w:highlight w:val="none"/>
                      <w:u w:val="none" w:color="auto"/>
                      <w:lang w:val="en-US" w:eastAsia="zh-CN"/>
                    </w:rPr>
                    <w:t>二期工程建设规模为3万吨铝锌合金</w:t>
                  </w:r>
                </w:p>
              </w:tc>
              <w:tc>
                <w:tcPr>
                  <w:tcW w:w="2237" w:type="dxa"/>
                  <w:vMerge w:val="continue"/>
                  <w:vAlign w:val="center"/>
                </w:tcPr>
                <w:p>
                  <w:pPr>
                    <w:keepNext w:val="0"/>
                    <w:keepLines w:val="0"/>
                    <w:widowControl/>
                    <w:suppressLineNumbers w:val="0"/>
                    <w:spacing w:before="0" w:beforeAutospacing="0" w:after="0" w:afterAutospacing="0" w:line="240" w:lineRule="exact"/>
                    <w:ind w:left="0" w:right="0"/>
                    <w:jc w:val="center"/>
                    <w:textAlignment w:val="center"/>
                    <w:rPr>
                      <w:rFonts w:hint="default" w:ascii="Times New Roman" w:hAnsi="Times New Roman" w:eastAsia="宋体" w:cs="Times New Roman"/>
                      <w:color w:val="auto"/>
                      <w:kern w:val="0"/>
                      <w:sz w:val="21"/>
                      <w:szCs w:val="21"/>
                      <w:highlight w:val="none"/>
                      <w:u w:val="none" w:color="auto"/>
                    </w:rPr>
                  </w:pPr>
                </w:p>
              </w:tc>
              <w:tc>
                <w:tcPr>
                  <w:tcW w:w="1346" w:type="dxa"/>
                  <w:vMerge w:val="continue"/>
                  <w:vAlign w:val="center"/>
                </w:tcPr>
                <w:p>
                  <w:pPr>
                    <w:keepNext w:val="0"/>
                    <w:keepLines w:val="0"/>
                    <w:widowControl/>
                    <w:suppressLineNumbers w:val="0"/>
                    <w:spacing w:before="0" w:beforeAutospacing="0" w:after="0" w:afterAutospacing="0" w:line="240" w:lineRule="exact"/>
                    <w:ind w:left="0" w:right="0"/>
                    <w:jc w:val="center"/>
                    <w:textAlignment w:val="center"/>
                    <w:rPr>
                      <w:rFonts w:hint="default" w:ascii="Times New Roman" w:hAnsi="Times New Roman" w:eastAsia="宋体" w:cs="Times New Roman"/>
                      <w:color w:val="auto"/>
                      <w:kern w:val="0"/>
                      <w:sz w:val="21"/>
                      <w:szCs w:val="21"/>
                      <w:u w:val="none" w:color="auto"/>
                    </w:rPr>
                  </w:pPr>
                </w:p>
              </w:tc>
            </w:tr>
          </w:tbl>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b/>
                <w:bCs w:val="0"/>
                <w:color w:val="auto"/>
                <w:sz w:val="24"/>
                <w:szCs w:val="24"/>
                <w:u w:val="none" w:color="auto"/>
                <w:lang w:val="en-US" w:eastAsia="zh-CN"/>
              </w:rPr>
            </w:pPr>
            <w:r>
              <w:rPr>
                <w:rFonts w:hint="default" w:ascii="Times New Roman" w:hAnsi="Times New Roman" w:eastAsia="宋体" w:cs="Times New Roman"/>
                <w:b w:val="0"/>
                <w:bCs w:val="0"/>
                <w:color w:val="auto"/>
                <w:kern w:val="0"/>
                <w:sz w:val="24"/>
                <w:szCs w:val="24"/>
                <w:u w:val="none" w:color="auto"/>
                <w:lang w:val="en-US" w:eastAsia="zh-CN"/>
              </w:rPr>
              <w:t>安阳神龙腾达新材科技有限公司</w:t>
            </w:r>
            <w:r>
              <w:rPr>
                <w:rFonts w:hint="eastAsia" w:ascii="Times New Roman" w:hAnsi="Times New Roman" w:eastAsia="宋体" w:cs="Times New Roman"/>
                <w:b w:val="0"/>
                <w:bCs w:val="0"/>
                <w:color w:val="auto"/>
                <w:kern w:val="0"/>
                <w:sz w:val="24"/>
                <w:szCs w:val="24"/>
                <w:u w:val="none" w:color="auto"/>
                <w:lang w:val="en-US" w:eastAsia="zh-CN"/>
              </w:rPr>
              <w:t>于2020年3月20日完成排污许可证首次申领，许可证编号：91410523MA445YB83C001P，后续分别于2020年6月10日进行了排污许可证变更；2022年6月28日、2023年7月14日、2024年4月1日</w:t>
            </w:r>
            <w:r>
              <w:rPr>
                <w:rFonts w:hint="eastAsia" w:cs="Times New Roman"/>
                <w:b w:val="0"/>
                <w:bCs w:val="0"/>
                <w:color w:val="auto"/>
                <w:kern w:val="0"/>
                <w:sz w:val="24"/>
                <w:szCs w:val="24"/>
                <w:u w:val="none" w:color="auto"/>
                <w:lang w:val="en-US" w:eastAsia="zh-CN"/>
              </w:rPr>
              <w:t>、2025年4月23日完成</w:t>
            </w:r>
            <w:r>
              <w:rPr>
                <w:rFonts w:hint="eastAsia" w:ascii="Times New Roman" w:hAnsi="Times New Roman" w:eastAsia="宋体" w:cs="Times New Roman"/>
                <w:b w:val="0"/>
                <w:bCs w:val="0"/>
                <w:color w:val="auto"/>
                <w:kern w:val="0"/>
                <w:sz w:val="24"/>
                <w:szCs w:val="24"/>
                <w:u w:val="none" w:color="auto"/>
                <w:lang w:val="en-US" w:eastAsia="zh-CN"/>
              </w:rPr>
              <w:t>了排污许可证重新申请，目前有效期至20</w:t>
            </w:r>
            <w:r>
              <w:rPr>
                <w:rFonts w:hint="eastAsia" w:cs="Times New Roman"/>
                <w:b w:val="0"/>
                <w:bCs w:val="0"/>
                <w:color w:val="auto"/>
                <w:kern w:val="0"/>
                <w:sz w:val="24"/>
                <w:szCs w:val="24"/>
                <w:u w:val="none" w:color="auto"/>
                <w:lang w:val="en-US" w:eastAsia="zh-CN"/>
              </w:rPr>
              <w:t>30</w:t>
            </w:r>
            <w:r>
              <w:rPr>
                <w:rFonts w:hint="eastAsia" w:ascii="Times New Roman" w:hAnsi="Times New Roman" w:eastAsia="宋体" w:cs="Times New Roman"/>
                <w:b w:val="0"/>
                <w:bCs w:val="0"/>
                <w:color w:val="auto"/>
                <w:kern w:val="0"/>
                <w:sz w:val="24"/>
                <w:szCs w:val="24"/>
                <w:u w:val="none" w:color="auto"/>
                <w:lang w:val="en-US" w:eastAsia="zh-CN"/>
              </w:rPr>
              <w:t>年</w:t>
            </w:r>
            <w:r>
              <w:rPr>
                <w:rFonts w:hint="eastAsia" w:cs="Times New Roman"/>
                <w:b w:val="0"/>
                <w:bCs w:val="0"/>
                <w:color w:val="auto"/>
                <w:kern w:val="0"/>
                <w:sz w:val="24"/>
                <w:szCs w:val="24"/>
                <w:u w:val="none" w:color="auto"/>
                <w:lang w:val="en-US" w:eastAsia="zh-CN"/>
              </w:rPr>
              <w:t>4</w:t>
            </w:r>
            <w:r>
              <w:rPr>
                <w:rFonts w:hint="eastAsia" w:ascii="Times New Roman" w:hAnsi="Times New Roman" w:eastAsia="宋体" w:cs="Times New Roman"/>
                <w:b w:val="0"/>
                <w:bCs w:val="0"/>
                <w:color w:val="auto"/>
                <w:kern w:val="0"/>
                <w:sz w:val="24"/>
                <w:szCs w:val="24"/>
                <w:u w:val="none" w:color="auto"/>
                <w:lang w:val="en-US" w:eastAsia="zh-CN"/>
              </w:rPr>
              <w:t>月</w:t>
            </w:r>
            <w:r>
              <w:rPr>
                <w:rFonts w:hint="eastAsia" w:cs="Times New Roman"/>
                <w:b w:val="0"/>
                <w:bCs w:val="0"/>
                <w:color w:val="auto"/>
                <w:kern w:val="0"/>
                <w:sz w:val="24"/>
                <w:szCs w:val="24"/>
                <w:u w:val="none" w:color="auto"/>
                <w:lang w:val="en-US" w:eastAsia="zh-CN"/>
              </w:rPr>
              <w:t>22</w:t>
            </w:r>
            <w:r>
              <w:rPr>
                <w:rFonts w:hint="eastAsia" w:ascii="Times New Roman" w:hAnsi="Times New Roman" w:eastAsia="宋体" w:cs="Times New Roman"/>
                <w:b w:val="0"/>
                <w:bCs w:val="0"/>
                <w:color w:val="auto"/>
                <w:kern w:val="0"/>
                <w:sz w:val="24"/>
                <w:szCs w:val="24"/>
                <w:u w:val="none" w:color="auto"/>
                <w:lang w:val="en-US" w:eastAsia="zh-CN"/>
              </w:rPr>
              <w:t>日。</w:t>
            </w:r>
          </w:p>
          <w:p>
            <w:pPr>
              <w:keepNext w:val="0"/>
              <w:keepLines w:val="0"/>
              <w:pageBreakBefore w:val="0"/>
              <w:widowControl w:val="0"/>
              <w:numPr>
                <w:ilvl w:val="0"/>
                <w:numId w:val="0"/>
              </w:numPr>
              <w:suppressLineNumbers w:val="0"/>
              <w:tabs>
                <w:tab w:val="clear" w:pos="0"/>
                <w:tab w:val="clear" w:pos="2040"/>
              </w:tabs>
              <w:kinsoku/>
              <w:wordWrap/>
              <w:overflowPunct/>
              <w:topLinePunct w:val="0"/>
              <w:bidi w:val="0"/>
              <w:adjustRightInd w:val="0"/>
              <w:snapToGrid w:val="0"/>
              <w:spacing w:before="0" w:beforeAutospacing="0" w:after="0" w:afterAutospacing="0" w:line="360" w:lineRule="auto"/>
              <w:ind w:left="0" w:right="0"/>
              <w:textAlignment w:val="auto"/>
              <w:rPr>
                <w:rFonts w:hint="eastAsia" w:ascii="Times New Roman" w:hAnsi="Times New Roman" w:cs="Times New Roman"/>
                <w:b/>
                <w:bCs w:val="0"/>
                <w:color w:val="auto"/>
                <w:sz w:val="24"/>
                <w:szCs w:val="24"/>
                <w:u w:val="none" w:color="auto"/>
                <w:lang w:val="en-US" w:eastAsia="zh-CN"/>
              </w:rPr>
            </w:pPr>
            <w:r>
              <w:rPr>
                <w:rFonts w:hint="eastAsia" w:ascii="Times New Roman" w:hAnsi="Times New Roman" w:cs="Times New Roman"/>
                <w:b/>
                <w:bCs w:val="0"/>
                <w:color w:val="auto"/>
                <w:kern w:val="2"/>
                <w:sz w:val="24"/>
                <w:szCs w:val="24"/>
                <w:lang w:val="en-US" w:eastAsia="zh-CN" w:bidi="ar-SA"/>
              </w:rPr>
              <w:t>2.</w:t>
            </w:r>
            <w:r>
              <w:rPr>
                <w:rFonts w:hint="eastAsia" w:ascii="Times New Roman" w:hAnsi="Times New Roman" w:cs="Times New Roman"/>
                <w:b/>
                <w:bCs w:val="0"/>
                <w:color w:val="auto"/>
                <w:sz w:val="24"/>
                <w:szCs w:val="24"/>
                <w:u w:val="none" w:color="auto"/>
                <w:lang w:val="en-US" w:eastAsia="zh-CN"/>
              </w:rPr>
              <w:t>现有工程建设情况</w:t>
            </w:r>
          </w:p>
          <w:p>
            <w:pPr>
              <w:keepNext w:val="0"/>
              <w:keepLines w:val="0"/>
              <w:pageBreakBefore w:val="0"/>
              <w:widowControl w:val="0"/>
              <w:numPr>
                <w:ilvl w:val="0"/>
                <w:numId w:val="0"/>
              </w:numPr>
              <w:suppressLineNumbers w:val="0"/>
              <w:tabs>
                <w:tab w:val="clear" w:pos="0"/>
                <w:tab w:val="clear" w:pos="2040"/>
              </w:tabs>
              <w:kinsoku/>
              <w:wordWrap/>
              <w:overflowPunct/>
              <w:topLinePunct w:val="0"/>
              <w:bidi w:val="0"/>
              <w:adjustRightInd w:val="0"/>
              <w:snapToGrid w:val="0"/>
              <w:spacing w:before="0" w:beforeAutospacing="0" w:after="0" w:afterAutospacing="0" w:line="360" w:lineRule="auto"/>
              <w:ind w:left="0" w:right="0" w:firstLine="241" w:firstLineChars="100"/>
              <w:textAlignment w:val="auto"/>
              <w:rPr>
                <w:rFonts w:hint="eastAsia" w:ascii="Times New Roman" w:hAnsi="Times New Roman" w:cs="Times New Roman"/>
                <w:b/>
                <w:bCs/>
                <w:color w:val="auto"/>
                <w:sz w:val="24"/>
                <w:szCs w:val="24"/>
                <w:u w:val="none" w:color="auto"/>
                <w:lang w:val="en-US" w:eastAsia="zh-CN"/>
              </w:rPr>
            </w:pPr>
            <w:r>
              <w:rPr>
                <w:rFonts w:hint="eastAsia" w:ascii="Times New Roman" w:hAnsi="Times New Roman" w:cs="Times New Roman"/>
                <w:b/>
                <w:bCs/>
                <w:color w:val="auto"/>
                <w:sz w:val="24"/>
                <w:szCs w:val="24"/>
                <w:u w:val="none" w:color="auto"/>
                <w:lang w:val="en-US" w:eastAsia="zh-CN"/>
              </w:rPr>
              <w:t>2.1年产250万吨冷轧涂镀板项目</w:t>
            </w:r>
          </w:p>
          <w:p>
            <w:pPr>
              <w:keepNext w:val="0"/>
              <w:keepLines w:val="0"/>
              <w:pageBreakBefore w:val="0"/>
              <w:widowControl w:val="0"/>
              <w:numPr>
                <w:ilvl w:val="0"/>
                <w:numId w:val="0"/>
              </w:numPr>
              <w:suppressLineNumbers w:val="0"/>
              <w:tabs>
                <w:tab w:val="clear" w:pos="0"/>
                <w:tab w:val="clear" w:pos="2040"/>
              </w:tabs>
              <w:kinsoku/>
              <w:wordWrap/>
              <w:overflowPunct/>
              <w:topLinePunct w:val="0"/>
              <w:bidi w:val="0"/>
              <w:adjustRightInd w:val="0"/>
              <w:snapToGrid w:val="0"/>
              <w:spacing w:before="0" w:beforeAutospacing="0" w:after="0" w:afterAutospacing="0" w:line="360" w:lineRule="auto"/>
              <w:ind w:left="0" w:right="0" w:firstLine="482" w:firstLineChars="200"/>
              <w:textAlignment w:val="auto"/>
              <w:rPr>
                <w:rFonts w:hint="eastAsia" w:ascii="Times New Roman" w:hAnsi="Times New Roman" w:cs="Times New Roman"/>
                <w:b/>
                <w:bCs/>
                <w:color w:val="auto"/>
                <w:sz w:val="24"/>
                <w:szCs w:val="24"/>
                <w:u w:val="none" w:color="auto"/>
                <w:lang w:val="en-US" w:eastAsia="zh-CN"/>
              </w:rPr>
            </w:pPr>
            <w:r>
              <w:rPr>
                <w:rFonts w:hint="eastAsia" w:ascii="Times New Roman" w:hAnsi="Times New Roman" w:cs="Times New Roman"/>
                <w:b/>
                <w:bCs/>
                <w:color w:val="auto"/>
                <w:sz w:val="24"/>
                <w:szCs w:val="24"/>
                <w:u w:val="none" w:color="auto"/>
                <w:lang w:val="en-US" w:eastAsia="zh-CN"/>
              </w:rPr>
              <w:t>2.1.1一期工程生产工艺</w:t>
            </w:r>
          </w:p>
          <w:p>
            <w:pPr>
              <w:keepNext w:val="0"/>
              <w:keepLines w:val="0"/>
              <w:pageBreakBefore w:val="0"/>
              <w:widowControl w:val="0"/>
              <w:numPr>
                <w:ilvl w:val="0"/>
                <w:numId w:val="0"/>
              </w:numPr>
              <w:suppressLineNumbers w:val="0"/>
              <w:tabs>
                <w:tab w:val="clear" w:pos="0"/>
                <w:tab w:val="clear" w:pos="2040"/>
              </w:tabs>
              <w:kinsoku/>
              <w:wordWrap/>
              <w:overflowPunct/>
              <w:topLinePunct w:val="0"/>
              <w:bidi w:val="0"/>
              <w:adjustRightInd w:val="0"/>
              <w:snapToGrid w:val="0"/>
              <w:spacing w:before="0" w:beforeAutospacing="0" w:after="0" w:afterAutospacing="0" w:line="240" w:lineRule="auto"/>
              <w:ind w:left="0" w:right="0" w:firstLine="480" w:firstLineChars="200"/>
              <w:textAlignment w:val="auto"/>
              <w:rPr>
                <w:rFonts w:hint="default" w:ascii="Times New Roman" w:hAnsi="Times New Roman" w:cs="Times New Roman"/>
                <w:b w:val="0"/>
                <w:bCs w:val="0"/>
                <w:color w:val="auto"/>
                <w:sz w:val="24"/>
                <w:szCs w:val="24"/>
                <w:u w:val="none" w:color="auto"/>
                <w:lang w:val="en-US" w:eastAsia="zh-CN"/>
              </w:rPr>
            </w:pPr>
            <w:r>
              <w:rPr>
                <w:rFonts w:hint="default" w:ascii="Times New Roman" w:hAnsi="Times New Roman" w:cs="Times New Roman"/>
                <w:b w:val="0"/>
                <w:bCs w:val="0"/>
                <w:color w:val="auto"/>
                <w:sz w:val="24"/>
                <w:szCs w:val="24"/>
                <w:u w:val="none" w:color="auto"/>
                <w:lang w:val="en-US" w:eastAsia="zh-CN"/>
              </w:rPr>
              <w:t>本项目一期工程建成后，年产40万吨热镀锌板和60万吨彩涂板。</w:t>
            </w:r>
          </w:p>
          <w:p>
            <w:pPr>
              <w:keepNext w:val="0"/>
              <w:keepLines w:val="0"/>
              <w:pageBreakBefore w:val="0"/>
              <w:widowControl w:val="0"/>
              <w:numPr>
                <w:ilvl w:val="0"/>
                <w:numId w:val="0"/>
              </w:numPr>
              <w:suppressLineNumbers w:val="0"/>
              <w:tabs>
                <w:tab w:val="clear" w:pos="0"/>
                <w:tab w:val="clear" w:pos="2040"/>
              </w:tabs>
              <w:kinsoku/>
              <w:wordWrap/>
              <w:overflowPunct/>
              <w:topLinePunct w:val="0"/>
              <w:bidi w:val="0"/>
              <w:adjustRightInd w:val="0"/>
              <w:snapToGrid w:val="0"/>
              <w:spacing w:before="0" w:beforeAutospacing="0" w:after="0" w:afterAutospacing="0" w:line="240" w:lineRule="auto"/>
              <w:ind w:left="0" w:right="0" w:firstLine="480" w:firstLineChars="200"/>
              <w:textAlignment w:val="auto"/>
              <w:rPr>
                <w:rFonts w:hint="default" w:ascii="Times New Roman" w:hAnsi="Times New Roman" w:cs="Times New Roman"/>
                <w:b w:val="0"/>
                <w:bCs w:val="0"/>
                <w:color w:val="auto"/>
                <w:sz w:val="24"/>
                <w:szCs w:val="24"/>
                <w:u w:val="none" w:color="auto"/>
                <w:lang w:val="en-US" w:eastAsia="zh-CN"/>
              </w:rPr>
            </w:pPr>
          </w:p>
          <w:p>
            <w:pPr>
              <w:keepNext w:val="0"/>
              <w:keepLines w:val="0"/>
              <w:pageBreakBefore w:val="0"/>
              <w:widowControl w:val="0"/>
              <w:numPr>
                <w:ilvl w:val="0"/>
                <w:numId w:val="0"/>
              </w:numPr>
              <w:suppressLineNumbers w:val="0"/>
              <w:tabs>
                <w:tab w:val="clear" w:pos="0"/>
                <w:tab w:val="clear" w:pos="2040"/>
              </w:tabs>
              <w:kinsoku/>
              <w:wordWrap/>
              <w:overflowPunct/>
              <w:topLinePunct w:val="0"/>
              <w:bidi w:val="0"/>
              <w:adjustRightInd w:val="0"/>
              <w:snapToGrid w:val="0"/>
              <w:spacing w:before="0" w:beforeAutospacing="0" w:after="0" w:afterAutospacing="0" w:line="240" w:lineRule="auto"/>
              <w:ind w:left="0" w:right="0" w:firstLine="480" w:firstLineChars="200"/>
              <w:textAlignment w:val="auto"/>
              <w:rPr>
                <w:rFonts w:hint="default" w:ascii="Times New Roman" w:hAnsi="Times New Roman" w:cs="Times New Roman"/>
                <w:b w:val="0"/>
                <w:bCs w:val="0"/>
                <w:color w:val="auto"/>
                <w:sz w:val="24"/>
                <w:szCs w:val="24"/>
                <w:u w:val="none" w:color="auto"/>
                <w:lang w:val="en-US" w:eastAsia="zh-CN"/>
              </w:rPr>
            </w:pPr>
          </w:p>
          <w:p>
            <w:pPr>
              <w:keepNext w:val="0"/>
              <w:keepLines w:val="0"/>
              <w:pageBreakBefore w:val="0"/>
              <w:widowControl w:val="0"/>
              <w:numPr>
                <w:ilvl w:val="0"/>
                <w:numId w:val="0"/>
              </w:numPr>
              <w:suppressLineNumbers w:val="0"/>
              <w:tabs>
                <w:tab w:val="clear" w:pos="0"/>
                <w:tab w:val="clear" w:pos="2040"/>
              </w:tabs>
              <w:kinsoku/>
              <w:wordWrap/>
              <w:overflowPunct/>
              <w:topLinePunct w:val="0"/>
              <w:bidi w:val="0"/>
              <w:adjustRightInd w:val="0"/>
              <w:snapToGrid w:val="0"/>
              <w:spacing w:before="0" w:beforeAutospacing="0" w:after="0" w:afterAutospacing="0" w:line="240" w:lineRule="auto"/>
              <w:ind w:left="0" w:right="0" w:firstLine="480" w:firstLineChars="200"/>
              <w:textAlignment w:val="auto"/>
              <w:rPr>
                <w:rFonts w:hint="default" w:ascii="Times New Roman" w:hAnsi="Times New Roman" w:cs="Times New Roman"/>
                <w:b w:val="0"/>
                <w:bCs w:val="0"/>
                <w:color w:val="auto"/>
                <w:sz w:val="24"/>
                <w:szCs w:val="24"/>
                <w:u w:val="none" w:color="auto"/>
                <w:lang w:val="en-US" w:eastAsia="zh-CN"/>
              </w:rPr>
            </w:pPr>
          </w:p>
          <w:p>
            <w:pPr>
              <w:keepNext w:val="0"/>
              <w:keepLines w:val="0"/>
              <w:pageBreakBefore w:val="0"/>
              <w:widowControl w:val="0"/>
              <w:numPr>
                <w:ilvl w:val="0"/>
                <w:numId w:val="0"/>
              </w:numPr>
              <w:suppressLineNumbers w:val="0"/>
              <w:tabs>
                <w:tab w:val="clear" w:pos="0"/>
                <w:tab w:val="clear" w:pos="2040"/>
              </w:tabs>
              <w:kinsoku/>
              <w:wordWrap/>
              <w:overflowPunct/>
              <w:topLinePunct w:val="0"/>
              <w:bidi w:val="0"/>
              <w:adjustRightInd w:val="0"/>
              <w:snapToGrid w:val="0"/>
              <w:spacing w:before="0" w:beforeAutospacing="0" w:after="0" w:afterAutospacing="0" w:line="240" w:lineRule="auto"/>
              <w:ind w:left="0" w:right="0" w:firstLine="480" w:firstLineChars="200"/>
              <w:textAlignment w:val="auto"/>
              <w:rPr>
                <w:rFonts w:hint="default" w:ascii="Times New Roman" w:hAnsi="Times New Roman" w:cs="Times New Roman"/>
                <w:b w:val="0"/>
                <w:bCs w:val="0"/>
                <w:color w:val="auto"/>
                <w:sz w:val="24"/>
                <w:szCs w:val="24"/>
                <w:u w:val="none" w:color="auto"/>
                <w:lang w:val="en-US" w:eastAsia="zh-CN"/>
              </w:rPr>
            </w:pPr>
          </w:p>
          <w:tbl>
            <w:tblPr>
              <w:tblStyle w:val="28"/>
              <w:tblW w:w="8407"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4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779" w:hRule="atLeast"/>
                <w:jc w:val="center"/>
              </w:trPr>
              <w:tc>
                <w:tcPr>
                  <w:tcW w:w="8407" w:type="dxa"/>
                </w:tcPr>
                <w:p>
                  <w:pPr>
                    <w:keepNext w:val="0"/>
                    <w:keepLines w:val="0"/>
                    <w:pageBreakBefore w:val="0"/>
                    <w:widowControl w:val="0"/>
                    <w:numPr>
                      <w:ilvl w:val="0"/>
                      <w:numId w:val="0"/>
                    </w:numPr>
                    <w:suppressLineNumbers w:val="0"/>
                    <w:tabs>
                      <w:tab w:val="clear" w:pos="0"/>
                      <w:tab w:val="clear" w:pos="2040"/>
                    </w:tabs>
                    <w:kinsoku/>
                    <w:wordWrap/>
                    <w:overflowPunct/>
                    <w:topLinePunct w:val="0"/>
                    <w:autoSpaceDE/>
                    <w:autoSpaceDN/>
                    <w:bidi w:val="0"/>
                    <w:adjustRightInd w:val="0"/>
                    <w:snapToGrid w:val="0"/>
                    <w:spacing w:before="0" w:beforeAutospacing="0" w:after="0" w:afterAutospacing="0" w:line="100" w:lineRule="exact"/>
                    <w:ind w:left="0" w:right="0"/>
                    <w:textAlignment w:val="auto"/>
                    <w:rPr>
                      <w:rFonts w:hint="default" w:ascii="Times New Roman" w:hAnsi="Times New Roman" w:cs="Times New Roman"/>
                      <w:b w:val="0"/>
                      <w:bCs w:val="0"/>
                      <w:color w:val="auto"/>
                      <w:sz w:val="24"/>
                      <w:szCs w:val="24"/>
                      <w:u w:val="none" w:color="auto"/>
                      <w:vertAlign w:val="baseline"/>
                      <w:lang w:val="en-US" w:eastAsia="zh-CN"/>
                    </w:rPr>
                  </w:pPr>
                  <w:r>
                    <w:rPr>
                      <w:rFonts w:hint="default" w:ascii="Times New Roman" w:hAnsi="Times New Roman" w:cs="Times New Roman"/>
                      <w:b/>
                      <w:bCs/>
                      <w:color w:val="auto"/>
                    </w:rPr>
                    <w:drawing>
                      <wp:anchor distT="0" distB="0" distL="114300" distR="114300" simplePos="0" relativeHeight="251662336" behindDoc="0" locked="0" layoutInCell="1" allowOverlap="1">
                        <wp:simplePos x="0" y="0"/>
                        <wp:positionH relativeFrom="column">
                          <wp:posOffset>840105</wp:posOffset>
                        </wp:positionH>
                        <wp:positionV relativeFrom="page">
                          <wp:posOffset>85725</wp:posOffset>
                        </wp:positionV>
                        <wp:extent cx="3448685" cy="3065780"/>
                        <wp:effectExtent l="0" t="0" r="18415" b="1270"/>
                        <wp:wrapTopAndBottom/>
                        <wp:docPr id="3" name="图片 1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164"/>
                                <pic:cNvPicPr>
                                  <a:picLocks noChangeAspect="1"/>
                                </pic:cNvPicPr>
                              </pic:nvPicPr>
                              <pic:blipFill>
                                <a:blip r:embed="rId11"/>
                                <a:stretch>
                                  <a:fillRect/>
                                </a:stretch>
                              </pic:blipFill>
                              <pic:spPr>
                                <a:xfrm>
                                  <a:off x="0" y="0"/>
                                  <a:ext cx="3448685" cy="306578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8407" w:type="dxa"/>
                  <w:vAlign w:val="center"/>
                </w:tcPr>
                <w:p>
                  <w:pPr>
                    <w:keepNext w:val="0"/>
                    <w:keepLines w:val="0"/>
                    <w:pageBreakBefore w:val="0"/>
                    <w:widowControl w:val="0"/>
                    <w:numPr>
                      <w:ilvl w:val="0"/>
                      <w:numId w:val="0"/>
                    </w:numPr>
                    <w:suppressLineNumbers w:val="0"/>
                    <w:tabs>
                      <w:tab w:val="clear" w:pos="0"/>
                      <w:tab w:val="clear" w:pos="2040"/>
                    </w:tabs>
                    <w:kinsoku/>
                    <w:wordWrap/>
                    <w:overflowPunct/>
                    <w:topLinePunct w:val="0"/>
                    <w:bidi w:val="0"/>
                    <w:adjustRightInd w:val="0"/>
                    <w:snapToGrid w:val="0"/>
                    <w:spacing w:before="0" w:beforeAutospacing="0" w:after="0" w:afterAutospacing="0" w:line="240" w:lineRule="auto"/>
                    <w:ind w:left="0" w:right="0" w:firstLine="482" w:firstLineChars="200"/>
                    <w:jc w:val="center"/>
                    <w:textAlignment w:val="auto"/>
                    <w:rPr>
                      <w:rFonts w:hint="default" w:ascii="Times New Roman" w:hAnsi="Times New Roman" w:cs="Times New Roman"/>
                      <w:b w:val="0"/>
                      <w:bCs w:val="0"/>
                      <w:color w:val="auto"/>
                      <w:sz w:val="24"/>
                      <w:szCs w:val="24"/>
                      <w:u w:val="none" w:color="auto"/>
                      <w:vertAlign w:val="baseline"/>
                      <w:lang w:val="en-US" w:eastAsia="zh-CN"/>
                    </w:rPr>
                  </w:pPr>
                  <w:r>
                    <w:rPr>
                      <w:rFonts w:hint="eastAsia" w:ascii="Times New Roman" w:hAnsi="Times New Roman" w:cs="Times New Roman"/>
                      <w:b/>
                      <w:bCs w:val="0"/>
                      <w:color w:val="auto"/>
                      <w:sz w:val="24"/>
                      <w:szCs w:val="24"/>
                      <w:u w:val="none" w:color="auto"/>
                      <w:lang w:val="en-US" w:eastAsia="zh-CN"/>
                    </w:rPr>
                    <w:t>一期工程总工艺流程图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965" w:hRule="atLeast"/>
                <w:jc w:val="center"/>
              </w:trPr>
              <w:tc>
                <w:tcPr>
                  <w:tcW w:w="8407" w:type="dxa"/>
                </w:tcPr>
                <w:p>
                  <w:pPr>
                    <w:keepNext w:val="0"/>
                    <w:keepLines w:val="0"/>
                    <w:pageBreakBefore w:val="0"/>
                    <w:widowControl w:val="0"/>
                    <w:numPr>
                      <w:ilvl w:val="0"/>
                      <w:numId w:val="0"/>
                    </w:numPr>
                    <w:suppressLineNumbers w:val="0"/>
                    <w:tabs>
                      <w:tab w:val="clear" w:pos="0"/>
                      <w:tab w:val="clear" w:pos="2040"/>
                    </w:tabs>
                    <w:kinsoku/>
                    <w:wordWrap/>
                    <w:overflowPunct/>
                    <w:topLinePunct w:val="0"/>
                    <w:bidi w:val="0"/>
                    <w:adjustRightInd w:val="0"/>
                    <w:snapToGrid w:val="0"/>
                    <w:spacing w:before="0" w:beforeAutospacing="0" w:after="0" w:afterAutospacing="0" w:line="240" w:lineRule="auto"/>
                    <w:ind w:left="0" w:right="0"/>
                    <w:textAlignment w:val="auto"/>
                    <w:rPr>
                      <w:rFonts w:hint="default" w:ascii="Times New Roman" w:hAnsi="Times New Roman" w:cs="Times New Roman"/>
                      <w:b w:val="0"/>
                      <w:bCs w:val="0"/>
                      <w:color w:val="auto"/>
                      <w:sz w:val="24"/>
                      <w:szCs w:val="24"/>
                      <w:u w:val="none" w:color="auto"/>
                      <w:vertAlign w:val="baseline"/>
                      <w:lang w:val="en-US" w:eastAsia="zh-CN"/>
                    </w:rPr>
                  </w:pPr>
                  <w:r>
                    <w:rPr>
                      <w:rFonts w:hint="default"/>
                      <w:color w:val="auto"/>
                    </w:rPr>
                    <w:drawing>
                      <wp:anchor distT="0" distB="0" distL="114300" distR="114300" simplePos="0" relativeHeight="251663360" behindDoc="0" locked="0" layoutInCell="1" allowOverlap="1">
                        <wp:simplePos x="0" y="0"/>
                        <wp:positionH relativeFrom="column">
                          <wp:posOffset>621665</wp:posOffset>
                        </wp:positionH>
                        <wp:positionV relativeFrom="page">
                          <wp:posOffset>226695</wp:posOffset>
                        </wp:positionV>
                        <wp:extent cx="3896995" cy="3777615"/>
                        <wp:effectExtent l="0" t="0" r="8255" b="13335"/>
                        <wp:wrapTopAndBottom/>
                        <wp:docPr id="2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3"/>
                                <pic:cNvPicPr>
                                  <a:picLocks noChangeAspect="1"/>
                                </pic:cNvPicPr>
                              </pic:nvPicPr>
                              <pic:blipFill>
                                <a:blip r:embed="rId12"/>
                                <a:stretch>
                                  <a:fillRect/>
                                </a:stretch>
                              </pic:blipFill>
                              <pic:spPr>
                                <a:xfrm>
                                  <a:off x="0" y="0"/>
                                  <a:ext cx="3896995" cy="3777615"/>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178" w:hRule="atLeast"/>
                <w:jc w:val="center"/>
              </w:trPr>
              <w:tc>
                <w:tcPr>
                  <w:tcW w:w="8407" w:type="dxa"/>
                </w:tcPr>
                <w:p>
                  <w:pPr>
                    <w:keepNext w:val="0"/>
                    <w:keepLines w:val="0"/>
                    <w:pageBreakBefore w:val="0"/>
                    <w:widowControl w:val="0"/>
                    <w:numPr>
                      <w:ilvl w:val="0"/>
                      <w:numId w:val="0"/>
                    </w:numPr>
                    <w:suppressLineNumbers w:val="0"/>
                    <w:tabs>
                      <w:tab w:val="clear" w:pos="0"/>
                      <w:tab w:val="clear" w:pos="2040"/>
                    </w:tabs>
                    <w:kinsoku/>
                    <w:wordWrap/>
                    <w:overflowPunct/>
                    <w:topLinePunct w:val="0"/>
                    <w:bidi w:val="0"/>
                    <w:adjustRightInd w:val="0"/>
                    <w:snapToGrid w:val="0"/>
                    <w:spacing w:before="0" w:beforeAutospacing="0" w:after="0" w:afterAutospacing="0" w:line="240" w:lineRule="auto"/>
                    <w:ind w:left="0" w:right="0" w:firstLine="482" w:firstLineChars="200"/>
                    <w:jc w:val="center"/>
                    <w:textAlignment w:val="auto"/>
                    <w:rPr>
                      <w:rFonts w:hint="default" w:ascii="Times New Roman" w:hAnsi="Times New Roman" w:eastAsia="宋体" w:cs="Times New Roman"/>
                      <w:b/>
                      <w:bCs w:val="0"/>
                      <w:color w:val="auto"/>
                      <w:sz w:val="24"/>
                      <w:szCs w:val="24"/>
                      <w:u w:val="none" w:color="auto"/>
                      <w:lang w:val="en-US" w:eastAsia="zh-CN"/>
                    </w:rPr>
                  </w:pPr>
                  <w:r>
                    <w:rPr>
                      <w:rFonts w:hint="default" w:ascii="Times New Roman" w:hAnsi="Times New Roman" w:eastAsia="宋体" w:cs="Times New Roman"/>
                      <w:b/>
                      <w:bCs w:val="0"/>
                      <w:color w:val="auto"/>
                      <w:sz w:val="24"/>
                      <w:szCs w:val="24"/>
                      <w:u w:val="none" w:color="auto"/>
                      <w:lang w:val="en-US" w:eastAsia="zh-CN"/>
                    </w:rPr>
                    <w:t>酸洗工序工艺流程及产污环节图</w:t>
                  </w:r>
                </w:p>
                <w:p>
                  <w:pPr>
                    <w:keepNext w:val="0"/>
                    <w:keepLines w:val="0"/>
                    <w:pageBreakBefore w:val="0"/>
                    <w:widowControl w:val="0"/>
                    <w:numPr>
                      <w:ilvl w:val="0"/>
                      <w:numId w:val="0"/>
                    </w:numPr>
                    <w:suppressLineNumbers w:val="0"/>
                    <w:tabs>
                      <w:tab w:val="clear" w:pos="0"/>
                      <w:tab w:val="clear" w:pos="2040"/>
                    </w:tabs>
                    <w:kinsoku/>
                    <w:wordWrap/>
                    <w:overflowPunct/>
                    <w:topLinePunct w:val="0"/>
                    <w:bidi w:val="0"/>
                    <w:adjustRightInd w:val="0"/>
                    <w:snapToGrid w:val="0"/>
                    <w:spacing w:before="0" w:beforeAutospacing="0" w:after="0" w:afterAutospacing="0" w:line="240" w:lineRule="auto"/>
                    <w:ind w:left="0" w:right="0" w:firstLine="482" w:firstLineChars="200"/>
                    <w:jc w:val="center"/>
                    <w:textAlignment w:val="auto"/>
                    <w:rPr>
                      <w:rFonts w:hint="default" w:ascii="Times New Roman" w:hAnsi="Times New Roman" w:eastAsia="宋体" w:cs="Times New Roman"/>
                      <w:b/>
                      <w:bCs w:val="0"/>
                      <w:color w:val="auto"/>
                      <w:sz w:val="24"/>
                      <w:szCs w:val="24"/>
                      <w:u w:val="none" w:color="auto"/>
                      <w:lang w:val="en-US" w:eastAsia="zh-CN"/>
                    </w:rPr>
                  </w:pPr>
                </w:p>
                <w:p>
                  <w:pPr>
                    <w:keepNext w:val="0"/>
                    <w:keepLines w:val="0"/>
                    <w:pageBreakBefore w:val="0"/>
                    <w:widowControl w:val="0"/>
                    <w:numPr>
                      <w:ilvl w:val="0"/>
                      <w:numId w:val="0"/>
                    </w:numPr>
                    <w:suppressLineNumbers w:val="0"/>
                    <w:tabs>
                      <w:tab w:val="clear" w:pos="0"/>
                      <w:tab w:val="clear" w:pos="2040"/>
                    </w:tabs>
                    <w:kinsoku/>
                    <w:wordWrap/>
                    <w:overflowPunct/>
                    <w:topLinePunct w:val="0"/>
                    <w:bidi w:val="0"/>
                    <w:adjustRightInd w:val="0"/>
                    <w:snapToGrid w:val="0"/>
                    <w:spacing w:before="0" w:beforeAutospacing="0" w:after="0" w:afterAutospacing="0" w:line="240" w:lineRule="auto"/>
                    <w:ind w:left="0" w:right="0" w:firstLine="482" w:firstLineChars="200"/>
                    <w:jc w:val="center"/>
                    <w:textAlignment w:val="auto"/>
                    <w:rPr>
                      <w:rFonts w:hint="default" w:ascii="Times New Roman" w:hAnsi="Times New Roman" w:eastAsia="宋体" w:cs="Times New Roman"/>
                      <w:b/>
                      <w:bCs w:val="0"/>
                      <w:color w:val="auto"/>
                      <w:sz w:val="24"/>
                      <w:szCs w:val="24"/>
                      <w:u w:val="none" w:color="auto"/>
                      <w:lang w:val="en-US" w:eastAsia="zh-CN"/>
                    </w:rPr>
                  </w:pPr>
                </w:p>
                <w:p>
                  <w:pPr>
                    <w:keepNext w:val="0"/>
                    <w:keepLines w:val="0"/>
                    <w:pageBreakBefore w:val="0"/>
                    <w:widowControl w:val="0"/>
                    <w:numPr>
                      <w:ilvl w:val="0"/>
                      <w:numId w:val="0"/>
                    </w:numPr>
                    <w:suppressLineNumbers w:val="0"/>
                    <w:tabs>
                      <w:tab w:val="clear" w:pos="0"/>
                      <w:tab w:val="clear" w:pos="2040"/>
                    </w:tabs>
                    <w:kinsoku/>
                    <w:wordWrap/>
                    <w:overflowPunct/>
                    <w:topLinePunct w:val="0"/>
                    <w:bidi w:val="0"/>
                    <w:adjustRightInd w:val="0"/>
                    <w:snapToGrid w:val="0"/>
                    <w:spacing w:before="0" w:beforeAutospacing="0" w:after="0" w:afterAutospacing="0" w:line="240" w:lineRule="auto"/>
                    <w:ind w:left="0" w:right="0" w:firstLine="482" w:firstLineChars="200"/>
                    <w:jc w:val="center"/>
                    <w:textAlignment w:val="auto"/>
                    <w:rPr>
                      <w:rFonts w:hint="default" w:ascii="Times New Roman" w:hAnsi="Times New Roman" w:eastAsia="宋体" w:cs="Times New Roman"/>
                      <w:b/>
                      <w:bCs w:val="0"/>
                      <w:color w:val="auto"/>
                      <w:sz w:val="24"/>
                      <w:szCs w:val="24"/>
                      <w:u w:val="none" w:color="auto"/>
                      <w:lang w:val="en-US" w:eastAsia="zh-CN"/>
                    </w:rPr>
                  </w:pPr>
                </w:p>
                <w:p>
                  <w:pPr>
                    <w:keepNext w:val="0"/>
                    <w:keepLines w:val="0"/>
                    <w:pageBreakBefore w:val="0"/>
                    <w:widowControl w:val="0"/>
                    <w:numPr>
                      <w:ilvl w:val="0"/>
                      <w:numId w:val="0"/>
                    </w:numPr>
                    <w:suppressLineNumbers w:val="0"/>
                    <w:tabs>
                      <w:tab w:val="clear" w:pos="0"/>
                      <w:tab w:val="clear" w:pos="2040"/>
                    </w:tabs>
                    <w:kinsoku/>
                    <w:wordWrap/>
                    <w:overflowPunct/>
                    <w:topLinePunct w:val="0"/>
                    <w:bidi w:val="0"/>
                    <w:adjustRightInd w:val="0"/>
                    <w:snapToGrid w:val="0"/>
                    <w:spacing w:before="0" w:beforeAutospacing="0" w:after="0" w:afterAutospacing="0" w:line="240" w:lineRule="auto"/>
                    <w:ind w:left="0" w:right="0" w:firstLine="482" w:firstLineChars="200"/>
                    <w:jc w:val="center"/>
                    <w:textAlignment w:val="auto"/>
                    <w:rPr>
                      <w:rFonts w:hint="default" w:ascii="Times New Roman" w:hAnsi="Times New Roman" w:eastAsia="宋体" w:cs="Times New Roman"/>
                      <w:b/>
                      <w:bCs w:val="0"/>
                      <w:color w:val="auto"/>
                      <w:sz w:val="24"/>
                      <w:szCs w:val="24"/>
                      <w:u w:val="none" w:color="auto"/>
                      <w:lang w:val="en-US" w:eastAsia="zh-CN"/>
                    </w:rPr>
                  </w:pPr>
                </w:p>
                <w:p>
                  <w:pPr>
                    <w:keepNext w:val="0"/>
                    <w:keepLines w:val="0"/>
                    <w:pageBreakBefore w:val="0"/>
                    <w:widowControl w:val="0"/>
                    <w:numPr>
                      <w:ilvl w:val="0"/>
                      <w:numId w:val="0"/>
                    </w:numPr>
                    <w:suppressLineNumbers w:val="0"/>
                    <w:tabs>
                      <w:tab w:val="clear" w:pos="0"/>
                      <w:tab w:val="clear" w:pos="2040"/>
                    </w:tabs>
                    <w:kinsoku/>
                    <w:wordWrap/>
                    <w:overflowPunct/>
                    <w:topLinePunct w:val="0"/>
                    <w:bidi w:val="0"/>
                    <w:adjustRightInd w:val="0"/>
                    <w:snapToGrid w:val="0"/>
                    <w:spacing w:before="0" w:beforeAutospacing="0" w:after="0" w:afterAutospacing="0" w:line="240" w:lineRule="auto"/>
                    <w:ind w:left="0" w:right="0" w:firstLine="482" w:firstLineChars="200"/>
                    <w:jc w:val="center"/>
                    <w:textAlignment w:val="auto"/>
                    <w:rPr>
                      <w:rFonts w:hint="default" w:ascii="Times New Roman" w:hAnsi="Times New Roman" w:eastAsia="宋体" w:cs="Times New Roman"/>
                      <w:b/>
                      <w:bCs w:val="0"/>
                      <w:color w:val="auto"/>
                      <w:sz w:val="24"/>
                      <w:szCs w:val="24"/>
                      <w:u w:val="none" w:color="auto"/>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8407" w:type="dxa"/>
                </w:tcPr>
                <w:p>
                  <w:pPr>
                    <w:keepNext w:val="0"/>
                    <w:keepLines w:val="0"/>
                    <w:pageBreakBefore w:val="0"/>
                    <w:widowControl w:val="0"/>
                    <w:numPr>
                      <w:ilvl w:val="0"/>
                      <w:numId w:val="0"/>
                    </w:numPr>
                    <w:suppressLineNumbers w:val="0"/>
                    <w:tabs>
                      <w:tab w:val="clear" w:pos="0"/>
                      <w:tab w:val="clear" w:pos="2040"/>
                    </w:tabs>
                    <w:kinsoku/>
                    <w:wordWrap/>
                    <w:overflowPunct/>
                    <w:topLinePunct w:val="0"/>
                    <w:bidi w:val="0"/>
                    <w:adjustRightInd w:val="0"/>
                    <w:snapToGrid w:val="0"/>
                    <w:spacing w:before="0" w:beforeAutospacing="0" w:after="0" w:afterAutospacing="0" w:line="240" w:lineRule="auto"/>
                    <w:ind w:left="0" w:right="0"/>
                    <w:textAlignment w:val="auto"/>
                    <w:rPr>
                      <w:rFonts w:hint="default"/>
                      <w:color w:val="auto"/>
                    </w:rPr>
                  </w:pPr>
                  <w:r>
                    <w:rPr>
                      <w:rFonts w:hint="default"/>
                      <w:color w:val="auto"/>
                    </w:rPr>
                    <w:drawing>
                      <wp:anchor distT="0" distB="0" distL="114300" distR="114300" simplePos="0" relativeHeight="251664384" behindDoc="0" locked="0" layoutInCell="1" allowOverlap="1">
                        <wp:simplePos x="0" y="0"/>
                        <wp:positionH relativeFrom="column">
                          <wp:posOffset>640080</wp:posOffset>
                        </wp:positionH>
                        <wp:positionV relativeFrom="paragraph">
                          <wp:posOffset>155575</wp:posOffset>
                        </wp:positionV>
                        <wp:extent cx="3930650" cy="6216650"/>
                        <wp:effectExtent l="0" t="0" r="12700" b="12700"/>
                        <wp:wrapTopAndBottom/>
                        <wp:docPr id="2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5"/>
                                <pic:cNvPicPr>
                                  <a:picLocks noChangeAspect="1"/>
                                </pic:cNvPicPr>
                              </pic:nvPicPr>
                              <pic:blipFill>
                                <a:blip r:embed="rId13"/>
                                <a:stretch>
                                  <a:fillRect/>
                                </a:stretch>
                              </pic:blipFill>
                              <pic:spPr>
                                <a:xfrm>
                                  <a:off x="0" y="0"/>
                                  <a:ext cx="3930650" cy="621665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8407" w:type="dxa"/>
                </w:tcPr>
                <w:p>
                  <w:pPr>
                    <w:keepNext w:val="0"/>
                    <w:keepLines w:val="0"/>
                    <w:pageBreakBefore w:val="0"/>
                    <w:widowControl w:val="0"/>
                    <w:numPr>
                      <w:ilvl w:val="0"/>
                      <w:numId w:val="0"/>
                    </w:numPr>
                    <w:suppressLineNumbers w:val="0"/>
                    <w:tabs>
                      <w:tab w:val="clear" w:pos="0"/>
                      <w:tab w:val="clear" w:pos="2040"/>
                    </w:tabs>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color w:val="auto"/>
                      <w:sz w:val="24"/>
                      <w:szCs w:val="24"/>
                      <w:lang w:eastAsia="zh-CN"/>
                    </w:rPr>
                  </w:pPr>
                  <w:r>
                    <w:rPr>
                      <w:rFonts w:hint="eastAsia" w:ascii="Times New Roman" w:hAnsi="Times New Roman" w:eastAsia="宋体" w:cs="Times New Roman"/>
                      <w:b/>
                      <w:bCs/>
                      <w:color w:val="auto"/>
                      <w:sz w:val="24"/>
                      <w:szCs w:val="24"/>
                      <w:lang w:eastAsia="zh-CN"/>
                    </w:rPr>
                    <w:t>热镀锌工艺流程及产污环节图</w:t>
                  </w:r>
                </w:p>
                <w:p>
                  <w:pPr>
                    <w:keepNext w:val="0"/>
                    <w:keepLines w:val="0"/>
                    <w:pageBreakBefore w:val="0"/>
                    <w:widowControl w:val="0"/>
                    <w:numPr>
                      <w:ilvl w:val="0"/>
                      <w:numId w:val="0"/>
                    </w:numPr>
                    <w:suppressLineNumbers w:val="0"/>
                    <w:tabs>
                      <w:tab w:val="clear" w:pos="0"/>
                      <w:tab w:val="clear" w:pos="2040"/>
                    </w:tabs>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color w:val="auto"/>
                      <w:sz w:val="24"/>
                      <w:szCs w:val="24"/>
                      <w:lang w:eastAsia="zh-CN"/>
                    </w:rPr>
                  </w:pPr>
                </w:p>
                <w:p>
                  <w:pPr>
                    <w:keepNext w:val="0"/>
                    <w:keepLines w:val="0"/>
                    <w:pageBreakBefore w:val="0"/>
                    <w:widowControl w:val="0"/>
                    <w:numPr>
                      <w:ilvl w:val="0"/>
                      <w:numId w:val="0"/>
                    </w:numPr>
                    <w:suppressLineNumbers w:val="0"/>
                    <w:tabs>
                      <w:tab w:val="clear" w:pos="0"/>
                      <w:tab w:val="clear" w:pos="2040"/>
                    </w:tabs>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color w:val="auto"/>
                      <w:sz w:val="24"/>
                      <w:szCs w:val="24"/>
                      <w:lang w:eastAsia="zh-CN"/>
                    </w:rPr>
                  </w:pPr>
                </w:p>
                <w:p>
                  <w:pPr>
                    <w:keepNext w:val="0"/>
                    <w:keepLines w:val="0"/>
                    <w:pageBreakBefore w:val="0"/>
                    <w:widowControl w:val="0"/>
                    <w:numPr>
                      <w:ilvl w:val="0"/>
                      <w:numId w:val="0"/>
                    </w:numPr>
                    <w:suppressLineNumbers w:val="0"/>
                    <w:tabs>
                      <w:tab w:val="clear" w:pos="0"/>
                      <w:tab w:val="clear" w:pos="2040"/>
                    </w:tabs>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color w:val="auto"/>
                      <w:sz w:val="24"/>
                      <w:szCs w:val="24"/>
                      <w:lang w:eastAsia="zh-CN"/>
                    </w:rPr>
                  </w:pPr>
                </w:p>
                <w:p>
                  <w:pPr>
                    <w:keepNext w:val="0"/>
                    <w:keepLines w:val="0"/>
                    <w:pageBreakBefore w:val="0"/>
                    <w:widowControl w:val="0"/>
                    <w:numPr>
                      <w:ilvl w:val="0"/>
                      <w:numId w:val="0"/>
                    </w:numPr>
                    <w:suppressLineNumbers w:val="0"/>
                    <w:tabs>
                      <w:tab w:val="clear" w:pos="0"/>
                      <w:tab w:val="clear" w:pos="2040"/>
                    </w:tabs>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color w:val="auto"/>
                      <w:sz w:val="24"/>
                      <w:szCs w:val="24"/>
                      <w:lang w:eastAsia="zh-CN"/>
                    </w:rPr>
                  </w:pPr>
                </w:p>
                <w:p>
                  <w:pPr>
                    <w:keepNext w:val="0"/>
                    <w:keepLines w:val="0"/>
                    <w:pageBreakBefore w:val="0"/>
                    <w:widowControl w:val="0"/>
                    <w:numPr>
                      <w:ilvl w:val="0"/>
                      <w:numId w:val="0"/>
                    </w:numPr>
                    <w:suppressLineNumbers w:val="0"/>
                    <w:tabs>
                      <w:tab w:val="clear" w:pos="0"/>
                      <w:tab w:val="clear" w:pos="2040"/>
                    </w:tabs>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color w:val="auto"/>
                      <w:sz w:val="24"/>
                      <w:szCs w:val="24"/>
                      <w:lang w:eastAsia="zh-CN"/>
                    </w:rPr>
                  </w:pPr>
                </w:p>
                <w:p>
                  <w:pPr>
                    <w:keepNext w:val="0"/>
                    <w:keepLines w:val="0"/>
                    <w:pageBreakBefore w:val="0"/>
                    <w:widowControl w:val="0"/>
                    <w:numPr>
                      <w:ilvl w:val="0"/>
                      <w:numId w:val="0"/>
                    </w:numPr>
                    <w:suppressLineNumbers w:val="0"/>
                    <w:tabs>
                      <w:tab w:val="clear" w:pos="0"/>
                      <w:tab w:val="clear" w:pos="2040"/>
                    </w:tabs>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color w:val="auto"/>
                      <w:sz w:val="24"/>
                      <w:szCs w:val="24"/>
                      <w:lang w:eastAsia="zh-CN"/>
                    </w:rPr>
                  </w:pPr>
                </w:p>
                <w:p>
                  <w:pPr>
                    <w:keepNext w:val="0"/>
                    <w:keepLines w:val="0"/>
                    <w:pageBreakBefore w:val="0"/>
                    <w:widowControl w:val="0"/>
                    <w:numPr>
                      <w:ilvl w:val="0"/>
                      <w:numId w:val="0"/>
                    </w:numPr>
                    <w:suppressLineNumbers w:val="0"/>
                    <w:tabs>
                      <w:tab w:val="clear" w:pos="0"/>
                      <w:tab w:val="clear" w:pos="2040"/>
                    </w:tabs>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color w:val="auto"/>
                      <w:sz w:val="24"/>
                      <w:szCs w:val="24"/>
                      <w:lang w:eastAsia="zh-CN"/>
                    </w:rPr>
                  </w:pPr>
                </w:p>
                <w:p>
                  <w:pPr>
                    <w:keepNext w:val="0"/>
                    <w:keepLines w:val="0"/>
                    <w:pageBreakBefore w:val="0"/>
                    <w:widowControl w:val="0"/>
                    <w:numPr>
                      <w:ilvl w:val="0"/>
                      <w:numId w:val="0"/>
                    </w:numPr>
                    <w:suppressLineNumbers w:val="0"/>
                    <w:tabs>
                      <w:tab w:val="clear" w:pos="0"/>
                      <w:tab w:val="clear" w:pos="2040"/>
                    </w:tabs>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color w:val="auto"/>
                      <w:sz w:val="24"/>
                      <w:szCs w:val="24"/>
                      <w:lang w:eastAsia="zh-CN"/>
                    </w:rPr>
                  </w:pPr>
                </w:p>
                <w:p>
                  <w:pPr>
                    <w:keepNext w:val="0"/>
                    <w:keepLines w:val="0"/>
                    <w:pageBreakBefore w:val="0"/>
                    <w:widowControl w:val="0"/>
                    <w:numPr>
                      <w:ilvl w:val="0"/>
                      <w:numId w:val="0"/>
                    </w:numPr>
                    <w:suppressLineNumbers w:val="0"/>
                    <w:tabs>
                      <w:tab w:val="clear" w:pos="0"/>
                      <w:tab w:val="clear" w:pos="2040"/>
                    </w:tabs>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color w:val="auto"/>
                      <w:sz w:val="24"/>
                      <w:szCs w:val="24"/>
                      <w:lang w:eastAsia="zh-CN"/>
                    </w:rPr>
                  </w:pPr>
                </w:p>
                <w:p>
                  <w:pPr>
                    <w:keepNext w:val="0"/>
                    <w:keepLines w:val="0"/>
                    <w:pageBreakBefore w:val="0"/>
                    <w:widowControl w:val="0"/>
                    <w:numPr>
                      <w:ilvl w:val="0"/>
                      <w:numId w:val="0"/>
                    </w:numPr>
                    <w:suppressLineNumbers w:val="0"/>
                    <w:tabs>
                      <w:tab w:val="clear" w:pos="0"/>
                      <w:tab w:val="clear" w:pos="2040"/>
                    </w:tabs>
                    <w:kinsoku/>
                    <w:wordWrap/>
                    <w:overflowPunct/>
                    <w:topLinePunct w:val="0"/>
                    <w:bidi w:val="0"/>
                    <w:adjustRightInd w:val="0"/>
                    <w:snapToGrid w:val="0"/>
                    <w:spacing w:before="0" w:beforeAutospacing="0" w:after="0" w:afterAutospacing="0" w:line="240" w:lineRule="auto"/>
                    <w:ind w:left="0" w:right="0"/>
                    <w:jc w:val="both"/>
                    <w:textAlignment w:val="auto"/>
                    <w:rPr>
                      <w:rFonts w:hint="eastAsia" w:ascii="Times New Roman" w:hAnsi="Times New Roman" w:eastAsia="宋体" w:cs="Times New Roman"/>
                      <w:b/>
                      <w:bCs/>
                      <w:color w:val="auto"/>
                      <w:sz w:val="24"/>
                      <w:szCs w:val="24"/>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8407" w:type="dxa"/>
                </w:tcPr>
                <w:p>
                  <w:pPr>
                    <w:keepNext w:val="0"/>
                    <w:keepLines w:val="0"/>
                    <w:pageBreakBefore w:val="0"/>
                    <w:widowControl w:val="0"/>
                    <w:numPr>
                      <w:ilvl w:val="0"/>
                      <w:numId w:val="0"/>
                    </w:numPr>
                    <w:suppressLineNumbers w:val="0"/>
                    <w:tabs>
                      <w:tab w:val="clear" w:pos="0"/>
                      <w:tab w:val="clear" w:pos="2040"/>
                    </w:tabs>
                    <w:kinsoku/>
                    <w:wordWrap/>
                    <w:overflowPunct/>
                    <w:topLinePunct w:val="0"/>
                    <w:autoSpaceDE/>
                    <w:autoSpaceDN/>
                    <w:bidi w:val="0"/>
                    <w:adjustRightInd w:val="0"/>
                    <w:snapToGrid w:val="0"/>
                    <w:spacing w:before="0" w:beforeAutospacing="0" w:after="0" w:afterAutospacing="0" w:line="40" w:lineRule="exact"/>
                    <w:ind w:left="0" w:right="0"/>
                    <w:textAlignment w:val="auto"/>
                    <w:rPr>
                      <w:rFonts w:hint="default"/>
                      <w:color w:val="auto"/>
                    </w:rPr>
                  </w:pPr>
                  <w:r>
                    <w:rPr>
                      <w:rFonts w:hint="default"/>
                      <w:color w:val="auto"/>
                    </w:rPr>
                    <w:drawing>
                      <wp:anchor distT="0" distB="0" distL="114300" distR="114300" simplePos="0" relativeHeight="251665408" behindDoc="0" locked="0" layoutInCell="1" allowOverlap="1">
                        <wp:simplePos x="0" y="0"/>
                        <wp:positionH relativeFrom="column">
                          <wp:posOffset>-78105</wp:posOffset>
                        </wp:positionH>
                        <wp:positionV relativeFrom="paragraph">
                          <wp:posOffset>36830</wp:posOffset>
                        </wp:positionV>
                        <wp:extent cx="5339715" cy="2938145"/>
                        <wp:effectExtent l="0" t="0" r="13335" b="14605"/>
                        <wp:wrapTopAndBottom/>
                        <wp:docPr id="2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6"/>
                                <pic:cNvPicPr>
                                  <a:picLocks noChangeAspect="1"/>
                                </pic:cNvPicPr>
                              </pic:nvPicPr>
                              <pic:blipFill>
                                <a:blip r:embed="rId14"/>
                                <a:stretch>
                                  <a:fillRect/>
                                </a:stretch>
                              </pic:blipFill>
                              <pic:spPr>
                                <a:xfrm>
                                  <a:off x="0" y="0"/>
                                  <a:ext cx="5339715" cy="2938145"/>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8407" w:type="dxa"/>
                </w:tcPr>
                <w:p>
                  <w:pPr>
                    <w:keepNext w:val="0"/>
                    <w:keepLines w:val="0"/>
                    <w:pageBreakBefore w:val="0"/>
                    <w:widowControl w:val="0"/>
                    <w:numPr>
                      <w:ilvl w:val="0"/>
                      <w:numId w:val="0"/>
                    </w:numPr>
                    <w:suppressLineNumbers w:val="0"/>
                    <w:tabs>
                      <w:tab w:val="clear" w:pos="0"/>
                      <w:tab w:val="clear" w:pos="2040"/>
                    </w:tabs>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color w:val="auto"/>
                    </w:rPr>
                  </w:pPr>
                  <w:r>
                    <w:rPr>
                      <w:rFonts w:hint="eastAsia" w:ascii="Times New Roman" w:hAnsi="Times New Roman" w:eastAsia="宋体" w:cs="Times New Roman"/>
                      <w:b/>
                      <w:bCs/>
                      <w:color w:val="auto"/>
                      <w:sz w:val="24"/>
                      <w:szCs w:val="24"/>
                      <w:lang w:eastAsia="zh-CN"/>
                    </w:rPr>
                    <w:t>彩涂板工艺流程及产污环节图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8407" w:type="dxa"/>
                </w:tcPr>
                <w:p>
                  <w:pPr>
                    <w:keepNext w:val="0"/>
                    <w:keepLines w:val="0"/>
                    <w:pageBreakBefore w:val="0"/>
                    <w:widowControl w:val="0"/>
                    <w:numPr>
                      <w:ilvl w:val="0"/>
                      <w:numId w:val="0"/>
                    </w:numPr>
                    <w:suppressLineNumbers w:val="0"/>
                    <w:tabs>
                      <w:tab w:val="clear" w:pos="0"/>
                      <w:tab w:val="clear" w:pos="2040"/>
                    </w:tabs>
                    <w:kinsoku/>
                    <w:wordWrap/>
                    <w:overflowPunct/>
                    <w:topLinePunct w:val="0"/>
                    <w:autoSpaceDE/>
                    <w:autoSpaceDN/>
                    <w:bidi w:val="0"/>
                    <w:adjustRightInd w:val="0"/>
                    <w:snapToGrid w:val="0"/>
                    <w:spacing w:before="0" w:beforeAutospacing="0" w:after="0" w:afterAutospacing="0" w:line="40" w:lineRule="exact"/>
                    <w:ind w:left="0" w:right="0"/>
                    <w:textAlignment w:val="auto"/>
                    <w:rPr>
                      <w:rFonts w:hint="default"/>
                      <w:color w:val="auto"/>
                    </w:rPr>
                  </w:pPr>
                  <w:r>
                    <w:rPr>
                      <w:rFonts w:hint="default"/>
                      <w:color w:val="auto"/>
                    </w:rPr>
                    <w:drawing>
                      <wp:anchor distT="0" distB="0" distL="114300" distR="114300" simplePos="0" relativeHeight="251666432" behindDoc="0" locked="0" layoutInCell="1" allowOverlap="1">
                        <wp:simplePos x="0" y="0"/>
                        <wp:positionH relativeFrom="column">
                          <wp:posOffset>354965</wp:posOffset>
                        </wp:positionH>
                        <wp:positionV relativeFrom="paragraph">
                          <wp:posOffset>36195</wp:posOffset>
                        </wp:positionV>
                        <wp:extent cx="4638675" cy="2438400"/>
                        <wp:effectExtent l="0" t="0" r="9525" b="0"/>
                        <wp:wrapTopAndBottom/>
                        <wp:docPr id="2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7"/>
                                <pic:cNvPicPr>
                                  <a:picLocks noChangeAspect="1"/>
                                </pic:cNvPicPr>
                              </pic:nvPicPr>
                              <pic:blipFill>
                                <a:blip r:embed="rId15"/>
                                <a:stretch>
                                  <a:fillRect/>
                                </a:stretch>
                              </pic:blipFill>
                              <pic:spPr>
                                <a:xfrm>
                                  <a:off x="0" y="0"/>
                                  <a:ext cx="4638675" cy="243840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8407" w:type="dxa"/>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color w:val="auto"/>
                    </w:rPr>
                  </w:pPr>
                  <w:r>
                    <w:rPr>
                      <w:rFonts w:hint="eastAsia" w:ascii="Times New Roman" w:hAnsi="Times New Roman" w:eastAsia="宋体" w:cs="Times New Roman"/>
                      <w:b/>
                      <w:bCs w:val="0"/>
                      <w:color w:val="auto"/>
                      <w:sz w:val="24"/>
                      <w:szCs w:val="24"/>
                      <w:u w:val="none" w:color="auto"/>
                      <w:lang w:val="en-US" w:eastAsia="zh-CN"/>
                    </w:rPr>
                    <w:t>废酸再生系统产污环节图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8407" w:type="dxa"/>
                </w:tcPr>
                <w:p>
                  <w:pPr>
                    <w:keepNext w:val="0"/>
                    <w:keepLines w:val="0"/>
                    <w:pageBreakBefore w:val="0"/>
                    <w:widowControl w:val="0"/>
                    <w:numPr>
                      <w:ilvl w:val="0"/>
                      <w:numId w:val="0"/>
                    </w:numPr>
                    <w:suppressLineNumbers w:val="0"/>
                    <w:tabs>
                      <w:tab w:val="clear" w:pos="0"/>
                      <w:tab w:val="clear" w:pos="2040"/>
                    </w:tabs>
                    <w:kinsoku/>
                    <w:wordWrap/>
                    <w:overflowPunct/>
                    <w:topLinePunct w:val="0"/>
                    <w:autoSpaceDE/>
                    <w:autoSpaceDN/>
                    <w:bidi w:val="0"/>
                    <w:adjustRightInd w:val="0"/>
                    <w:snapToGrid w:val="0"/>
                    <w:spacing w:before="0" w:beforeAutospacing="0" w:after="0" w:afterAutospacing="0" w:line="100" w:lineRule="exact"/>
                    <w:ind w:left="0" w:right="0"/>
                    <w:textAlignment w:val="auto"/>
                    <w:rPr>
                      <w:rFonts w:hint="default"/>
                      <w:color w:val="auto"/>
                    </w:rPr>
                  </w:pPr>
                  <w:r>
                    <w:rPr>
                      <w:rFonts w:hint="default" w:ascii="Times New Roman" w:hAnsi="Times New Roman" w:eastAsia="宋体" w:cs="Times New Roman"/>
                      <w:color w:val="auto"/>
                    </w:rPr>
                    <w:drawing>
                      <wp:anchor distT="0" distB="0" distL="114300" distR="114300" simplePos="0" relativeHeight="251667456" behindDoc="0" locked="0" layoutInCell="1" allowOverlap="1">
                        <wp:simplePos x="0" y="0"/>
                        <wp:positionH relativeFrom="column">
                          <wp:posOffset>323850</wp:posOffset>
                        </wp:positionH>
                        <wp:positionV relativeFrom="page">
                          <wp:posOffset>34290</wp:posOffset>
                        </wp:positionV>
                        <wp:extent cx="4683760" cy="1037590"/>
                        <wp:effectExtent l="0" t="0" r="2540" b="10160"/>
                        <wp:wrapTopAndBottom/>
                        <wp:docPr id="7" name="图片 1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173"/>
                                <pic:cNvPicPr>
                                  <a:picLocks noChangeAspect="1"/>
                                </pic:cNvPicPr>
                              </pic:nvPicPr>
                              <pic:blipFill>
                                <a:blip r:embed="rId16"/>
                                <a:stretch>
                                  <a:fillRect/>
                                </a:stretch>
                              </pic:blipFill>
                              <pic:spPr>
                                <a:xfrm>
                                  <a:off x="0" y="0"/>
                                  <a:ext cx="4683760" cy="103759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8407" w:type="dxa"/>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val="0"/>
                      <w:color w:val="auto"/>
                      <w:sz w:val="24"/>
                      <w:szCs w:val="24"/>
                      <w:u w:val="none" w:color="auto"/>
                      <w:lang w:val="en-US" w:eastAsia="zh-CN"/>
                    </w:rPr>
                  </w:pPr>
                  <w:r>
                    <w:rPr>
                      <w:rFonts w:hint="eastAsia" w:ascii="Times New Roman" w:hAnsi="Times New Roman" w:eastAsia="宋体" w:cs="Times New Roman"/>
                      <w:b/>
                      <w:bCs w:val="0"/>
                      <w:color w:val="auto"/>
                      <w:sz w:val="24"/>
                      <w:szCs w:val="24"/>
                      <w:u w:val="none" w:color="auto"/>
                      <w:lang w:val="en-US" w:eastAsia="zh-CN"/>
                    </w:rPr>
                    <w:t>氨分解装置工艺流程及产污环节图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8407" w:type="dxa"/>
                </w:tcPr>
                <w:p>
                  <w:pPr>
                    <w:keepNext w:val="0"/>
                    <w:keepLines w:val="0"/>
                    <w:pageBreakBefore w:val="0"/>
                    <w:widowControl w:val="0"/>
                    <w:numPr>
                      <w:ilvl w:val="0"/>
                      <w:numId w:val="0"/>
                    </w:numPr>
                    <w:suppressLineNumbers w:val="0"/>
                    <w:tabs>
                      <w:tab w:val="clear" w:pos="0"/>
                      <w:tab w:val="clear" w:pos="2040"/>
                    </w:tabs>
                    <w:kinsoku/>
                    <w:wordWrap/>
                    <w:overflowPunct/>
                    <w:topLinePunct w:val="0"/>
                    <w:autoSpaceDE/>
                    <w:autoSpaceDN/>
                    <w:bidi w:val="0"/>
                    <w:adjustRightInd w:val="0"/>
                    <w:snapToGrid w:val="0"/>
                    <w:spacing w:before="0" w:beforeAutospacing="0" w:after="0" w:afterAutospacing="0" w:line="40" w:lineRule="exact"/>
                    <w:ind w:left="0" w:right="0"/>
                    <w:textAlignment w:val="auto"/>
                    <w:rPr>
                      <w:rFonts w:hint="default"/>
                      <w:color w:val="auto"/>
                    </w:rPr>
                  </w:pPr>
                  <w:r>
                    <w:rPr>
                      <w:rFonts w:hint="default" w:ascii="Times New Roman" w:hAnsi="Times New Roman" w:eastAsia="宋体" w:cs="Times New Roman"/>
                      <w:color w:val="auto"/>
                    </w:rPr>
                    <w:drawing>
                      <wp:anchor distT="0" distB="0" distL="114300" distR="114300" simplePos="0" relativeHeight="251668480" behindDoc="0" locked="0" layoutInCell="1" allowOverlap="1">
                        <wp:simplePos x="0" y="0"/>
                        <wp:positionH relativeFrom="column">
                          <wp:posOffset>850265</wp:posOffset>
                        </wp:positionH>
                        <wp:positionV relativeFrom="page">
                          <wp:posOffset>33655</wp:posOffset>
                        </wp:positionV>
                        <wp:extent cx="3828415" cy="752475"/>
                        <wp:effectExtent l="0" t="0" r="635" b="9525"/>
                        <wp:wrapTopAndBottom/>
                        <wp:docPr id="8" name="图片 1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174"/>
                                <pic:cNvPicPr>
                                  <a:picLocks noChangeAspect="1"/>
                                </pic:cNvPicPr>
                              </pic:nvPicPr>
                              <pic:blipFill>
                                <a:blip r:embed="rId17"/>
                                <a:stretch>
                                  <a:fillRect/>
                                </a:stretch>
                              </pic:blipFill>
                              <pic:spPr>
                                <a:xfrm>
                                  <a:off x="0" y="0"/>
                                  <a:ext cx="3828415" cy="752475"/>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4" w:hRule="atLeast"/>
                <w:jc w:val="center"/>
              </w:trPr>
              <w:tc>
                <w:tcPr>
                  <w:tcW w:w="8407" w:type="dxa"/>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color w:val="auto"/>
                    </w:rPr>
                  </w:pPr>
                  <w:r>
                    <w:rPr>
                      <w:rFonts w:hint="eastAsia" w:ascii="Times New Roman" w:hAnsi="Times New Roman" w:eastAsia="宋体" w:cs="Times New Roman"/>
                      <w:b/>
                      <w:bCs w:val="0"/>
                      <w:color w:val="auto"/>
                      <w:sz w:val="24"/>
                      <w:szCs w:val="24"/>
                      <w:u w:val="none" w:color="auto"/>
                      <w:lang w:val="en-US" w:eastAsia="zh-CN"/>
                    </w:rPr>
                    <w:t>制氮装置工艺流程及产污环节图</w:t>
                  </w:r>
                </w:p>
              </w:tc>
            </w:tr>
          </w:tbl>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2" w:firstLineChars="200"/>
              <w:textAlignment w:val="auto"/>
              <w:rPr>
                <w:rFonts w:hint="eastAsia" w:ascii="Times New Roman" w:hAnsi="Times New Roman" w:cs="Times New Roman"/>
                <w:b/>
                <w:bCs w:val="0"/>
                <w:color w:val="auto"/>
                <w:sz w:val="24"/>
                <w:szCs w:val="24"/>
                <w:u w:val="none" w:color="auto"/>
                <w:lang w:val="en-US" w:eastAsia="zh-CN"/>
              </w:rPr>
            </w:pP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2" w:firstLineChars="200"/>
              <w:textAlignment w:val="auto"/>
              <w:rPr>
                <w:rFonts w:hint="eastAsia" w:ascii="Times New Roman" w:hAnsi="Times New Roman" w:cs="Times New Roman"/>
                <w:b/>
                <w:bCs w:val="0"/>
                <w:color w:val="auto"/>
                <w:sz w:val="24"/>
                <w:szCs w:val="24"/>
                <w:u w:val="none" w:color="auto"/>
                <w:lang w:val="en-US" w:eastAsia="zh-CN"/>
              </w:rPr>
            </w:pPr>
            <w:r>
              <w:rPr>
                <w:rFonts w:hint="eastAsia" w:ascii="Times New Roman" w:hAnsi="Times New Roman" w:cs="Times New Roman"/>
                <w:b/>
                <w:bCs w:val="0"/>
                <w:color w:val="auto"/>
                <w:sz w:val="24"/>
                <w:szCs w:val="24"/>
                <w:u w:val="none" w:color="auto"/>
                <w:lang w:val="en-US" w:eastAsia="zh-CN"/>
              </w:rPr>
              <w:t>2.1.2二期工程生产工艺（在建工程）</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b/>
                <w:bCs w:val="0"/>
                <w:color w:val="auto"/>
                <w:sz w:val="24"/>
                <w:szCs w:val="24"/>
                <w:u w:val="none" w:color="auto"/>
                <w:lang w:val="en-US" w:eastAsia="zh-CN"/>
              </w:rPr>
            </w:pPr>
            <w:r>
              <w:rPr>
                <w:rFonts w:hint="default" w:ascii="Times New Roman" w:hAnsi="Times New Roman" w:cs="Times New Roman"/>
                <w:b w:val="0"/>
                <w:bCs/>
                <w:color w:val="auto"/>
                <w:sz w:val="24"/>
                <w:szCs w:val="24"/>
                <w:u w:val="none" w:color="auto"/>
                <w:lang w:val="en-US" w:eastAsia="zh-CN"/>
              </w:rPr>
              <w:t>本项目二期工程建设规模为年产60万吨热镀锌板、60万吨彩涂板和30万吨冷轧板</w:t>
            </w:r>
          </w:p>
          <w:tbl>
            <w:tblPr>
              <w:tblStyle w:val="28"/>
              <w:tblW w:w="8407" w:type="dxa"/>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4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407" w:type="dxa"/>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cs="Times New Roman"/>
                      <w:b/>
                      <w:bCs w:val="0"/>
                      <w:color w:val="auto"/>
                      <w:sz w:val="24"/>
                      <w:szCs w:val="24"/>
                      <w:u w:val="none" w:color="auto"/>
                      <w:vertAlign w:val="baseline"/>
                      <w:lang w:val="en-US" w:eastAsia="zh-CN"/>
                    </w:rPr>
                  </w:pPr>
                  <w:r>
                    <w:rPr>
                      <w:rFonts w:hint="default"/>
                      <w:color w:val="auto"/>
                    </w:rPr>
                    <w:drawing>
                      <wp:inline distT="0" distB="0" distL="114300" distR="114300">
                        <wp:extent cx="4267200" cy="2919095"/>
                        <wp:effectExtent l="0" t="0" r="0" b="14605"/>
                        <wp:docPr id="3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8"/>
                                <pic:cNvPicPr>
                                  <a:picLocks noChangeAspect="1"/>
                                </pic:cNvPicPr>
                              </pic:nvPicPr>
                              <pic:blipFill>
                                <a:blip r:embed="rId18"/>
                                <a:stretch>
                                  <a:fillRect/>
                                </a:stretch>
                              </pic:blipFill>
                              <pic:spPr>
                                <a:xfrm>
                                  <a:off x="0" y="0"/>
                                  <a:ext cx="4267200" cy="2919095"/>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407" w:type="dxa"/>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cs="Times New Roman"/>
                      <w:b/>
                      <w:bCs w:val="0"/>
                      <w:color w:val="auto"/>
                      <w:sz w:val="24"/>
                      <w:szCs w:val="24"/>
                      <w:u w:val="none" w:color="auto"/>
                      <w:vertAlign w:val="baseline"/>
                      <w:lang w:val="en-US" w:eastAsia="zh-CN"/>
                    </w:rPr>
                  </w:pPr>
                  <w:r>
                    <w:rPr>
                      <w:rFonts w:hint="eastAsia" w:ascii="Times New Roman" w:hAnsi="Times New Roman" w:cs="Times New Roman"/>
                      <w:b/>
                      <w:bCs w:val="0"/>
                      <w:color w:val="auto"/>
                      <w:sz w:val="24"/>
                      <w:szCs w:val="24"/>
                      <w:u w:val="none" w:color="auto"/>
                      <w:vertAlign w:val="baseline"/>
                      <w:lang w:val="en-US" w:eastAsia="zh-CN"/>
                    </w:rPr>
                    <w:t>二期工艺总流程图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407" w:type="dxa"/>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 w:lineRule="exact"/>
                    <w:ind w:left="0" w:right="0"/>
                    <w:jc w:val="center"/>
                    <w:textAlignment w:val="auto"/>
                    <w:rPr>
                      <w:rFonts w:hint="eastAsia" w:ascii="Times New Roman" w:hAnsi="Times New Roman" w:cs="Times New Roman"/>
                      <w:b/>
                      <w:bCs w:val="0"/>
                      <w:color w:val="auto"/>
                      <w:sz w:val="24"/>
                      <w:szCs w:val="24"/>
                      <w:u w:val="none" w:color="auto"/>
                      <w:vertAlign w:val="baseline"/>
                      <w:lang w:val="en-US" w:eastAsia="zh-CN"/>
                    </w:rPr>
                  </w:pPr>
                  <w:r>
                    <w:rPr>
                      <w:rFonts w:hint="default"/>
                      <w:color w:val="auto"/>
                    </w:rPr>
                    <w:drawing>
                      <wp:anchor distT="0" distB="0" distL="114300" distR="114300" simplePos="0" relativeHeight="251669504" behindDoc="0" locked="0" layoutInCell="1" allowOverlap="1">
                        <wp:simplePos x="0" y="0"/>
                        <wp:positionH relativeFrom="column">
                          <wp:posOffset>906780</wp:posOffset>
                        </wp:positionH>
                        <wp:positionV relativeFrom="paragraph">
                          <wp:posOffset>11430</wp:posOffset>
                        </wp:positionV>
                        <wp:extent cx="3208020" cy="4055110"/>
                        <wp:effectExtent l="0" t="0" r="11430" b="2540"/>
                        <wp:wrapTopAndBottom/>
                        <wp:docPr id="3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9"/>
                                <pic:cNvPicPr>
                                  <a:picLocks noChangeAspect="1"/>
                                </pic:cNvPicPr>
                              </pic:nvPicPr>
                              <pic:blipFill>
                                <a:blip r:embed="rId19"/>
                                <a:stretch>
                                  <a:fillRect/>
                                </a:stretch>
                              </pic:blipFill>
                              <pic:spPr>
                                <a:xfrm>
                                  <a:off x="0" y="0"/>
                                  <a:ext cx="3208020" cy="405511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407" w:type="dxa"/>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cs="Times New Roman"/>
                      <w:b/>
                      <w:bCs w:val="0"/>
                      <w:color w:val="auto"/>
                      <w:sz w:val="24"/>
                      <w:szCs w:val="24"/>
                      <w:u w:val="none" w:color="auto"/>
                      <w:vertAlign w:val="baseline"/>
                      <w:lang w:val="en-US" w:eastAsia="zh-CN"/>
                    </w:rPr>
                  </w:pPr>
                  <w:r>
                    <w:rPr>
                      <w:rFonts w:hint="eastAsia" w:ascii="Times New Roman" w:hAnsi="Times New Roman" w:cs="Times New Roman"/>
                      <w:b/>
                      <w:bCs w:val="0"/>
                      <w:color w:val="auto"/>
                      <w:sz w:val="24"/>
                      <w:szCs w:val="24"/>
                      <w:u w:val="none" w:color="auto"/>
                      <w:vertAlign w:val="baseline"/>
                      <w:lang w:val="en-US" w:eastAsia="zh-CN"/>
                    </w:rPr>
                    <w:t>冷轧板工艺流程及产污环节图</w:t>
                  </w:r>
                </w:p>
              </w:tc>
            </w:tr>
          </w:tbl>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482" w:firstLineChars="200"/>
              <w:jc w:val="both"/>
              <w:textAlignment w:val="auto"/>
              <w:rPr>
                <w:rFonts w:hint="eastAsia" w:ascii="Times New Roman" w:hAnsi="Times New Roman" w:cs="Times New Roman"/>
                <w:b/>
                <w:bCs w:val="0"/>
                <w:color w:val="auto"/>
                <w:sz w:val="24"/>
                <w:szCs w:val="24"/>
                <w:u w:val="none" w:color="auto"/>
                <w:lang w:val="en-US" w:eastAsia="zh-CN"/>
              </w:rPr>
            </w:pPr>
            <w:r>
              <w:rPr>
                <w:rFonts w:hint="eastAsia" w:ascii="Times New Roman" w:hAnsi="Times New Roman" w:cs="Times New Roman"/>
                <w:b/>
                <w:bCs w:val="0"/>
                <w:color w:val="auto"/>
                <w:sz w:val="24"/>
                <w:szCs w:val="24"/>
                <w:u w:val="none" w:color="auto"/>
                <w:lang w:val="en-US" w:eastAsia="zh-CN"/>
              </w:rPr>
              <w:t>2.1.3废水处理工艺</w:t>
            </w:r>
          </w:p>
          <w:tbl>
            <w:tblPr>
              <w:tblStyle w:val="28"/>
              <w:tblW w:w="8407" w:type="dxa"/>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4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407" w:type="dxa"/>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cs="Times New Roman"/>
                      <w:b/>
                      <w:bCs w:val="0"/>
                      <w:color w:val="auto"/>
                      <w:sz w:val="24"/>
                      <w:szCs w:val="24"/>
                      <w:u w:val="none" w:color="auto"/>
                      <w:vertAlign w:val="baseline"/>
                      <w:lang w:val="en-US" w:eastAsia="zh-CN"/>
                    </w:rPr>
                  </w:pPr>
                  <w:r>
                    <w:rPr>
                      <w:rFonts w:hint="default"/>
                      <w:color w:val="auto"/>
                    </w:rPr>
                    <w:drawing>
                      <wp:inline distT="0" distB="0" distL="114300" distR="114300">
                        <wp:extent cx="5222240" cy="3002280"/>
                        <wp:effectExtent l="0" t="0" r="16510" b="7620"/>
                        <wp:docPr id="3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0"/>
                                <pic:cNvPicPr>
                                  <a:picLocks noChangeAspect="1"/>
                                </pic:cNvPicPr>
                              </pic:nvPicPr>
                              <pic:blipFill>
                                <a:blip r:embed="rId20"/>
                                <a:stretch>
                                  <a:fillRect/>
                                </a:stretch>
                              </pic:blipFill>
                              <pic:spPr>
                                <a:xfrm>
                                  <a:off x="0" y="0"/>
                                  <a:ext cx="5222240" cy="300228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407" w:type="dxa"/>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cs="Times New Roman"/>
                      <w:b/>
                      <w:bCs w:val="0"/>
                      <w:color w:val="auto"/>
                      <w:sz w:val="24"/>
                      <w:szCs w:val="24"/>
                      <w:u w:val="none" w:color="auto"/>
                      <w:vertAlign w:val="baseline"/>
                      <w:lang w:val="en-US" w:eastAsia="zh-CN"/>
                    </w:rPr>
                  </w:pPr>
                  <w:r>
                    <w:rPr>
                      <w:rFonts w:hint="eastAsia" w:ascii="Times New Roman" w:hAnsi="Times New Roman" w:cs="Times New Roman"/>
                      <w:b/>
                      <w:bCs w:val="0"/>
                      <w:color w:val="auto"/>
                      <w:sz w:val="24"/>
                      <w:szCs w:val="24"/>
                      <w:u w:val="none" w:color="auto"/>
                      <w:vertAlign w:val="baseline"/>
                      <w:lang w:val="en-US" w:eastAsia="zh-CN"/>
                    </w:rPr>
                    <w:t>含油碱性废水处理系统工艺流程图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407" w:type="dxa"/>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cs="Times New Roman"/>
                      <w:b/>
                      <w:bCs w:val="0"/>
                      <w:color w:val="auto"/>
                      <w:sz w:val="24"/>
                      <w:szCs w:val="24"/>
                      <w:u w:val="none" w:color="auto"/>
                      <w:vertAlign w:val="baseline"/>
                      <w:lang w:val="en-US" w:eastAsia="zh-CN"/>
                    </w:rPr>
                  </w:pPr>
                  <w:r>
                    <w:rPr>
                      <w:rFonts w:hint="default"/>
                      <w:color w:val="auto"/>
                    </w:rPr>
                    <w:drawing>
                      <wp:inline distT="0" distB="0" distL="114300" distR="114300">
                        <wp:extent cx="5213985" cy="1371600"/>
                        <wp:effectExtent l="0" t="0" r="5715" b="0"/>
                        <wp:docPr id="3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1"/>
                                <pic:cNvPicPr>
                                  <a:picLocks noChangeAspect="1"/>
                                </pic:cNvPicPr>
                              </pic:nvPicPr>
                              <pic:blipFill>
                                <a:blip r:embed="rId21"/>
                                <a:stretch>
                                  <a:fillRect/>
                                </a:stretch>
                              </pic:blipFill>
                              <pic:spPr>
                                <a:xfrm>
                                  <a:off x="0" y="0"/>
                                  <a:ext cx="5213985" cy="137160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407" w:type="dxa"/>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cs="Times New Roman"/>
                      <w:b/>
                      <w:bCs w:val="0"/>
                      <w:color w:val="auto"/>
                      <w:sz w:val="24"/>
                      <w:szCs w:val="24"/>
                      <w:u w:val="none" w:color="auto"/>
                      <w:vertAlign w:val="baseline"/>
                      <w:lang w:val="en-US" w:eastAsia="zh-CN"/>
                    </w:rPr>
                  </w:pPr>
                  <w:r>
                    <w:rPr>
                      <w:rFonts w:hint="eastAsia" w:ascii="Times New Roman" w:hAnsi="Times New Roman" w:cs="Times New Roman"/>
                      <w:b/>
                      <w:bCs w:val="0"/>
                      <w:color w:val="auto"/>
                      <w:sz w:val="24"/>
                      <w:szCs w:val="24"/>
                      <w:u w:val="none" w:color="auto"/>
                      <w:vertAlign w:val="baseline"/>
                      <w:lang w:val="en-US" w:eastAsia="zh-CN"/>
                    </w:rPr>
                    <w:t>酸性废水处理系统工艺流程图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407" w:type="dxa"/>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cs="Times New Roman"/>
                      <w:b/>
                      <w:bCs w:val="0"/>
                      <w:color w:val="auto"/>
                      <w:sz w:val="24"/>
                      <w:szCs w:val="24"/>
                      <w:u w:val="none" w:color="auto"/>
                      <w:vertAlign w:val="baseline"/>
                      <w:lang w:val="en-US" w:eastAsia="zh-CN"/>
                    </w:rPr>
                  </w:pPr>
                  <w:r>
                    <w:rPr>
                      <w:rFonts w:hint="default"/>
                      <w:color w:val="auto"/>
                    </w:rPr>
                    <w:drawing>
                      <wp:inline distT="0" distB="0" distL="114300" distR="114300">
                        <wp:extent cx="5222240" cy="2844800"/>
                        <wp:effectExtent l="0" t="0" r="16510" b="12700"/>
                        <wp:docPr id="3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2"/>
                                <pic:cNvPicPr>
                                  <a:picLocks noChangeAspect="1"/>
                                </pic:cNvPicPr>
                              </pic:nvPicPr>
                              <pic:blipFill>
                                <a:blip r:embed="rId22"/>
                                <a:stretch>
                                  <a:fillRect/>
                                </a:stretch>
                              </pic:blipFill>
                              <pic:spPr>
                                <a:xfrm>
                                  <a:off x="0" y="0"/>
                                  <a:ext cx="5222240" cy="284480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407" w:type="dxa"/>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cs="Times New Roman"/>
                      <w:b/>
                      <w:bCs w:val="0"/>
                      <w:color w:val="auto"/>
                      <w:sz w:val="24"/>
                      <w:szCs w:val="24"/>
                      <w:u w:val="none" w:color="auto"/>
                      <w:vertAlign w:val="baseline"/>
                      <w:lang w:val="en-US" w:eastAsia="zh-CN"/>
                    </w:rPr>
                  </w:pPr>
                  <w:r>
                    <w:rPr>
                      <w:rFonts w:hint="eastAsia" w:ascii="Times New Roman" w:hAnsi="Times New Roman" w:cs="Times New Roman"/>
                      <w:b/>
                      <w:bCs w:val="0"/>
                      <w:color w:val="auto"/>
                      <w:sz w:val="24"/>
                      <w:szCs w:val="24"/>
                      <w:u w:val="none" w:color="auto"/>
                      <w:vertAlign w:val="baseline"/>
                      <w:lang w:val="en-US" w:eastAsia="zh-CN"/>
                    </w:rPr>
                    <w:t>回用水处理系统工艺流程图</w:t>
                  </w:r>
                </w:p>
              </w:tc>
            </w:tr>
          </w:tbl>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241" w:firstLineChars="100"/>
              <w:jc w:val="center"/>
              <w:textAlignment w:val="auto"/>
              <w:rPr>
                <w:rFonts w:hint="eastAsia" w:ascii="Times New Roman" w:hAnsi="Times New Roman" w:cs="Times New Roman"/>
                <w:b/>
                <w:bCs w:val="0"/>
                <w:color w:val="auto"/>
                <w:sz w:val="24"/>
                <w:szCs w:val="24"/>
                <w:u w:val="none" w:color="auto"/>
                <w:lang w:val="en-US" w:eastAsia="zh-CN"/>
              </w:rPr>
            </w:pP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241" w:firstLineChars="100"/>
              <w:jc w:val="center"/>
              <w:textAlignment w:val="auto"/>
              <w:rPr>
                <w:rFonts w:hint="eastAsia" w:ascii="Times New Roman" w:hAnsi="Times New Roman" w:cs="Times New Roman"/>
                <w:b/>
                <w:bCs w:val="0"/>
                <w:color w:val="auto"/>
                <w:sz w:val="24"/>
                <w:szCs w:val="24"/>
                <w:u w:val="none" w:color="auto"/>
                <w:lang w:val="en-US" w:eastAsia="zh-CN"/>
              </w:rPr>
            </w:pP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241" w:firstLineChars="100"/>
              <w:jc w:val="both"/>
              <w:textAlignment w:val="auto"/>
              <w:rPr>
                <w:rFonts w:hint="default" w:ascii="Times New Roman" w:hAnsi="Times New Roman" w:cs="Times New Roman"/>
                <w:b/>
                <w:bCs w:val="0"/>
                <w:color w:val="auto"/>
                <w:sz w:val="24"/>
                <w:szCs w:val="24"/>
                <w:u w:val="none" w:color="auto"/>
                <w:lang w:val="en-US" w:eastAsia="zh-CN"/>
              </w:rPr>
            </w:pPr>
            <w:r>
              <w:rPr>
                <w:rFonts w:hint="eastAsia" w:ascii="Times New Roman" w:hAnsi="Times New Roman" w:cs="Times New Roman"/>
                <w:b/>
                <w:bCs w:val="0"/>
                <w:color w:val="auto"/>
                <w:sz w:val="24"/>
                <w:szCs w:val="24"/>
                <w:u w:val="none" w:color="auto"/>
                <w:lang w:val="en-US" w:eastAsia="zh-CN"/>
              </w:rPr>
              <w:t>2.2工业废水处理技术改造项目</w:t>
            </w:r>
          </w:p>
          <w:tbl>
            <w:tblPr>
              <w:tblStyle w:val="28"/>
              <w:tblW w:w="8407" w:type="dxa"/>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4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407" w:type="dxa"/>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100" w:lineRule="exact"/>
                    <w:ind w:left="0" w:right="0"/>
                    <w:jc w:val="both"/>
                    <w:textAlignment w:val="auto"/>
                    <w:rPr>
                      <w:rFonts w:hint="eastAsia" w:ascii="Times New Roman" w:hAnsi="Times New Roman" w:cs="Times New Roman"/>
                      <w:b/>
                      <w:bCs w:val="0"/>
                      <w:color w:val="auto"/>
                      <w:sz w:val="24"/>
                      <w:szCs w:val="24"/>
                      <w:u w:val="none" w:color="auto"/>
                      <w:vertAlign w:val="baseline"/>
                      <w:lang w:val="en-US" w:eastAsia="zh-CN"/>
                    </w:rPr>
                  </w:pPr>
                  <w:r>
                    <w:rPr>
                      <w:rFonts w:hint="default"/>
                      <w:color w:val="auto"/>
                    </w:rPr>
                    <w:drawing>
                      <wp:anchor distT="0" distB="0" distL="114300" distR="114300" simplePos="0" relativeHeight="251673600" behindDoc="0" locked="0" layoutInCell="1" allowOverlap="1">
                        <wp:simplePos x="0" y="0"/>
                        <wp:positionH relativeFrom="column">
                          <wp:posOffset>-47625</wp:posOffset>
                        </wp:positionH>
                        <wp:positionV relativeFrom="paragraph">
                          <wp:posOffset>66675</wp:posOffset>
                        </wp:positionV>
                        <wp:extent cx="5222875" cy="4097655"/>
                        <wp:effectExtent l="0" t="0" r="15875" b="17145"/>
                        <wp:wrapTopAndBottom/>
                        <wp:docPr id="3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3"/>
                                <pic:cNvPicPr>
                                  <a:picLocks noChangeAspect="1"/>
                                </pic:cNvPicPr>
                              </pic:nvPicPr>
                              <pic:blipFill>
                                <a:blip r:embed="rId23"/>
                                <a:stretch>
                                  <a:fillRect/>
                                </a:stretch>
                              </pic:blipFill>
                              <pic:spPr>
                                <a:xfrm>
                                  <a:off x="0" y="0"/>
                                  <a:ext cx="5222875" cy="4097655"/>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407" w:type="dxa"/>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cs="Times New Roman"/>
                      <w:b/>
                      <w:bCs w:val="0"/>
                      <w:color w:val="auto"/>
                      <w:sz w:val="24"/>
                      <w:szCs w:val="24"/>
                      <w:u w:val="none" w:color="auto"/>
                      <w:vertAlign w:val="baseline"/>
                      <w:lang w:val="en-US" w:eastAsia="zh-CN"/>
                    </w:rPr>
                  </w:pPr>
                  <w:r>
                    <w:rPr>
                      <w:rFonts w:hint="default"/>
                      <w:color w:val="auto"/>
                    </w:rPr>
                    <w:drawing>
                      <wp:anchor distT="0" distB="0" distL="114300" distR="114300" simplePos="0" relativeHeight="251670528" behindDoc="0" locked="0" layoutInCell="1" allowOverlap="1">
                        <wp:simplePos x="0" y="0"/>
                        <wp:positionH relativeFrom="column">
                          <wp:posOffset>-78105</wp:posOffset>
                        </wp:positionH>
                        <wp:positionV relativeFrom="paragraph">
                          <wp:posOffset>207010</wp:posOffset>
                        </wp:positionV>
                        <wp:extent cx="5301615" cy="1752600"/>
                        <wp:effectExtent l="0" t="0" r="13335" b="0"/>
                        <wp:wrapTopAndBottom/>
                        <wp:docPr id="3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4"/>
                                <pic:cNvPicPr>
                                  <a:picLocks noChangeAspect="1"/>
                                </pic:cNvPicPr>
                              </pic:nvPicPr>
                              <pic:blipFill>
                                <a:blip r:embed="rId24"/>
                                <a:stretch>
                                  <a:fillRect/>
                                </a:stretch>
                              </pic:blipFill>
                              <pic:spPr>
                                <a:xfrm>
                                  <a:off x="0" y="0"/>
                                  <a:ext cx="5301615" cy="1752600"/>
                                </a:xfrm>
                                <a:prstGeom prst="rect">
                                  <a:avLst/>
                                </a:prstGeom>
                                <a:noFill/>
                                <a:ln>
                                  <a:noFill/>
                                </a:ln>
                              </pic:spPr>
                            </pic:pic>
                          </a:graphicData>
                        </a:graphic>
                      </wp:anchor>
                    </w:drawing>
                  </w:r>
                  <w:r>
                    <w:rPr>
                      <w:rFonts w:hint="eastAsia" w:ascii="Times New Roman" w:hAnsi="Times New Roman" w:cs="Times New Roman"/>
                      <w:b/>
                      <w:bCs w:val="0"/>
                      <w:color w:val="auto"/>
                      <w:sz w:val="24"/>
                      <w:szCs w:val="24"/>
                      <w:u w:val="none" w:color="auto"/>
                      <w:lang w:val="en-US" w:eastAsia="zh-CN"/>
                    </w:rPr>
                    <w:t>碱性含油废水处理系统工艺流程图及产污环节示意图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407" w:type="dxa"/>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 w:lineRule="exact"/>
                    <w:ind w:left="0" w:right="0"/>
                    <w:jc w:val="center"/>
                    <w:textAlignment w:val="auto"/>
                    <w:rPr>
                      <w:rFonts w:hint="eastAsia" w:ascii="Times New Roman" w:hAnsi="Times New Roman" w:cs="Times New Roman"/>
                      <w:b/>
                      <w:bCs w:val="0"/>
                      <w:color w:val="auto"/>
                      <w:sz w:val="24"/>
                      <w:szCs w:val="24"/>
                      <w:u w:val="none" w:color="auto"/>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407" w:type="dxa"/>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cs="Times New Roman"/>
                      <w:b/>
                      <w:bCs w:val="0"/>
                      <w:color w:val="auto"/>
                      <w:sz w:val="24"/>
                      <w:szCs w:val="24"/>
                      <w:u w:val="none" w:color="auto"/>
                      <w:lang w:val="en-US" w:eastAsia="zh-CN"/>
                    </w:rPr>
                  </w:pPr>
                  <w:r>
                    <w:rPr>
                      <w:rFonts w:hint="eastAsia" w:ascii="Times New Roman" w:hAnsi="Times New Roman" w:cs="Times New Roman"/>
                      <w:b/>
                      <w:bCs w:val="0"/>
                      <w:color w:val="auto"/>
                      <w:sz w:val="24"/>
                      <w:szCs w:val="24"/>
                      <w:u w:val="none" w:color="auto"/>
                      <w:lang w:val="en-US" w:eastAsia="zh-CN"/>
                    </w:rPr>
                    <w:t>酸性废水处理系统工艺流程图及产污环节示意图</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cs="Times New Roman"/>
                      <w:b/>
                      <w:bCs w:val="0"/>
                      <w:color w:val="auto"/>
                      <w:sz w:val="24"/>
                      <w:szCs w:val="24"/>
                      <w:u w:val="none" w:color="auto"/>
                      <w:lang w:val="en-US" w:eastAsia="zh-CN"/>
                    </w:rPr>
                  </w:pP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cs="Times New Roman"/>
                      <w:b/>
                      <w:bCs w:val="0"/>
                      <w:color w:val="auto"/>
                      <w:sz w:val="24"/>
                      <w:szCs w:val="24"/>
                      <w:u w:val="none" w:color="auto"/>
                      <w:lang w:val="en-US" w:eastAsia="zh-CN"/>
                    </w:rPr>
                  </w:pP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cs="Times New Roman"/>
                      <w:b/>
                      <w:bCs w:val="0"/>
                      <w:color w:val="auto"/>
                      <w:sz w:val="24"/>
                      <w:szCs w:val="24"/>
                      <w:u w:val="none" w:color="auto"/>
                      <w:lang w:val="en-US" w:eastAsia="zh-CN"/>
                    </w:rPr>
                  </w:pP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both"/>
                    <w:textAlignment w:val="auto"/>
                    <w:rPr>
                      <w:rFonts w:hint="eastAsia" w:ascii="Times New Roman" w:hAnsi="Times New Roman" w:cs="Times New Roman"/>
                      <w:b/>
                      <w:bCs w:val="0"/>
                      <w:color w:val="auto"/>
                      <w:sz w:val="24"/>
                      <w:szCs w:val="24"/>
                      <w:u w:val="none" w:color="auto"/>
                      <w:lang w:val="en-US" w:eastAsia="zh-CN"/>
                    </w:rPr>
                  </w:pP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both"/>
                    <w:textAlignment w:val="auto"/>
                    <w:rPr>
                      <w:rFonts w:hint="eastAsia" w:ascii="Times New Roman" w:hAnsi="Times New Roman" w:cs="Times New Roman"/>
                      <w:b/>
                      <w:bCs w:val="0"/>
                      <w:color w:val="auto"/>
                      <w:sz w:val="24"/>
                      <w:szCs w:val="24"/>
                      <w:u w:val="none" w:color="auto"/>
                      <w:lang w:val="en-US" w:eastAsia="zh-CN"/>
                    </w:rPr>
                  </w:pP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both"/>
                    <w:textAlignment w:val="auto"/>
                    <w:rPr>
                      <w:rFonts w:hint="eastAsia" w:ascii="Times New Roman" w:hAnsi="Times New Roman" w:cs="Times New Roman"/>
                      <w:b/>
                      <w:bCs w:val="0"/>
                      <w:color w:val="auto"/>
                      <w:sz w:val="24"/>
                      <w:szCs w:val="24"/>
                      <w:u w:val="none" w:color="auto"/>
                      <w:lang w:val="en-US" w:eastAsia="zh-CN"/>
                    </w:rPr>
                  </w:pP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both"/>
                    <w:textAlignment w:val="auto"/>
                    <w:rPr>
                      <w:rFonts w:hint="eastAsia" w:ascii="Times New Roman" w:hAnsi="Times New Roman" w:cs="Times New Roman"/>
                      <w:b/>
                      <w:bCs w:val="0"/>
                      <w:color w:val="auto"/>
                      <w:sz w:val="24"/>
                      <w:szCs w:val="24"/>
                      <w:u w:val="none" w:color="auto"/>
                      <w:lang w:val="en-US" w:eastAsia="zh-CN"/>
                    </w:rPr>
                  </w:pP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both"/>
                    <w:textAlignment w:val="auto"/>
                    <w:rPr>
                      <w:rFonts w:hint="eastAsia" w:ascii="Times New Roman" w:hAnsi="Times New Roman" w:cs="Times New Roman"/>
                      <w:b/>
                      <w:bCs w:val="0"/>
                      <w:color w:val="auto"/>
                      <w:sz w:val="24"/>
                      <w:szCs w:val="24"/>
                      <w:u w:val="none" w:color="auto"/>
                      <w:lang w:val="en-US" w:eastAsia="zh-CN"/>
                    </w:rPr>
                  </w:pP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both"/>
                    <w:textAlignment w:val="auto"/>
                    <w:rPr>
                      <w:rFonts w:hint="eastAsia" w:ascii="Times New Roman" w:hAnsi="Times New Roman" w:cs="Times New Roman"/>
                      <w:b/>
                      <w:bCs w:val="0"/>
                      <w:color w:val="auto"/>
                      <w:sz w:val="24"/>
                      <w:szCs w:val="24"/>
                      <w:u w:val="none" w:color="auto"/>
                      <w:lang w:val="en-US" w:eastAsia="zh-CN"/>
                    </w:rPr>
                  </w:pP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both"/>
                    <w:textAlignment w:val="auto"/>
                    <w:rPr>
                      <w:rFonts w:hint="eastAsia" w:ascii="Times New Roman" w:hAnsi="Times New Roman" w:cs="Times New Roman"/>
                      <w:b/>
                      <w:bCs w:val="0"/>
                      <w:color w:val="auto"/>
                      <w:sz w:val="24"/>
                      <w:szCs w:val="24"/>
                      <w:u w:val="none" w:color="auto"/>
                      <w:lang w:val="en-US" w:eastAsia="zh-CN"/>
                    </w:rPr>
                  </w:pP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both"/>
                    <w:textAlignment w:val="auto"/>
                    <w:rPr>
                      <w:rFonts w:hint="eastAsia" w:ascii="Times New Roman" w:hAnsi="Times New Roman" w:cs="Times New Roman"/>
                      <w:b/>
                      <w:bCs w:val="0"/>
                      <w:color w:val="auto"/>
                      <w:sz w:val="24"/>
                      <w:szCs w:val="24"/>
                      <w:u w:val="none" w:color="auto"/>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5" w:hRule="atLeast"/>
              </w:trPr>
              <w:tc>
                <w:tcPr>
                  <w:tcW w:w="8407" w:type="dxa"/>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100" w:lineRule="exact"/>
                    <w:ind w:left="0" w:right="0"/>
                    <w:jc w:val="both"/>
                    <w:textAlignment w:val="auto"/>
                    <w:rPr>
                      <w:rFonts w:hint="eastAsia" w:ascii="Times New Roman" w:hAnsi="Times New Roman" w:cs="Times New Roman"/>
                      <w:b/>
                      <w:bCs w:val="0"/>
                      <w:color w:val="auto"/>
                      <w:sz w:val="24"/>
                      <w:szCs w:val="24"/>
                      <w:u w:val="none" w:color="auto"/>
                      <w:vertAlign w:val="baseline"/>
                      <w:lang w:val="en-US" w:eastAsia="zh-CN"/>
                    </w:rPr>
                  </w:pPr>
                  <w:r>
                    <w:rPr>
                      <w:rFonts w:hint="default"/>
                      <w:color w:val="auto"/>
                    </w:rPr>
                    <w:drawing>
                      <wp:anchor distT="0" distB="0" distL="114300" distR="114300" simplePos="0" relativeHeight="251671552" behindDoc="0" locked="0" layoutInCell="1" allowOverlap="1">
                        <wp:simplePos x="0" y="0"/>
                        <wp:positionH relativeFrom="column">
                          <wp:posOffset>-68580</wp:posOffset>
                        </wp:positionH>
                        <wp:positionV relativeFrom="page">
                          <wp:posOffset>62865</wp:posOffset>
                        </wp:positionV>
                        <wp:extent cx="5291455" cy="2353310"/>
                        <wp:effectExtent l="0" t="0" r="4445" b="8890"/>
                        <wp:wrapTopAndBottom/>
                        <wp:docPr id="38"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6"/>
                                <pic:cNvPicPr>
                                  <a:picLocks noChangeAspect="1"/>
                                </pic:cNvPicPr>
                              </pic:nvPicPr>
                              <pic:blipFill>
                                <a:blip r:embed="rId25"/>
                                <a:stretch>
                                  <a:fillRect/>
                                </a:stretch>
                              </pic:blipFill>
                              <pic:spPr>
                                <a:xfrm>
                                  <a:off x="0" y="0"/>
                                  <a:ext cx="5291455" cy="235331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407" w:type="dxa"/>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cs="Times New Roman"/>
                      <w:b/>
                      <w:bCs w:val="0"/>
                      <w:color w:val="auto"/>
                      <w:sz w:val="24"/>
                      <w:szCs w:val="24"/>
                      <w:u w:val="none" w:color="auto"/>
                      <w:vertAlign w:val="baseline"/>
                      <w:lang w:val="en-US" w:eastAsia="zh-CN"/>
                    </w:rPr>
                  </w:pPr>
                  <w:r>
                    <w:rPr>
                      <w:rFonts w:hint="eastAsia" w:ascii="Times New Roman" w:hAnsi="Times New Roman" w:cs="Times New Roman"/>
                      <w:b/>
                      <w:bCs w:val="0"/>
                      <w:color w:val="auto"/>
                      <w:sz w:val="24"/>
                      <w:szCs w:val="24"/>
                      <w:u w:val="none" w:color="auto"/>
                      <w:lang w:val="en-US" w:eastAsia="zh-CN"/>
                    </w:rPr>
                    <w:t>回用水系统工艺流程图及产污环节示意图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59" w:hRule="atLeast"/>
              </w:trPr>
              <w:tc>
                <w:tcPr>
                  <w:tcW w:w="8407" w:type="dxa"/>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 w:lineRule="exact"/>
                    <w:ind w:left="0" w:right="0"/>
                    <w:jc w:val="both"/>
                    <w:textAlignment w:val="auto"/>
                    <w:rPr>
                      <w:rFonts w:hint="eastAsia" w:ascii="Times New Roman" w:hAnsi="Times New Roman" w:cs="Times New Roman"/>
                      <w:b/>
                      <w:bCs w:val="0"/>
                      <w:color w:val="auto"/>
                      <w:sz w:val="24"/>
                      <w:szCs w:val="24"/>
                      <w:u w:val="none" w:color="auto"/>
                      <w:vertAlign w:val="baseline"/>
                      <w:lang w:val="en-US" w:eastAsia="zh-CN"/>
                    </w:rPr>
                  </w:pPr>
                  <w:r>
                    <w:rPr>
                      <w:rFonts w:hint="default"/>
                      <w:color w:val="auto"/>
                    </w:rPr>
                    <w:drawing>
                      <wp:anchor distT="0" distB="0" distL="114300" distR="114300" simplePos="0" relativeHeight="251672576" behindDoc="0" locked="0" layoutInCell="1" allowOverlap="1">
                        <wp:simplePos x="0" y="0"/>
                        <wp:positionH relativeFrom="column">
                          <wp:posOffset>-38735</wp:posOffset>
                        </wp:positionH>
                        <wp:positionV relativeFrom="paragraph">
                          <wp:posOffset>34290</wp:posOffset>
                        </wp:positionV>
                        <wp:extent cx="5265420" cy="1644650"/>
                        <wp:effectExtent l="0" t="0" r="11430" b="12700"/>
                        <wp:wrapTopAndBottom/>
                        <wp:docPr id="39"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7"/>
                                <pic:cNvPicPr>
                                  <a:picLocks noChangeAspect="1"/>
                                </pic:cNvPicPr>
                              </pic:nvPicPr>
                              <pic:blipFill>
                                <a:blip r:embed="rId26"/>
                                <a:stretch>
                                  <a:fillRect/>
                                </a:stretch>
                              </pic:blipFill>
                              <pic:spPr>
                                <a:xfrm>
                                  <a:off x="0" y="0"/>
                                  <a:ext cx="5265420" cy="164465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8407" w:type="dxa"/>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jc w:val="center"/>
                    <w:textAlignment w:val="auto"/>
                    <w:rPr>
                      <w:rFonts w:hint="eastAsia" w:ascii="Times New Roman" w:hAnsi="Times New Roman" w:cs="Times New Roman"/>
                      <w:b/>
                      <w:bCs w:val="0"/>
                      <w:color w:val="auto"/>
                      <w:sz w:val="24"/>
                      <w:szCs w:val="24"/>
                      <w:u w:val="none" w:color="auto"/>
                      <w:vertAlign w:val="baseline"/>
                      <w:lang w:val="en-US" w:eastAsia="zh-CN"/>
                    </w:rPr>
                  </w:pPr>
                  <w:r>
                    <w:rPr>
                      <w:rFonts w:hint="eastAsia" w:ascii="Times New Roman" w:hAnsi="Times New Roman" w:cs="Times New Roman"/>
                      <w:b/>
                      <w:bCs w:val="0"/>
                      <w:color w:val="auto"/>
                      <w:sz w:val="24"/>
                      <w:szCs w:val="24"/>
                      <w:u w:val="none" w:color="auto"/>
                      <w:lang w:val="en-US" w:eastAsia="zh-CN"/>
                    </w:rPr>
                    <w:t>废水处理系统污泥处理工艺流程图及产污环节示意图</w:t>
                  </w:r>
                </w:p>
              </w:tc>
            </w:tr>
          </w:tbl>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textAlignment w:val="auto"/>
              <w:rPr>
                <w:rFonts w:hint="default" w:ascii="Times New Roman" w:hAnsi="Times New Roman" w:cs="Times New Roman"/>
                <w:bCs/>
                <w:color w:val="auto"/>
                <w:sz w:val="24"/>
                <w:szCs w:val="24"/>
                <w:u w:val="none" w:color="auto"/>
              </w:rPr>
            </w:pPr>
            <w:r>
              <w:rPr>
                <w:rFonts w:hint="eastAsia" w:ascii="Times New Roman" w:hAnsi="Times New Roman" w:cs="Times New Roman"/>
                <w:b/>
                <w:bCs w:val="0"/>
                <w:color w:val="auto"/>
                <w:sz w:val="24"/>
                <w:szCs w:val="24"/>
                <w:u w:val="none" w:color="auto"/>
                <w:lang w:val="en-US" w:eastAsia="zh-CN"/>
              </w:rPr>
              <w:t>3.</w:t>
            </w:r>
            <w:r>
              <w:rPr>
                <w:rFonts w:hint="default" w:ascii="Times New Roman" w:hAnsi="Times New Roman" w:cs="Times New Roman"/>
                <w:b/>
                <w:bCs w:val="0"/>
                <w:color w:val="auto"/>
                <w:sz w:val="24"/>
                <w:szCs w:val="24"/>
                <w:u w:val="none" w:color="auto"/>
              </w:rPr>
              <w:t>现有工程污染物达标排放情况</w:t>
            </w:r>
          </w:p>
          <w:p>
            <w:pPr>
              <w:pStyle w:val="29"/>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360" w:lineRule="auto"/>
              <w:ind w:left="0" w:right="0" w:firstLine="241" w:firstLineChars="100"/>
              <w:textAlignment w:val="auto"/>
              <w:rPr>
                <w:rFonts w:hint="default" w:ascii="Times New Roman" w:hAnsi="Times New Roman" w:eastAsia="宋体" w:cs="Times New Roman"/>
                <w:b w:val="0"/>
                <w:bCs w:val="0"/>
                <w:color w:val="auto"/>
                <w:kern w:val="0"/>
                <w:sz w:val="24"/>
                <w:szCs w:val="24"/>
                <w:u w:val="none" w:color="auto"/>
                <w:lang w:val="en-US" w:eastAsia="zh-CN"/>
              </w:rPr>
            </w:pPr>
            <w:r>
              <w:rPr>
                <w:rFonts w:hint="eastAsia" w:ascii="Times New Roman" w:hAnsi="Times New Roman" w:eastAsia="宋体" w:cs="Times New Roman"/>
                <w:b/>
                <w:bCs/>
                <w:color w:val="auto"/>
                <w:kern w:val="0"/>
                <w:sz w:val="24"/>
                <w:szCs w:val="24"/>
                <w:u w:val="none" w:color="auto"/>
                <w:lang w:val="en-US" w:eastAsia="zh-CN"/>
              </w:rPr>
              <w:t>3.1废水</w:t>
            </w:r>
          </w:p>
          <w:p>
            <w:pPr>
              <w:pStyle w:val="29"/>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0"/>
                <w:sz w:val="24"/>
                <w:szCs w:val="24"/>
                <w:u w:val="none" w:color="auto"/>
                <w:lang w:val="en-US" w:eastAsia="zh-CN"/>
              </w:rPr>
            </w:pPr>
            <w:r>
              <w:rPr>
                <w:rFonts w:hint="eastAsia" w:ascii="Times New Roman" w:hAnsi="Times New Roman" w:eastAsia="宋体" w:cs="Times New Roman"/>
                <w:b w:val="0"/>
                <w:bCs w:val="0"/>
                <w:color w:val="auto"/>
                <w:kern w:val="0"/>
                <w:sz w:val="24"/>
                <w:szCs w:val="24"/>
                <w:u w:val="none" w:color="auto"/>
                <w:lang w:val="en-US" w:eastAsia="zh-CN"/>
              </w:rPr>
              <w:t>根据现有工程废水在线监测数据可知，现有工程废水</w:t>
            </w:r>
            <w:r>
              <w:rPr>
                <w:rFonts w:hint="default" w:ascii="Times New Roman" w:hAnsi="Times New Roman" w:eastAsia="宋体" w:cs="Times New Roman"/>
                <w:b w:val="0"/>
                <w:bCs w:val="0"/>
                <w:color w:val="auto"/>
                <w:kern w:val="0"/>
                <w:sz w:val="24"/>
                <w:szCs w:val="24"/>
                <w:u w:val="none" w:color="auto"/>
                <w:lang w:val="en-US" w:eastAsia="zh-CN"/>
              </w:rPr>
              <w:t>总排污口</w:t>
            </w:r>
            <w:r>
              <w:rPr>
                <w:rFonts w:hint="eastAsia" w:ascii="Times New Roman" w:hAnsi="Times New Roman" w:eastAsia="宋体" w:cs="Times New Roman"/>
                <w:b w:val="0"/>
                <w:bCs w:val="0"/>
                <w:color w:val="auto"/>
                <w:kern w:val="0"/>
                <w:sz w:val="24"/>
                <w:szCs w:val="24"/>
                <w:u w:val="none" w:color="auto"/>
                <w:lang w:val="en-US" w:eastAsia="zh-CN"/>
              </w:rPr>
              <w:t>各污染物排放浓度均</w:t>
            </w:r>
            <w:r>
              <w:rPr>
                <w:rFonts w:hint="default" w:ascii="Times New Roman" w:hAnsi="Times New Roman" w:eastAsia="宋体" w:cs="Times New Roman"/>
                <w:b w:val="0"/>
                <w:bCs w:val="0"/>
                <w:color w:val="auto"/>
                <w:kern w:val="0"/>
                <w:sz w:val="24"/>
                <w:szCs w:val="24"/>
                <w:u w:val="none" w:color="auto"/>
                <w:lang w:val="en-US" w:eastAsia="zh-CN"/>
              </w:rPr>
              <w:t>满足《钢铁工业水污染物排放标准》（GB13456—2012）及修改单表2间接排放标准限值要求</w:t>
            </w:r>
            <w:r>
              <w:rPr>
                <w:rFonts w:hint="eastAsia" w:ascii="Times New Roman" w:hAnsi="Times New Roman" w:eastAsia="宋体" w:cs="Times New Roman"/>
                <w:b w:val="0"/>
                <w:bCs w:val="0"/>
                <w:color w:val="auto"/>
                <w:kern w:val="0"/>
                <w:sz w:val="24"/>
                <w:szCs w:val="24"/>
                <w:u w:val="none" w:color="auto"/>
                <w:lang w:val="en-US" w:eastAsia="zh-CN"/>
              </w:rPr>
              <w:t>及</w:t>
            </w:r>
            <w:r>
              <w:rPr>
                <w:rFonts w:hint="default" w:ascii="Times New Roman" w:hAnsi="Times New Roman" w:eastAsia="宋体" w:cs="Times New Roman"/>
                <w:b w:val="0"/>
                <w:bCs w:val="0"/>
                <w:color w:val="auto"/>
                <w:kern w:val="0"/>
                <w:sz w:val="24"/>
                <w:szCs w:val="24"/>
                <w:u w:val="none" w:color="auto"/>
                <w:lang w:val="en-US" w:eastAsia="zh-CN"/>
              </w:rPr>
              <w:t>城南污水处理厂</w:t>
            </w:r>
            <w:r>
              <w:rPr>
                <w:rFonts w:hint="eastAsia" w:ascii="Times New Roman" w:hAnsi="Times New Roman" w:eastAsia="宋体" w:cs="Times New Roman"/>
                <w:b w:val="0"/>
                <w:bCs w:val="0"/>
                <w:color w:val="auto"/>
                <w:kern w:val="0"/>
                <w:sz w:val="24"/>
                <w:szCs w:val="24"/>
                <w:u w:val="none" w:color="auto"/>
                <w:lang w:val="en-US" w:eastAsia="zh-CN"/>
              </w:rPr>
              <w:t>收</w:t>
            </w:r>
            <w:r>
              <w:rPr>
                <w:rFonts w:hint="default" w:ascii="Times New Roman" w:hAnsi="Times New Roman" w:eastAsia="宋体" w:cs="Times New Roman"/>
                <w:b w:val="0"/>
                <w:bCs w:val="0"/>
                <w:color w:val="auto"/>
                <w:kern w:val="0"/>
                <w:sz w:val="24"/>
                <w:szCs w:val="24"/>
                <w:u w:val="none" w:color="auto"/>
                <w:lang w:val="en-US" w:eastAsia="zh-CN"/>
              </w:rPr>
              <w:t>水水质要求（COD≤350mg/L、SS≤210mg/L、氨氮≤35mg/L</w:t>
            </w:r>
            <w:r>
              <w:rPr>
                <w:rFonts w:hint="eastAsia" w:ascii="Times New Roman" w:hAnsi="Times New Roman" w:eastAsia="宋体" w:cs="Times New Roman"/>
                <w:b w:val="0"/>
                <w:bCs w:val="0"/>
                <w:color w:val="auto"/>
                <w:kern w:val="0"/>
                <w:sz w:val="24"/>
                <w:szCs w:val="24"/>
                <w:u w:val="none" w:color="auto"/>
                <w:lang w:val="en-US" w:eastAsia="zh-CN"/>
              </w:rPr>
              <w:t>、总磷</w:t>
            </w:r>
            <w:r>
              <w:rPr>
                <w:rFonts w:hint="default" w:ascii="Times New Roman" w:hAnsi="Times New Roman" w:eastAsia="宋体" w:cs="Times New Roman"/>
                <w:b w:val="0"/>
                <w:bCs w:val="0"/>
                <w:color w:val="auto"/>
                <w:kern w:val="0"/>
                <w:sz w:val="24"/>
                <w:szCs w:val="24"/>
                <w:u w:val="none" w:color="auto"/>
                <w:lang w:val="en-US" w:eastAsia="zh-CN"/>
              </w:rPr>
              <w:t>≤5mg/L</w:t>
            </w:r>
            <w:r>
              <w:rPr>
                <w:rFonts w:hint="eastAsia" w:ascii="Times New Roman" w:hAnsi="Times New Roman" w:eastAsia="宋体" w:cs="Times New Roman"/>
                <w:b w:val="0"/>
                <w:bCs w:val="0"/>
                <w:color w:val="auto"/>
                <w:kern w:val="0"/>
                <w:sz w:val="24"/>
                <w:szCs w:val="24"/>
                <w:u w:val="none" w:color="auto"/>
                <w:lang w:val="en-US" w:eastAsia="zh-CN"/>
              </w:rPr>
              <w:t>、总氮</w:t>
            </w:r>
            <w:r>
              <w:rPr>
                <w:rFonts w:hint="default" w:ascii="Times New Roman" w:hAnsi="Times New Roman" w:eastAsia="宋体" w:cs="Times New Roman"/>
                <w:b w:val="0"/>
                <w:bCs w:val="0"/>
                <w:color w:val="auto"/>
                <w:kern w:val="0"/>
                <w:sz w:val="24"/>
                <w:szCs w:val="24"/>
                <w:u w:val="none" w:color="auto"/>
                <w:lang w:val="en-US" w:eastAsia="zh-CN"/>
              </w:rPr>
              <w:t>≤</w:t>
            </w:r>
            <w:r>
              <w:rPr>
                <w:rFonts w:hint="eastAsia" w:ascii="Times New Roman" w:hAnsi="Times New Roman" w:eastAsia="宋体" w:cs="Times New Roman"/>
                <w:b w:val="0"/>
                <w:bCs w:val="0"/>
                <w:color w:val="auto"/>
                <w:kern w:val="0"/>
                <w:sz w:val="24"/>
                <w:szCs w:val="24"/>
                <w:u w:val="none" w:color="auto"/>
                <w:lang w:val="en-US" w:eastAsia="zh-CN"/>
              </w:rPr>
              <w:t>4</w:t>
            </w:r>
            <w:r>
              <w:rPr>
                <w:rFonts w:hint="default" w:ascii="Times New Roman" w:hAnsi="Times New Roman" w:eastAsia="宋体" w:cs="Times New Roman"/>
                <w:b w:val="0"/>
                <w:bCs w:val="0"/>
                <w:color w:val="auto"/>
                <w:kern w:val="0"/>
                <w:sz w:val="24"/>
                <w:szCs w:val="24"/>
                <w:u w:val="none" w:color="auto"/>
                <w:lang w:val="en-US" w:eastAsia="zh-CN"/>
              </w:rPr>
              <w:t>5mg/L），达标排放。</w:t>
            </w:r>
          </w:p>
          <w:p>
            <w:pPr>
              <w:pStyle w:val="29"/>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240" w:lineRule="auto"/>
              <w:ind w:left="0" w:right="0" w:firstLine="482" w:firstLineChars="200"/>
              <w:jc w:val="center"/>
              <w:textAlignment w:val="auto"/>
              <w:rPr>
                <w:rFonts w:hint="eastAsia" w:ascii="Times New Roman" w:hAnsi="Times New Roman" w:eastAsia="宋体" w:cs="Times New Roman"/>
                <w:b/>
                <w:bCs/>
                <w:color w:val="auto"/>
                <w:kern w:val="0"/>
                <w:sz w:val="24"/>
                <w:szCs w:val="24"/>
                <w:u w:val="none" w:color="auto"/>
                <w:lang w:val="en-US" w:eastAsia="zh-CN"/>
              </w:rPr>
            </w:pPr>
            <w:r>
              <w:rPr>
                <w:rFonts w:hint="eastAsia" w:ascii="Times New Roman" w:hAnsi="Times New Roman" w:eastAsia="宋体" w:cs="Times New Roman"/>
                <w:b/>
                <w:bCs/>
                <w:color w:val="auto"/>
                <w:kern w:val="0"/>
                <w:sz w:val="24"/>
                <w:szCs w:val="24"/>
                <w:u w:val="none" w:color="auto"/>
                <w:lang w:val="en-US" w:eastAsia="zh-CN"/>
              </w:rPr>
              <w:t>现有工程废水污染物总排放口在线监测结果一览表</w:t>
            </w:r>
          </w:p>
          <w:p>
            <w:pPr>
              <w:pStyle w:val="29"/>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240" w:lineRule="auto"/>
              <w:ind w:left="0" w:right="0" w:firstLine="482" w:firstLineChars="200"/>
              <w:jc w:val="right"/>
              <w:textAlignment w:val="auto"/>
              <w:rPr>
                <w:rFonts w:hint="default" w:ascii="Times New Roman" w:hAnsi="Times New Roman" w:eastAsia="宋体" w:cs="Times New Roman"/>
                <w:b/>
                <w:bCs/>
                <w:color w:val="auto"/>
                <w:kern w:val="0"/>
                <w:sz w:val="24"/>
                <w:szCs w:val="24"/>
                <w:u w:val="none" w:color="auto"/>
                <w:lang w:val="en-US" w:eastAsia="zh-CN"/>
              </w:rPr>
            </w:pPr>
            <w:r>
              <w:rPr>
                <w:rFonts w:hint="eastAsia" w:ascii="Times New Roman" w:hAnsi="Times New Roman" w:eastAsia="宋体" w:cs="Times New Roman"/>
                <w:b/>
                <w:bCs/>
                <w:color w:val="auto"/>
                <w:kern w:val="0"/>
                <w:sz w:val="24"/>
                <w:szCs w:val="24"/>
                <w:u w:val="none" w:color="auto"/>
                <w:lang w:val="en-US" w:eastAsia="zh-CN"/>
              </w:rPr>
              <w:t>单位：mg/L（</w:t>
            </w:r>
            <w:r>
              <w:rPr>
                <w:rFonts w:hint="default" w:ascii="Times New Roman" w:hAnsi="Times New Roman" w:eastAsia="宋体" w:cs="Times New Roman"/>
                <w:i w:val="0"/>
                <w:iCs w:val="0"/>
                <w:color w:val="auto"/>
                <w:kern w:val="0"/>
                <w:sz w:val="24"/>
                <w:szCs w:val="24"/>
                <w:u w:val="none" w:color="auto"/>
                <w:lang w:val="en-US" w:eastAsia="zh-CN" w:bidi="ar"/>
              </w:rPr>
              <w:t>pH</w:t>
            </w:r>
            <w:r>
              <w:rPr>
                <w:rFonts w:hint="eastAsia" w:ascii="Times New Roman" w:hAnsi="Times New Roman" w:eastAsia="宋体" w:cs="Times New Roman"/>
                <w:i w:val="0"/>
                <w:iCs w:val="0"/>
                <w:color w:val="auto"/>
                <w:kern w:val="0"/>
                <w:sz w:val="24"/>
                <w:szCs w:val="24"/>
                <w:u w:val="none" w:color="auto"/>
                <w:lang w:val="en-US" w:eastAsia="zh-CN" w:bidi="ar"/>
              </w:rPr>
              <w:t>除外</w:t>
            </w:r>
            <w:r>
              <w:rPr>
                <w:rFonts w:hint="eastAsia" w:ascii="Times New Roman" w:hAnsi="Times New Roman" w:eastAsia="宋体" w:cs="Times New Roman"/>
                <w:b/>
                <w:bCs/>
                <w:color w:val="auto"/>
                <w:kern w:val="0"/>
                <w:sz w:val="24"/>
                <w:szCs w:val="24"/>
                <w:u w:val="none" w:color="auto"/>
                <w:lang w:val="en-US" w:eastAsia="zh-CN"/>
              </w:rPr>
              <w:t>）</w:t>
            </w:r>
          </w:p>
          <w:tbl>
            <w:tblPr>
              <w:tblStyle w:val="27"/>
              <w:tblW w:w="84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47"/>
              <w:gridCol w:w="1415"/>
              <w:gridCol w:w="1415"/>
              <w:gridCol w:w="2338"/>
              <w:gridCol w:w="12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2047" w:type="dxa"/>
                  <w:tcBorders>
                    <w:top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
                      <w:bCs/>
                      <w:i w:val="0"/>
                      <w:iCs w:val="0"/>
                      <w:color w:val="auto"/>
                      <w:sz w:val="21"/>
                      <w:szCs w:val="21"/>
                      <w:u w:val="none" w:color="auto"/>
                      <w:lang w:val="en-US" w:eastAsia="zh-CN"/>
                    </w:rPr>
                  </w:pPr>
                  <w:r>
                    <w:rPr>
                      <w:rFonts w:hint="eastAsia" w:ascii="Times New Roman" w:hAnsi="Times New Roman" w:eastAsia="宋体" w:cs="Times New Roman"/>
                      <w:b/>
                      <w:bCs/>
                      <w:i w:val="0"/>
                      <w:iCs w:val="0"/>
                      <w:color w:val="auto"/>
                      <w:sz w:val="21"/>
                      <w:szCs w:val="21"/>
                      <w:u w:val="none" w:color="auto"/>
                      <w:lang w:val="en-US" w:eastAsia="zh-CN"/>
                    </w:rPr>
                    <w:t>污染物</w:t>
                  </w:r>
                </w:p>
              </w:tc>
              <w:tc>
                <w:tcPr>
                  <w:tcW w:w="14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iCs w:val="0"/>
                      <w:color w:val="auto"/>
                      <w:sz w:val="21"/>
                      <w:szCs w:val="21"/>
                      <w:u w:val="none" w:color="auto"/>
                    </w:rPr>
                  </w:pPr>
                  <w:r>
                    <w:rPr>
                      <w:rFonts w:hint="default" w:ascii="Times New Roman" w:hAnsi="Times New Roman" w:eastAsia="宋体" w:cs="Times New Roman"/>
                      <w:b/>
                      <w:bCs/>
                      <w:i w:val="0"/>
                      <w:iCs w:val="0"/>
                      <w:color w:val="auto"/>
                      <w:kern w:val="0"/>
                      <w:sz w:val="21"/>
                      <w:szCs w:val="21"/>
                      <w:u w:val="none" w:color="auto"/>
                      <w:lang w:val="en-US" w:eastAsia="zh-CN" w:bidi="ar"/>
                    </w:rPr>
                    <w:t>最小值</w:t>
                  </w:r>
                </w:p>
              </w:tc>
              <w:tc>
                <w:tcPr>
                  <w:tcW w:w="14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iCs w:val="0"/>
                      <w:color w:val="auto"/>
                      <w:sz w:val="21"/>
                      <w:szCs w:val="21"/>
                      <w:u w:val="none" w:color="auto"/>
                    </w:rPr>
                  </w:pPr>
                  <w:r>
                    <w:rPr>
                      <w:rFonts w:hint="default" w:ascii="Times New Roman" w:hAnsi="Times New Roman" w:eastAsia="宋体" w:cs="Times New Roman"/>
                      <w:b/>
                      <w:bCs/>
                      <w:i w:val="0"/>
                      <w:iCs w:val="0"/>
                      <w:color w:val="auto"/>
                      <w:kern w:val="0"/>
                      <w:sz w:val="21"/>
                      <w:szCs w:val="21"/>
                      <w:u w:val="none" w:color="auto"/>
                      <w:lang w:val="en-US" w:eastAsia="zh-CN" w:bidi="ar"/>
                    </w:rPr>
                    <w:t>最大值</w:t>
                  </w:r>
                </w:p>
              </w:tc>
              <w:tc>
                <w:tcPr>
                  <w:tcW w:w="23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iCs w:val="0"/>
                      <w:color w:val="auto"/>
                      <w:sz w:val="21"/>
                      <w:szCs w:val="21"/>
                      <w:u w:val="none" w:color="auto"/>
                    </w:rPr>
                  </w:pPr>
                  <w:r>
                    <w:rPr>
                      <w:rFonts w:hint="default" w:ascii="Times New Roman" w:hAnsi="Times New Roman" w:eastAsia="宋体" w:cs="Times New Roman"/>
                      <w:b/>
                      <w:bCs/>
                      <w:i w:val="0"/>
                      <w:iCs w:val="0"/>
                      <w:color w:val="auto"/>
                      <w:kern w:val="0"/>
                      <w:sz w:val="21"/>
                      <w:szCs w:val="21"/>
                      <w:u w:val="none" w:color="auto"/>
                      <w:lang w:val="en-US" w:eastAsia="zh-CN" w:bidi="ar"/>
                    </w:rPr>
                    <w:t>GB13456标准限值</w:t>
                  </w:r>
                </w:p>
              </w:tc>
              <w:tc>
                <w:tcPr>
                  <w:tcW w:w="1205" w:type="dxa"/>
                  <w:tcBorders>
                    <w:top w:val="single" w:color="000000" w:sz="4" w:space="0"/>
                    <w:left w:val="single" w:color="000000" w:sz="4" w:space="0"/>
                    <w:bottom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iCs w:val="0"/>
                      <w:color w:val="auto"/>
                      <w:sz w:val="21"/>
                      <w:szCs w:val="21"/>
                      <w:u w:val="none" w:color="auto"/>
                    </w:rPr>
                  </w:pPr>
                  <w:r>
                    <w:rPr>
                      <w:rFonts w:hint="default" w:ascii="Times New Roman" w:hAnsi="Times New Roman" w:eastAsia="宋体" w:cs="Times New Roman"/>
                      <w:b/>
                      <w:bCs/>
                      <w:i w:val="0"/>
                      <w:iCs w:val="0"/>
                      <w:color w:val="auto"/>
                      <w:kern w:val="0"/>
                      <w:sz w:val="21"/>
                      <w:szCs w:val="21"/>
                      <w:u w:val="none" w:color="auto"/>
                      <w:lang w:val="en-US" w:eastAsia="zh-CN" w:bidi="ar"/>
                    </w:rPr>
                    <w:t>收水水质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2047" w:type="dxa"/>
                  <w:tcBorders>
                    <w:top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u w:val="none" w:color="auto"/>
                    </w:rPr>
                  </w:pPr>
                  <w:r>
                    <w:rPr>
                      <w:rFonts w:hint="default" w:ascii="Times New Roman" w:hAnsi="Times New Roman" w:eastAsia="宋体" w:cs="Times New Roman"/>
                      <w:i w:val="0"/>
                      <w:iCs w:val="0"/>
                      <w:color w:val="auto"/>
                      <w:kern w:val="0"/>
                      <w:sz w:val="21"/>
                      <w:szCs w:val="21"/>
                      <w:u w:val="none" w:color="auto"/>
                      <w:lang w:val="en-US" w:eastAsia="zh-CN" w:bidi="ar"/>
                    </w:rPr>
                    <w:t>pH</w:t>
                  </w:r>
                </w:p>
              </w:tc>
              <w:tc>
                <w:tcPr>
                  <w:tcW w:w="14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u w:val="none" w:color="auto"/>
                    </w:rPr>
                  </w:pPr>
                  <w:r>
                    <w:rPr>
                      <w:rFonts w:hint="default" w:ascii="Times New Roman" w:hAnsi="Times New Roman" w:eastAsia="宋体" w:cs="Times New Roman"/>
                      <w:i w:val="0"/>
                      <w:iCs w:val="0"/>
                      <w:color w:val="auto"/>
                      <w:kern w:val="0"/>
                      <w:sz w:val="21"/>
                      <w:szCs w:val="21"/>
                      <w:u w:val="none" w:color="auto"/>
                      <w:lang w:val="en-US" w:eastAsia="zh-CN" w:bidi="ar"/>
                    </w:rPr>
                    <w:t>6.582</w:t>
                  </w:r>
                </w:p>
              </w:tc>
              <w:tc>
                <w:tcPr>
                  <w:tcW w:w="14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u w:val="none" w:color="auto"/>
                    </w:rPr>
                  </w:pPr>
                  <w:r>
                    <w:rPr>
                      <w:rFonts w:hint="default" w:ascii="Times New Roman" w:hAnsi="Times New Roman" w:eastAsia="宋体" w:cs="Times New Roman"/>
                      <w:i w:val="0"/>
                      <w:iCs w:val="0"/>
                      <w:color w:val="auto"/>
                      <w:kern w:val="0"/>
                      <w:sz w:val="21"/>
                      <w:szCs w:val="21"/>
                      <w:u w:val="none" w:color="auto"/>
                      <w:lang w:val="en-US" w:eastAsia="zh-CN" w:bidi="ar"/>
                    </w:rPr>
                    <w:t>7.589</w:t>
                  </w:r>
                </w:p>
              </w:tc>
              <w:tc>
                <w:tcPr>
                  <w:tcW w:w="23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u w:val="none" w:color="auto"/>
                      <w:lang w:val="en-US"/>
                    </w:rPr>
                  </w:pPr>
                  <w:r>
                    <w:rPr>
                      <w:rFonts w:hint="eastAsia" w:ascii="Times New Roman" w:hAnsi="Times New Roman" w:eastAsia="宋体" w:cs="Times New Roman"/>
                      <w:i w:val="0"/>
                      <w:iCs w:val="0"/>
                      <w:color w:val="auto"/>
                      <w:kern w:val="0"/>
                      <w:sz w:val="21"/>
                      <w:szCs w:val="21"/>
                      <w:u w:val="none" w:color="auto"/>
                      <w:lang w:val="en-US" w:eastAsia="zh-CN" w:bidi="ar"/>
                    </w:rPr>
                    <w:t>6~9</w:t>
                  </w:r>
                </w:p>
              </w:tc>
              <w:tc>
                <w:tcPr>
                  <w:tcW w:w="1205" w:type="dxa"/>
                  <w:tcBorders>
                    <w:top w:val="single" w:color="000000" w:sz="4" w:space="0"/>
                    <w:left w:val="single" w:color="000000" w:sz="4" w:space="0"/>
                    <w:bottom w:val="single" w:color="000000"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i w:val="0"/>
                      <w:iCs w:val="0"/>
                      <w:color w:val="auto"/>
                      <w:sz w:val="21"/>
                      <w:szCs w:val="21"/>
                      <w:u w:val="none" w:color="auto"/>
                      <w:lang w:val="en-US" w:eastAsia="zh-CN"/>
                    </w:rPr>
                  </w:pPr>
                  <w:r>
                    <w:rPr>
                      <w:rFonts w:hint="eastAsia" w:ascii="Times New Roman" w:hAnsi="Times New Roman" w:eastAsia="宋体" w:cs="Times New Roman"/>
                      <w:i w:val="0"/>
                      <w:iCs w:val="0"/>
                      <w:color w:val="auto"/>
                      <w:sz w:val="21"/>
                      <w:szCs w:val="21"/>
                      <w:u w:val="none" w:color="auto"/>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2047" w:type="dxa"/>
                  <w:tcBorders>
                    <w:top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u w:val="none" w:color="auto"/>
                    </w:rPr>
                  </w:pPr>
                  <w:r>
                    <w:rPr>
                      <w:rFonts w:hint="default" w:ascii="Times New Roman" w:hAnsi="Times New Roman" w:eastAsia="宋体" w:cs="Times New Roman"/>
                      <w:i w:val="0"/>
                      <w:iCs w:val="0"/>
                      <w:color w:val="auto"/>
                      <w:kern w:val="0"/>
                      <w:sz w:val="21"/>
                      <w:szCs w:val="21"/>
                      <w:u w:val="none" w:color="auto"/>
                      <w:lang w:val="en-US" w:eastAsia="zh-CN" w:bidi="ar"/>
                    </w:rPr>
                    <w:t>悬浮物</w:t>
                  </w:r>
                </w:p>
              </w:tc>
              <w:tc>
                <w:tcPr>
                  <w:tcW w:w="14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u w:val="none" w:color="auto"/>
                    </w:rPr>
                  </w:pPr>
                  <w:r>
                    <w:rPr>
                      <w:rFonts w:hint="default" w:ascii="Times New Roman" w:hAnsi="Times New Roman" w:eastAsia="宋体" w:cs="Times New Roman"/>
                      <w:i w:val="0"/>
                      <w:iCs w:val="0"/>
                      <w:color w:val="auto"/>
                      <w:kern w:val="0"/>
                      <w:sz w:val="21"/>
                      <w:szCs w:val="21"/>
                      <w:u w:val="none" w:color="auto"/>
                      <w:lang w:val="en-US" w:eastAsia="zh-CN" w:bidi="ar"/>
                    </w:rPr>
                    <w:t>5</w:t>
                  </w:r>
                </w:p>
              </w:tc>
              <w:tc>
                <w:tcPr>
                  <w:tcW w:w="14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u w:val="none" w:color="auto"/>
                    </w:rPr>
                  </w:pPr>
                  <w:r>
                    <w:rPr>
                      <w:rFonts w:hint="default" w:ascii="Times New Roman" w:hAnsi="Times New Roman" w:eastAsia="宋体" w:cs="Times New Roman"/>
                      <w:i w:val="0"/>
                      <w:iCs w:val="0"/>
                      <w:color w:val="auto"/>
                      <w:kern w:val="0"/>
                      <w:sz w:val="21"/>
                      <w:szCs w:val="21"/>
                      <w:u w:val="none" w:color="auto"/>
                      <w:lang w:val="en-US" w:eastAsia="zh-CN" w:bidi="ar"/>
                    </w:rPr>
                    <w:t>47</w:t>
                  </w:r>
                </w:p>
              </w:tc>
              <w:tc>
                <w:tcPr>
                  <w:tcW w:w="23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u w:val="none" w:color="auto"/>
                    </w:rPr>
                  </w:pPr>
                  <w:r>
                    <w:rPr>
                      <w:rFonts w:hint="default" w:ascii="Times New Roman" w:hAnsi="Times New Roman" w:eastAsia="宋体" w:cs="Times New Roman"/>
                      <w:i w:val="0"/>
                      <w:iCs w:val="0"/>
                      <w:color w:val="auto"/>
                      <w:kern w:val="0"/>
                      <w:sz w:val="21"/>
                      <w:szCs w:val="21"/>
                      <w:u w:val="none" w:color="auto"/>
                      <w:lang w:val="en-US" w:eastAsia="zh-CN" w:bidi="ar"/>
                    </w:rPr>
                    <w:t>100</w:t>
                  </w:r>
                </w:p>
              </w:tc>
              <w:tc>
                <w:tcPr>
                  <w:tcW w:w="1205" w:type="dxa"/>
                  <w:tcBorders>
                    <w:top w:val="single" w:color="000000" w:sz="4" w:space="0"/>
                    <w:left w:val="single" w:color="000000" w:sz="4" w:space="0"/>
                    <w:bottom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u w:val="none" w:color="auto"/>
                    </w:rPr>
                  </w:pPr>
                  <w:r>
                    <w:rPr>
                      <w:rFonts w:hint="default" w:ascii="Times New Roman" w:hAnsi="Times New Roman" w:eastAsia="宋体" w:cs="Times New Roman"/>
                      <w:i w:val="0"/>
                      <w:iCs w:val="0"/>
                      <w:color w:val="auto"/>
                      <w:kern w:val="0"/>
                      <w:sz w:val="21"/>
                      <w:szCs w:val="21"/>
                      <w:u w:val="none" w:color="auto"/>
                      <w:lang w:val="en-US" w:eastAsia="zh-CN"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2047" w:type="dxa"/>
                  <w:tcBorders>
                    <w:top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u w:val="none" w:color="auto"/>
                    </w:rPr>
                  </w:pPr>
                  <w:r>
                    <w:rPr>
                      <w:rFonts w:hint="default" w:ascii="Times New Roman" w:hAnsi="Times New Roman" w:eastAsia="宋体" w:cs="Times New Roman"/>
                      <w:i w:val="0"/>
                      <w:iCs w:val="0"/>
                      <w:color w:val="auto"/>
                      <w:kern w:val="0"/>
                      <w:sz w:val="21"/>
                      <w:szCs w:val="21"/>
                      <w:u w:val="none" w:color="auto"/>
                      <w:lang w:val="en-US" w:eastAsia="zh-CN" w:bidi="ar"/>
                    </w:rPr>
                    <w:t>总磷</w:t>
                  </w:r>
                </w:p>
              </w:tc>
              <w:tc>
                <w:tcPr>
                  <w:tcW w:w="14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u w:val="none" w:color="auto"/>
                    </w:rPr>
                  </w:pPr>
                  <w:r>
                    <w:rPr>
                      <w:rFonts w:hint="default" w:ascii="Times New Roman" w:hAnsi="Times New Roman" w:eastAsia="宋体" w:cs="Times New Roman"/>
                      <w:i w:val="0"/>
                      <w:iCs w:val="0"/>
                      <w:color w:val="auto"/>
                      <w:kern w:val="0"/>
                      <w:sz w:val="21"/>
                      <w:szCs w:val="21"/>
                      <w:u w:val="none" w:color="auto"/>
                      <w:lang w:val="en-US" w:eastAsia="zh-CN" w:bidi="ar"/>
                    </w:rPr>
                    <w:t>0.01</w:t>
                  </w:r>
                </w:p>
              </w:tc>
              <w:tc>
                <w:tcPr>
                  <w:tcW w:w="14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u w:val="none" w:color="auto"/>
                    </w:rPr>
                  </w:pPr>
                  <w:r>
                    <w:rPr>
                      <w:rFonts w:hint="default" w:ascii="Times New Roman" w:hAnsi="Times New Roman" w:eastAsia="宋体" w:cs="Times New Roman"/>
                      <w:i w:val="0"/>
                      <w:iCs w:val="0"/>
                      <w:color w:val="auto"/>
                      <w:kern w:val="0"/>
                      <w:sz w:val="21"/>
                      <w:szCs w:val="21"/>
                      <w:u w:val="none" w:color="auto"/>
                      <w:lang w:val="en-US" w:eastAsia="zh-CN" w:bidi="ar"/>
                    </w:rPr>
                    <w:t>1.25</w:t>
                  </w:r>
                </w:p>
              </w:tc>
              <w:tc>
                <w:tcPr>
                  <w:tcW w:w="23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u w:val="none" w:color="auto"/>
                    </w:rPr>
                  </w:pPr>
                  <w:r>
                    <w:rPr>
                      <w:rFonts w:hint="default" w:ascii="Times New Roman" w:hAnsi="Times New Roman" w:eastAsia="宋体" w:cs="Times New Roman"/>
                      <w:i w:val="0"/>
                      <w:iCs w:val="0"/>
                      <w:color w:val="auto"/>
                      <w:kern w:val="0"/>
                      <w:sz w:val="21"/>
                      <w:szCs w:val="21"/>
                      <w:u w:val="none" w:color="auto"/>
                      <w:lang w:val="en-US" w:eastAsia="zh-CN" w:bidi="ar"/>
                    </w:rPr>
                    <w:t>2</w:t>
                  </w:r>
                </w:p>
              </w:tc>
              <w:tc>
                <w:tcPr>
                  <w:tcW w:w="1205" w:type="dxa"/>
                  <w:tcBorders>
                    <w:top w:val="single" w:color="000000" w:sz="4" w:space="0"/>
                    <w:left w:val="single" w:color="000000" w:sz="4" w:space="0"/>
                    <w:bottom w:val="single" w:color="000000"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i w:val="0"/>
                      <w:iCs w:val="0"/>
                      <w:color w:val="auto"/>
                      <w:sz w:val="21"/>
                      <w:szCs w:val="21"/>
                      <w:u w:val="none" w:color="auto"/>
                      <w:lang w:val="en-US" w:eastAsia="zh-CN"/>
                    </w:rPr>
                  </w:pPr>
                  <w:r>
                    <w:rPr>
                      <w:rFonts w:hint="eastAsia" w:ascii="Times New Roman" w:hAnsi="Times New Roman" w:eastAsia="宋体" w:cs="Times New Roman"/>
                      <w:i w:val="0"/>
                      <w:iCs w:val="0"/>
                      <w:color w:val="auto"/>
                      <w:sz w:val="21"/>
                      <w:szCs w:val="21"/>
                      <w:u w:val="none" w:color="auto"/>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2047" w:type="dxa"/>
                  <w:tcBorders>
                    <w:top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u w:val="none" w:color="auto"/>
                    </w:rPr>
                  </w:pPr>
                  <w:r>
                    <w:rPr>
                      <w:rFonts w:hint="default" w:ascii="Times New Roman" w:hAnsi="Times New Roman" w:eastAsia="宋体" w:cs="Times New Roman"/>
                      <w:i w:val="0"/>
                      <w:iCs w:val="0"/>
                      <w:color w:val="auto"/>
                      <w:kern w:val="0"/>
                      <w:sz w:val="21"/>
                      <w:szCs w:val="21"/>
                      <w:u w:val="none" w:color="auto"/>
                      <w:lang w:val="en-US" w:eastAsia="zh-CN" w:bidi="ar"/>
                    </w:rPr>
                    <w:t>石油类</w:t>
                  </w:r>
                </w:p>
              </w:tc>
              <w:tc>
                <w:tcPr>
                  <w:tcW w:w="14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u w:val="none" w:color="auto"/>
                    </w:rPr>
                  </w:pPr>
                  <w:r>
                    <w:rPr>
                      <w:rFonts w:hint="default" w:ascii="Times New Roman" w:hAnsi="Times New Roman" w:eastAsia="宋体" w:cs="Times New Roman"/>
                      <w:i w:val="0"/>
                      <w:iCs w:val="0"/>
                      <w:color w:val="auto"/>
                      <w:sz w:val="21"/>
                      <w:szCs w:val="21"/>
                      <w:u w:val="none" w:color="auto"/>
                    </w:rPr>
                    <w:t>0.1718</w:t>
                  </w:r>
                </w:p>
              </w:tc>
              <w:tc>
                <w:tcPr>
                  <w:tcW w:w="14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u w:val="none" w:color="auto"/>
                    </w:rPr>
                  </w:pPr>
                  <w:r>
                    <w:rPr>
                      <w:rFonts w:hint="default" w:ascii="Times New Roman" w:hAnsi="Times New Roman" w:eastAsia="宋体" w:cs="Times New Roman"/>
                      <w:i w:val="0"/>
                      <w:iCs w:val="0"/>
                      <w:color w:val="auto"/>
                      <w:kern w:val="0"/>
                      <w:sz w:val="21"/>
                      <w:szCs w:val="21"/>
                      <w:u w:val="none" w:color="auto"/>
                      <w:lang w:val="en-US" w:eastAsia="zh-CN" w:bidi="ar"/>
                    </w:rPr>
                    <w:t>1.4</w:t>
                  </w:r>
                </w:p>
              </w:tc>
              <w:tc>
                <w:tcPr>
                  <w:tcW w:w="23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u w:val="none" w:color="auto"/>
                    </w:rPr>
                  </w:pPr>
                  <w:r>
                    <w:rPr>
                      <w:rFonts w:hint="default" w:ascii="Times New Roman" w:hAnsi="Times New Roman" w:eastAsia="宋体" w:cs="Times New Roman"/>
                      <w:i w:val="0"/>
                      <w:iCs w:val="0"/>
                      <w:color w:val="auto"/>
                      <w:kern w:val="0"/>
                      <w:sz w:val="21"/>
                      <w:szCs w:val="21"/>
                      <w:u w:val="none" w:color="auto"/>
                      <w:lang w:val="en-US" w:eastAsia="zh-CN" w:bidi="ar"/>
                    </w:rPr>
                    <w:t>10</w:t>
                  </w:r>
                </w:p>
              </w:tc>
              <w:tc>
                <w:tcPr>
                  <w:tcW w:w="1205" w:type="dxa"/>
                  <w:tcBorders>
                    <w:top w:val="single" w:color="000000" w:sz="4" w:space="0"/>
                    <w:left w:val="single" w:color="000000" w:sz="4" w:space="0"/>
                    <w:bottom w:val="single" w:color="000000"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i w:val="0"/>
                      <w:iCs w:val="0"/>
                      <w:color w:val="auto"/>
                      <w:sz w:val="21"/>
                      <w:szCs w:val="21"/>
                      <w:u w:val="none" w:color="auto"/>
                      <w:lang w:val="en-US" w:eastAsia="zh-CN"/>
                    </w:rPr>
                  </w:pPr>
                  <w:r>
                    <w:rPr>
                      <w:rFonts w:hint="eastAsia" w:ascii="Times New Roman" w:hAnsi="Times New Roman" w:eastAsia="宋体" w:cs="Times New Roman"/>
                      <w:i w:val="0"/>
                      <w:iCs w:val="0"/>
                      <w:color w:val="auto"/>
                      <w:sz w:val="21"/>
                      <w:szCs w:val="21"/>
                      <w:u w:val="none" w:color="auto"/>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2047" w:type="dxa"/>
                  <w:tcBorders>
                    <w:top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u w:val="none" w:color="auto"/>
                    </w:rPr>
                  </w:pPr>
                  <w:r>
                    <w:rPr>
                      <w:rFonts w:hint="default" w:ascii="Times New Roman" w:hAnsi="Times New Roman" w:eastAsia="宋体" w:cs="Times New Roman"/>
                      <w:i w:val="0"/>
                      <w:iCs w:val="0"/>
                      <w:color w:val="auto"/>
                      <w:kern w:val="0"/>
                      <w:sz w:val="21"/>
                      <w:szCs w:val="21"/>
                      <w:u w:val="none" w:color="auto"/>
                      <w:lang w:val="en-US" w:eastAsia="zh-CN" w:bidi="ar"/>
                    </w:rPr>
                    <w:t>化学需氧量</w:t>
                  </w:r>
                </w:p>
              </w:tc>
              <w:tc>
                <w:tcPr>
                  <w:tcW w:w="14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u w:val="none" w:color="auto"/>
                    </w:rPr>
                  </w:pPr>
                  <w:r>
                    <w:rPr>
                      <w:rFonts w:hint="default" w:ascii="Times New Roman" w:hAnsi="Times New Roman" w:eastAsia="宋体" w:cs="Times New Roman"/>
                      <w:i w:val="0"/>
                      <w:iCs w:val="0"/>
                      <w:color w:val="auto"/>
                      <w:kern w:val="0"/>
                      <w:sz w:val="21"/>
                      <w:szCs w:val="21"/>
                      <w:u w:val="none" w:color="auto"/>
                      <w:lang w:val="en-US" w:eastAsia="zh-CN" w:bidi="ar"/>
                    </w:rPr>
                    <w:t>2.951</w:t>
                  </w:r>
                </w:p>
              </w:tc>
              <w:tc>
                <w:tcPr>
                  <w:tcW w:w="14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u w:val="none" w:color="auto"/>
                    </w:rPr>
                  </w:pPr>
                  <w:r>
                    <w:rPr>
                      <w:rFonts w:hint="default" w:ascii="Times New Roman" w:hAnsi="Times New Roman" w:eastAsia="宋体" w:cs="Times New Roman"/>
                      <w:i w:val="0"/>
                      <w:iCs w:val="0"/>
                      <w:color w:val="auto"/>
                      <w:kern w:val="0"/>
                      <w:sz w:val="21"/>
                      <w:szCs w:val="21"/>
                      <w:u w:val="none" w:color="auto"/>
                      <w:lang w:val="en-US" w:eastAsia="zh-CN" w:bidi="ar"/>
                    </w:rPr>
                    <w:t>67.671</w:t>
                  </w:r>
                </w:p>
              </w:tc>
              <w:tc>
                <w:tcPr>
                  <w:tcW w:w="23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u w:val="none" w:color="auto"/>
                    </w:rPr>
                  </w:pPr>
                  <w:r>
                    <w:rPr>
                      <w:rFonts w:hint="default" w:ascii="Times New Roman" w:hAnsi="Times New Roman" w:eastAsia="宋体" w:cs="Times New Roman"/>
                      <w:i w:val="0"/>
                      <w:iCs w:val="0"/>
                      <w:color w:val="auto"/>
                      <w:kern w:val="0"/>
                      <w:sz w:val="21"/>
                      <w:szCs w:val="21"/>
                      <w:u w:val="none" w:color="auto"/>
                      <w:lang w:val="en-US" w:eastAsia="zh-CN" w:bidi="ar"/>
                    </w:rPr>
                    <w:t>200</w:t>
                  </w:r>
                </w:p>
              </w:tc>
              <w:tc>
                <w:tcPr>
                  <w:tcW w:w="1205" w:type="dxa"/>
                  <w:tcBorders>
                    <w:top w:val="single" w:color="000000" w:sz="4" w:space="0"/>
                    <w:left w:val="single" w:color="000000" w:sz="4" w:space="0"/>
                    <w:bottom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u w:val="none" w:color="auto"/>
                    </w:rPr>
                  </w:pPr>
                  <w:r>
                    <w:rPr>
                      <w:rFonts w:hint="default" w:ascii="Times New Roman" w:hAnsi="Times New Roman" w:eastAsia="宋体" w:cs="Times New Roman"/>
                      <w:i w:val="0"/>
                      <w:iCs w:val="0"/>
                      <w:color w:val="auto"/>
                      <w:kern w:val="0"/>
                      <w:sz w:val="21"/>
                      <w:szCs w:val="21"/>
                      <w:u w:val="none" w:color="auto"/>
                      <w:lang w:val="en-US" w:eastAsia="zh-CN" w:bidi="ar"/>
                    </w:rPr>
                    <w:t>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2047" w:type="dxa"/>
                  <w:tcBorders>
                    <w:top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u w:val="none" w:color="auto"/>
                    </w:rPr>
                  </w:pPr>
                  <w:r>
                    <w:rPr>
                      <w:rFonts w:hint="default" w:ascii="Times New Roman" w:hAnsi="Times New Roman" w:eastAsia="宋体" w:cs="Times New Roman"/>
                      <w:i w:val="0"/>
                      <w:iCs w:val="0"/>
                      <w:color w:val="auto"/>
                      <w:kern w:val="0"/>
                      <w:sz w:val="21"/>
                      <w:szCs w:val="21"/>
                      <w:u w:val="none" w:color="auto"/>
                      <w:lang w:val="en-US" w:eastAsia="zh-CN" w:bidi="ar"/>
                    </w:rPr>
                    <w:t>氟化物</w:t>
                  </w:r>
                </w:p>
              </w:tc>
              <w:tc>
                <w:tcPr>
                  <w:tcW w:w="14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u w:val="none" w:color="auto"/>
                    </w:rPr>
                  </w:pPr>
                  <w:r>
                    <w:rPr>
                      <w:rFonts w:hint="default" w:ascii="Times New Roman" w:hAnsi="Times New Roman" w:eastAsia="宋体" w:cs="Times New Roman"/>
                      <w:i w:val="0"/>
                      <w:iCs w:val="0"/>
                      <w:color w:val="auto"/>
                      <w:kern w:val="0"/>
                      <w:sz w:val="21"/>
                      <w:szCs w:val="21"/>
                      <w:u w:val="none" w:color="auto"/>
                      <w:lang w:val="en-US" w:eastAsia="zh-CN" w:bidi="ar"/>
                    </w:rPr>
                    <w:t>0.4</w:t>
                  </w:r>
                </w:p>
              </w:tc>
              <w:tc>
                <w:tcPr>
                  <w:tcW w:w="14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u w:val="none" w:color="auto"/>
                    </w:rPr>
                  </w:pPr>
                  <w:r>
                    <w:rPr>
                      <w:rFonts w:hint="default" w:ascii="Times New Roman" w:hAnsi="Times New Roman" w:eastAsia="宋体" w:cs="Times New Roman"/>
                      <w:i w:val="0"/>
                      <w:iCs w:val="0"/>
                      <w:color w:val="auto"/>
                      <w:kern w:val="0"/>
                      <w:sz w:val="21"/>
                      <w:szCs w:val="21"/>
                      <w:u w:val="none" w:color="auto"/>
                      <w:lang w:val="en-US" w:eastAsia="zh-CN" w:bidi="ar"/>
                    </w:rPr>
                    <w:t>2.7</w:t>
                  </w:r>
                </w:p>
              </w:tc>
              <w:tc>
                <w:tcPr>
                  <w:tcW w:w="23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u w:val="none" w:color="auto"/>
                    </w:rPr>
                  </w:pPr>
                  <w:r>
                    <w:rPr>
                      <w:rFonts w:hint="default" w:ascii="Times New Roman" w:hAnsi="Times New Roman" w:eastAsia="宋体" w:cs="Times New Roman"/>
                      <w:i w:val="0"/>
                      <w:iCs w:val="0"/>
                      <w:color w:val="auto"/>
                      <w:kern w:val="0"/>
                      <w:sz w:val="21"/>
                      <w:szCs w:val="21"/>
                      <w:u w:val="none" w:color="auto"/>
                      <w:lang w:val="en-US" w:eastAsia="zh-CN" w:bidi="ar"/>
                    </w:rPr>
                    <w:t>20</w:t>
                  </w:r>
                </w:p>
              </w:tc>
              <w:tc>
                <w:tcPr>
                  <w:tcW w:w="1205" w:type="dxa"/>
                  <w:tcBorders>
                    <w:top w:val="single" w:color="000000" w:sz="4" w:space="0"/>
                    <w:left w:val="single" w:color="000000" w:sz="4" w:space="0"/>
                    <w:bottom w:val="single" w:color="000000"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i w:val="0"/>
                      <w:iCs w:val="0"/>
                      <w:color w:val="auto"/>
                      <w:sz w:val="21"/>
                      <w:szCs w:val="21"/>
                      <w:u w:val="none" w:color="auto"/>
                      <w:lang w:val="en-US" w:eastAsia="zh-CN"/>
                    </w:rPr>
                  </w:pPr>
                  <w:r>
                    <w:rPr>
                      <w:rFonts w:hint="eastAsia" w:ascii="Times New Roman" w:hAnsi="Times New Roman" w:eastAsia="宋体" w:cs="Times New Roman"/>
                      <w:i w:val="0"/>
                      <w:iCs w:val="0"/>
                      <w:color w:val="auto"/>
                      <w:sz w:val="21"/>
                      <w:szCs w:val="21"/>
                      <w:u w:val="none" w:color="auto"/>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2047" w:type="dxa"/>
                  <w:tcBorders>
                    <w:top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u w:val="none" w:color="auto"/>
                    </w:rPr>
                  </w:pPr>
                  <w:r>
                    <w:rPr>
                      <w:rFonts w:hint="default" w:ascii="Times New Roman" w:hAnsi="Times New Roman" w:eastAsia="宋体" w:cs="Times New Roman"/>
                      <w:i w:val="0"/>
                      <w:iCs w:val="0"/>
                      <w:color w:val="auto"/>
                      <w:kern w:val="0"/>
                      <w:sz w:val="21"/>
                      <w:szCs w:val="21"/>
                      <w:u w:val="none" w:color="auto"/>
                      <w:lang w:val="en-US" w:eastAsia="zh-CN" w:bidi="ar"/>
                    </w:rPr>
                    <w:t>总氮</w:t>
                  </w:r>
                </w:p>
              </w:tc>
              <w:tc>
                <w:tcPr>
                  <w:tcW w:w="14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u w:val="none" w:color="auto"/>
                    </w:rPr>
                  </w:pPr>
                  <w:r>
                    <w:rPr>
                      <w:rFonts w:hint="default" w:ascii="Times New Roman" w:hAnsi="Times New Roman" w:eastAsia="宋体" w:cs="Times New Roman"/>
                      <w:i w:val="0"/>
                      <w:iCs w:val="0"/>
                      <w:color w:val="auto"/>
                      <w:kern w:val="0"/>
                      <w:sz w:val="21"/>
                      <w:szCs w:val="21"/>
                      <w:u w:val="none" w:color="auto"/>
                      <w:lang w:val="en-US" w:eastAsia="zh-CN" w:bidi="ar"/>
                    </w:rPr>
                    <w:t>4.34</w:t>
                  </w:r>
                </w:p>
              </w:tc>
              <w:tc>
                <w:tcPr>
                  <w:tcW w:w="14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u w:val="none" w:color="auto"/>
                    </w:rPr>
                  </w:pPr>
                  <w:r>
                    <w:rPr>
                      <w:rFonts w:hint="default" w:ascii="Times New Roman" w:hAnsi="Times New Roman" w:eastAsia="宋体" w:cs="Times New Roman"/>
                      <w:i w:val="0"/>
                      <w:iCs w:val="0"/>
                      <w:color w:val="auto"/>
                      <w:kern w:val="0"/>
                      <w:sz w:val="21"/>
                      <w:szCs w:val="21"/>
                      <w:u w:val="none" w:color="auto"/>
                      <w:lang w:val="en-US" w:eastAsia="zh-CN" w:bidi="ar"/>
                    </w:rPr>
                    <w:t>28.4</w:t>
                  </w:r>
                </w:p>
              </w:tc>
              <w:tc>
                <w:tcPr>
                  <w:tcW w:w="23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u w:val="none" w:color="auto"/>
                    </w:rPr>
                  </w:pPr>
                  <w:r>
                    <w:rPr>
                      <w:rFonts w:hint="default" w:ascii="Times New Roman" w:hAnsi="Times New Roman" w:eastAsia="宋体" w:cs="Times New Roman"/>
                      <w:i w:val="0"/>
                      <w:iCs w:val="0"/>
                      <w:color w:val="auto"/>
                      <w:kern w:val="0"/>
                      <w:sz w:val="21"/>
                      <w:szCs w:val="21"/>
                      <w:u w:val="none" w:color="auto"/>
                      <w:lang w:val="en-US" w:eastAsia="zh-CN" w:bidi="ar"/>
                    </w:rPr>
                    <w:t>35</w:t>
                  </w:r>
                </w:p>
              </w:tc>
              <w:tc>
                <w:tcPr>
                  <w:tcW w:w="1205" w:type="dxa"/>
                  <w:tcBorders>
                    <w:top w:val="single" w:color="000000" w:sz="4" w:space="0"/>
                    <w:left w:val="single" w:color="000000" w:sz="4" w:space="0"/>
                    <w:bottom w:val="single" w:color="000000"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auto"/>
                      <w:sz w:val="21"/>
                      <w:szCs w:val="21"/>
                      <w:u w:val="none" w:color="auto"/>
                      <w:lang w:val="en-US" w:eastAsia="zh-CN"/>
                    </w:rPr>
                  </w:pPr>
                  <w:r>
                    <w:rPr>
                      <w:rFonts w:hint="eastAsia" w:ascii="Times New Roman" w:hAnsi="Times New Roman" w:eastAsia="宋体" w:cs="Times New Roman"/>
                      <w:i w:val="0"/>
                      <w:iCs w:val="0"/>
                      <w:color w:val="auto"/>
                      <w:sz w:val="21"/>
                      <w:szCs w:val="21"/>
                      <w:u w:val="none" w:color="auto"/>
                      <w:lang w:val="en-US" w:eastAsia="zh-CN"/>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2047" w:type="dxa"/>
                  <w:tcBorders>
                    <w:top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u w:val="none" w:color="auto"/>
                    </w:rPr>
                  </w:pPr>
                  <w:r>
                    <w:rPr>
                      <w:rFonts w:hint="default" w:ascii="Times New Roman" w:hAnsi="Times New Roman" w:eastAsia="宋体" w:cs="Times New Roman"/>
                      <w:i w:val="0"/>
                      <w:iCs w:val="0"/>
                      <w:color w:val="auto"/>
                      <w:kern w:val="0"/>
                      <w:sz w:val="21"/>
                      <w:szCs w:val="21"/>
                      <w:u w:val="none" w:color="auto"/>
                      <w:lang w:val="en-US" w:eastAsia="zh-CN" w:bidi="ar"/>
                    </w:rPr>
                    <w:t>氨氮</w:t>
                  </w:r>
                </w:p>
              </w:tc>
              <w:tc>
                <w:tcPr>
                  <w:tcW w:w="14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u w:val="none" w:color="auto"/>
                    </w:rPr>
                  </w:pPr>
                  <w:r>
                    <w:rPr>
                      <w:rFonts w:hint="default" w:ascii="Times New Roman" w:hAnsi="Times New Roman" w:eastAsia="宋体" w:cs="Times New Roman"/>
                      <w:i w:val="0"/>
                      <w:iCs w:val="0"/>
                      <w:color w:val="auto"/>
                      <w:sz w:val="21"/>
                      <w:szCs w:val="21"/>
                      <w:u w:val="none" w:color="auto"/>
                    </w:rPr>
                    <w:t>1.79</w:t>
                  </w:r>
                </w:p>
              </w:tc>
              <w:tc>
                <w:tcPr>
                  <w:tcW w:w="14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u w:val="none" w:color="auto"/>
                    </w:rPr>
                  </w:pPr>
                  <w:r>
                    <w:rPr>
                      <w:rFonts w:hint="default" w:ascii="Times New Roman" w:hAnsi="Times New Roman" w:eastAsia="宋体" w:cs="Times New Roman"/>
                      <w:i w:val="0"/>
                      <w:iCs w:val="0"/>
                      <w:color w:val="auto"/>
                      <w:kern w:val="0"/>
                      <w:sz w:val="21"/>
                      <w:szCs w:val="21"/>
                      <w:u w:val="none" w:color="auto"/>
                      <w:lang w:val="en-US" w:eastAsia="zh-CN" w:bidi="ar"/>
                    </w:rPr>
                    <w:t>13.568</w:t>
                  </w:r>
                </w:p>
              </w:tc>
              <w:tc>
                <w:tcPr>
                  <w:tcW w:w="23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u w:val="none" w:color="auto"/>
                    </w:rPr>
                  </w:pPr>
                  <w:r>
                    <w:rPr>
                      <w:rFonts w:hint="default" w:ascii="Times New Roman" w:hAnsi="Times New Roman" w:eastAsia="宋体" w:cs="Times New Roman"/>
                      <w:i w:val="0"/>
                      <w:iCs w:val="0"/>
                      <w:color w:val="auto"/>
                      <w:kern w:val="0"/>
                      <w:sz w:val="21"/>
                      <w:szCs w:val="21"/>
                      <w:u w:val="none" w:color="auto"/>
                      <w:lang w:val="en-US" w:eastAsia="zh-CN" w:bidi="ar"/>
                    </w:rPr>
                    <w:t>15</w:t>
                  </w:r>
                </w:p>
              </w:tc>
              <w:tc>
                <w:tcPr>
                  <w:tcW w:w="1205" w:type="dxa"/>
                  <w:tcBorders>
                    <w:top w:val="single" w:color="000000" w:sz="4" w:space="0"/>
                    <w:left w:val="single" w:color="000000" w:sz="4" w:space="0"/>
                    <w:bottom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1"/>
                      <w:szCs w:val="21"/>
                      <w:u w:val="none" w:color="auto"/>
                    </w:rPr>
                  </w:pPr>
                  <w:r>
                    <w:rPr>
                      <w:rFonts w:hint="default" w:ascii="Times New Roman" w:hAnsi="Times New Roman" w:eastAsia="宋体" w:cs="Times New Roman"/>
                      <w:i w:val="0"/>
                      <w:iCs w:val="0"/>
                      <w:color w:val="auto"/>
                      <w:kern w:val="0"/>
                      <w:sz w:val="21"/>
                      <w:szCs w:val="21"/>
                      <w:u w:val="none" w:color="auto"/>
                      <w:lang w:val="en-US" w:eastAsia="zh-CN" w:bidi="ar"/>
                    </w:rPr>
                    <w:t>35</w:t>
                  </w:r>
                </w:p>
              </w:tc>
            </w:tr>
          </w:tbl>
          <w:p>
            <w:pPr>
              <w:pStyle w:val="29"/>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360" w:lineRule="auto"/>
              <w:ind w:left="0" w:right="0" w:firstLine="241" w:firstLineChars="100"/>
              <w:textAlignment w:val="auto"/>
              <w:rPr>
                <w:rFonts w:hint="default" w:ascii="Times New Roman" w:hAnsi="Times New Roman" w:eastAsia="宋体" w:cs="Times New Roman"/>
                <w:b/>
                <w:bCs/>
                <w:color w:val="auto"/>
                <w:kern w:val="0"/>
                <w:sz w:val="24"/>
                <w:szCs w:val="24"/>
                <w:u w:val="none" w:color="auto"/>
                <w:lang w:val="en-US" w:eastAsia="zh-CN"/>
              </w:rPr>
            </w:pPr>
            <w:r>
              <w:rPr>
                <w:rFonts w:hint="eastAsia" w:ascii="Times New Roman" w:hAnsi="Times New Roman" w:eastAsia="宋体" w:cs="Times New Roman"/>
                <w:b/>
                <w:bCs/>
                <w:color w:val="auto"/>
                <w:kern w:val="0"/>
                <w:sz w:val="24"/>
                <w:szCs w:val="24"/>
                <w:u w:val="none" w:color="auto"/>
                <w:lang w:val="en-US" w:eastAsia="zh-CN"/>
              </w:rPr>
              <w:t>3.2废气</w:t>
            </w:r>
          </w:p>
          <w:p>
            <w:pPr>
              <w:pStyle w:val="29"/>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0"/>
                <w:sz w:val="24"/>
                <w:szCs w:val="24"/>
                <w:u w:val="none" w:color="auto"/>
                <w:lang w:val="en-US" w:eastAsia="zh-CN"/>
              </w:rPr>
            </w:pPr>
            <w:r>
              <w:rPr>
                <w:rFonts w:hint="eastAsia" w:ascii="Times New Roman" w:hAnsi="Times New Roman" w:eastAsia="宋体" w:cs="Times New Roman"/>
                <w:b w:val="0"/>
                <w:bCs w:val="0"/>
                <w:color w:val="auto"/>
                <w:kern w:val="0"/>
                <w:sz w:val="24"/>
                <w:szCs w:val="24"/>
                <w:u w:val="none" w:color="auto"/>
                <w:lang w:val="en-US" w:eastAsia="zh-CN"/>
              </w:rPr>
              <w:t>现有工程废气监测数据依据排污许可执行报告、2024年3月份和6月份河南政院检测有限公司出具的检测报告（ZYTHJB2024-0364C1、ZYTHJB2024-0455），根据废气监测结果，各工序排气筒出口各废气污染物排放浓度均满足《钢铁工业大气污染物排放标准》（DB41/ 1954—2020）、《工业炉窑大气污染物排放标准》（DB41/ 1066—2020）</w:t>
            </w:r>
            <w:r>
              <w:rPr>
                <w:rFonts w:hint="eastAsia" w:ascii="Times New Roman" w:eastAsia="宋体" w:cs="Times New Roman"/>
                <w:b w:val="0"/>
                <w:bCs w:val="0"/>
                <w:color w:val="auto"/>
                <w:kern w:val="0"/>
                <w:sz w:val="24"/>
                <w:szCs w:val="24"/>
                <w:u w:val="none" w:color="auto"/>
                <w:lang w:val="en-US" w:eastAsia="zh-CN"/>
              </w:rPr>
              <w:t>、《锅炉大气污染物排放标准》（DB41/2089—2021）</w:t>
            </w:r>
            <w:r>
              <w:rPr>
                <w:rFonts w:hint="eastAsia" w:ascii="Times New Roman" w:hAnsi="Times New Roman" w:eastAsia="宋体" w:cs="Times New Roman"/>
                <w:b w:val="0"/>
                <w:bCs w:val="0"/>
                <w:color w:val="auto"/>
                <w:kern w:val="0"/>
                <w:sz w:val="24"/>
                <w:szCs w:val="24"/>
                <w:u w:val="none" w:color="auto"/>
                <w:lang w:val="en-US" w:eastAsia="zh-CN"/>
              </w:rPr>
              <w:t>及《恶臭污染物排放标准》（GB 14554-93）相应标准限值，达标排放，无组织废气污染物满足《钢铁工业大气污染物排放标准》（DB41/1954—2020）及《恶臭污染物排放标准》（GB 14554-93）相应标准限值，达标排放。</w:t>
            </w:r>
          </w:p>
          <w:p>
            <w:pPr>
              <w:pStyle w:val="29"/>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240" w:lineRule="auto"/>
              <w:ind w:left="0" w:right="0" w:firstLine="482" w:firstLineChars="200"/>
              <w:jc w:val="center"/>
              <w:textAlignment w:val="auto"/>
              <w:rPr>
                <w:rFonts w:hint="default" w:ascii="Times New Roman" w:hAnsi="Times New Roman" w:eastAsia="宋体" w:cs="Times New Roman"/>
                <w:b/>
                <w:bCs/>
                <w:color w:val="auto"/>
                <w:kern w:val="0"/>
                <w:sz w:val="24"/>
                <w:szCs w:val="24"/>
                <w:u w:val="none" w:color="auto"/>
                <w:lang w:val="en-US" w:eastAsia="zh-CN"/>
              </w:rPr>
            </w:pPr>
            <w:r>
              <w:rPr>
                <w:rFonts w:hint="eastAsia" w:ascii="Times New Roman" w:hAnsi="Times New Roman" w:eastAsia="宋体" w:cs="Times New Roman"/>
                <w:b/>
                <w:bCs/>
                <w:color w:val="auto"/>
                <w:kern w:val="0"/>
                <w:sz w:val="24"/>
                <w:szCs w:val="24"/>
                <w:u w:val="none" w:color="auto"/>
                <w:lang w:val="en-US" w:eastAsia="zh-CN"/>
              </w:rPr>
              <w:t>现有工程各工序废气污染物监测结果一栏表 单位mg/m</w:t>
            </w:r>
            <w:r>
              <w:rPr>
                <w:rFonts w:hint="eastAsia" w:ascii="Times New Roman" w:hAnsi="Times New Roman" w:eastAsia="宋体" w:cs="Times New Roman"/>
                <w:b/>
                <w:bCs/>
                <w:color w:val="auto"/>
                <w:kern w:val="0"/>
                <w:sz w:val="24"/>
                <w:szCs w:val="24"/>
                <w:u w:val="none" w:color="auto"/>
                <w:vertAlign w:val="superscript"/>
                <w:lang w:val="en-US" w:eastAsia="zh-CN"/>
              </w:rPr>
              <w:t>3</w:t>
            </w:r>
          </w:p>
          <w:tbl>
            <w:tblPr>
              <w:tblStyle w:val="27"/>
              <w:tblW w:w="8420" w:type="dxa"/>
              <w:jc w:val="center"/>
              <w:tblInd w:w="0"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23"/>
              <w:gridCol w:w="2291"/>
              <w:gridCol w:w="1482"/>
              <w:gridCol w:w="1359"/>
              <w:gridCol w:w="1220"/>
              <w:gridCol w:w="1345"/>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23" w:type="dxa"/>
                  <w:vMerge w:val="restart"/>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b/>
                      <w:bCs/>
                      <w:color w:val="auto"/>
                      <w:sz w:val="21"/>
                      <w:szCs w:val="21"/>
                      <w:u w:val="none"/>
                      <w:lang w:val="zh-CN"/>
                    </w:rPr>
                  </w:pPr>
                  <w:r>
                    <w:rPr>
                      <w:rFonts w:hint="default" w:ascii="Times New Roman" w:hAnsi="Times New Roman" w:eastAsia="宋体" w:cs="Times New Roman"/>
                      <w:b/>
                      <w:bCs/>
                      <w:color w:val="auto"/>
                      <w:sz w:val="21"/>
                      <w:szCs w:val="21"/>
                      <w:u w:val="none"/>
                      <w:lang w:val="zh-CN"/>
                    </w:rPr>
                    <w:t>序号</w:t>
                  </w:r>
                </w:p>
              </w:tc>
              <w:tc>
                <w:tcPr>
                  <w:tcW w:w="2291" w:type="dxa"/>
                  <w:vMerge w:val="restart"/>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b/>
                      <w:bCs/>
                      <w:color w:val="auto"/>
                      <w:sz w:val="21"/>
                      <w:szCs w:val="21"/>
                      <w:u w:val="none"/>
                      <w:lang w:val="zh-CN"/>
                    </w:rPr>
                  </w:pPr>
                  <w:r>
                    <w:rPr>
                      <w:rFonts w:hint="default" w:ascii="Times New Roman" w:hAnsi="Times New Roman" w:eastAsia="宋体" w:cs="Times New Roman"/>
                      <w:b/>
                      <w:bCs/>
                      <w:color w:val="auto"/>
                      <w:sz w:val="21"/>
                      <w:szCs w:val="21"/>
                      <w:u w:val="none"/>
                      <w:lang w:val="zh-CN"/>
                    </w:rPr>
                    <w:t>监测点位</w:t>
                  </w:r>
                </w:p>
              </w:tc>
              <w:tc>
                <w:tcPr>
                  <w:tcW w:w="1482" w:type="dxa"/>
                  <w:vMerge w:val="restart"/>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b/>
                      <w:bCs/>
                      <w:color w:val="auto"/>
                      <w:sz w:val="21"/>
                      <w:szCs w:val="21"/>
                      <w:u w:val="none"/>
                      <w:lang w:val="zh-CN"/>
                    </w:rPr>
                  </w:pPr>
                  <w:r>
                    <w:rPr>
                      <w:rFonts w:hint="default" w:ascii="Times New Roman" w:hAnsi="Times New Roman" w:eastAsia="宋体" w:cs="Times New Roman"/>
                      <w:b/>
                      <w:bCs/>
                      <w:color w:val="auto"/>
                      <w:sz w:val="21"/>
                      <w:szCs w:val="21"/>
                      <w:u w:val="none"/>
                      <w:lang w:val="zh-CN"/>
                    </w:rPr>
                    <w:t>监测项目</w:t>
                  </w:r>
                </w:p>
              </w:tc>
              <w:tc>
                <w:tcPr>
                  <w:tcW w:w="2579" w:type="dxa"/>
                  <w:gridSpan w:val="2"/>
                  <w:tcBorders>
                    <w:bottom w:val="single" w:color="000000" w:sz="4" w:space="0"/>
                  </w:tcBorders>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b/>
                      <w:bCs/>
                      <w:color w:val="auto"/>
                      <w:sz w:val="21"/>
                      <w:szCs w:val="21"/>
                      <w:u w:val="none"/>
                      <w:lang w:val="en-US" w:eastAsia="zh-CN"/>
                    </w:rPr>
                  </w:pPr>
                  <w:r>
                    <w:rPr>
                      <w:rFonts w:hint="default" w:ascii="Times New Roman" w:hAnsi="Times New Roman" w:eastAsia="宋体" w:cs="Times New Roman"/>
                      <w:b/>
                      <w:bCs/>
                      <w:color w:val="auto"/>
                      <w:sz w:val="21"/>
                      <w:szCs w:val="21"/>
                      <w:u w:val="none"/>
                      <w:lang w:val="en-US" w:eastAsia="zh-CN"/>
                    </w:rPr>
                    <w:t>监测结果</w:t>
                  </w:r>
                </w:p>
              </w:tc>
              <w:tc>
                <w:tcPr>
                  <w:tcW w:w="1345" w:type="dxa"/>
                  <w:vMerge w:val="restart"/>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b/>
                      <w:bCs/>
                      <w:color w:val="auto"/>
                      <w:sz w:val="21"/>
                      <w:szCs w:val="21"/>
                      <w:u w:val="none"/>
                      <w:lang w:val="en-US" w:eastAsia="zh-CN"/>
                    </w:rPr>
                  </w:pPr>
                  <w:r>
                    <w:rPr>
                      <w:rFonts w:hint="default" w:ascii="Times New Roman" w:hAnsi="Times New Roman" w:eastAsia="宋体" w:cs="Times New Roman"/>
                      <w:b/>
                      <w:bCs/>
                      <w:color w:val="auto"/>
                      <w:sz w:val="21"/>
                      <w:szCs w:val="21"/>
                      <w:u w:val="none"/>
                      <w:lang w:val="en-US" w:eastAsia="zh-CN"/>
                    </w:rPr>
                    <w:t>标准限值</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359" w:type="dxa"/>
                  <w:tcBorders>
                    <w:top w:val="single" w:color="000000" w:sz="4" w:space="0"/>
                  </w:tcBorders>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b/>
                      <w:bCs/>
                      <w:color w:val="auto"/>
                      <w:sz w:val="21"/>
                      <w:szCs w:val="21"/>
                      <w:u w:val="none"/>
                      <w:lang w:val="en-US" w:eastAsia="zh-CN"/>
                    </w:rPr>
                  </w:pPr>
                  <w:r>
                    <w:rPr>
                      <w:rFonts w:hint="default" w:ascii="Times New Roman" w:hAnsi="Times New Roman" w:eastAsia="宋体" w:cs="Times New Roman"/>
                      <w:b/>
                      <w:bCs/>
                      <w:color w:val="auto"/>
                      <w:sz w:val="21"/>
                      <w:szCs w:val="21"/>
                      <w:u w:val="none"/>
                      <w:lang w:val="en-US" w:eastAsia="zh-CN"/>
                    </w:rPr>
                    <w:t>最小值</w:t>
                  </w:r>
                </w:p>
              </w:tc>
              <w:tc>
                <w:tcPr>
                  <w:tcW w:w="1220" w:type="dxa"/>
                  <w:tcBorders>
                    <w:top w:val="single" w:color="000000" w:sz="4" w:space="0"/>
                  </w:tcBorders>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b/>
                      <w:bCs/>
                      <w:color w:val="auto"/>
                      <w:sz w:val="21"/>
                      <w:szCs w:val="21"/>
                      <w:u w:val="none"/>
                      <w:lang w:val="en-US" w:eastAsia="zh-CN"/>
                    </w:rPr>
                  </w:pPr>
                  <w:r>
                    <w:rPr>
                      <w:rFonts w:hint="default" w:ascii="Times New Roman" w:hAnsi="Times New Roman" w:eastAsia="宋体" w:cs="Times New Roman"/>
                      <w:b/>
                      <w:bCs/>
                      <w:color w:val="auto"/>
                      <w:sz w:val="21"/>
                      <w:szCs w:val="21"/>
                      <w:u w:val="none"/>
                      <w:lang w:val="en-US" w:eastAsia="zh-CN"/>
                    </w:rPr>
                    <w:t>最大值</w:t>
                  </w:r>
                </w:p>
              </w:tc>
              <w:tc>
                <w:tcPr>
                  <w:tcW w:w="1345"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restart"/>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1</w:t>
                  </w:r>
                </w:p>
              </w:tc>
              <w:tc>
                <w:tcPr>
                  <w:tcW w:w="2291" w:type="dxa"/>
                  <w:vMerge w:val="restart"/>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eastAsia="zh-CN"/>
                    </w:rPr>
                    <w:t>排气筒出口</w:t>
                  </w:r>
                </w:p>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zh-CN"/>
                    </w:rPr>
                  </w:pPr>
                  <w:r>
                    <w:rPr>
                      <w:rFonts w:hint="default" w:ascii="Times New Roman" w:hAnsi="Times New Roman" w:eastAsia="宋体" w:cs="Times New Roman"/>
                      <w:color w:val="auto"/>
                      <w:sz w:val="21"/>
                      <w:szCs w:val="21"/>
                      <w:highlight w:val="none"/>
                      <w:u w:val="none"/>
                      <w:lang w:val="zh-CN"/>
                    </w:rPr>
                    <w:t>（</w:t>
                  </w:r>
                  <w:r>
                    <w:rPr>
                      <w:rFonts w:hint="default" w:ascii="Times New Roman" w:hAnsi="Times New Roman" w:eastAsia="宋体" w:cs="Times New Roman"/>
                      <w:color w:val="auto"/>
                      <w:sz w:val="21"/>
                      <w:szCs w:val="21"/>
                      <w:highlight w:val="none"/>
                      <w:u w:val="none"/>
                      <w:lang w:val="en-US" w:eastAsia="zh-CN"/>
                    </w:rPr>
                    <w:t>一期锅炉</w:t>
                  </w:r>
                  <w:r>
                    <w:rPr>
                      <w:rFonts w:hint="default" w:ascii="Times New Roman" w:hAnsi="Times New Roman" w:eastAsia="宋体" w:cs="Times New Roman"/>
                      <w:color w:val="auto"/>
                      <w:sz w:val="21"/>
                      <w:szCs w:val="21"/>
                      <w:highlight w:val="none"/>
                      <w:u w:val="none"/>
                      <w:lang w:val="zh-CN"/>
                    </w:rPr>
                    <w:t>废气）</w:t>
                  </w: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zh-CN"/>
                    </w:rPr>
                  </w:pPr>
                  <w:r>
                    <w:rPr>
                      <w:rFonts w:hint="default" w:ascii="Times New Roman" w:hAnsi="Times New Roman" w:eastAsia="宋体" w:cs="Times New Roman"/>
                      <w:color w:val="auto"/>
                      <w:sz w:val="21"/>
                      <w:szCs w:val="21"/>
                      <w:highlight w:val="none"/>
                      <w:u w:val="none"/>
                      <w:lang w:val="zh-CN"/>
                    </w:rPr>
                    <w:t>颗粒物</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eastAsia="zh-CN"/>
                    </w:rPr>
                    <w:t>2.1</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eastAsia="zh-CN"/>
                    </w:rPr>
                    <w:t>2.8</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eastAsia="zh-CN"/>
                    </w:rPr>
                    <w:t>5</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zh-CN"/>
                    </w:rPr>
                  </w:pPr>
                  <w:r>
                    <w:rPr>
                      <w:rFonts w:hint="default" w:ascii="Times New Roman" w:hAnsi="Times New Roman" w:eastAsia="宋体" w:cs="Times New Roman"/>
                      <w:color w:val="auto"/>
                      <w:sz w:val="21"/>
                      <w:szCs w:val="21"/>
                      <w:highlight w:val="none"/>
                      <w:u w:val="none"/>
                      <w:lang w:val="zh-CN"/>
                    </w:rPr>
                    <w:t>二氧化硫</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eastAsia="zh-CN"/>
                    </w:rPr>
                    <w:t>未检出</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zh-CN"/>
                    </w:rPr>
                  </w:pPr>
                  <w:r>
                    <w:rPr>
                      <w:rFonts w:hint="default" w:ascii="Times New Roman" w:hAnsi="Times New Roman" w:eastAsia="宋体" w:cs="Times New Roman"/>
                      <w:color w:val="auto"/>
                      <w:sz w:val="21"/>
                      <w:szCs w:val="21"/>
                      <w:highlight w:val="none"/>
                      <w:u w:val="none"/>
                      <w:lang w:val="en-US" w:eastAsia="zh-CN"/>
                    </w:rPr>
                    <w:t>未检出</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eastAsia="zh-CN"/>
                    </w:rPr>
                    <w:t>10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zh-CN"/>
                    </w:rPr>
                  </w:pPr>
                  <w:r>
                    <w:rPr>
                      <w:rFonts w:hint="default" w:ascii="Times New Roman" w:hAnsi="Times New Roman" w:eastAsia="宋体" w:cs="Times New Roman"/>
                      <w:color w:val="auto"/>
                      <w:sz w:val="21"/>
                      <w:szCs w:val="21"/>
                      <w:highlight w:val="none"/>
                      <w:u w:val="none"/>
                      <w:lang w:val="zh-CN"/>
                    </w:rPr>
                    <w:t>烟气黑度</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zh-CN"/>
                    </w:rPr>
                    <w:t>＜</w:t>
                  </w:r>
                  <w:r>
                    <w:rPr>
                      <w:rFonts w:hint="default" w:ascii="Times New Roman" w:hAnsi="Times New Roman" w:eastAsia="宋体" w:cs="Times New Roman"/>
                      <w:color w:val="auto"/>
                      <w:sz w:val="21"/>
                      <w:szCs w:val="21"/>
                      <w:highlight w:val="none"/>
                      <w:u w:val="none"/>
                      <w:lang w:val="en-US" w:eastAsia="zh-CN"/>
                    </w:rPr>
                    <w:t>1级</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zh-CN"/>
                    </w:rPr>
                  </w:pPr>
                  <w:r>
                    <w:rPr>
                      <w:rFonts w:hint="default" w:ascii="Times New Roman" w:hAnsi="Times New Roman" w:eastAsia="宋体" w:cs="Times New Roman"/>
                      <w:color w:val="auto"/>
                      <w:sz w:val="21"/>
                      <w:szCs w:val="21"/>
                      <w:highlight w:val="none"/>
                      <w:u w:val="none"/>
                      <w:lang w:val="zh-CN"/>
                    </w:rPr>
                    <w:t>＜</w:t>
                  </w:r>
                  <w:r>
                    <w:rPr>
                      <w:rFonts w:hint="default" w:ascii="Times New Roman" w:hAnsi="Times New Roman" w:eastAsia="宋体" w:cs="Times New Roman"/>
                      <w:color w:val="auto"/>
                      <w:sz w:val="21"/>
                      <w:szCs w:val="21"/>
                      <w:highlight w:val="none"/>
                      <w:u w:val="none"/>
                      <w:lang w:val="en-US" w:eastAsia="zh-CN"/>
                    </w:rPr>
                    <w:t>1级</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zh-CN"/>
                    </w:rPr>
                  </w:pPr>
                  <w:r>
                    <w:rPr>
                      <w:rFonts w:hint="default" w:ascii="Times New Roman" w:hAnsi="Times New Roman" w:eastAsia="宋体" w:cs="Times New Roman"/>
                      <w:color w:val="auto"/>
                      <w:sz w:val="21"/>
                      <w:szCs w:val="21"/>
                      <w:highlight w:val="none"/>
                      <w:u w:val="none"/>
                      <w:lang w:val="zh-CN"/>
                    </w:rPr>
                    <w:t>≤</w:t>
                  </w:r>
                  <w:r>
                    <w:rPr>
                      <w:rFonts w:hint="default" w:ascii="Times New Roman" w:hAnsi="Times New Roman" w:eastAsia="宋体" w:cs="Times New Roman"/>
                      <w:color w:val="auto"/>
                      <w:sz w:val="21"/>
                      <w:szCs w:val="21"/>
                      <w:highlight w:val="none"/>
                      <w:u w:val="none"/>
                      <w:lang w:val="en-US" w:eastAsia="zh-CN"/>
                    </w:rPr>
                    <w:t>1级</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zh-CN"/>
                    </w:rPr>
                  </w:pPr>
                  <w:r>
                    <w:rPr>
                      <w:rFonts w:hint="default" w:ascii="Times New Roman" w:hAnsi="Times New Roman" w:eastAsia="宋体" w:cs="Times New Roman"/>
                      <w:color w:val="auto"/>
                      <w:sz w:val="21"/>
                      <w:szCs w:val="21"/>
                      <w:highlight w:val="none"/>
                      <w:u w:val="none"/>
                      <w:lang w:val="zh-CN"/>
                    </w:rPr>
                    <w:t>氮氧化物</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eastAsia="zh-CN"/>
                    </w:rPr>
                    <w:t>23</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eastAsia="zh-CN"/>
                    </w:rPr>
                    <w:t>24</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eastAsia="zh-CN"/>
                    </w:rPr>
                    <w:t>30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2</w:t>
                  </w:r>
                </w:p>
              </w:tc>
              <w:tc>
                <w:tcPr>
                  <w:tcW w:w="2291"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highlight w:val="none"/>
                      <w:u w:val="none"/>
                      <w:lang w:val="en-US" w:eastAsia="zh-CN"/>
                    </w:rPr>
                    <w:t>排气筒出口</w:t>
                  </w:r>
                </w:p>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w:t>
                  </w:r>
                  <w:r>
                    <w:rPr>
                      <w:rFonts w:hint="default" w:ascii="Times New Roman" w:hAnsi="Times New Roman" w:eastAsia="宋体" w:cs="Times New Roman"/>
                      <w:color w:val="auto"/>
                      <w:sz w:val="21"/>
                      <w:szCs w:val="21"/>
                      <w:u w:val="none"/>
                      <w:lang w:val="en-US" w:eastAsia="zh-CN"/>
                    </w:rPr>
                    <w:t>一期</w:t>
                  </w:r>
                  <w:r>
                    <w:rPr>
                      <w:rFonts w:hint="default" w:ascii="Times New Roman" w:hAnsi="Times New Roman" w:eastAsia="宋体" w:cs="Times New Roman"/>
                      <w:color w:val="auto"/>
                      <w:sz w:val="21"/>
                      <w:szCs w:val="21"/>
                      <w:u w:val="none"/>
                      <w:lang w:val="zh-CN"/>
                    </w:rPr>
                    <w:t>酸洗线酸雾废气）</w:t>
                  </w: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HCl</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4.1</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9.9</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15</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3</w:t>
                  </w:r>
                </w:p>
              </w:tc>
              <w:tc>
                <w:tcPr>
                  <w:tcW w:w="2291"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highlight w:val="none"/>
                      <w:u w:val="none"/>
                      <w:lang w:val="en-US" w:eastAsia="zh-CN"/>
                    </w:rPr>
                    <w:t>排气筒出口</w:t>
                  </w:r>
                </w:p>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w:t>
                  </w:r>
                  <w:r>
                    <w:rPr>
                      <w:rFonts w:hint="default" w:ascii="Times New Roman" w:hAnsi="Times New Roman" w:eastAsia="宋体" w:cs="Times New Roman"/>
                      <w:color w:val="auto"/>
                      <w:sz w:val="21"/>
                      <w:szCs w:val="21"/>
                      <w:u w:val="none"/>
                      <w:lang w:val="en-US" w:eastAsia="zh-CN"/>
                    </w:rPr>
                    <w:t>一期</w:t>
                  </w:r>
                  <w:r>
                    <w:rPr>
                      <w:rFonts w:hint="default" w:ascii="Times New Roman" w:hAnsi="Times New Roman" w:eastAsia="宋体" w:cs="Times New Roman"/>
                      <w:color w:val="auto"/>
                      <w:sz w:val="21"/>
                      <w:szCs w:val="21"/>
                      <w:u w:val="none"/>
                      <w:lang w:val="zh-CN"/>
                    </w:rPr>
                    <w:t>废酸再生铁粉</w:t>
                  </w:r>
                  <w:r>
                    <w:rPr>
                      <w:rFonts w:hint="default" w:ascii="Times New Roman" w:hAnsi="Times New Roman" w:eastAsia="宋体" w:cs="Times New Roman"/>
                      <w:color w:val="auto"/>
                      <w:sz w:val="21"/>
                      <w:szCs w:val="21"/>
                      <w:u w:val="none"/>
                      <w:lang w:val="en-US" w:eastAsia="zh-CN"/>
                    </w:rPr>
                    <w:t>输送</w:t>
                  </w:r>
                  <w:r>
                    <w:rPr>
                      <w:rFonts w:hint="default" w:ascii="Times New Roman" w:hAnsi="Times New Roman" w:eastAsia="宋体" w:cs="Times New Roman"/>
                      <w:color w:val="auto"/>
                      <w:sz w:val="21"/>
                      <w:szCs w:val="21"/>
                      <w:u w:val="none"/>
                      <w:lang w:val="zh-CN"/>
                    </w:rPr>
                    <w:t>废气）</w:t>
                  </w: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zh-CN"/>
                    </w:rPr>
                    <w:t>HCl</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停运</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en-US" w:eastAsia="zh-CN"/>
                    </w:rPr>
                    <w:t>停运</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rPr>
                  </w:pPr>
                  <w:r>
                    <w:rPr>
                      <w:rFonts w:hint="eastAsia" w:ascii="Times New Roman" w:hAnsi="Times New Roman" w:eastAsia="宋体" w:cs="Times New Roman"/>
                      <w:color w:val="auto"/>
                      <w:sz w:val="21"/>
                      <w:szCs w:val="21"/>
                      <w:u w:val="none"/>
                      <w:lang w:val="en-US" w:eastAsia="zh-CN"/>
                    </w:rPr>
                    <w:t>15</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restart"/>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4</w:t>
                  </w:r>
                </w:p>
              </w:tc>
              <w:tc>
                <w:tcPr>
                  <w:tcW w:w="2291" w:type="dxa"/>
                  <w:vMerge w:val="restart"/>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highlight w:val="none"/>
                      <w:u w:val="none"/>
                      <w:lang w:val="en-US" w:eastAsia="zh-CN"/>
                    </w:rPr>
                    <w:t>排气筒出口</w:t>
                  </w:r>
                </w:p>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w:t>
                  </w:r>
                  <w:r>
                    <w:rPr>
                      <w:rFonts w:hint="default" w:ascii="Times New Roman" w:hAnsi="Times New Roman" w:eastAsia="宋体" w:cs="Times New Roman"/>
                      <w:color w:val="auto"/>
                      <w:sz w:val="21"/>
                      <w:szCs w:val="21"/>
                      <w:u w:val="none"/>
                      <w:lang w:val="en-US" w:eastAsia="zh-CN"/>
                    </w:rPr>
                    <w:t>一期</w:t>
                  </w:r>
                  <w:r>
                    <w:rPr>
                      <w:rFonts w:hint="default" w:ascii="Times New Roman" w:hAnsi="Times New Roman" w:eastAsia="宋体" w:cs="Times New Roman"/>
                      <w:color w:val="auto"/>
                      <w:sz w:val="21"/>
                      <w:szCs w:val="21"/>
                      <w:u w:val="none"/>
                      <w:lang w:val="zh-CN"/>
                    </w:rPr>
                    <w:t>废酸再生</w:t>
                  </w:r>
                  <w:r>
                    <w:rPr>
                      <w:rFonts w:hint="default" w:ascii="Times New Roman" w:hAnsi="Times New Roman" w:eastAsia="宋体" w:cs="Times New Roman"/>
                      <w:color w:val="auto"/>
                      <w:sz w:val="21"/>
                      <w:szCs w:val="21"/>
                      <w:u w:val="none"/>
                      <w:lang w:val="en-US" w:eastAsia="zh-CN"/>
                    </w:rPr>
                    <w:t>焙烧</w:t>
                  </w:r>
                  <w:r>
                    <w:rPr>
                      <w:rFonts w:hint="default" w:ascii="Times New Roman" w:hAnsi="Times New Roman" w:eastAsia="宋体" w:cs="Times New Roman"/>
                      <w:color w:val="auto"/>
                      <w:sz w:val="21"/>
                      <w:szCs w:val="21"/>
                      <w:u w:val="none"/>
                      <w:lang w:val="zh-CN"/>
                    </w:rPr>
                    <w:t>废气）</w:t>
                  </w: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颗粒物</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2.3</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9.1</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20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二氧化硫</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10.33</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19</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200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氮氧化物</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47</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219</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300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HCl</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4.6</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11.1</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30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5</w:t>
                  </w:r>
                </w:p>
              </w:tc>
              <w:tc>
                <w:tcPr>
                  <w:tcW w:w="2291"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highlight w:val="none"/>
                      <w:u w:val="none"/>
                      <w:lang w:val="en-US" w:eastAsia="zh-CN"/>
                    </w:rPr>
                    <w:t>排气筒出口</w:t>
                  </w:r>
                </w:p>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w:t>
                  </w:r>
                  <w:r>
                    <w:rPr>
                      <w:rFonts w:hint="default" w:ascii="Times New Roman" w:hAnsi="Times New Roman" w:eastAsia="宋体" w:cs="Times New Roman"/>
                      <w:color w:val="auto"/>
                      <w:sz w:val="21"/>
                      <w:szCs w:val="21"/>
                      <w:u w:val="none"/>
                      <w:lang w:val="en-US" w:eastAsia="zh-CN"/>
                    </w:rPr>
                    <w:t>一期</w:t>
                  </w:r>
                  <w:r>
                    <w:rPr>
                      <w:rFonts w:hint="default" w:ascii="Times New Roman" w:hAnsi="Times New Roman" w:eastAsia="宋体" w:cs="Times New Roman"/>
                      <w:color w:val="auto"/>
                      <w:sz w:val="21"/>
                      <w:szCs w:val="21"/>
                      <w:u w:val="none"/>
                      <w:lang w:val="zh-CN"/>
                    </w:rPr>
                    <w:t>1#轧制机组废气）</w:t>
                  </w: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油雾</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bidi="ar-SA"/>
                    </w:rPr>
                  </w:pPr>
                  <w:r>
                    <w:rPr>
                      <w:rFonts w:hint="default" w:ascii="Times New Roman" w:hAnsi="Times New Roman" w:eastAsia="宋体" w:cs="Times New Roman"/>
                      <w:color w:val="auto"/>
                      <w:sz w:val="21"/>
                      <w:szCs w:val="21"/>
                      <w:u w:val="none"/>
                      <w:lang w:val="en-US" w:eastAsia="zh-CN"/>
                    </w:rPr>
                    <w:t>1.1</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bidi="ar-SA"/>
                    </w:rPr>
                  </w:pPr>
                  <w:r>
                    <w:rPr>
                      <w:rFonts w:hint="default" w:ascii="Times New Roman" w:hAnsi="Times New Roman" w:eastAsia="宋体" w:cs="Times New Roman"/>
                      <w:color w:val="auto"/>
                      <w:sz w:val="21"/>
                      <w:szCs w:val="21"/>
                      <w:u w:val="none"/>
                      <w:lang w:val="en-US" w:eastAsia="zh-CN"/>
                    </w:rPr>
                    <w:t>2.2</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bidi="ar-SA"/>
                    </w:rPr>
                  </w:pPr>
                  <w:r>
                    <w:rPr>
                      <w:rFonts w:hint="default" w:ascii="Times New Roman" w:hAnsi="Times New Roman" w:eastAsia="宋体" w:cs="Times New Roman"/>
                      <w:color w:val="auto"/>
                      <w:sz w:val="21"/>
                      <w:szCs w:val="21"/>
                      <w:u w:val="none"/>
                      <w:lang w:val="en-US" w:eastAsia="zh-CN"/>
                    </w:rPr>
                    <w:t>20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6</w:t>
                  </w:r>
                </w:p>
              </w:tc>
              <w:tc>
                <w:tcPr>
                  <w:tcW w:w="2291"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highlight w:val="none"/>
                      <w:u w:val="none"/>
                      <w:lang w:val="en-US" w:eastAsia="zh-CN"/>
                    </w:rPr>
                    <w:t>排气筒出口</w:t>
                  </w:r>
                </w:p>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w:t>
                  </w:r>
                  <w:r>
                    <w:rPr>
                      <w:rFonts w:hint="default" w:ascii="Times New Roman" w:hAnsi="Times New Roman" w:eastAsia="宋体" w:cs="Times New Roman"/>
                      <w:color w:val="auto"/>
                      <w:sz w:val="21"/>
                      <w:szCs w:val="21"/>
                      <w:u w:val="none"/>
                      <w:lang w:val="en-US" w:eastAsia="zh-CN"/>
                    </w:rPr>
                    <w:t>一期</w:t>
                  </w:r>
                  <w:r>
                    <w:rPr>
                      <w:rFonts w:hint="default" w:ascii="Times New Roman" w:hAnsi="Times New Roman" w:eastAsia="宋体" w:cs="Times New Roman"/>
                      <w:color w:val="auto"/>
                      <w:sz w:val="21"/>
                      <w:szCs w:val="21"/>
                      <w:u w:val="none"/>
                      <w:lang w:val="zh-CN"/>
                    </w:rPr>
                    <w:t>2#轧制机组废气）</w:t>
                  </w: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油雾</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1.1</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2.2</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20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7</w:t>
                  </w:r>
                </w:p>
              </w:tc>
              <w:tc>
                <w:tcPr>
                  <w:tcW w:w="2291"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highlight w:val="none"/>
                      <w:u w:val="none"/>
                      <w:lang w:val="en-US" w:eastAsia="zh-CN"/>
                    </w:rPr>
                    <w:t>排气筒出口</w:t>
                  </w:r>
                </w:p>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w:t>
                  </w:r>
                  <w:r>
                    <w:rPr>
                      <w:rFonts w:hint="default" w:ascii="Times New Roman" w:hAnsi="Times New Roman" w:eastAsia="宋体" w:cs="Times New Roman"/>
                      <w:color w:val="auto"/>
                      <w:sz w:val="21"/>
                      <w:szCs w:val="21"/>
                      <w:u w:val="none"/>
                      <w:lang w:val="en-US" w:eastAsia="zh-CN"/>
                    </w:rPr>
                    <w:t>一期</w:t>
                  </w:r>
                  <w:r>
                    <w:rPr>
                      <w:rFonts w:hint="default" w:ascii="Times New Roman" w:hAnsi="Times New Roman" w:eastAsia="宋体" w:cs="Times New Roman"/>
                      <w:color w:val="auto"/>
                      <w:sz w:val="21"/>
                      <w:szCs w:val="21"/>
                      <w:u w:val="none"/>
                      <w:lang w:val="zh-CN"/>
                    </w:rPr>
                    <w:t>3#轧制机组废气）</w:t>
                  </w: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油雾</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0.7</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1.4</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20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8</w:t>
                  </w:r>
                </w:p>
              </w:tc>
              <w:tc>
                <w:tcPr>
                  <w:tcW w:w="2291"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highlight w:val="none"/>
                      <w:u w:val="none"/>
                      <w:lang w:val="en-US" w:eastAsia="zh-CN"/>
                    </w:rPr>
                    <w:t>排气筒出口</w:t>
                  </w:r>
                </w:p>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w:t>
                  </w:r>
                  <w:r>
                    <w:rPr>
                      <w:rFonts w:hint="default" w:ascii="Times New Roman" w:hAnsi="Times New Roman" w:eastAsia="宋体" w:cs="Times New Roman"/>
                      <w:color w:val="auto"/>
                      <w:sz w:val="21"/>
                      <w:szCs w:val="21"/>
                      <w:u w:val="none"/>
                      <w:lang w:val="en-US" w:eastAsia="zh-CN"/>
                    </w:rPr>
                    <w:t>一期</w:t>
                  </w:r>
                  <w:r>
                    <w:rPr>
                      <w:rFonts w:hint="default" w:ascii="Times New Roman" w:hAnsi="Times New Roman" w:eastAsia="宋体" w:cs="Times New Roman"/>
                      <w:color w:val="auto"/>
                      <w:sz w:val="21"/>
                      <w:szCs w:val="21"/>
                      <w:u w:val="none"/>
                      <w:lang w:val="zh-CN"/>
                    </w:rPr>
                    <w:t>4#轧制机组废气）</w:t>
                  </w: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油雾</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en-US" w:eastAsia="zh-CN"/>
                    </w:rPr>
                    <w:t>1.1</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rPr>
                  </w:pPr>
                  <w:r>
                    <w:rPr>
                      <w:rFonts w:hint="default" w:ascii="Times New Roman" w:hAnsi="Times New Roman" w:eastAsia="宋体" w:cs="Times New Roman"/>
                      <w:color w:val="auto"/>
                      <w:sz w:val="21"/>
                      <w:szCs w:val="21"/>
                      <w:u w:val="none"/>
                      <w:lang w:val="en-US" w:eastAsia="zh-CN"/>
                    </w:rPr>
                    <w:t>2.3</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en-US" w:eastAsia="zh-CN"/>
                    </w:rPr>
                    <w:t>20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9</w:t>
                  </w:r>
                </w:p>
              </w:tc>
              <w:tc>
                <w:tcPr>
                  <w:tcW w:w="2291"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highlight w:val="none"/>
                      <w:u w:val="none"/>
                      <w:lang w:val="en-US" w:eastAsia="zh-CN"/>
                    </w:rPr>
                    <w:t>排气筒出口</w:t>
                  </w:r>
                </w:p>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w:t>
                  </w:r>
                  <w:r>
                    <w:rPr>
                      <w:rFonts w:hint="default" w:ascii="Times New Roman" w:hAnsi="Times New Roman" w:eastAsia="宋体" w:cs="Times New Roman"/>
                      <w:color w:val="auto"/>
                      <w:sz w:val="21"/>
                      <w:szCs w:val="21"/>
                      <w:u w:val="none"/>
                      <w:lang w:val="en-US" w:eastAsia="zh-CN"/>
                    </w:rPr>
                    <w:t>一期</w:t>
                  </w:r>
                  <w:r>
                    <w:rPr>
                      <w:rFonts w:hint="default" w:ascii="Times New Roman" w:hAnsi="Times New Roman" w:eastAsia="宋体" w:cs="Times New Roman"/>
                      <w:color w:val="auto"/>
                      <w:sz w:val="21"/>
                      <w:szCs w:val="21"/>
                      <w:u w:val="none"/>
                      <w:lang w:val="zh-CN"/>
                    </w:rPr>
                    <w:t>1#镀锌脱脂碱雾废气）</w:t>
                  </w: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碱雾</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1.005</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2.06</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10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10</w:t>
                  </w:r>
                </w:p>
              </w:tc>
              <w:tc>
                <w:tcPr>
                  <w:tcW w:w="2291"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highlight w:val="none"/>
                      <w:u w:val="none"/>
                      <w:lang w:val="en-US" w:eastAsia="zh-CN"/>
                    </w:rPr>
                    <w:t>排气筒出口</w:t>
                  </w:r>
                </w:p>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w:t>
                  </w:r>
                  <w:r>
                    <w:rPr>
                      <w:rFonts w:hint="default" w:ascii="Times New Roman" w:hAnsi="Times New Roman" w:eastAsia="宋体" w:cs="Times New Roman"/>
                      <w:color w:val="auto"/>
                      <w:sz w:val="21"/>
                      <w:szCs w:val="21"/>
                      <w:u w:val="none"/>
                      <w:lang w:val="en-US" w:eastAsia="zh-CN"/>
                    </w:rPr>
                    <w:t>一期</w:t>
                  </w:r>
                  <w:r>
                    <w:rPr>
                      <w:rFonts w:hint="default" w:ascii="Times New Roman" w:hAnsi="Times New Roman" w:eastAsia="宋体" w:cs="Times New Roman"/>
                      <w:color w:val="auto"/>
                      <w:sz w:val="21"/>
                      <w:szCs w:val="21"/>
                      <w:u w:val="none"/>
                      <w:lang w:val="zh-CN"/>
                    </w:rPr>
                    <w:t>2#镀锌脱脂碱雾废气）</w:t>
                  </w: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碱雾</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0.96</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1.95</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10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11</w:t>
                  </w:r>
                </w:p>
              </w:tc>
              <w:tc>
                <w:tcPr>
                  <w:tcW w:w="2291"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highlight w:val="none"/>
                      <w:u w:val="none"/>
                      <w:lang w:val="en-US" w:eastAsia="zh-CN"/>
                    </w:rPr>
                    <w:t>排气筒出口</w:t>
                  </w:r>
                </w:p>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w:t>
                  </w:r>
                  <w:r>
                    <w:rPr>
                      <w:rFonts w:hint="default" w:ascii="Times New Roman" w:hAnsi="Times New Roman" w:eastAsia="宋体" w:cs="Times New Roman"/>
                      <w:color w:val="auto"/>
                      <w:sz w:val="21"/>
                      <w:szCs w:val="21"/>
                      <w:u w:val="none"/>
                      <w:lang w:val="en-US" w:eastAsia="zh-CN"/>
                    </w:rPr>
                    <w:t>一期</w:t>
                  </w:r>
                  <w:r>
                    <w:rPr>
                      <w:rFonts w:hint="default" w:ascii="Times New Roman" w:hAnsi="Times New Roman" w:eastAsia="宋体" w:cs="Times New Roman"/>
                      <w:color w:val="auto"/>
                      <w:sz w:val="21"/>
                      <w:szCs w:val="21"/>
                      <w:u w:val="none"/>
                      <w:lang w:val="zh-CN"/>
                    </w:rPr>
                    <w:t>3#镀锌脱脂碱雾废气）</w:t>
                  </w: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碱雾</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0.495</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0.97</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10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restart"/>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12</w:t>
                  </w:r>
                </w:p>
              </w:tc>
              <w:tc>
                <w:tcPr>
                  <w:tcW w:w="2291" w:type="dxa"/>
                  <w:vMerge w:val="restart"/>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highlight w:val="none"/>
                      <w:u w:val="none"/>
                      <w:lang w:val="en-US" w:eastAsia="zh-CN"/>
                    </w:rPr>
                    <w:t>排气筒出口</w:t>
                  </w:r>
                </w:p>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w:t>
                  </w:r>
                  <w:r>
                    <w:rPr>
                      <w:rFonts w:hint="default" w:ascii="Times New Roman" w:hAnsi="Times New Roman" w:eastAsia="宋体" w:cs="Times New Roman"/>
                      <w:color w:val="auto"/>
                      <w:sz w:val="21"/>
                      <w:szCs w:val="21"/>
                      <w:u w:val="none"/>
                      <w:lang w:val="en-US" w:eastAsia="zh-CN"/>
                    </w:rPr>
                    <w:t>一期</w:t>
                  </w:r>
                  <w:r>
                    <w:rPr>
                      <w:rFonts w:hint="default" w:ascii="Times New Roman" w:hAnsi="Times New Roman" w:eastAsia="宋体" w:cs="Times New Roman"/>
                      <w:color w:val="auto"/>
                      <w:sz w:val="21"/>
                      <w:szCs w:val="21"/>
                      <w:u w:val="none"/>
                      <w:lang w:val="zh-CN"/>
                    </w:rPr>
                    <w:t>1#退火炉燃烧废气）</w:t>
                  </w: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颗粒物</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1.193</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9.91</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10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二氧化硫</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0.888</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17.58</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50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氮氧化物</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5.707</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91.25</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150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restart"/>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13</w:t>
                  </w:r>
                </w:p>
              </w:tc>
              <w:tc>
                <w:tcPr>
                  <w:tcW w:w="2291" w:type="dxa"/>
                  <w:vMerge w:val="restart"/>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highlight w:val="none"/>
                      <w:u w:val="none"/>
                      <w:lang w:val="en-US" w:eastAsia="zh-CN"/>
                    </w:rPr>
                    <w:t>排气筒出口</w:t>
                  </w:r>
                </w:p>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w:t>
                  </w:r>
                  <w:r>
                    <w:rPr>
                      <w:rFonts w:hint="default" w:ascii="Times New Roman" w:hAnsi="Times New Roman" w:eastAsia="宋体" w:cs="Times New Roman"/>
                      <w:color w:val="auto"/>
                      <w:sz w:val="21"/>
                      <w:szCs w:val="21"/>
                      <w:u w:val="none"/>
                      <w:lang w:val="en-US" w:eastAsia="zh-CN"/>
                    </w:rPr>
                    <w:t>一期</w:t>
                  </w:r>
                  <w:r>
                    <w:rPr>
                      <w:rFonts w:hint="default" w:ascii="Times New Roman" w:hAnsi="Times New Roman" w:eastAsia="宋体" w:cs="Times New Roman"/>
                      <w:color w:val="auto"/>
                      <w:sz w:val="21"/>
                      <w:szCs w:val="21"/>
                      <w:u w:val="none"/>
                      <w:lang w:val="zh-CN"/>
                    </w:rPr>
                    <w:t>2#退火炉燃烧废气）</w:t>
                  </w: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颗粒物</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0.16</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9.11</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10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二氧化硫</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0.22</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27.46</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50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氮氧化物</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0.08</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47.97</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150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restart"/>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14</w:t>
                  </w:r>
                </w:p>
              </w:tc>
              <w:tc>
                <w:tcPr>
                  <w:tcW w:w="2291" w:type="dxa"/>
                  <w:vMerge w:val="restart"/>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highlight w:val="none"/>
                      <w:u w:val="none"/>
                      <w:lang w:val="en-US" w:eastAsia="zh-CN"/>
                    </w:rPr>
                    <w:t>排气筒出口</w:t>
                  </w:r>
                </w:p>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w:t>
                  </w:r>
                  <w:r>
                    <w:rPr>
                      <w:rFonts w:hint="default" w:ascii="Times New Roman" w:hAnsi="Times New Roman" w:eastAsia="宋体" w:cs="Times New Roman"/>
                      <w:color w:val="auto"/>
                      <w:sz w:val="21"/>
                      <w:szCs w:val="21"/>
                      <w:u w:val="none"/>
                      <w:lang w:val="en-US" w:eastAsia="zh-CN"/>
                    </w:rPr>
                    <w:t>一期</w:t>
                  </w:r>
                  <w:r>
                    <w:rPr>
                      <w:rFonts w:hint="default" w:ascii="Times New Roman" w:hAnsi="Times New Roman" w:eastAsia="宋体" w:cs="Times New Roman"/>
                      <w:color w:val="auto"/>
                      <w:sz w:val="21"/>
                      <w:szCs w:val="21"/>
                      <w:u w:val="none"/>
                      <w:lang w:val="zh-CN"/>
                    </w:rPr>
                    <w:t>3#退火炉燃烧废气）</w:t>
                  </w: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颗粒物</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2.52</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9.81</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10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二氧化硫</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0.05</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11.4</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50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氮氧化物</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0.05</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45.9</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150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15</w:t>
                  </w:r>
                </w:p>
              </w:tc>
              <w:tc>
                <w:tcPr>
                  <w:tcW w:w="2291"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highlight w:val="none"/>
                      <w:u w:val="none"/>
                      <w:lang w:val="en-US" w:eastAsia="zh-CN"/>
                    </w:rPr>
                    <w:t>排气筒出口</w:t>
                  </w:r>
                </w:p>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w:t>
                  </w:r>
                  <w:r>
                    <w:rPr>
                      <w:rFonts w:hint="default" w:ascii="Times New Roman" w:hAnsi="Times New Roman" w:eastAsia="宋体" w:cs="Times New Roman"/>
                      <w:color w:val="auto"/>
                      <w:sz w:val="21"/>
                      <w:szCs w:val="21"/>
                      <w:u w:val="none"/>
                      <w:lang w:val="en-US" w:eastAsia="zh-CN"/>
                    </w:rPr>
                    <w:t>一期</w:t>
                  </w:r>
                  <w:r>
                    <w:rPr>
                      <w:rFonts w:hint="default" w:ascii="Times New Roman" w:hAnsi="Times New Roman" w:eastAsia="宋体" w:cs="Times New Roman"/>
                      <w:color w:val="auto"/>
                      <w:sz w:val="21"/>
                      <w:szCs w:val="21"/>
                      <w:u w:val="none"/>
                      <w:lang w:val="zh-CN"/>
                    </w:rPr>
                    <w:t>1#彩涂线碱洗废气）</w:t>
                  </w: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碱雾</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0.6</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1.26</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10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16</w:t>
                  </w:r>
                </w:p>
              </w:tc>
              <w:tc>
                <w:tcPr>
                  <w:tcW w:w="2291"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highlight w:val="none"/>
                      <w:u w:val="none"/>
                      <w:lang w:val="en-US" w:eastAsia="zh-CN"/>
                    </w:rPr>
                    <w:t>排气筒出口</w:t>
                  </w:r>
                </w:p>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w:t>
                  </w:r>
                  <w:r>
                    <w:rPr>
                      <w:rFonts w:hint="default" w:ascii="Times New Roman" w:hAnsi="Times New Roman" w:eastAsia="宋体" w:cs="Times New Roman"/>
                      <w:color w:val="auto"/>
                      <w:sz w:val="21"/>
                      <w:szCs w:val="21"/>
                      <w:u w:val="none"/>
                      <w:lang w:val="en-US" w:eastAsia="zh-CN"/>
                    </w:rPr>
                    <w:t>一期</w:t>
                  </w:r>
                  <w:r>
                    <w:rPr>
                      <w:rFonts w:hint="default" w:ascii="Times New Roman" w:hAnsi="Times New Roman" w:eastAsia="宋体" w:cs="Times New Roman"/>
                      <w:color w:val="auto"/>
                      <w:sz w:val="21"/>
                      <w:szCs w:val="21"/>
                      <w:u w:val="none"/>
                      <w:lang w:val="zh-CN"/>
                    </w:rPr>
                    <w:t>2#彩涂线碱洗废气）</w:t>
                  </w: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碱雾</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0.435</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0.88</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10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17</w:t>
                  </w:r>
                </w:p>
              </w:tc>
              <w:tc>
                <w:tcPr>
                  <w:tcW w:w="2291"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highlight w:val="none"/>
                      <w:u w:val="none"/>
                      <w:lang w:val="en-US" w:eastAsia="zh-CN"/>
                    </w:rPr>
                    <w:t>排气筒出口</w:t>
                  </w:r>
                </w:p>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w:t>
                  </w:r>
                  <w:r>
                    <w:rPr>
                      <w:rFonts w:hint="default" w:ascii="Times New Roman" w:hAnsi="Times New Roman" w:eastAsia="宋体" w:cs="Times New Roman"/>
                      <w:color w:val="auto"/>
                      <w:sz w:val="21"/>
                      <w:szCs w:val="21"/>
                      <w:u w:val="none"/>
                      <w:lang w:val="en-US" w:eastAsia="zh-CN"/>
                    </w:rPr>
                    <w:t>一期</w:t>
                  </w:r>
                  <w:r>
                    <w:rPr>
                      <w:rFonts w:hint="default" w:ascii="Times New Roman" w:hAnsi="Times New Roman" w:eastAsia="宋体" w:cs="Times New Roman"/>
                      <w:color w:val="auto"/>
                      <w:sz w:val="21"/>
                      <w:szCs w:val="21"/>
                      <w:u w:val="none"/>
                      <w:lang w:val="zh-CN"/>
                    </w:rPr>
                    <w:t>3#彩涂线碱洗废气）</w:t>
                  </w: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碱雾</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0.49</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1.01</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10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restart"/>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18</w:t>
                  </w:r>
                </w:p>
              </w:tc>
              <w:tc>
                <w:tcPr>
                  <w:tcW w:w="2291" w:type="dxa"/>
                  <w:vMerge w:val="restart"/>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highlight w:val="none"/>
                      <w:u w:val="none"/>
                      <w:lang w:val="en-US" w:eastAsia="zh-CN"/>
                    </w:rPr>
                    <w:t>排气筒出口</w:t>
                  </w:r>
                </w:p>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w:t>
                  </w:r>
                  <w:r>
                    <w:rPr>
                      <w:rFonts w:hint="default" w:ascii="Times New Roman" w:hAnsi="Times New Roman" w:eastAsia="宋体" w:cs="Times New Roman"/>
                      <w:color w:val="auto"/>
                      <w:sz w:val="21"/>
                      <w:szCs w:val="21"/>
                      <w:u w:val="none"/>
                      <w:lang w:val="en-US" w:eastAsia="zh-CN"/>
                    </w:rPr>
                    <w:t>一期</w:t>
                  </w:r>
                  <w:r>
                    <w:rPr>
                      <w:rFonts w:hint="default" w:ascii="Times New Roman" w:hAnsi="Times New Roman" w:eastAsia="宋体" w:cs="Times New Roman"/>
                      <w:color w:val="auto"/>
                      <w:sz w:val="21"/>
                      <w:szCs w:val="21"/>
                      <w:u w:val="none"/>
                      <w:lang w:val="zh-CN"/>
                    </w:rPr>
                    <w:t>1#彩涂调漆、初涂和精涂有机废气）</w:t>
                  </w: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bidi="ar-SA"/>
                    </w:rPr>
                  </w:pPr>
                  <w:r>
                    <w:rPr>
                      <w:rFonts w:hint="default" w:ascii="Times New Roman" w:hAnsi="Times New Roman" w:eastAsia="宋体" w:cs="Times New Roman"/>
                      <w:color w:val="auto"/>
                      <w:sz w:val="21"/>
                      <w:szCs w:val="21"/>
                      <w:u w:val="none"/>
                      <w:lang w:val="zh-CN"/>
                    </w:rPr>
                    <w:t>甲苯</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0.0044</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0.0235</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bidi="ar-SA"/>
                    </w:rPr>
                  </w:pPr>
                  <w:r>
                    <w:rPr>
                      <w:rFonts w:hint="default" w:ascii="Times New Roman" w:hAnsi="Times New Roman" w:eastAsia="宋体" w:cs="Times New Roman"/>
                      <w:color w:val="auto"/>
                      <w:sz w:val="21"/>
                      <w:szCs w:val="21"/>
                      <w:u w:val="none"/>
                      <w:lang w:val="en-US" w:eastAsia="zh-CN"/>
                    </w:rPr>
                    <w:t>25</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bidi="ar-SA"/>
                    </w:rPr>
                  </w:pPr>
                  <w:r>
                    <w:rPr>
                      <w:rFonts w:hint="default" w:ascii="Times New Roman" w:hAnsi="Times New Roman" w:eastAsia="宋体" w:cs="Times New Roman"/>
                      <w:color w:val="auto"/>
                      <w:sz w:val="21"/>
                      <w:szCs w:val="21"/>
                      <w:u w:val="none"/>
                      <w:lang w:val="zh-CN"/>
                    </w:rPr>
                    <w:t>二甲苯</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0.0342</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0.721</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bidi="ar-SA"/>
                    </w:rPr>
                  </w:pPr>
                  <w:r>
                    <w:rPr>
                      <w:rFonts w:hint="default" w:ascii="Times New Roman" w:hAnsi="Times New Roman" w:eastAsia="宋体" w:cs="Times New Roman"/>
                      <w:color w:val="auto"/>
                      <w:sz w:val="21"/>
                      <w:szCs w:val="21"/>
                      <w:u w:val="none"/>
                      <w:lang w:val="en-US" w:eastAsia="zh-CN"/>
                    </w:rPr>
                    <w:t>40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bidi="ar-SA"/>
                    </w:rPr>
                  </w:pPr>
                  <w:r>
                    <w:rPr>
                      <w:rFonts w:hint="default" w:ascii="Times New Roman" w:hAnsi="Times New Roman" w:eastAsia="宋体" w:cs="Times New Roman"/>
                      <w:color w:val="auto"/>
                      <w:sz w:val="21"/>
                      <w:szCs w:val="21"/>
                      <w:u w:val="none"/>
                      <w:lang w:val="zh-CN"/>
                    </w:rPr>
                    <w:t>非甲烷总烃</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0.79</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6.89</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bidi="ar-SA"/>
                    </w:rPr>
                  </w:pPr>
                  <w:r>
                    <w:rPr>
                      <w:rFonts w:hint="default" w:ascii="Times New Roman" w:hAnsi="Times New Roman" w:eastAsia="宋体" w:cs="Times New Roman"/>
                      <w:color w:val="auto"/>
                      <w:sz w:val="21"/>
                      <w:szCs w:val="21"/>
                      <w:u w:val="none"/>
                      <w:lang w:val="en-US" w:eastAsia="zh-CN"/>
                    </w:rPr>
                    <w:t>50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jc w:val="center"/>
              </w:trPr>
              <w:tc>
                <w:tcPr>
                  <w:tcW w:w="723" w:type="dxa"/>
                  <w:vMerge w:val="restart"/>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19</w:t>
                  </w:r>
                </w:p>
              </w:tc>
              <w:tc>
                <w:tcPr>
                  <w:tcW w:w="2291" w:type="dxa"/>
                  <w:vMerge w:val="restart"/>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highlight w:val="none"/>
                      <w:u w:val="none"/>
                      <w:lang w:val="en-US" w:eastAsia="zh-CN"/>
                    </w:rPr>
                    <w:t>排气筒出口</w:t>
                  </w:r>
                </w:p>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w:t>
                  </w:r>
                  <w:r>
                    <w:rPr>
                      <w:rFonts w:hint="default" w:ascii="Times New Roman" w:hAnsi="Times New Roman" w:eastAsia="宋体" w:cs="Times New Roman"/>
                      <w:color w:val="auto"/>
                      <w:sz w:val="21"/>
                      <w:szCs w:val="21"/>
                      <w:u w:val="none"/>
                      <w:lang w:val="en-US" w:eastAsia="zh-CN"/>
                    </w:rPr>
                    <w:t>一期</w:t>
                  </w:r>
                  <w:r>
                    <w:rPr>
                      <w:rFonts w:hint="default" w:ascii="Times New Roman" w:hAnsi="Times New Roman" w:eastAsia="宋体" w:cs="Times New Roman"/>
                      <w:color w:val="auto"/>
                      <w:sz w:val="21"/>
                      <w:szCs w:val="21"/>
                      <w:u w:val="none"/>
                      <w:lang w:val="zh-CN"/>
                    </w:rPr>
                    <w:t>2#彩涂调漆、初涂和精涂有机废气）</w:t>
                  </w: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苯</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0.00725</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0.0202</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bidi="ar-SA"/>
                    </w:rPr>
                  </w:pPr>
                  <w:r>
                    <w:rPr>
                      <w:rFonts w:hint="default" w:ascii="Times New Roman" w:hAnsi="Times New Roman" w:eastAsia="宋体" w:cs="Times New Roman"/>
                      <w:color w:val="auto"/>
                      <w:sz w:val="21"/>
                      <w:szCs w:val="21"/>
                      <w:u w:val="none"/>
                      <w:lang w:val="en-US" w:eastAsia="zh-CN"/>
                    </w:rPr>
                    <w:t>5</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甲苯</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0.0121</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0.171</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25</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二甲苯</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0.0253</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16.9</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40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非甲烷总烃</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4.33</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37.5</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50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restart"/>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20</w:t>
                  </w:r>
                </w:p>
              </w:tc>
              <w:tc>
                <w:tcPr>
                  <w:tcW w:w="2291" w:type="dxa"/>
                  <w:vMerge w:val="restart"/>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highlight w:val="none"/>
                      <w:u w:val="none"/>
                      <w:lang w:val="en-US" w:eastAsia="zh-CN"/>
                    </w:rPr>
                    <w:t>排气筒出口</w:t>
                  </w:r>
                </w:p>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w:t>
                  </w:r>
                  <w:r>
                    <w:rPr>
                      <w:rFonts w:hint="default" w:ascii="Times New Roman" w:hAnsi="Times New Roman" w:eastAsia="宋体" w:cs="Times New Roman"/>
                      <w:color w:val="auto"/>
                      <w:sz w:val="21"/>
                      <w:szCs w:val="21"/>
                      <w:u w:val="none"/>
                      <w:lang w:val="en-US" w:eastAsia="zh-CN"/>
                    </w:rPr>
                    <w:t>一期</w:t>
                  </w:r>
                  <w:r>
                    <w:rPr>
                      <w:rFonts w:hint="default" w:ascii="Times New Roman" w:hAnsi="Times New Roman" w:eastAsia="宋体" w:cs="Times New Roman"/>
                      <w:color w:val="auto"/>
                      <w:sz w:val="21"/>
                      <w:szCs w:val="21"/>
                      <w:u w:val="none"/>
                      <w:lang w:val="zh-CN"/>
                    </w:rPr>
                    <w:t>3#彩涂调漆、初涂和精涂有机废气）</w:t>
                  </w: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bidi="ar-SA"/>
                    </w:rPr>
                  </w:pPr>
                  <w:r>
                    <w:rPr>
                      <w:rFonts w:hint="default" w:ascii="Times New Roman" w:hAnsi="Times New Roman" w:eastAsia="宋体" w:cs="Times New Roman"/>
                      <w:color w:val="auto"/>
                      <w:sz w:val="21"/>
                      <w:szCs w:val="21"/>
                      <w:u w:val="none"/>
                      <w:lang w:val="zh-CN"/>
                    </w:rPr>
                    <w:t>甲苯</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0.006</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0.0256</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bidi="ar-SA"/>
                    </w:rPr>
                  </w:pPr>
                  <w:r>
                    <w:rPr>
                      <w:rFonts w:hint="default" w:ascii="Times New Roman" w:hAnsi="Times New Roman" w:eastAsia="宋体" w:cs="Times New Roman"/>
                      <w:color w:val="auto"/>
                      <w:sz w:val="21"/>
                      <w:szCs w:val="21"/>
                      <w:u w:val="none"/>
                      <w:lang w:val="en-US" w:eastAsia="zh-CN"/>
                    </w:rPr>
                    <w:t>25</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bidi="ar-SA"/>
                    </w:rPr>
                  </w:pPr>
                  <w:r>
                    <w:rPr>
                      <w:rFonts w:hint="default" w:ascii="Times New Roman" w:hAnsi="Times New Roman" w:eastAsia="宋体" w:cs="Times New Roman"/>
                      <w:color w:val="auto"/>
                      <w:sz w:val="21"/>
                      <w:szCs w:val="21"/>
                      <w:u w:val="none"/>
                      <w:lang w:val="zh-CN"/>
                    </w:rPr>
                    <w:t>二甲苯</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0.0308</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2.50</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bidi="ar-SA"/>
                    </w:rPr>
                  </w:pPr>
                  <w:r>
                    <w:rPr>
                      <w:rFonts w:hint="default" w:ascii="Times New Roman" w:hAnsi="Times New Roman" w:eastAsia="宋体" w:cs="Times New Roman"/>
                      <w:color w:val="auto"/>
                      <w:sz w:val="21"/>
                      <w:szCs w:val="21"/>
                      <w:u w:val="none"/>
                      <w:lang w:val="en-US" w:eastAsia="zh-CN"/>
                    </w:rPr>
                    <w:t>40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bidi="ar-SA"/>
                    </w:rPr>
                  </w:pPr>
                  <w:r>
                    <w:rPr>
                      <w:rFonts w:hint="default" w:ascii="Times New Roman" w:hAnsi="Times New Roman" w:eastAsia="宋体" w:cs="Times New Roman"/>
                      <w:color w:val="auto"/>
                      <w:sz w:val="21"/>
                      <w:szCs w:val="21"/>
                      <w:u w:val="none"/>
                      <w:lang w:val="zh-CN"/>
                    </w:rPr>
                    <w:t>非甲烷总烃</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1.29</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9.72</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bidi="ar-SA"/>
                    </w:rPr>
                  </w:pPr>
                  <w:r>
                    <w:rPr>
                      <w:rFonts w:hint="default" w:ascii="Times New Roman" w:hAnsi="Times New Roman" w:eastAsia="宋体" w:cs="Times New Roman"/>
                      <w:color w:val="auto"/>
                      <w:sz w:val="21"/>
                      <w:szCs w:val="21"/>
                      <w:u w:val="none"/>
                      <w:lang w:val="en-US" w:eastAsia="zh-CN"/>
                    </w:rPr>
                    <w:t>50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restart"/>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21</w:t>
                  </w:r>
                </w:p>
              </w:tc>
              <w:tc>
                <w:tcPr>
                  <w:tcW w:w="2291" w:type="dxa"/>
                  <w:vMerge w:val="restart"/>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highlight w:val="none"/>
                      <w:u w:val="none"/>
                      <w:lang w:val="en-US" w:eastAsia="zh-CN"/>
                    </w:rPr>
                    <w:t>排气筒出口</w:t>
                  </w:r>
                </w:p>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w:t>
                  </w:r>
                  <w:r>
                    <w:rPr>
                      <w:rFonts w:hint="default" w:ascii="Times New Roman" w:hAnsi="Times New Roman" w:eastAsia="宋体" w:cs="Times New Roman"/>
                      <w:color w:val="auto"/>
                      <w:sz w:val="21"/>
                      <w:szCs w:val="21"/>
                      <w:u w:val="none"/>
                      <w:lang w:val="en-US" w:eastAsia="zh-CN"/>
                    </w:rPr>
                    <w:t>一期</w:t>
                  </w:r>
                  <w:r>
                    <w:rPr>
                      <w:rFonts w:hint="default" w:ascii="Times New Roman" w:hAnsi="Times New Roman" w:eastAsia="宋体" w:cs="Times New Roman"/>
                      <w:color w:val="auto"/>
                      <w:sz w:val="21"/>
                      <w:szCs w:val="21"/>
                      <w:u w:val="none"/>
                      <w:lang w:val="zh-CN"/>
                    </w:rPr>
                    <w:t>1#彩涂流平和固化有机废气）</w:t>
                  </w: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苯</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0.165</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5.56</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5</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甲苯</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0.223</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7.2</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25</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二甲苯</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0.31</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25.2</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40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非甲烷总烃</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i w:val="0"/>
                      <w:iCs w:val="0"/>
                      <w:caps w:val="0"/>
                      <w:color w:val="auto"/>
                      <w:spacing w:val="0"/>
                      <w:sz w:val="21"/>
                      <w:szCs w:val="21"/>
                      <w:u w:val="none"/>
                      <w:shd w:val="clear" w:color="auto" w:fill="FFFFFF"/>
                    </w:rPr>
                    <w:t>18.56</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i w:val="0"/>
                      <w:iCs w:val="0"/>
                      <w:caps w:val="0"/>
                      <w:color w:val="auto"/>
                      <w:spacing w:val="0"/>
                      <w:sz w:val="21"/>
                      <w:szCs w:val="21"/>
                      <w:u w:val="none"/>
                      <w:shd w:val="clear" w:color="auto" w:fill="FFFFFF"/>
                    </w:rPr>
                    <w:t>42.04</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50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颗粒物</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0.51</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28.79</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30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二氧化硫</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0.43</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40.4</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200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氮氧化物</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0.62</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209.55</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300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restart"/>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22</w:t>
                  </w:r>
                </w:p>
              </w:tc>
              <w:tc>
                <w:tcPr>
                  <w:tcW w:w="2291" w:type="dxa"/>
                  <w:vMerge w:val="restart"/>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highlight w:val="none"/>
                      <w:u w:val="none"/>
                      <w:lang w:val="en-US" w:eastAsia="zh-CN"/>
                    </w:rPr>
                    <w:t>排气筒出口</w:t>
                  </w:r>
                </w:p>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w:t>
                  </w:r>
                  <w:r>
                    <w:rPr>
                      <w:rFonts w:hint="default" w:ascii="Times New Roman" w:hAnsi="Times New Roman" w:eastAsia="宋体" w:cs="Times New Roman"/>
                      <w:color w:val="auto"/>
                      <w:sz w:val="21"/>
                      <w:szCs w:val="21"/>
                      <w:u w:val="none"/>
                      <w:lang w:val="en-US" w:eastAsia="zh-CN"/>
                    </w:rPr>
                    <w:t>一期</w:t>
                  </w:r>
                  <w:r>
                    <w:rPr>
                      <w:rFonts w:hint="default" w:ascii="Times New Roman" w:hAnsi="Times New Roman" w:eastAsia="宋体" w:cs="Times New Roman"/>
                      <w:color w:val="auto"/>
                      <w:sz w:val="21"/>
                      <w:szCs w:val="21"/>
                      <w:u w:val="none"/>
                      <w:lang w:val="zh-CN"/>
                    </w:rPr>
                    <w:t>2#彩涂流平和固化有机废气）</w:t>
                  </w: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苯</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0.222</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3.72</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5</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甲苯</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0.237</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4.75</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25</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二甲苯</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0.01</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8.39</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40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非甲烷总烃</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0.01</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47.47</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50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颗粒物</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0.34</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30.49</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30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二氧化硫</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0.88</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102.6</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200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氮氧化物</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0.32</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285.89</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300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restart"/>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23</w:t>
                  </w:r>
                </w:p>
              </w:tc>
              <w:tc>
                <w:tcPr>
                  <w:tcW w:w="2291" w:type="dxa"/>
                  <w:vMerge w:val="restart"/>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highlight w:val="none"/>
                      <w:u w:val="none"/>
                      <w:lang w:val="en-US" w:eastAsia="zh-CN"/>
                    </w:rPr>
                    <w:t>排气筒出口</w:t>
                  </w:r>
                </w:p>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w:t>
                  </w:r>
                  <w:r>
                    <w:rPr>
                      <w:rFonts w:hint="default" w:ascii="Times New Roman" w:hAnsi="Times New Roman" w:eastAsia="宋体" w:cs="Times New Roman"/>
                      <w:color w:val="auto"/>
                      <w:sz w:val="21"/>
                      <w:szCs w:val="21"/>
                      <w:u w:val="none"/>
                      <w:lang w:val="en-US" w:eastAsia="zh-CN"/>
                    </w:rPr>
                    <w:t>一期</w:t>
                  </w:r>
                  <w:r>
                    <w:rPr>
                      <w:rFonts w:hint="default" w:ascii="Times New Roman" w:hAnsi="Times New Roman" w:eastAsia="宋体" w:cs="Times New Roman"/>
                      <w:color w:val="auto"/>
                      <w:sz w:val="21"/>
                      <w:szCs w:val="21"/>
                      <w:u w:val="none"/>
                      <w:lang w:val="zh-CN"/>
                    </w:rPr>
                    <w:t>3#彩涂流平和固化有机废气）</w:t>
                  </w: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苯</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0.127</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2.57</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bidi="ar-SA"/>
                    </w:rPr>
                  </w:pPr>
                  <w:r>
                    <w:rPr>
                      <w:rFonts w:hint="default" w:ascii="Times New Roman" w:hAnsi="Times New Roman" w:eastAsia="宋体" w:cs="Times New Roman"/>
                      <w:color w:val="auto"/>
                      <w:sz w:val="21"/>
                      <w:szCs w:val="21"/>
                      <w:u w:val="none"/>
                      <w:lang w:val="en-US" w:eastAsia="zh-CN"/>
                    </w:rPr>
                    <w:t>5</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甲苯</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0.205</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13.96</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bidi="ar-SA"/>
                    </w:rPr>
                  </w:pPr>
                  <w:r>
                    <w:rPr>
                      <w:rFonts w:hint="default" w:ascii="Times New Roman" w:hAnsi="Times New Roman" w:eastAsia="宋体" w:cs="Times New Roman"/>
                      <w:color w:val="auto"/>
                      <w:sz w:val="21"/>
                      <w:szCs w:val="21"/>
                      <w:u w:val="none"/>
                      <w:lang w:val="en-US" w:eastAsia="zh-CN"/>
                    </w:rPr>
                    <w:t>25</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二甲苯</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i w:val="0"/>
                      <w:iCs w:val="0"/>
                      <w:caps w:val="0"/>
                      <w:color w:val="auto"/>
                      <w:spacing w:val="0"/>
                      <w:sz w:val="21"/>
                      <w:szCs w:val="21"/>
                      <w:u w:val="none"/>
                      <w:shd w:val="clear" w:color="auto" w:fill="FFFFFF"/>
                    </w:rPr>
                    <w:t>0.213</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19.25</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bidi="ar-SA"/>
                    </w:rPr>
                  </w:pPr>
                  <w:r>
                    <w:rPr>
                      <w:rFonts w:hint="default" w:ascii="Times New Roman" w:hAnsi="Times New Roman" w:eastAsia="宋体" w:cs="Times New Roman"/>
                      <w:color w:val="auto"/>
                      <w:sz w:val="21"/>
                      <w:szCs w:val="21"/>
                      <w:u w:val="none"/>
                      <w:lang w:val="en-US" w:eastAsia="zh-CN"/>
                    </w:rPr>
                    <w:t>40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非甲烷总烃</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i w:val="0"/>
                      <w:iCs w:val="0"/>
                      <w:caps w:val="0"/>
                      <w:color w:val="auto"/>
                      <w:spacing w:val="0"/>
                      <w:sz w:val="21"/>
                      <w:szCs w:val="21"/>
                      <w:u w:val="none"/>
                      <w:shd w:val="clear" w:color="auto" w:fill="FFFFFF"/>
                    </w:rPr>
                    <w:t>13.23</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32.45</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bidi="ar-SA"/>
                    </w:rPr>
                  </w:pPr>
                  <w:r>
                    <w:rPr>
                      <w:rFonts w:hint="default" w:ascii="Times New Roman" w:hAnsi="Times New Roman" w:eastAsia="宋体" w:cs="Times New Roman"/>
                      <w:color w:val="auto"/>
                      <w:sz w:val="21"/>
                      <w:szCs w:val="21"/>
                      <w:u w:val="none"/>
                      <w:lang w:val="en-US" w:eastAsia="zh-CN"/>
                    </w:rPr>
                    <w:t>50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颗粒物</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5.02</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29.3</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bidi="ar-SA"/>
                    </w:rPr>
                  </w:pPr>
                  <w:r>
                    <w:rPr>
                      <w:rFonts w:hint="default" w:ascii="Times New Roman" w:hAnsi="Times New Roman" w:eastAsia="宋体" w:cs="Times New Roman"/>
                      <w:color w:val="auto"/>
                      <w:sz w:val="21"/>
                      <w:szCs w:val="21"/>
                      <w:u w:val="none"/>
                      <w:lang w:val="en-US" w:eastAsia="zh-CN"/>
                    </w:rPr>
                    <w:t>30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二氧化硫</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0.53</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28.03</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bidi="ar-SA"/>
                    </w:rPr>
                  </w:pPr>
                  <w:r>
                    <w:rPr>
                      <w:rFonts w:hint="default" w:ascii="Times New Roman" w:hAnsi="Times New Roman" w:eastAsia="宋体" w:cs="Times New Roman"/>
                      <w:color w:val="auto"/>
                      <w:sz w:val="21"/>
                      <w:szCs w:val="21"/>
                      <w:u w:val="none"/>
                      <w:lang w:val="en-US" w:eastAsia="zh-CN"/>
                    </w:rPr>
                    <w:t>200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氮氧化物</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2.44</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284.96</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bidi="ar-SA"/>
                    </w:rPr>
                  </w:pPr>
                  <w:r>
                    <w:rPr>
                      <w:rFonts w:hint="default" w:ascii="Times New Roman" w:hAnsi="Times New Roman" w:eastAsia="宋体" w:cs="Times New Roman"/>
                      <w:color w:val="auto"/>
                      <w:sz w:val="21"/>
                      <w:szCs w:val="21"/>
                      <w:u w:val="none"/>
                      <w:lang w:val="en-US" w:eastAsia="zh-CN"/>
                    </w:rPr>
                    <w:t>300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restart"/>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24</w:t>
                  </w:r>
                </w:p>
              </w:tc>
              <w:tc>
                <w:tcPr>
                  <w:tcW w:w="2291" w:type="dxa"/>
                  <w:vMerge w:val="restart"/>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highlight w:val="none"/>
                      <w:u w:val="none"/>
                      <w:lang w:val="en-US" w:eastAsia="zh-CN"/>
                    </w:rPr>
                    <w:t>排气筒出口</w:t>
                  </w:r>
                </w:p>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（一期污水处理站废气）</w:t>
                  </w: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氨</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1.39</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2.92</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硫化氢</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0.016</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0.14</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臭气浓度</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173</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356</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2000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723" w:type="dxa"/>
                  <w:vMerge w:val="restart"/>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25</w:t>
                  </w:r>
                </w:p>
              </w:tc>
              <w:tc>
                <w:tcPr>
                  <w:tcW w:w="2291" w:type="dxa"/>
                  <w:vMerge w:val="restart"/>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eastAsia="zh-CN"/>
                    </w:rPr>
                    <w:t>排气筒出口</w:t>
                  </w:r>
                </w:p>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eastAsia="zh-CN"/>
                    </w:rPr>
                    <w:t>（二期锅炉废气）</w:t>
                  </w: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zh-CN"/>
                    </w:rPr>
                    <w:t>颗粒物</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zh-CN"/>
                    </w:rPr>
                  </w:pPr>
                  <w:r>
                    <w:rPr>
                      <w:rFonts w:hint="default" w:ascii="Times New Roman" w:hAnsi="Times New Roman" w:eastAsia="宋体" w:cs="Times New Roman"/>
                      <w:color w:val="auto"/>
                      <w:sz w:val="21"/>
                      <w:szCs w:val="21"/>
                      <w:u w:val="none"/>
                      <w:lang w:val="en-US" w:eastAsia="zh-CN"/>
                    </w:rPr>
                    <w:t>停运</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u w:val="none"/>
                      <w:lang w:val="en-US" w:eastAsia="zh-CN"/>
                    </w:rPr>
                    <w:t>停运</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eastAsia="zh-CN"/>
                    </w:rPr>
                    <w:t>5</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zh-CN"/>
                    </w:rPr>
                    <w:t>二氧化硫</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zh-CN"/>
                    </w:rPr>
                  </w:pPr>
                  <w:r>
                    <w:rPr>
                      <w:rFonts w:hint="default" w:ascii="Times New Roman" w:hAnsi="Times New Roman" w:eastAsia="宋体" w:cs="Times New Roman"/>
                      <w:color w:val="auto"/>
                      <w:sz w:val="21"/>
                      <w:szCs w:val="21"/>
                      <w:u w:val="none"/>
                      <w:lang w:val="en-US" w:eastAsia="zh-CN"/>
                    </w:rPr>
                    <w:t>停运</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u w:val="none"/>
                      <w:lang w:val="en-US" w:eastAsia="zh-CN"/>
                    </w:rPr>
                    <w:t>停运</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eastAsia="zh-CN"/>
                    </w:rPr>
                    <w:t>10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zh-CN"/>
                    </w:rPr>
                    <w:t>烟气黑度</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zh-CN"/>
                    </w:rPr>
                  </w:pPr>
                  <w:r>
                    <w:rPr>
                      <w:rFonts w:hint="default" w:ascii="Times New Roman" w:hAnsi="Times New Roman" w:eastAsia="宋体" w:cs="Times New Roman"/>
                      <w:color w:val="auto"/>
                      <w:sz w:val="21"/>
                      <w:szCs w:val="21"/>
                      <w:u w:val="none"/>
                      <w:lang w:val="en-US" w:eastAsia="zh-CN"/>
                    </w:rPr>
                    <w:t>停运</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u w:val="none"/>
                      <w:lang w:val="en-US" w:eastAsia="zh-CN"/>
                    </w:rPr>
                    <w:t>停运</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zh-CN"/>
                    </w:rPr>
                    <w:t>≤</w:t>
                  </w:r>
                  <w:r>
                    <w:rPr>
                      <w:rFonts w:hint="default" w:ascii="Times New Roman" w:hAnsi="Times New Roman" w:eastAsia="宋体" w:cs="Times New Roman"/>
                      <w:color w:val="auto"/>
                      <w:sz w:val="21"/>
                      <w:szCs w:val="21"/>
                      <w:highlight w:val="none"/>
                      <w:u w:val="none"/>
                      <w:lang w:val="en-US" w:eastAsia="zh-CN"/>
                    </w:rPr>
                    <w:t>1级</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zh-CN"/>
                    </w:rPr>
                    <w:t>氮氧化物</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zh-CN"/>
                    </w:rPr>
                  </w:pPr>
                  <w:r>
                    <w:rPr>
                      <w:rFonts w:hint="default" w:ascii="Times New Roman" w:hAnsi="Times New Roman" w:eastAsia="宋体" w:cs="Times New Roman"/>
                      <w:color w:val="auto"/>
                      <w:sz w:val="21"/>
                      <w:szCs w:val="21"/>
                      <w:u w:val="none"/>
                      <w:lang w:val="en-US" w:eastAsia="zh-CN"/>
                    </w:rPr>
                    <w:t>停运</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u w:val="none"/>
                      <w:lang w:val="en-US" w:eastAsia="zh-CN"/>
                    </w:rPr>
                    <w:t>停运</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eastAsia="zh-CN"/>
                    </w:rPr>
                    <w:t>30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26</w:t>
                  </w:r>
                </w:p>
              </w:tc>
              <w:tc>
                <w:tcPr>
                  <w:tcW w:w="2291"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highlight w:val="none"/>
                      <w:u w:val="none"/>
                      <w:lang w:val="en-US" w:eastAsia="zh-CN"/>
                    </w:rPr>
                    <w:t>排气筒出口</w:t>
                  </w:r>
                </w:p>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（二期酸洗线酸雾废气）</w:t>
                  </w: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zh-CN"/>
                    </w:rPr>
                    <w:t>HCl</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en-US" w:eastAsia="zh-CN"/>
                    </w:rPr>
                    <w:t>停运</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停运</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u w:val="none"/>
                      <w:lang w:val="en-US" w:eastAsia="zh-CN"/>
                    </w:rPr>
                    <w:t>15</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27</w:t>
                  </w:r>
                </w:p>
              </w:tc>
              <w:tc>
                <w:tcPr>
                  <w:tcW w:w="2291"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highlight w:val="none"/>
                      <w:u w:val="none"/>
                      <w:lang w:val="en-US" w:eastAsia="zh-CN"/>
                    </w:rPr>
                    <w:t>排气筒出口</w:t>
                  </w:r>
                </w:p>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（二期废酸再生铁粉输送废气）</w:t>
                  </w: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zh-CN"/>
                    </w:rPr>
                    <w:t>颗粒物</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en-US" w:eastAsia="zh-CN"/>
                    </w:rPr>
                    <w:t>停运</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停运</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u w:val="none"/>
                      <w:lang w:val="en-US" w:eastAsia="zh-CN"/>
                    </w:rPr>
                    <w:t>20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restart"/>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28</w:t>
                  </w:r>
                </w:p>
              </w:tc>
              <w:tc>
                <w:tcPr>
                  <w:tcW w:w="2291" w:type="dxa"/>
                  <w:vMerge w:val="restart"/>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highlight w:val="none"/>
                      <w:u w:val="none"/>
                      <w:lang w:val="en-US" w:eastAsia="zh-CN"/>
                    </w:rPr>
                    <w:t>排气筒出口</w:t>
                  </w:r>
                </w:p>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（二期废酸再生站焙烧废气）</w:t>
                  </w: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zh-CN"/>
                    </w:rPr>
                    <w:t>颗粒物</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en-US" w:eastAsia="zh-CN"/>
                    </w:rPr>
                    <w:t>停运</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停运</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u w:val="none"/>
                      <w:lang w:val="en-US" w:eastAsia="zh-CN"/>
                    </w:rPr>
                    <w:t>20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zh-CN"/>
                    </w:rPr>
                    <w:t>二氧化硫</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en-US" w:eastAsia="zh-CN"/>
                    </w:rPr>
                    <w:t>停运</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停运</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u w:val="none"/>
                      <w:lang w:val="en-US" w:eastAsia="zh-CN"/>
                    </w:rPr>
                    <w:t>200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zh-CN"/>
                    </w:rPr>
                    <w:t>氮氧化物</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en-US" w:eastAsia="zh-CN"/>
                    </w:rPr>
                    <w:t>停运</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停运</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u w:val="none"/>
                      <w:lang w:val="en-US" w:eastAsia="zh-CN"/>
                    </w:rPr>
                    <w:t>300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zh-CN"/>
                    </w:rPr>
                    <w:t>HCl</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en-US" w:eastAsia="zh-CN"/>
                    </w:rPr>
                    <w:t>停运</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停运</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u w:val="none"/>
                      <w:lang w:val="en-US" w:eastAsia="zh-CN"/>
                    </w:rPr>
                    <w:t>15</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restart"/>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29</w:t>
                  </w:r>
                </w:p>
              </w:tc>
              <w:tc>
                <w:tcPr>
                  <w:tcW w:w="2291" w:type="dxa"/>
                  <w:vMerge w:val="restart"/>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highlight w:val="none"/>
                      <w:u w:val="none"/>
                      <w:lang w:val="en-US" w:eastAsia="zh-CN"/>
                    </w:rPr>
                    <w:t>排气筒出口</w:t>
                  </w:r>
                </w:p>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（二期污水处理站废气）</w:t>
                  </w: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硫化氢</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en-US" w:eastAsia="zh-CN"/>
                    </w:rPr>
                    <w:t>停运</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rPr>
                  </w:pPr>
                  <w:r>
                    <w:rPr>
                      <w:rFonts w:hint="default" w:ascii="Times New Roman" w:hAnsi="Times New Roman" w:eastAsia="宋体" w:cs="Times New Roman"/>
                      <w:color w:val="auto"/>
                      <w:sz w:val="21"/>
                      <w:szCs w:val="21"/>
                      <w:u w:val="none"/>
                      <w:lang w:val="en-US" w:eastAsia="zh-CN"/>
                    </w:rPr>
                    <w:t>停运</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rPr>
                  </w:pPr>
                  <w:r>
                    <w:rPr>
                      <w:rFonts w:hint="eastAsia" w:ascii="Times New Roman" w:hAnsi="Times New Roman" w:eastAsia="宋体" w:cs="Times New Roman"/>
                      <w:color w:val="auto"/>
                      <w:sz w:val="21"/>
                      <w:szCs w:val="21"/>
                      <w:u w:val="none"/>
                      <w:lang w:val="en-US" w:eastAsia="zh-CN"/>
                    </w:rPr>
                    <w:t>/</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氨</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en-US" w:eastAsia="zh-CN"/>
                    </w:rPr>
                    <w:t>停运</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en-US" w:eastAsia="zh-CN"/>
                    </w:rPr>
                    <w:t>停运</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eastAsia" w:ascii="Times New Roman" w:hAnsi="Times New Roman" w:eastAsia="宋体" w:cs="Times New Roman"/>
                      <w:color w:val="auto"/>
                      <w:sz w:val="21"/>
                      <w:szCs w:val="21"/>
                      <w:u w:val="none"/>
                      <w:lang w:val="en-US" w:eastAsia="zh-CN"/>
                    </w:rPr>
                    <w:t>/</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2291" w:type="dxa"/>
                  <w:vMerge w:val="continue"/>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eastAsia="zh-CN"/>
                    </w:rPr>
                    <w:t>臭气浓度</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en-US" w:eastAsia="zh-CN"/>
                    </w:rPr>
                    <w:t>停运</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en-US" w:eastAsia="zh-CN"/>
                    </w:rPr>
                    <w:t>停运</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rPr>
                  </w:pPr>
                  <w:r>
                    <w:rPr>
                      <w:rFonts w:hint="eastAsia" w:ascii="Times New Roman" w:hAnsi="Times New Roman" w:eastAsia="宋体" w:cs="Times New Roman"/>
                      <w:color w:val="auto"/>
                      <w:sz w:val="21"/>
                      <w:szCs w:val="21"/>
                      <w:u w:val="none"/>
                      <w:lang w:val="en-US" w:eastAsia="zh-CN"/>
                    </w:rPr>
                    <w:t>2000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23"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30</w:t>
                  </w:r>
                </w:p>
              </w:tc>
              <w:tc>
                <w:tcPr>
                  <w:tcW w:w="2291"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highlight w:val="none"/>
                      <w:u w:val="none"/>
                      <w:lang w:val="en-US" w:eastAsia="zh-CN"/>
                    </w:rPr>
                    <w:t>排气筒出口</w:t>
                  </w:r>
                </w:p>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rPr>
                  </w:pPr>
                  <w:r>
                    <w:rPr>
                      <w:rFonts w:hint="default" w:ascii="Times New Roman" w:hAnsi="Times New Roman" w:eastAsia="宋体" w:cs="Times New Roman"/>
                      <w:color w:val="auto"/>
                      <w:sz w:val="21"/>
                      <w:szCs w:val="21"/>
                      <w:u w:val="none"/>
                      <w:lang w:val="zh-CN"/>
                    </w:rPr>
                    <w:t>（危废间废气）</w:t>
                  </w:r>
                </w:p>
              </w:tc>
              <w:tc>
                <w:tcPr>
                  <w:tcW w:w="1482"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zh-CN" w:eastAsia="zh-CN"/>
                    </w:rPr>
                  </w:pPr>
                  <w:r>
                    <w:rPr>
                      <w:rFonts w:hint="default" w:ascii="Times New Roman" w:hAnsi="Times New Roman" w:eastAsia="宋体" w:cs="Times New Roman"/>
                      <w:color w:val="auto"/>
                      <w:sz w:val="21"/>
                      <w:szCs w:val="21"/>
                      <w:u w:val="none"/>
                      <w:lang w:val="zh-CN" w:eastAsia="zh-CN"/>
                    </w:rPr>
                    <w:t>非甲烷总烃</w:t>
                  </w:r>
                </w:p>
              </w:tc>
              <w:tc>
                <w:tcPr>
                  <w:tcW w:w="1359"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1.29</w:t>
                  </w:r>
                </w:p>
              </w:tc>
              <w:tc>
                <w:tcPr>
                  <w:tcW w:w="1220"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1.62</w:t>
                  </w:r>
                </w:p>
              </w:tc>
              <w:tc>
                <w:tcPr>
                  <w:tcW w:w="1345" w:type="dxa"/>
                  <w:vAlign w:val="center"/>
                </w:tcPr>
                <w:p>
                  <w:pPr>
                    <w:keepNext w:val="0"/>
                    <w:keepLines w:val="0"/>
                    <w:suppressLineNumbers w:val="0"/>
                    <w:spacing w:before="0" w:beforeAutospacing="0" w:after="0" w:afterAutospacing="0"/>
                    <w:ind w:left="-42" w:leftChars="-20" w:right="-42" w:rightChars="-2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120</w:t>
                  </w:r>
                </w:p>
              </w:tc>
            </w:tr>
          </w:tbl>
          <w:p>
            <w:pPr>
              <w:keepNext w:val="0"/>
              <w:keepLines w:val="0"/>
              <w:suppressLineNumbers w:val="0"/>
              <w:adjustRightInd w:val="0"/>
              <w:snapToGrid w:val="0"/>
              <w:spacing w:before="0" w:beforeAutospacing="0" w:after="0" w:afterAutospacing="0"/>
              <w:ind w:left="0" w:right="0" w:firstLine="482" w:firstLineChars="200"/>
              <w:jc w:val="center"/>
              <w:rPr>
                <w:rFonts w:hint="default" w:ascii="Times New Roman" w:hAnsi="Times New Roman" w:eastAsia="宋体" w:cs="Times New Roman"/>
                <w:b/>
                <w:color w:val="auto"/>
                <w:sz w:val="24"/>
                <w:szCs w:val="24"/>
                <w:u w:val="none" w:color="auto"/>
                <w:lang w:val="en-US" w:eastAsia="zh-CN"/>
              </w:rPr>
            </w:pPr>
            <w:r>
              <w:rPr>
                <w:rFonts w:hint="eastAsia" w:ascii="Times New Roman" w:hAnsi="Times New Roman" w:eastAsia="宋体" w:cs="Times New Roman"/>
                <w:b/>
                <w:color w:val="auto"/>
                <w:sz w:val="24"/>
                <w:szCs w:val="24"/>
                <w:u w:val="none" w:color="auto"/>
                <w:lang w:val="en-US" w:eastAsia="zh-CN"/>
              </w:rPr>
              <w:t>现有工程无组织废气污染物监测结果一栏表 单位</w:t>
            </w:r>
            <w:r>
              <w:rPr>
                <w:rFonts w:hint="default" w:ascii="Times New Roman" w:hAnsi="Times New Roman" w:eastAsia="宋体" w:cs="Times New Roman"/>
                <w:b/>
                <w:color w:val="auto"/>
                <w:sz w:val="24"/>
                <w:szCs w:val="24"/>
                <w:u w:val="none" w:color="auto"/>
                <w:lang w:val="en-US" w:eastAsia="zh-CN"/>
              </w:rPr>
              <w:t>mg/m³</w:t>
            </w:r>
          </w:p>
          <w:tbl>
            <w:tblPr>
              <w:tblStyle w:val="27"/>
              <w:tblW w:w="8420" w:type="dxa"/>
              <w:jc w:val="center"/>
              <w:tblInd w:w="0"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944"/>
              <w:gridCol w:w="2662"/>
              <w:gridCol w:w="1554"/>
              <w:gridCol w:w="1260"/>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94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b/>
                      <w:bCs/>
                      <w:color w:val="auto"/>
                      <w:sz w:val="21"/>
                      <w:szCs w:val="21"/>
                      <w:u w:val="none" w:color="auto"/>
                      <w:lang w:val="zh-CN"/>
                    </w:rPr>
                  </w:pPr>
                  <w:r>
                    <w:rPr>
                      <w:rFonts w:hint="default" w:ascii="Times New Roman" w:hAnsi="Times New Roman" w:eastAsia="宋体" w:cs="Times New Roman"/>
                      <w:b/>
                      <w:bCs/>
                      <w:color w:val="auto"/>
                      <w:sz w:val="21"/>
                      <w:szCs w:val="21"/>
                      <w:u w:val="none" w:color="auto"/>
                      <w:lang w:val="zh-CN"/>
                    </w:rPr>
                    <w:t>监测点位</w:t>
                  </w:r>
                </w:p>
              </w:tc>
              <w:tc>
                <w:tcPr>
                  <w:tcW w:w="266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b/>
                      <w:bCs/>
                      <w:color w:val="auto"/>
                      <w:sz w:val="21"/>
                      <w:szCs w:val="21"/>
                      <w:u w:val="none" w:color="auto"/>
                      <w:lang w:val="zh-CN"/>
                    </w:rPr>
                  </w:pPr>
                  <w:r>
                    <w:rPr>
                      <w:rFonts w:hint="default" w:ascii="Times New Roman" w:hAnsi="Times New Roman" w:eastAsia="宋体" w:cs="Times New Roman"/>
                      <w:b/>
                      <w:bCs/>
                      <w:color w:val="auto"/>
                      <w:sz w:val="21"/>
                      <w:szCs w:val="21"/>
                      <w:u w:val="none" w:color="auto"/>
                      <w:lang w:val="zh-CN"/>
                    </w:rPr>
                    <w:t>监测项目</w:t>
                  </w:r>
                </w:p>
              </w:tc>
              <w:tc>
                <w:tcPr>
                  <w:tcW w:w="155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b/>
                      <w:bCs/>
                      <w:color w:val="auto"/>
                      <w:sz w:val="21"/>
                      <w:szCs w:val="21"/>
                      <w:u w:val="none" w:color="auto"/>
                      <w:lang w:val="en-US" w:eastAsia="zh-CN"/>
                    </w:rPr>
                  </w:pPr>
                  <w:r>
                    <w:rPr>
                      <w:rFonts w:hint="default" w:ascii="Times New Roman" w:hAnsi="Times New Roman" w:eastAsia="宋体" w:cs="Times New Roman"/>
                      <w:b/>
                      <w:bCs/>
                      <w:color w:val="auto"/>
                      <w:sz w:val="21"/>
                      <w:szCs w:val="21"/>
                      <w:u w:val="none" w:color="auto"/>
                      <w:lang w:val="en-US" w:eastAsia="zh-CN"/>
                    </w:rPr>
                    <w:t>监测结果</w:t>
                  </w:r>
                </w:p>
              </w:tc>
              <w:tc>
                <w:tcPr>
                  <w:tcW w:w="126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b/>
                      <w:bCs/>
                      <w:color w:val="auto"/>
                      <w:sz w:val="21"/>
                      <w:szCs w:val="21"/>
                      <w:u w:val="none" w:color="auto"/>
                      <w:lang w:val="zh-CN"/>
                    </w:rPr>
                  </w:pPr>
                  <w:r>
                    <w:rPr>
                      <w:rFonts w:hint="default" w:ascii="Times New Roman" w:hAnsi="Times New Roman" w:eastAsia="宋体" w:cs="Times New Roman"/>
                      <w:b/>
                      <w:bCs/>
                      <w:color w:val="auto"/>
                      <w:sz w:val="21"/>
                      <w:szCs w:val="21"/>
                      <w:u w:val="none" w:color="auto"/>
                      <w:lang w:val="en-US" w:eastAsia="zh-CN"/>
                    </w:rPr>
                    <w:t>标准限值</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944"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highlight w:val="none"/>
                      <w:u w:val="none" w:color="auto"/>
                      <w:lang w:val="zh-CN"/>
                    </w:rPr>
                  </w:pPr>
                  <w:r>
                    <w:rPr>
                      <w:rFonts w:hint="default" w:ascii="Times New Roman" w:hAnsi="Times New Roman" w:eastAsia="宋体" w:cs="Times New Roman"/>
                      <w:color w:val="auto"/>
                      <w:sz w:val="21"/>
                      <w:szCs w:val="21"/>
                      <w:highlight w:val="none"/>
                      <w:u w:val="none" w:color="auto"/>
                      <w:lang w:val="en-US" w:eastAsia="zh-CN"/>
                    </w:rPr>
                    <w:t>有涂层机组工序的厂界</w:t>
                  </w:r>
                </w:p>
              </w:tc>
              <w:tc>
                <w:tcPr>
                  <w:tcW w:w="266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u w:val="none" w:color="auto"/>
                      <w:lang w:val="zh-CN" w:eastAsia="zh-CN" w:bidi="ar-SA"/>
                    </w:rPr>
                  </w:pPr>
                  <w:r>
                    <w:rPr>
                      <w:rFonts w:hint="default" w:ascii="Times New Roman" w:hAnsi="Times New Roman" w:eastAsia="宋体" w:cs="Times New Roman"/>
                      <w:color w:val="auto"/>
                      <w:sz w:val="21"/>
                      <w:szCs w:val="21"/>
                      <w:u w:val="none" w:color="auto"/>
                      <w:lang w:val="zh-CN" w:eastAsia="zh-CN"/>
                    </w:rPr>
                    <w:t>苯</w:t>
                  </w:r>
                </w:p>
              </w:tc>
              <w:tc>
                <w:tcPr>
                  <w:tcW w:w="155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u w:val="none" w:color="auto"/>
                      <w:lang w:val="zh-CN" w:eastAsia="zh-CN" w:bidi="ar-SA"/>
                    </w:rPr>
                  </w:pPr>
                  <w:r>
                    <w:rPr>
                      <w:rFonts w:hint="default" w:ascii="Times New Roman" w:hAnsi="Times New Roman" w:eastAsia="宋体" w:cs="Times New Roman"/>
                      <w:color w:val="auto"/>
                      <w:sz w:val="21"/>
                      <w:szCs w:val="21"/>
                      <w:u w:val="none" w:color="auto"/>
                      <w:lang w:val="en-US" w:eastAsia="zh-CN"/>
                    </w:rPr>
                    <w:t>未检出</w:t>
                  </w:r>
                </w:p>
              </w:tc>
              <w:tc>
                <w:tcPr>
                  <w:tcW w:w="126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u w:val="none" w:color="auto"/>
                      <w:lang w:val="zh-CN"/>
                    </w:rPr>
                  </w:pPr>
                  <w:r>
                    <w:rPr>
                      <w:rFonts w:hint="eastAsia" w:ascii="Times New Roman" w:hAnsi="Times New Roman" w:eastAsia="仿宋" w:cs="Times New Roman"/>
                      <w:color w:val="auto"/>
                      <w:sz w:val="21"/>
                      <w:szCs w:val="21"/>
                      <w:u w:val="none" w:color="auto"/>
                      <w:lang w:val="en-US" w:eastAsia="zh-CN"/>
                    </w:rPr>
                    <w:t>0.1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944"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highlight w:val="none"/>
                      <w:u w:val="none" w:color="auto"/>
                      <w:lang w:val="zh-CN"/>
                    </w:rPr>
                  </w:pPr>
                </w:p>
              </w:tc>
              <w:tc>
                <w:tcPr>
                  <w:tcW w:w="266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u w:val="none" w:color="auto"/>
                      <w:lang w:val="zh-CN" w:eastAsia="zh-CN" w:bidi="ar-SA"/>
                    </w:rPr>
                  </w:pPr>
                  <w:r>
                    <w:rPr>
                      <w:rFonts w:hint="default" w:ascii="Times New Roman" w:hAnsi="Times New Roman" w:eastAsia="宋体" w:cs="Times New Roman"/>
                      <w:color w:val="auto"/>
                      <w:sz w:val="21"/>
                      <w:szCs w:val="21"/>
                      <w:u w:val="none" w:color="auto"/>
                      <w:lang w:val="zh-CN" w:eastAsia="zh-CN"/>
                    </w:rPr>
                    <w:t>甲苯</w:t>
                  </w:r>
                </w:p>
              </w:tc>
              <w:tc>
                <w:tcPr>
                  <w:tcW w:w="155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u w:val="none" w:color="auto"/>
                      <w:lang w:val="zh-CN" w:eastAsia="zh-CN" w:bidi="ar-SA"/>
                    </w:rPr>
                  </w:pPr>
                  <w:r>
                    <w:rPr>
                      <w:rFonts w:hint="default" w:ascii="Times New Roman" w:hAnsi="Times New Roman" w:eastAsia="宋体" w:cs="Times New Roman"/>
                      <w:color w:val="auto"/>
                      <w:sz w:val="21"/>
                      <w:szCs w:val="21"/>
                      <w:u w:val="none" w:color="auto"/>
                      <w:lang w:val="en-US" w:eastAsia="zh-CN"/>
                    </w:rPr>
                    <w:t>未检出</w:t>
                  </w:r>
                </w:p>
              </w:tc>
              <w:tc>
                <w:tcPr>
                  <w:tcW w:w="126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u w:val="none" w:color="auto"/>
                      <w:lang w:val="zh-CN"/>
                    </w:rPr>
                  </w:pPr>
                  <w:r>
                    <w:rPr>
                      <w:rFonts w:hint="eastAsia" w:ascii="Times New Roman" w:hAnsi="Times New Roman" w:eastAsia="仿宋" w:cs="Times New Roman"/>
                      <w:color w:val="auto"/>
                      <w:sz w:val="21"/>
                      <w:szCs w:val="21"/>
                      <w:u w:val="none" w:color="auto"/>
                      <w:lang w:val="en-US" w:eastAsia="zh-CN"/>
                    </w:rPr>
                    <w:t>0.6</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944"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highlight w:val="none"/>
                      <w:u w:val="none" w:color="auto"/>
                      <w:lang w:val="zh-CN"/>
                    </w:rPr>
                  </w:pPr>
                </w:p>
              </w:tc>
              <w:tc>
                <w:tcPr>
                  <w:tcW w:w="266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u w:val="none" w:color="auto"/>
                      <w:lang w:val="zh-CN" w:eastAsia="zh-CN" w:bidi="ar-SA"/>
                    </w:rPr>
                  </w:pPr>
                  <w:r>
                    <w:rPr>
                      <w:rFonts w:hint="default" w:ascii="Times New Roman" w:hAnsi="Times New Roman" w:eastAsia="宋体" w:cs="Times New Roman"/>
                      <w:color w:val="auto"/>
                      <w:sz w:val="21"/>
                      <w:szCs w:val="21"/>
                      <w:u w:val="none" w:color="auto"/>
                      <w:lang w:val="zh-CN" w:eastAsia="zh-CN"/>
                    </w:rPr>
                    <w:t>二甲苯</w:t>
                  </w:r>
                </w:p>
              </w:tc>
              <w:tc>
                <w:tcPr>
                  <w:tcW w:w="155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u w:val="none" w:color="auto"/>
                      <w:lang w:val="zh-CN" w:eastAsia="zh-CN" w:bidi="ar-SA"/>
                    </w:rPr>
                  </w:pPr>
                  <w:r>
                    <w:rPr>
                      <w:rFonts w:hint="default" w:ascii="Times New Roman" w:hAnsi="Times New Roman" w:eastAsia="宋体" w:cs="Times New Roman"/>
                      <w:color w:val="auto"/>
                      <w:sz w:val="21"/>
                      <w:szCs w:val="21"/>
                      <w:u w:val="none" w:color="auto"/>
                      <w:lang w:val="en-US" w:eastAsia="zh-CN"/>
                    </w:rPr>
                    <w:t>未检出</w:t>
                  </w:r>
                </w:p>
              </w:tc>
              <w:tc>
                <w:tcPr>
                  <w:tcW w:w="126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u w:val="none" w:color="auto"/>
                      <w:lang w:val="zh-CN"/>
                    </w:rPr>
                  </w:pPr>
                  <w:r>
                    <w:rPr>
                      <w:rFonts w:hint="eastAsia" w:ascii="Times New Roman" w:hAnsi="Times New Roman" w:eastAsia="仿宋" w:cs="Times New Roman"/>
                      <w:color w:val="auto"/>
                      <w:sz w:val="21"/>
                      <w:szCs w:val="21"/>
                      <w:u w:val="none" w:color="auto"/>
                      <w:lang w:val="en-US" w:eastAsia="zh-CN"/>
                    </w:rPr>
                    <w:t>0.2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944"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highlight w:val="none"/>
                      <w:u w:val="none" w:color="auto"/>
                      <w:lang w:val="zh-CN"/>
                    </w:rPr>
                  </w:pPr>
                </w:p>
              </w:tc>
              <w:tc>
                <w:tcPr>
                  <w:tcW w:w="266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u w:val="none" w:color="auto"/>
                      <w:lang w:val="zh-CN" w:eastAsia="zh-CN" w:bidi="ar-SA"/>
                    </w:rPr>
                  </w:pPr>
                  <w:r>
                    <w:rPr>
                      <w:rFonts w:hint="default" w:ascii="Times New Roman" w:hAnsi="Times New Roman" w:eastAsia="宋体" w:cs="Times New Roman"/>
                      <w:color w:val="auto"/>
                      <w:sz w:val="21"/>
                      <w:szCs w:val="21"/>
                      <w:u w:val="none" w:color="auto"/>
                      <w:lang w:val="zh-CN" w:eastAsia="zh-CN"/>
                    </w:rPr>
                    <w:t>非甲烷总烃</w:t>
                  </w:r>
                </w:p>
              </w:tc>
              <w:tc>
                <w:tcPr>
                  <w:tcW w:w="155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u w:val="none" w:color="auto"/>
                      <w:lang w:val="zh-CN" w:eastAsia="zh-CN" w:bidi="ar-SA"/>
                    </w:rPr>
                  </w:pPr>
                  <w:r>
                    <w:rPr>
                      <w:rFonts w:hint="default" w:ascii="Times New Roman" w:hAnsi="Times New Roman" w:eastAsia="宋体" w:cs="Times New Roman"/>
                      <w:color w:val="auto"/>
                      <w:sz w:val="21"/>
                      <w:szCs w:val="21"/>
                      <w:u w:val="none" w:color="auto"/>
                      <w:lang w:val="en-US" w:eastAsia="zh-CN"/>
                    </w:rPr>
                    <w:t>0.58~0.61</w:t>
                  </w:r>
                </w:p>
              </w:tc>
              <w:tc>
                <w:tcPr>
                  <w:tcW w:w="126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u w:val="none" w:color="auto"/>
                      <w:lang w:val="zh-CN"/>
                    </w:rPr>
                  </w:pPr>
                  <w:r>
                    <w:rPr>
                      <w:rFonts w:hint="eastAsia" w:ascii="Times New Roman" w:hAnsi="Times New Roman" w:eastAsia="仿宋" w:cs="Times New Roman"/>
                      <w:color w:val="auto"/>
                      <w:sz w:val="21"/>
                      <w:szCs w:val="21"/>
                      <w:u w:val="none" w:color="auto"/>
                      <w:lang w:val="en-US" w:eastAsia="zh-CN"/>
                    </w:rPr>
                    <w:t>2.0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944"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highlight w:val="none"/>
                      <w:u w:val="none" w:color="auto"/>
                      <w:lang w:val="zh-CN"/>
                    </w:rPr>
                  </w:pPr>
                  <w:r>
                    <w:rPr>
                      <w:rFonts w:hint="default" w:ascii="Times New Roman" w:hAnsi="Times New Roman" w:eastAsia="宋体" w:cs="Times New Roman"/>
                      <w:color w:val="auto"/>
                      <w:sz w:val="21"/>
                      <w:szCs w:val="21"/>
                      <w:highlight w:val="none"/>
                      <w:u w:val="none" w:color="auto"/>
                      <w:lang w:val="zh-CN"/>
                    </w:rPr>
                    <w:t>厂界</w:t>
                  </w:r>
                </w:p>
              </w:tc>
              <w:tc>
                <w:tcPr>
                  <w:tcW w:w="266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u w:val="none" w:color="auto"/>
                      <w:lang w:val="zh-CN"/>
                    </w:rPr>
                  </w:pPr>
                  <w:r>
                    <w:rPr>
                      <w:rFonts w:hint="default" w:ascii="Times New Roman" w:hAnsi="Times New Roman" w:eastAsia="宋体" w:cs="Times New Roman"/>
                      <w:color w:val="auto"/>
                      <w:sz w:val="21"/>
                      <w:szCs w:val="21"/>
                      <w:u w:val="none" w:color="auto"/>
                      <w:lang w:val="zh-CN"/>
                    </w:rPr>
                    <w:t>颗粒物</w:t>
                  </w:r>
                </w:p>
              </w:tc>
              <w:tc>
                <w:tcPr>
                  <w:tcW w:w="155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u w:val="none" w:color="auto"/>
                      <w:lang w:val="zh-CN" w:eastAsia="zh-CN" w:bidi="ar-SA"/>
                    </w:rPr>
                  </w:pPr>
                  <w:r>
                    <w:rPr>
                      <w:rFonts w:hint="default" w:ascii="Times New Roman" w:hAnsi="Times New Roman" w:eastAsia="宋体" w:cs="Times New Roman"/>
                      <w:color w:val="auto"/>
                      <w:sz w:val="21"/>
                      <w:szCs w:val="21"/>
                      <w:u w:val="none" w:color="auto"/>
                      <w:lang w:val="en-US" w:eastAsia="zh-CN"/>
                    </w:rPr>
                    <w:t>0.185~0.205</w:t>
                  </w:r>
                </w:p>
              </w:tc>
              <w:tc>
                <w:tcPr>
                  <w:tcW w:w="126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u w:val="none" w:color="auto"/>
                      <w:lang w:val="zh-CN"/>
                    </w:rPr>
                  </w:pPr>
                  <w:r>
                    <w:rPr>
                      <w:rFonts w:hint="eastAsia" w:ascii="Times New Roman" w:hAnsi="Times New Roman" w:eastAsia="仿宋" w:cs="Times New Roman"/>
                      <w:color w:val="auto"/>
                      <w:sz w:val="21"/>
                      <w:szCs w:val="21"/>
                      <w:u w:val="none" w:color="auto"/>
                      <w:lang w:val="en-US" w:eastAsia="zh-CN"/>
                    </w:rPr>
                    <w:t>1.0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944"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highlight w:val="none"/>
                      <w:u w:val="none" w:color="auto"/>
                      <w:lang w:val="zh-CN"/>
                    </w:rPr>
                  </w:pPr>
                </w:p>
              </w:tc>
              <w:tc>
                <w:tcPr>
                  <w:tcW w:w="266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u w:val="none" w:color="auto"/>
                      <w:lang w:val="zh-CN"/>
                    </w:rPr>
                  </w:pPr>
                  <w:r>
                    <w:rPr>
                      <w:rFonts w:hint="default" w:ascii="Times New Roman" w:hAnsi="Times New Roman" w:eastAsia="宋体" w:cs="Times New Roman"/>
                      <w:color w:val="auto"/>
                      <w:sz w:val="21"/>
                      <w:szCs w:val="21"/>
                      <w:u w:val="none" w:color="auto"/>
                      <w:lang w:val="zh-CN"/>
                    </w:rPr>
                    <w:t>氨</w:t>
                  </w:r>
                </w:p>
              </w:tc>
              <w:tc>
                <w:tcPr>
                  <w:tcW w:w="155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u w:val="none" w:color="auto"/>
                      <w:lang w:val="zh-CN" w:eastAsia="zh-CN" w:bidi="ar-SA"/>
                    </w:rPr>
                  </w:pPr>
                  <w:r>
                    <w:rPr>
                      <w:rFonts w:hint="default" w:ascii="Times New Roman" w:hAnsi="Times New Roman" w:eastAsia="宋体" w:cs="Times New Roman"/>
                      <w:color w:val="auto"/>
                      <w:sz w:val="21"/>
                      <w:szCs w:val="21"/>
                      <w:u w:val="none" w:color="auto"/>
                      <w:lang w:val="en-US" w:eastAsia="zh-CN"/>
                    </w:rPr>
                    <w:t>0.03~0.0.5</w:t>
                  </w:r>
                </w:p>
              </w:tc>
              <w:tc>
                <w:tcPr>
                  <w:tcW w:w="126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仿宋" w:cs="Times New Roman"/>
                      <w:color w:val="auto"/>
                      <w:sz w:val="21"/>
                      <w:szCs w:val="21"/>
                      <w:u w:val="none" w:color="auto"/>
                      <w:lang w:val="en-US" w:eastAsia="zh-CN"/>
                    </w:rPr>
                    <w:t>1.5</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944"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highlight w:val="none"/>
                      <w:u w:val="none" w:color="auto"/>
                      <w:lang w:val="zh-CN"/>
                    </w:rPr>
                  </w:pPr>
                </w:p>
              </w:tc>
              <w:tc>
                <w:tcPr>
                  <w:tcW w:w="266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u w:val="none" w:color="auto"/>
                      <w:lang w:val="zh-CN"/>
                    </w:rPr>
                  </w:pPr>
                  <w:r>
                    <w:rPr>
                      <w:rFonts w:hint="default" w:ascii="Times New Roman" w:hAnsi="Times New Roman" w:eastAsia="宋体" w:cs="Times New Roman"/>
                      <w:color w:val="auto"/>
                      <w:sz w:val="21"/>
                      <w:szCs w:val="21"/>
                      <w:u w:val="none" w:color="auto"/>
                      <w:lang w:val="zh-CN"/>
                    </w:rPr>
                    <w:t>硫化氢</w:t>
                  </w:r>
                </w:p>
              </w:tc>
              <w:tc>
                <w:tcPr>
                  <w:tcW w:w="155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u w:val="none" w:color="auto"/>
                      <w:lang w:val="zh-CN" w:eastAsia="zh-CN" w:bidi="ar-SA"/>
                    </w:rPr>
                  </w:pPr>
                  <w:r>
                    <w:rPr>
                      <w:rFonts w:hint="default" w:ascii="Times New Roman" w:hAnsi="Times New Roman" w:eastAsia="宋体" w:cs="Times New Roman"/>
                      <w:color w:val="auto"/>
                      <w:sz w:val="21"/>
                      <w:szCs w:val="21"/>
                      <w:u w:val="none" w:color="auto"/>
                      <w:lang w:val="en-US" w:eastAsia="zh-CN"/>
                    </w:rPr>
                    <w:t>0.005~0.007</w:t>
                  </w:r>
                </w:p>
              </w:tc>
              <w:tc>
                <w:tcPr>
                  <w:tcW w:w="126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仿宋" w:cs="Times New Roman"/>
                      <w:color w:val="auto"/>
                      <w:sz w:val="21"/>
                      <w:szCs w:val="21"/>
                      <w:u w:val="none" w:color="auto"/>
                      <w:lang w:val="en-US" w:eastAsia="zh-CN"/>
                    </w:rPr>
                    <w:t>0.06</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944"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highlight w:val="none"/>
                      <w:u w:val="none" w:color="auto"/>
                      <w:lang w:val="zh-CN"/>
                    </w:rPr>
                  </w:pPr>
                </w:p>
              </w:tc>
              <w:tc>
                <w:tcPr>
                  <w:tcW w:w="266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u w:val="none" w:color="auto"/>
                      <w:lang w:val="zh-CN"/>
                    </w:rPr>
                  </w:pPr>
                  <w:r>
                    <w:rPr>
                      <w:rFonts w:hint="default" w:ascii="Times New Roman" w:hAnsi="Times New Roman" w:eastAsia="宋体" w:cs="Times New Roman"/>
                      <w:color w:val="auto"/>
                      <w:sz w:val="21"/>
                      <w:szCs w:val="21"/>
                      <w:u w:val="none" w:color="auto"/>
                      <w:lang w:val="zh-CN"/>
                    </w:rPr>
                    <w:t>臭气浓度（</w:t>
                  </w:r>
                  <w:r>
                    <w:rPr>
                      <w:rFonts w:hint="default" w:ascii="Times New Roman" w:hAnsi="Times New Roman" w:eastAsia="宋体" w:cs="Times New Roman"/>
                      <w:color w:val="auto"/>
                      <w:sz w:val="21"/>
                      <w:szCs w:val="21"/>
                      <w:u w:val="none" w:color="auto"/>
                      <w:lang w:val="en-US" w:eastAsia="zh-CN"/>
                    </w:rPr>
                    <w:t>无量纲</w:t>
                  </w:r>
                  <w:r>
                    <w:rPr>
                      <w:rFonts w:hint="default" w:ascii="Times New Roman" w:hAnsi="Times New Roman" w:eastAsia="宋体" w:cs="Times New Roman"/>
                      <w:color w:val="auto"/>
                      <w:sz w:val="21"/>
                      <w:szCs w:val="21"/>
                      <w:u w:val="none" w:color="auto"/>
                      <w:lang w:val="zh-CN"/>
                    </w:rPr>
                    <w:t>）</w:t>
                  </w:r>
                </w:p>
              </w:tc>
              <w:tc>
                <w:tcPr>
                  <w:tcW w:w="155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u w:val="none" w:color="auto"/>
                      <w:lang w:val="zh-CN" w:eastAsia="zh-CN" w:bidi="ar-SA"/>
                    </w:rPr>
                  </w:pPr>
                  <w:r>
                    <w:rPr>
                      <w:rFonts w:hint="default" w:ascii="Times New Roman" w:hAnsi="Times New Roman" w:eastAsia="宋体" w:cs="Times New Roman"/>
                      <w:color w:val="auto"/>
                      <w:sz w:val="21"/>
                      <w:szCs w:val="21"/>
                      <w:u w:val="none" w:color="auto"/>
                      <w:lang w:val="zh-CN"/>
                    </w:rPr>
                    <w:t>＜</w:t>
                  </w:r>
                  <w:r>
                    <w:rPr>
                      <w:rFonts w:hint="default" w:ascii="Times New Roman" w:hAnsi="Times New Roman" w:eastAsia="宋体" w:cs="Times New Roman"/>
                      <w:color w:val="auto"/>
                      <w:sz w:val="21"/>
                      <w:szCs w:val="21"/>
                      <w:u w:val="none" w:color="auto"/>
                      <w:lang w:val="en-US" w:eastAsia="zh-CN"/>
                    </w:rPr>
                    <w:t>10</w:t>
                  </w:r>
                </w:p>
              </w:tc>
              <w:tc>
                <w:tcPr>
                  <w:tcW w:w="126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仿宋" w:cs="Times New Roman"/>
                      <w:color w:val="auto"/>
                      <w:sz w:val="21"/>
                      <w:szCs w:val="21"/>
                      <w:u w:val="none" w:color="auto"/>
                      <w:lang w:val="en-US" w:eastAsia="zh-CN"/>
                    </w:rPr>
                    <w:t>20</w:t>
                  </w:r>
                </w:p>
              </w:tc>
            </w:tr>
          </w:tbl>
          <w:p>
            <w:pPr>
              <w:pStyle w:val="29"/>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360" w:lineRule="auto"/>
              <w:ind w:left="0" w:right="0" w:firstLine="241" w:firstLineChars="100"/>
              <w:textAlignment w:val="auto"/>
              <w:rPr>
                <w:rFonts w:hint="default" w:ascii="Times New Roman" w:hAnsi="Times New Roman" w:eastAsia="宋体" w:cs="Times New Roman"/>
                <w:b/>
                <w:bCs/>
                <w:color w:val="auto"/>
                <w:kern w:val="0"/>
                <w:sz w:val="24"/>
                <w:szCs w:val="24"/>
                <w:u w:val="none" w:color="auto"/>
                <w:lang w:val="en-US" w:eastAsia="zh-CN"/>
              </w:rPr>
            </w:pPr>
            <w:r>
              <w:rPr>
                <w:rFonts w:hint="eastAsia" w:ascii="Times New Roman" w:hAnsi="Times New Roman" w:eastAsia="宋体" w:cs="Times New Roman"/>
                <w:b/>
                <w:bCs/>
                <w:color w:val="auto"/>
                <w:kern w:val="0"/>
                <w:sz w:val="24"/>
                <w:szCs w:val="24"/>
                <w:u w:val="none" w:color="auto"/>
                <w:lang w:val="en-US" w:eastAsia="zh-CN"/>
              </w:rPr>
              <w:t>3.3</w:t>
            </w:r>
            <w:r>
              <w:rPr>
                <w:rFonts w:hint="default" w:ascii="Times New Roman" w:hAnsi="Times New Roman" w:eastAsia="宋体" w:cs="Times New Roman"/>
                <w:b/>
                <w:bCs/>
                <w:color w:val="auto"/>
                <w:kern w:val="0"/>
                <w:sz w:val="24"/>
                <w:szCs w:val="24"/>
                <w:u w:val="none" w:color="auto"/>
                <w:lang w:val="en-US" w:eastAsia="zh-CN"/>
              </w:rPr>
              <w:t>噪声</w:t>
            </w:r>
          </w:p>
          <w:p>
            <w:pPr>
              <w:pStyle w:val="29"/>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0"/>
                <w:sz w:val="24"/>
                <w:szCs w:val="24"/>
                <w:u w:val="none" w:color="auto"/>
                <w:lang w:val="en-US" w:eastAsia="zh-CN"/>
              </w:rPr>
            </w:pPr>
            <w:r>
              <w:rPr>
                <w:rFonts w:hint="eastAsia" w:ascii="Times New Roman" w:hAnsi="Times New Roman" w:eastAsia="宋体" w:cs="Times New Roman"/>
                <w:b w:val="0"/>
                <w:bCs w:val="0"/>
                <w:color w:val="auto"/>
                <w:kern w:val="0"/>
                <w:sz w:val="24"/>
                <w:szCs w:val="24"/>
                <w:u w:val="none" w:color="auto"/>
                <w:lang w:val="en-US" w:eastAsia="zh-CN"/>
              </w:rPr>
              <w:t>现有工程噪声监测数据依2024年6月份河南政院检测有限公司出具的检测报告（ZYTHJB2024-0455），企业四周</w:t>
            </w:r>
            <w:r>
              <w:rPr>
                <w:rFonts w:hint="default" w:ascii="Times New Roman" w:hAnsi="Times New Roman" w:eastAsia="宋体" w:cs="Times New Roman"/>
                <w:b w:val="0"/>
                <w:bCs w:val="0"/>
                <w:color w:val="auto"/>
                <w:kern w:val="0"/>
                <w:sz w:val="24"/>
                <w:szCs w:val="24"/>
                <w:u w:val="none" w:color="auto"/>
                <w:lang w:val="en-US" w:eastAsia="zh-CN"/>
              </w:rPr>
              <w:t>厂界噪声测定值未超出《工业企业厂界环境噪声排放标准》(GB12348-2008)表1中3类标准限值，可达标排放。</w:t>
            </w:r>
          </w:p>
          <w:p>
            <w:pPr>
              <w:keepNext w:val="0"/>
              <w:keepLines w:val="0"/>
              <w:suppressLineNumbers w:val="0"/>
              <w:adjustRightInd w:val="0"/>
              <w:snapToGrid w:val="0"/>
              <w:spacing w:before="0" w:beforeAutospacing="0" w:after="0" w:afterAutospacing="0"/>
              <w:ind w:left="0" w:right="0" w:firstLine="482" w:firstLineChars="200"/>
              <w:jc w:val="center"/>
              <w:rPr>
                <w:rFonts w:hint="default" w:ascii="Times New Roman" w:hAnsi="Times New Roman" w:eastAsia="宋体" w:cs="Times New Roman"/>
                <w:b/>
                <w:color w:val="auto"/>
                <w:sz w:val="24"/>
                <w:szCs w:val="24"/>
                <w:u w:val="none" w:color="auto"/>
                <w:lang w:val="en-US" w:eastAsia="zh-CN"/>
              </w:rPr>
            </w:pPr>
            <w:r>
              <w:rPr>
                <w:rFonts w:hint="eastAsia" w:ascii="Times New Roman" w:hAnsi="Times New Roman" w:eastAsia="宋体" w:cs="Times New Roman"/>
                <w:b/>
                <w:color w:val="auto"/>
                <w:sz w:val="24"/>
                <w:szCs w:val="24"/>
                <w:u w:val="none" w:color="auto"/>
                <w:lang w:val="en-US" w:eastAsia="zh-CN"/>
              </w:rPr>
              <w:t>现有工程厂界噪声监测结果一栏表 单位：dB（A）</w:t>
            </w:r>
          </w:p>
          <w:tbl>
            <w:tblPr>
              <w:tblStyle w:val="27"/>
              <w:tblW w:w="8420" w:type="dxa"/>
              <w:tblInd w:w="5" w:type="dxa"/>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2270"/>
              <w:gridCol w:w="3007"/>
              <w:gridCol w:w="3143"/>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trPr>
              <w:tc>
                <w:tcPr>
                  <w:tcW w:w="2270" w:type="dxa"/>
                  <w:vMerge w:val="restart"/>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iCs w:val="0"/>
                      <w:color w:val="auto"/>
                      <w:sz w:val="24"/>
                      <w:szCs w:val="24"/>
                      <w:u w:val="none" w:color="auto"/>
                    </w:rPr>
                  </w:pPr>
                  <w:r>
                    <w:rPr>
                      <w:rFonts w:hint="default" w:ascii="Times New Roman" w:hAnsi="Times New Roman" w:eastAsia="宋体" w:cs="Times New Roman"/>
                      <w:b/>
                      <w:bCs/>
                      <w:i w:val="0"/>
                      <w:iCs w:val="0"/>
                      <w:color w:val="auto"/>
                      <w:kern w:val="0"/>
                      <w:sz w:val="24"/>
                      <w:szCs w:val="24"/>
                      <w:u w:val="none" w:color="auto"/>
                      <w:lang w:val="en-US" w:eastAsia="zh-CN" w:bidi="ar"/>
                    </w:rPr>
                    <w:t>检测点位</w:t>
                  </w:r>
                </w:p>
              </w:tc>
              <w:tc>
                <w:tcPr>
                  <w:tcW w:w="6150" w:type="dxa"/>
                  <w:gridSpan w:val="2"/>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i w:val="0"/>
                      <w:iCs w:val="0"/>
                      <w:color w:val="auto"/>
                      <w:sz w:val="24"/>
                      <w:szCs w:val="24"/>
                      <w:u w:val="none" w:color="auto"/>
                    </w:rPr>
                  </w:pPr>
                  <w:r>
                    <w:rPr>
                      <w:rFonts w:hint="default" w:ascii="Times New Roman" w:hAnsi="Times New Roman" w:eastAsia="宋体" w:cs="Times New Roman"/>
                      <w:b/>
                      <w:bCs/>
                      <w:i w:val="0"/>
                      <w:iCs w:val="0"/>
                      <w:color w:val="auto"/>
                      <w:kern w:val="0"/>
                      <w:sz w:val="24"/>
                      <w:szCs w:val="24"/>
                      <w:u w:val="none" w:color="auto"/>
                      <w:lang w:val="en-US" w:eastAsia="zh-CN" w:bidi="ar"/>
                    </w:rPr>
                    <w:t>检测结果（2024.5.29</w:t>
                  </w:r>
                  <w:r>
                    <w:rPr>
                      <w:rFonts w:hint="eastAsia" w:ascii="Times New Roman" w:hAnsi="Times New Roman" w:eastAsia="宋体" w:cs="Times New Roman"/>
                      <w:b/>
                      <w:bCs/>
                      <w:i w:val="0"/>
                      <w:iCs w:val="0"/>
                      <w:color w:val="auto"/>
                      <w:kern w:val="0"/>
                      <w:sz w:val="24"/>
                      <w:szCs w:val="24"/>
                      <w:u w:val="none" w:color="auto"/>
                      <w:lang w:val="en-US" w:eastAsia="zh-CN" w:bidi="ar"/>
                    </w:rPr>
                    <w:t>）</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trPr>
              <w:tc>
                <w:tcPr>
                  <w:tcW w:w="2270" w:type="dxa"/>
                  <w:vMerge w:val="continue"/>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iCs w:val="0"/>
                      <w:color w:val="auto"/>
                      <w:sz w:val="24"/>
                      <w:szCs w:val="24"/>
                      <w:u w:val="none" w:color="auto"/>
                    </w:rPr>
                  </w:pPr>
                </w:p>
              </w:tc>
              <w:tc>
                <w:tcPr>
                  <w:tcW w:w="3007"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iCs w:val="0"/>
                      <w:color w:val="auto"/>
                      <w:sz w:val="24"/>
                      <w:szCs w:val="24"/>
                      <w:u w:val="none" w:color="auto"/>
                    </w:rPr>
                  </w:pPr>
                  <w:r>
                    <w:rPr>
                      <w:rFonts w:hint="default" w:ascii="Times New Roman" w:hAnsi="Times New Roman" w:eastAsia="宋体" w:cs="Times New Roman"/>
                      <w:b/>
                      <w:bCs/>
                      <w:i w:val="0"/>
                      <w:iCs w:val="0"/>
                      <w:color w:val="auto"/>
                      <w:kern w:val="0"/>
                      <w:sz w:val="24"/>
                      <w:szCs w:val="24"/>
                      <w:u w:val="none" w:color="auto"/>
                      <w:lang w:val="en-US" w:eastAsia="zh-CN" w:bidi="ar"/>
                    </w:rPr>
                    <w:t>昼间</w:t>
                  </w:r>
                </w:p>
              </w:tc>
              <w:tc>
                <w:tcPr>
                  <w:tcW w:w="3143"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iCs w:val="0"/>
                      <w:color w:val="auto"/>
                      <w:sz w:val="24"/>
                      <w:szCs w:val="24"/>
                      <w:u w:val="none" w:color="auto"/>
                    </w:rPr>
                  </w:pPr>
                  <w:r>
                    <w:rPr>
                      <w:rFonts w:hint="default" w:ascii="Times New Roman" w:hAnsi="Times New Roman" w:eastAsia="宋体" w:cs="Times New Roman"/>
                      <w:b/>
                      <w:bCs/>
                      <w:i w:val="0"/>
                      <w:iCs w:val="0"/>
                      <w:color w:val="auto"/>
                      <w:kern w:val="0"/>
                      <w:sz w:val="24"/>
                      <w:szCs w:val="24"/>
                      <w:u w:val="none" w:color="auto"/>
                      <w:lang w:val="en-US" w:eastAsia="zh-CN" w:bidi="ar"/>
                    </w:rPr>
                    <w:t>夜间</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trPr>
              <w:tc>
                <w:tcPr>
                  <w:tcW w:w="2270"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4"/>
                      <w:szCs w:val="24"/>
                      <w:u w:val="none" w:color="auto"/>
                    </w:rPr>
                  </w:pPr>
                  <w:r>
                    <w:rPr>
                      <w:rFonts w:hint="default" w:ascii="Times New Roman" w:hAnsi="Times New Roman" w:eastAsia="宋体" w:cs="Times New Roman"/>
                      <w:i w:val="0"/>
                      <w:iCs w:val="0"/>
                      <w:color w:val="auto"/>
                      <w:kern w:val="0"/>
                      <w:sz w:val="24"/>
                      <w:szCs w:val="24"/>
                      <w:u w:val="none" w:color="auto"/>
                      <w:lang w:val="en-US" w:eastAsia="zh-CN" w:bidi="ar"/>
                    </w:rPr>
                    <w:t>东厂界</w:t>
                  </w:r>
                </w:p>
              </w:tc>
              <w:tc>
                <w:tcPr>
                  <w:tcW w:w="3007"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4"/>
                      <w:szCs w:val="24"/>
                      <w:u w:val="none" w:color="auto"/>
                    </w:rPr>
                  </w:pPr>
                  <w:r>
                    <w:rPr>
                      <w:rFonts w:hint="default" w:ascii="Times New Roman" w:hAnsi="Times New Roman" w:eastAsia="宋体" w:cs="Times New Roman"/>
                      <w:i w:val="0"/>
                      <w:iCs w:val="0"/>
                      <w:color w:val="auto"/>
                      <w:kern w:val="0"/>
                      <w:sz w:val="24"/>
                      <w:szCs w:val="24"/>
                      <w:u w:val="none" w:color="auto"/>
                      <w:lang w:val="en-US" w:eastAsia="zh-CN" w:bidi="ar"/>
                    </w:rPr>
                    <w:t>55</w:t>
                  </w:r>
                </w:p>
              </w:tc>
              <w:tc>
                <w:tcPr>
                  <w:tcW w:w="3143"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4"/>
                      <w:szCs w:val="24"/>
                      <w:u w:val="none" w:color="auto"/>
                    </w:rPr>
                  </w:pPr>
                  <w:r>
                    <w:rPr>
                      <w:rFonts w:hint="default" w:ascii="Times New Roman" w:hAnsi="Times New Roman" w:eastAsia="宋体" w:cs="Times New Roman"/>
                      <w:i w:val="0"/>
                      <w:iCs w:val="0"/>
                      <w:color w:val="auto"/>
                      <w:kern w:val="0"/>
                      <w:sz w:val="24"/>
                      <w:szCs w:val="24"/>
                      <w:u w:val="none" w:color="auto"/>
                      <w:lang w:val="en-US" w:eastAsia="zh-CN" w:bidi="ar"/>
                    </w:rPr>
                    <w:t>43</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trPr>
              <w:tc>
                <w:tcPr>
                  <w:tcW w:w="2270"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4"/>
                      <w:szCs w:val="24"/>
                      <w:u w:val="none" w:color="auto"/>
                    </w:rPr>
                  </w:pPr>
                  <w:r>
                    <w:rPr>
                      <w:rFonts w:hint="default" w:ascii="Times New Roman" w:hAnsi="Times New Roman" w:eastAsia="宋体" w:cs="Times New Roman"/>
                      <w:i w:val="0"/>
                      <w:iCs w:val="0"/>
                      <w:color w:val="auto"/>
                      <w:kern w:val="0"/>
                      <w:sz w:val="24"/>
                      <w:szCs w:val="24"/>
                      <w:u w:val="none" w:color="auto"/>
                      <w:lang w:val="en-US" w:eastAsia="zh-CN" w:bidi="ar"/>
                    </w:rPr>
                    <w:t>南厂界</w:t>
                  </w:r>
                </w:p>
              </w:tc>
              <w:tc>
                <w:tcPr>
                  <w:tcW w:w="3007"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4"/>
                      <w:szCs w:val="24"/>
                      <w:u w:val="none" w:color="auto"/>
                    </w:rPr>
                  </w:pPr>
                  <w:r>
                    <w:rPr>
                      <w:rFonts w:hint="default" w:ascii="Times New Roman" w:hAnsi="Times New Roman" w:eastAsia="宋体" w:cs="Times New Roman"/>
                      <w:i w:val="0"/>
                      <w:iCs w:val="0"/>
                      <w:color w:val="auto"/>
                      <w:kern w:val="0"/>
                      <w:sz w:val="24"/>
                      <w:szCs w:val="24"/>
                      <w:u w:val="none" w:color="auto"/>
                      <w:lang w:val="en-US" w:eastAsia="zh-CN" w:bidi="ar"/>
                    </w:rPr>
                    <w:t>54</w:t>
                  </w:r>
                </w:p>
              </w:tc>
              <w:tc>
                <w:tcPr>
                  <w:tcW w:w="3143"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4"/>
                      <w:szCs w:val="24"/>
                      <w:u w:val="none" w:color="auto"/>
                    </w:rPr>
                  </w:pPr>
                  <w:r>
                    <w:rPr>
                      <w:rFonts w:hint="default" w:ascii="Times New Roman" w:hAnsi="Times New Roman" w:eastAsia="宋体" w:cs="Times New Roman"/>
                      <w:i w:val="0"/>
                      <w:iCs w:val="0"/>
                      <w:color w:val="auto"/>
                      <w:kern w:val="0"/>
                      <w:sz w:val="24"/>
                      <w:szCs w:val="24"/>
                      <w:u w:val="none" w:color="auto"/>
                      <w:lang w:val="en-US" w:eastAsia="zh-CN" w:bidi="ar"/>
                    </w:rPr>
                    <w:t>44</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trPr>
              <w:tc>
                <w:tcPr>
                  <w:tcW w:w="2270"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4"/>
                      <w:szCs w:val="24"/>
                      <w:u w:val="none" w:color="auto"/>
                    </w:rPr>
                  </w:pPr>
                  <w:r>
                    <w:rPr>
                      <w:rFonts w:hint="default" w:ascii="Times New Roman" w:hAnsi="Times New Roman" w:eastAsia="宋体" w:cs="Times New Roman"/>
                      <w:i w:val="0"/>
                      <w:iCs w:val="0"/>
                      <w:color w:val="auto"/>
                      <w:kern w:val="0"/>
                      <w:sz w:val="24"/>
                      <w:szCs w:val="24"/>
                      <w:u w:val="none" w:color="auto"/>
                      <w:lang w:val="en-US" w:eastAsia="zh-CN" w:bidi="ar"/>
                    </w:rPr>
                    <w:t>西厂界</w:t>
                  </w:r>
                </w:p>
              </w:tc>
              <w:tc>
                <w:tcPr>
                  <w:tcW w:w="3007"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4"/>
                      <w:szCs w:val="24"/>
                      <w:u w:val="none" w:color="auto"/>
                    </w:rPr>
                  </w:pPr>
                  <w:r>
                    <w:rPr>
                      <w:rFonts w:hint="default" w:ascii="Times New Roman" w:hAnsi="Times New Roman" w:eastAsia="宋体" w:cs="Times New Roman"/>
                      <w:i w:val="0"/>
                      <w:iCs w:val="0"/>
                      <w:color w:val="auto"/>
                      <w:kern w:val="0"/>
                      <w:sz w:val="24"/>
                      <w:szCs w:val="24"/>
                      <w:u w:val="none" w:color="auto"/>
                      <w:lang w:val="en-US" w:eastAsia="zh-CN" w:bidi="ar"/>
                    </w:rPr>
                    <w:t>55</w:t>
                  </w:r>
                </w:p>
              </w:tc>
              <w:tc>
                <w:tcPr>
                  <w:tcW w:w="3143"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4"/>
                      <w:szCs w:val="24"/>
                      <w:u w:val="none" w:color="auto"/>
                    </w:rPr>
                  </w:pPr>
                  <w:r>
                    <w:rPr>
                      <w:rFonts w:hint="default" w:ascii="Times New Roman" w:hAnsi="Times New Roman" w:eastAsia="宋体" w:cs="Times New Roman"/>
                      <w:i w:val="0"/>
                      <w:iCs w:val="0"/>
                      <w:color w:val="auto"/>
                      <w:kern w:val="0"/>
                      <w:sz w:val="24"/>
                      <w:szCs w:val="24"/>
                      <w:u w:val="none" w:color="auto"/>
                      <w:lang w:val="en-US" w:eastAsia="zh-CN" w:bidi="ar"/>
                    </w:rPr>
                    <w:t>44</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trPr>
              <w:tc>
                <w:tcPr>
                  <w:tcW w:w="2270"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4"/>
                      <w:szCs w:val="24"/>
                      <w:u w:val="none" w:color="auto"/>
                    </w:rPr>
                  </w:pPr>
                  <w:r>
                    <w:rPr>
                      <w:rFonts w:hint="default" w:ascii="Times New Roman" w:hAnsi="Times New Roman" w:eastAsia="宋体" w:cs="Times New Roman"/>
                      <w:i w:val="0"/>
                      <w:iCs w:val="0"/>
                      <w:color w:val="auto"/>
                      <w:kern w:val="0"/>
                      <w:sz w:val="24"/>
                      <w:szCs w:val="24"/>
                      <w:u w:val="none" w:color="auto"/>
                      <w:lang w:val="en-US" w:eastAsia="zh-CN" w:bidi="ar"/>
                    </w:rPr>
                    <w:t>北厂界</w:t>
                  </w:r>
                </w:p>
              </w:tc>
              <w:tc>
                <w:tcPr>
                  <w:tcW w:w="3007"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4"/>
                      <w:szCs w:val="24"/>
                      <w:u w:val="none" w:color="auto"/>
                    </w:rPr>
                  </w:pPr>
                  <w:r>
                    <w:rPr>
                      <w:rFonts w:hint="default" w:ascii="Times New Roman" w:hAnsi="Times New Roman" w:eastAsia="宋体" w:cs="Times New Roman"/>
                      <w:i w:val="0"/>
                      <w:iCs w:val="0"/>
                      <w:color w:val="auto"/>
                      <w:kern w:val="0"/>
                      <w:sz w:val="24"/>
                      <w:szCs w:val="24"/>
                      <w:u w:val="none" w:color="auto"/>
                      <w:lang w:val="en-US" w:eastAsia="zh-CN" w:bidi="ar"/>
                    </w:rPr>
                    <w:t>55</w:t>
                  </w:r>
                </w:p>
              </w:tc>
              <w:tc>
                <w:tcPr>
                  <w:tcW w:w="3143"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24"/>
                      <w:szCs w:val="24"/>
                      <w:u w:val="none" w:color="auto"/>
                    </w:rPr>
                  </w:pPr>
                  <w:r>
                    <w:rPr>
                      <w:rFonts w:hint="default" w:ascii="Times New Roman" w:hAnsi="Times New Roman" w:eastAsia="宋体" w:cs="Times New Roman"/>
                      <w:i w:val="0"/>
                      <w:iCs w:val="0"/>
                      <w:color w:val="auto"/>
                      <w:kern w:val="0"/>
                      <w:sz w:val="24"/>
                      <w:szCs w:val="24"/>
                      <w:u w:val="none" w:color="auto"/>
                      <w:lang w:val="en-US" w:eastAsia="zh-CN" w:bidi="ar"/>
                    </w:rPr>
                    <w:t>43</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trPr>
              <w:tc>
                <w:tcPr>
                  <w:tcW w:w="2270"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4"/>
                      <w:szCs w:val="24"/>
                      <w:u w:val="none" w:color="auto"/>
                      <w:lang w:val="en-US" w:eastAsia="zh-CN" w:bidi="ar"/>
                    </w:rPr>
                  </w:pPr>
                  <w:r>
                    <w:rPr>
                      <w:rFonts w:hint="eastAsia" w:ascii="Times New Roman" w:hAnsi="Times New Roman" w:eastAsia="宋体" w:cs="Times New Roman"/>
                      <w:i w:val="0"/>
                      <w:iCs w:val="0"/>
                      <w:color w:val="auto"/>
                      <w:kern w:val="0"/>
                      <w:sz w:val="24"/>
                      <w:szCs w:val="24"/>
                      <w:u w:val="none" w:color="auto"/>
                      <w:lang w:val="en-US" w:eastAsia="zh-CN" w:bidi="ar"/>
                    </w:rPr>
                    <w:t>标准限值</w:t>
                  </w:r>
                </w:p>
              </w:tc>
              <w:tc>
                <w:tcPr>
                  <w:tcW w:w="3007"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4"/>
                      <w:szCs w:val="24"/>
                      <w:u w:val="none" w:color="auto"/>
                      <w:lang w:val="en-US" w:eastAsia="zh-CN" w:bidi="ar"/>
                    </w:rPr>
                  </w:pPr>
                  <w:r>
                    <w:rPr>
                      <w:rFonts w:hint="eastAsia" w:cs="Times New Roman"/>
                      <w:i w:val="0"/>
                      <w:iCs w:val="0"/>
                      <w:color w:val="auto"/>
                      <w:kern w:val="0"/>
                      <w:sz w:val="24"/>
                      <w:szCs w:val="24"/>
                      <w:u w:val="none" w:color="auto"/>
                      <w:lang w:val="en-US" w:eastAsia="zh-CN" w:bidi="ar"/>
                    </w:rPr>
                    <w:t>65</w:t>
                  </w:r>
                </w:p>
              </w:tc>
              <w:tc>
                <w:tcPr>
                  <w:tcW w:w="3143"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4"/>
                      <w:szCs w:val="24"/>
                      <w:u w:val="none" w:color="auto"/>
                      <w:lang w:val="en-US" w:eastAsia="zh-CN" w:bidi="ar"/>
                    </w:rPr>
                  </w:pPr>
                  <w:r>
                    <w:rPr>
                      <w:rFonts w:hint="eastAsia" w:cs="Times New Roman"/>
                      <w:i w:val="0"/>
                      <w:iCs w:val="0"/>
                      <w:color w:val="auto"/>
                      <w:kern w:val="0"/>
                      <w:sz w:val="24"/>
                      <w:szCs w:val="24"/>
                      <w:u w:val="none" w:color="auto"/>
                      <w:lang w:val="en-US" w:eastAsia="zh-CN" w:bidi="ar"/>
                    </w:rPr>
                    <w:t>55</w:t>
                  </w:r>
                </w:p>
              </w:tc>
            </w:tr>
          </w:tbl>
          <w:p>
            <w:pPr>
              <w:pStyle w:val="29"/>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360" w:lineRule="auto"/>
              <w:ind w:left="0" w:right="0" w:firstLine="241" w:firstLineChars="100"/>
              <w:jc w:val="both"/>
              <w:textAlignment w:val="auto"/>
              <w:rPr>
                <w:rFonts w:hint="default" w:ascii="Times New Roman" w:hAnsi="Times New Roman" w:eastAsia="宋体" w:cs="Times New Roman"/>
                <w:b/>
                <w:bCs/>
                <w:color w:val="auto"/>
                <w:kern w:val="0"/>
                <w:sz w:val="24"/>
                <w:szCs w:val="24"/>
                <w:u w:val="none" w:color="auto"/>
                <w:lang w:val="en-US" w:eastAsia="zh-CN"/>
              </w:rPr>
            </w:pPr>
            <w:r>
              <w:rPr>
                <w:rFonts w:hint="eastAsia" w:ascii="Times New Roman" w:hAnsi="Times New Roman" w:eastAsia="宋体" w:cs="Times New Roman"/>
                <w:b/>
                <w:bCs/>
                <w:color w:val="auto"/>
                <w:kern w:val="0"/>
                <w:sz w:val="24"/>
                <w:szCs w:val="24"/>
                <w:u w:val="none" w:color="auto"/>
                <w:lang w:val="en-US" w:eastAsia="zh-CN"/>
              </w:rPr>
              <w:t>3.4固废</w:t>
            </w:r>
          </w:p>
          <w:p>
            <w:pPr>
              <w:pStyle w:val="29"/>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0"/>
                <w:sz w:val="24"/>
                <w:szCs w:val="24"/>
                <w:u w:val="none" w:color="auto"/>
                <w:lang w:val="en-US" w:eastAsia="zh-CN"/>
              </w:rPr>
            </w:pPr>
            <w:r>
              <w:rPr>
                <w:rFonts w:hint="eastAsia" w:ascii="Times New Roman" w:hAnsi="Times New Roman" w:eastAsia="宋体" w:cs="Times New Roman"/>
                <w:b w:val="0"/>
                <w:bCs w:val="0"/>
                <w:color w:val="auto"/>
                <w:kern w:val="0"/>
                <w:sz w:val="24"/>
                <w:szCs w:val="24"/>
                <w:u w:val="none" w:color="auto"/>
                <w:lang w:val="en-US" w:eastAsia="zh-CN"/>
              </w:rPr>
              <w:t>根据《危险废物排除管理清单》（2021年版）中“金属表面热浸镀锌处理（未加铅且不使用助镀剂）过程中锌锅内产生的锌浮渣；金属表面热浸镀锌处理（未加铅）过程中锌锅内产生的锌底渣”不属于危险废物，企业没有助镀工艺，直接热镀且未加铅，故锌锅内产生的锌渣属于一般固体废物。</w:t>
            </w:r>
          </w:p>
          <w:p>
            <w:pPr>
              <w:pStyle w:val="29"/>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b w:val="0"/>
                <w:bCs w:val="0"/>
                <w:color w:val="auto"/>
                <w:kern w:val="0"/>
                <w:sz w:val="24"/>
                <w:szCs w:val="24"/>
                <w:u w:val="none" w:color="auto"/>
                <w:lang w:val="en-US" w:eastAsia="zh-CN"/>
              </w:rPr>
            </w:pPr>
            <w:r>
              <w:rPr>
                <w:rFonts w:hint="eastAsia" w:ascii="Times New Roman" w:hAnsi="Times New Roman" w:eastAsia="宋体" w:cs="Times New Roman"/>
                <w:b w:val="0"/>
                <w:bCs w:val="0"/>
                <w:color w:val="auto"/>
                <w:kern w:val="0"/>
                <w:sz w:val="24"/>
                <w:szCs w:val="24"/>
                <w:u w:val="none" w:color="auto"/>
                <w:lang w:val="en-US" w:eastAsia="zh-CN"/>
              </w:rPr>
              <w:t>现有工程一般固体废物有金属废料、锌渣、废反渗透膜、废陶瓷超滤膜、生化污泥和废包装材料等。金属废料、锌渣、废包装材料、废分子筛暂存于一般固废间内，定期外售综合利用；废反渗透膜、废陶瓷超滤膜、生化污泥集中收集后运往垃圾处理厂处理。</w:t>
            </w:r>
          </w:p>
          <w:p>
            <w:pPr>
              <w:pStyle w:val="29"/>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b w:val="0"/>
                <w:bCs w:val="0"/>
                <w:color w:val="auto"/>
                <w:kern w:val="0"/>
                <w:sz w:val="24"/>
                <w:szCs w:val="24"/>
                <w:u w:val="none" w:color="auto"/>
                <w:lang w:val="en-US" w:eastAsia="zh-CN"/>
              </w:rPr>
            </w:pPr>
            <w:r>
              <w:rPr>
                <w:rFonts w:hint="eastAsia" w:ascii="Times New Roman" w:hAnsi="Times New Roman" w:eastAsia="宋体" w:cs="Times New Roman"/>
                <w:b w:val="0"/>
                <w:bCs w:val="0"/>
                <w:color w:val="auto"/>
                <w:kern w:val="0"/>
                <w:sz w:val="24"/>
                <w:szCs w:val="24"/>
                <w:u w:val="none" w:color="auto"/>
                <w:lang w:val="en-US" w:eastAsia="zh-CN"/>
              </w:rPr>
              <w:t>现有工程危险废物有含油污泥、酸性废水污泥、废酸液、酸渣、废乳化油、热镀锌废钝化液、彩涂板废化涂液、废清洗溶剂、浇铸浮渣</w:t>
            </w:r>
            <w:r>
              <w:rPr>
                <w:rFonts w:hint="eastAsia" w:ascii="Times New Roman" w:eastAsia="宋体" w:cs="Times New Roman"/>
                <w:b w:val="0"/>
                <w:bCs w:val="0"/>
                <w:color w:val="auto"/>
                <w:kern w:val="0"/>
                <w:sz w:val="24"/>
                <w:szCs w:val="24"/>
                <w:u w:val="none" w:color="auto"/>
                <w:lang w:val="en-US" w:eastAsia="zh-CN"/>
              </w:rPr>
              <w:t>、</w:t>
            </w:r>
            <w:r>
              <w:rPr>
                <w:rFonts w:hint="eastAsia" w:ascii="Times New Roman" w:hAnsi="Times New Roman" w:eastAsia="宋体" w:cs="Times New Roman"/>
                <w:b w:val="0"/>
                <w:bCs w:val="0"/>
                <w:color w:val="auto"/>
                <w:kern w:val="0"/>
                <w:sz w:val="24"/>
                <w:szCs w:val="24"/>
                <w:u w:val="none" w:color="auto"/>
                <w:lang w:val="en-US" w:eastAsia="zh-CN"/>
              </w:rPr>
              <w:t>废油漆桶</w:t>
            </w:r>
            <w:r>
              <w:rPr>
                <w:rFonts w:hint="eastAsia" w:ascii="Times New Roman" w:eastAsia="宋体" w:cs="Times New Roman"/>
                <w:b w:val="0"/>
                <w:bCs w:val="0"/>
                <w:color w:val="auto"/>
                <w:kern w:val="0"/>
                <w:sz w:val="24"/>
                <w:szCs w:val="24"/>
                <w:u w:val="none" w:color="auto"/>
                <w:lang w:val="en-US" w:eastAsia="zh-CN"/>
              </w:rPr>
              <w:t>、废弃包装桶</w:t>
            </w:r>
            <w:r>
              <w:rPr>
                <w:rFonts w:hint="eastAsia" w:ascii="Times New Roman" w:hAnsi="Times New Roman" w:eastAsia="宋体" w:cs="Times New Roman"/>
                <w:b w:val="0"/>
                <w:bCs w:val="0"/>
                <w:color w:val="auto"/>
                <w:kern w:val="0"/>
                <w:sz w:val="24"/>
                <w:szCs w:val="24"/>
                <w:u w:val="none" w:color="auto"/>
                <w:lang w:val="en-US" w:eastAsia="zh-CN"/>
              </w:rPr>
              <w:t>、废催化剂</w:t>
            </w:r>
            <w:r>
              <w:rPr>
                <w:rFonts w:hint="eastAsia" w:ascii="Times New Roman" w:eastAsia="宋体" w:cs="Times New Roman"/>
                <w:b w:val="0"/>
                <w:bCs w:val="0"/>
                <w:color w:val="auto"/>
                <w:kern w:val="0"/>
                <w:sz w:val="24"/>
                <w:szCs w:val="24"/>
                <w:u w:val="none" w:color="auto"/>
                <w:lang w:val="en-US" w:eastAsia="zh-CN"/>
              </w:rPr>
              <w:t>（废脱硝催化剂及氨分解系统产生的废催化剂）</w:t>
            </w:r>
            <w:r>
              <w:rPr>
                <w:rFonts w:hint="eastAsia" w:ascii="Times New Roman" w:hAnsi="Times New Roman" w:eastAsia="宋体" w:cs="Times New Roman"/>
                <w:b w:val="0"/>
                <w:bCs w:val="0"/>
                <w:color w:val="auto"/>
                <w:kern w:val="0"/>
                <w:sz w:val="24"/>
                <w:szCs w:val="24"/>
                <w:u w:val="none" w:color="auto"/>
                <w:lang w:val="en-US" w:eastAsia="zh-CN"/>
              </w:rPr>
              <w:t>、</w:t>
            </w:r>
            <w:r>
              <w:rPr>
                <w:rFonts w:hint="eastAsia" w:ascii="Times New Roman" w:eastAsia="宋体" w:cs="Times New Roman"/>
                <w:b w:val="0"/>
                <w:bCs w:val="0"/>
                <w:color w:val="auto"/>
                <w:kern w:val="0"/>
                <w:sz w:val="24"/>
                <w:szCs w:val="24"/>
                <w:u w:val="none" w:color="auto"/>
                <w:lang w:val="en-US" w:eastAsia="zh-CN"/>
              </w:rPr>
              <w:t>废化验残液、</w:t>
            </w:r>
            <w:r>
              <w:rPr>
                <w:rFonts w:hint="eastAsia" w:ascii="Times New Roman" w:hAnsi="Times New Roman" w:eastAsia="宋体" w:cs="Times New Roman"/>
                <w:b w:val="0"/>
                <w:bCs w:val="0"/>
                <w:color w:val="auto"/>
                <w:kern w:val="0"/>
                <w:sz w:val="24"/>
                <w:szCs w:val="24"/>
                <w:u w:val="none" w:color="auto"/>
                <w:lang w:val="en-US" w:eastAsia="zh-CN"/>
              </w:rPr>
              <w:t>熔炼渣、除尘灰（含熔炼渣灰）、废UV灯管和废活性炭等。废酸液经废酸再生站再生后循环利用，不外排；浇铸浮渣返回熔炼炉使用，不外排</w:t>
            </w:r>
            <w:r>
              <w:rPr>
                <w:rFonts w:hint="eastAsia" w:ascii="Times New Roman" w:eastAsia="宋体" w:cs="Times New Roman"/>
                <w:b w:val="0"/>
                <w:bCs w:val="0"/>
                <w:color w:val="auto"/>
                <w:kern w:val="0"/>
                <w:sz w:val="24"/>
                <w:szCs w:val="24"/>
                <w:u w:val="none" w:color="auto"/>
                <w:lang w:val="en-US" w:eastAsia="zh-CN"/>
              </w:rPr>
              <w:t>；</w:t>
            </w:r>
            <w:r>
              <w:rPr>
                <w:rFonts w:hint="eastAsia" w:ascii="Times New Roman" w:hAnsi="Times New Roman" w:eastAsia="宋体" w:cs="Times New Roman"/>
                <w:b w:val="0"/>
                <w:bCs w:val="0"/>
                <w:color w:val="auto"/>
                <w:kern w:val="0"/>
                <w:sz w:val="24"/>
                <w:szCs w:val="24"/>
                <w:u w:val="none" w:color="auto"/>
                <w:lang w:val="en-US" w:eastAsia="zh-CN"/>
              </w:rPr>
              <w:t>其余危险废物暂存于厂区危险废物暂存间内，定期由有处置资质的单位拉运处理。</w:t>
            </w:r>
          </w:p>
          <w:p>
            <w:pPr>
              <w:pStyle w:val="29"/>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b w:val="0"/>
                <w:bCs w:val="0"/>
                <w:color w:val="auto"/>
                <w:kern w:val="0"/>
                <w:sz w:val="24"/>
                <w:szCs w:val="24"/>
                <w:u w:val="none" w:color="auto"/>
                <w:lang w:val="en-US" w:eastAsia="zh-CN"/>
              </w:rPr>
            </w:pPr>
            <w:r>
              <w:rPr>
                <w:rFonts w:hint="eastAsia" w:ascii="Times New Roman" w:hAnsi="Times New Roman" w:eastAsia="宋体" w:cs="Times New Roman"/>
                <w:b w:val="0"/>
                <w:bCs w:val="0"/>
                <w:color w:val="auto"/>
                <w:kern w:val="0"/>
                <w:sz w:val="24"/>
                <w:szCs w:val="24"/>
                <w:u w:val="none" w:color="auto"/>
                <w:lang w:val="en-US" w:eastAsia="zh-CN"/>
              </w:rPr>
              <w:t>生活垃圾由厂区现有垃圾桶集中收集，定期由当地环卫部门清运。</w:t>
            </w:r>
          </w:p>
          <w:p>
            <w:pPr>
              <w:pStyle w:val="29"/>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0"/>
                <w:sz w:val="24"/>
                <w:szCs w:val="24"/>
                <w:u w:val="none" w:color="auto"/>
                <w:lang w:val="en-US" w:eastAsia="zh-CN"/>
              </w:rPr>
            </w:pPr>
            <w:r>
              <w:rPr>
                <w:rFonts w:hint="eastAsia" w:ascii="Times New Roman" w:hAnsi="Times New Roman" w:eastAsia="宋体" w:cs="Times New Roman"/>
                <w:b w:val="0"/>
                <w:bCs w:val="0"/>
                <w:color w:val="auto"/>
                <w:kern w:val="0"/>
                <w:sz w:val="24"/>
                <w:szCs w:val="24"/>
                <w:u w:val="none" w:color="auto"/>
                <w:lang w:val="en-US" w:eastAsia="zh-CN"/>
              </w:rPr>
              <w:t>因此，现有工程固体废物均得到合理处置，不外排。</w:t>
            </w:r>
          </w:p>
          <w:p>
            <w:pPr>
              <w:pStyle w:val="29"/>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b/>
                <w:bCs/>
                <w:color w:val="auto"/>
                <w:kern w:val="0"/>
                <w:sz w:val="24"/>
                <w:szCs w:val="24"/>
                <w:u w:val="none" w:color="auto"/>
                <w:lang w:val="en-US" w:eastAsia="zh-CN"/>
              </w:rPr>
            </w:pPr>
            <w:r>
              <w:rPr>
                <w:rFonts w:hint="eastAsia" w:ascii="Times New Roman" w:hAnsi="Times New Roman" w:eastAsia="宋体" w:cs="Times New Roman"/>
                <w:b/>
                <w:bCs/>
                <w:color w:val="auto"/>
                <w:kern w:val="0"/>
                <w:sz w:val="24"/>
                <w:szCs w:val="24"/>
                <w:u w:val="none" w:color="auto"/>
                <w:lang w:val="en-US" w:eastAsia="zh-CN"/>
              </w:rPr>
              <w:t>4.</w:t>
            </w:r>
            <w:r>
              <w:rPr>
                <w:rFonts w:hint="default" w:ascii="Times New Roman" w:hAnsi="Times New Roman" w:eastAsia="宋体" w:cs="Times New Roman"/>
                <w:b/>
                <w:bCs/>
                <w:color w:val="auto"/>
                <w:kern w:val="0"/>
                <w:sz w:val="24"/>
                <w:szCs w:val="24"/>
                <w:u w:val="none" w:color="auto"/>
                <w:lang w:val="en-US" w:eastAsia="zh-CN"/>
              </w:rPr>
              <w:t>现有工程污染物排放总量</w:t>
            </w:r>
          </w:p>
          <w:p>
            <w:pPr>
              <w:pStyle w:val="29"/>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0"/>
                <w:sz w:val="24"/>
                <w:szCs w:val="24"/>
                <w:u w:val="none" w:color="auto"/>
                <w:lang w:val="en-US" w:eastAsia="zh-CN" w:bidi="ar-SA"/>
              </w:rPr>
            </w:pPr>
            <w:r>
              <w:rPr>
                <w:rFonts w:hint="eastAsia" w:ascii="Times New Roman" w:hAnsi="Times New Roman" w:eastAsia="宋体" w:cs="Times New Roman"/>
                <w:b w:val="0"/>
                <w:bCs w:val="0"/>
                <w:color w:val="auto"/>
                <w:kern w:val="0"/>
                <w:sz w:val="24"/>
                <w:szCs w:val="24"/>
                <w:u w:val="none" w:color="auto"/>
                <w:lang w:val="en-US" w:eastAsia="zh-CN" w:bidi="ar-SA"/>
              </w:rPr>
              <w:t>根据在线数据</w:t>
            </w:r>
            <w:r>
              <w:rPr>
                <w:rFonts w:hint="eastAsia" w:ascii="Times New Roman" w:eastAsia="宋体" w:cs="Times New Roman"/>
                <w:b w:val="0"/>
                <w:bCs w:val="0"/>
                <w:color w:val="auto"/>
                <w:kern w:val="0"/>
                <w:sz w:val="24"/>
                <w:szCs w:val="24"/>
                <w:u w:val="none" w:color="auto"/>
                <w:lang w:val="en-US" w:eastAsia="zh-CN" w:bidi="ar-SA"/>
              </w:rPr>
              <w:t>及</w:t>
            </w:r>
            <w:r>
              <w:rPr>
                <w:rFonts w:hint="eastAsia" w:ascii="Times New Roman" w:hAnsi="Times New Roman" w:eastAsia="宋体" w:cs="Times New Roman"/>
                <w:b w:val="0"/>
                <w:bCs w:val="0"/>
                <w:color w:val="auto"/>
                <w:kern w:val="0"/>
                <w:sz w:val="24"/>
                <w:szCs w:val="24"/>
                <w:u w:val="none" w:color="auto"/>
                <w:lang w:val="en-US" w:eastAsia="zh-CN" w:bidi="ar-SA"/>
              </w:rPr>
              <w:t>2024年3月份和6月份河南政院检测有限公司出具的检测报告（ZYTHJB2024-0364C1、ZYTHJB2024-0455）等资料</w:t>
            </w:r>
            <w:r>
              <w:rPr>
                <w:rFonts w:hint="eastAsia" w:ascii="Times New Roman" w:hAnsi="Times New Roman" w:eastAsia="宋体" w:cs="Times New Roman"/>
                <w:b w:val="0"/>
                <w:bCs w:val="0"/>
                <w:color w:val="auto"/>
                <w:kern w:val="0"/>
                <w:sz w:val="24"/>
                <w:szCs w:val="24"/>
                <w:u w:val="none" w:color="auto"/>
                <w:lang w:val="en-US" w:eastAsia="zh-CN"/>
              </w:rPr>
              <w:t>核算</w:t>
            </w:r>
            <w:r>
              <w:rPr>
                <w:rFonts w:hint="eastAsia" w:ascii="Times New Roman" w:hAnsi="Times New Roman" w:eastAsia="宋体" w:cs="Times New Roman"/>
                <w:b w:val="0"/>
                <w:bCs w:val="0"/>
                <w:color w:val="auto"/>
                <w:kern w:val="0"/>
                <w:sz w:val="24"/>
                <w:szCs w:val="24"/>
                <w:u w:val="none" w:color="auto"/>
                <w:lang w:val="en-US" w:eastAsia="zh-CN" w:bidi="ar-SA"/>
              </w:rPr>
              <w:t>，现有工程实际污染物排放情况如下。</w:t>
            </w:r>
          </w:p>
          <w:p>
            <w:pPr>
              <w:keepNext w:val="0"/>
              <w:keepLines w:val="0"/>
              <w:suppressLineNumbers w:val="0"/>
              <w:adjustRightInd w:val="0"/>
              <w:snapToGrid w:val="0"/>
              <w:spacing w:before="0" w:beforeAutospacing="0" w:after="0" w:afterAutospacing="0"/>
              <w:ind w:left="0" w:right="0" w:firstLine="482" w:firstLineChars="200"/>
              <w:jc w:val="center"/>
              <w:rPr>
                <w:rFonts w:hint="default" w:ascii="Times New Roman" w:hAnsi="Times New Roman" w:cs="Times New Roman"/>
                <w:b/>
                <w:color w:val="auto"/>
                <w:sz w:val="24"/>
                <w:szCs w:val="24"/>
                <w:u w:val="none" w:color="auto"/>
              </w:rPr>
            </w:pPr>
            <w:r>
              <w:rPr>
                <w:rFonts w:hint="default" w:ascii="Times New Roman" w:hAnsi="Times New Roman" w:cs="Times New Roman"/>
                <w:b/>
                <w:color w:val="auto"/>
                <w:sz w:val="24"/>
                <w:szCs w:val="24"/>
                <w:u w:val="none" w:color="auto"/>
              </w:rPr>
              <w:t>现有工程污染物排放情况（t/a）</w:t>
            </w:r>
          </w:p>
          <w:tbl>
            <w:tblPr>
              <w:tblStyle w:val="27"/>
              <w:tblW w:w="8421" w:type="dxa"/>
              <w:jc w:val="center"/>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60"/>
              <w:gridCol w:w="1589"/>
              <w:gridCol w:w="1589"/>
              <w:gridCol w:w="1594"/>
              <w:gridCol w:w="188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760" w:type="dxa"/>
                  <w:vMerge w:val="restart"/>
                  <w:vAlign w:val="center"/>
                </w:tcPr>
                <w:p>
                  <w:pPr>
                    <w:keepNext w:val="0"/>
                    <w:keepLines w:val="0"/>
                    <w:pageBreakBefore w:val="0"/>
                    <w:suppressLineNumbers w:val="0"/>
                    <w:kinsoku/>
                    <w:wordWrap/>
                    <w:overflowPunct/>
                    <w:topLinePunct w:val="0"/>
                    <w:autoSpaceDE w:val="0"/>
                    <w:autoSpaceDN w:val="0"/>
                    <w:bidi w:val="0"/>
                    <w:spacing w:before="0" w:beforeAutospacing="0" w:after="0" w:afterAutospacing="0" w:line="240" w:lineRule="auto"/>
                    <w:ind w:left="0" w:right="0" w:firstLine="0"/>
                    <w:jc w:val="center"/>
                    <w:rPr>
                      <w:rFonts w:hint="default" w:ascii="Times New Roman" w:hAnsi="Times New Roman" w:cs="Times New Roman"/>
                      <w:b/>
                      <w:bCs/>
                      <w:color w:val="auto"/>
                      <w:sz w:val="21"/>
                      <w:szCs w:val="21"/>
                      <w:u w:val="none" w:color="auto"/>
                    </w:rPr>
                  </w:pPr>
                  <w:r>
                    <w:rPr>
                      <w:rFonts w:hint="default" w:ascii="Times New Roman" w:hAnsi="Times New Roman" w:cs="Times New Roman"/>
                      <w:b/>
                      <w:bCs/>
                      <w:color w:val="auto"/>
                      <w:sz w:val="21"/>
                      <w:szCs w:val="21"/>
                      <w:u w:val="none" w:color="auto"/>
                    </w:rPr>
                    <w:t>污染物</w:t>
                  </w:r>
                </w:p>
              </w:tc>
              <w:tc>
                <w:tcPr>
                  <w:tcW w:w="4772" w:type="dxa"/>
                  <w:gridSpan w:val="3"/>
                  <w:vAlign w:val="center"/>
                </w:tcPr>
                <w:p>
                  <w:pPr>
                    <w:keepNext w:val="0"/>
                    <w:keepLines w:val="0"/>
                    <w:pageBreakBefore w:val="0"/>
                    <w:suppressLineNumbers w:val="0"/>
                    <w:kinsoku/>
                    <w:wordWrap/>
                    <w:overflowPunct/>
                    <w:topLinePunct w:val="0"/>
                    <w:autoSpaceDE w:val="0"/>
                    <w:autoSpaceDN w:val="0"/>
                    <w:bidi w:val="0"/>
                    <w:spacing w:before="0" w:beforeAutospacing="0" w:after="0" w:afterAutospacing="0" w:line="240" w:lineRule="auto"/>
                    <w:ind w:left="0" w:right="0" w:firstLine="0"/>
                    <w:jc w:val="center"/>
                    <w:rPr>
                      <w:rFonts w:hint="default" w:ascii="Times New Roman" w:hAnsi="Times New Roman" w:cs="Times New Roman"/>
                      <w:b/>
                      <w:bCs/>
                      <w:color w:val="auto"/>
                      <w:sz w:val="21"/>
                      <w:szCs w:val="21"/>
                      <w:u w:val="none" w:color="auto"/>
                    </w:rPr>
                  </w:pPr>
                  <w:r>
                    <w:rPr>
                      <w:rFonts w:hint="default" w:ascii="Times New Roman" w:hAnsi="Times New Roman" w:cs="Times New Roman"/>
                      <w:b/>
                      <w:bCs/>
                      <w:color w:val="auto"/>
                      <w:sz w:val="21"/>
                      <w:szCs w:val="21"/>
                      <w:u w:val="none" w:color="auto"/>
                    </w:rPr>
                    <w:t>环评及批复总量</w:t>
                  </w:r>
                </w:p>
              </w:tc>
              <w:tc>
                <w:tcPr>
                  <w:tcW w:w="1889" w:type="dxa"/>
                  <w:vMerge w:val="restart"/>
                  <w:vAlign w:val="center"/>
                </w:tcPr>
                <w:p>
                  <w:pPr>
                    <w:keepNext w:val="0"/>
                    <w:keepLines w:val="0"/>
                    <w:pageBreakBefore w:val="0"/>
                    <w:suppressLineNumbers w:val="0"/>
                    <w:kinsoku/>
                    <w:wordWrap/>
                    <w:overflowPunct/>
                    <w:topLinePunct w:val="0"/>
                    <w:autoSpaceDE w:val="0"/>
                    <w:autoSpaceDN w:val="0"/>
                    <w:bidi w:val="0"/>
                    <w:spacing w:before="0" w:beforeAutospacing="0" w:after="0" w:afterAutospacing="0" w:line="240" w:lineRule="auto"/>
                    <w:ind w:left="0" w:right="0" w:firstLine="0"/>
                    <w:jc w:val="center"/>
                    <w:rPr>
                      <w:rFonts w:hint="default" w:ascii="Times New Roman" w:hAnsi="Times New Roman" w:cs="Times New Roman"/>
                      <w:b/>
                      <w:bCs/>
                      <w:color w:val="auto"/>
                      <w:sz w:val="21"/>
                      <w:szCs w:val="21"/>
                      <w:u w:val="none" w:color="auto"/>
                      <w:lang w:eastAsia="zh-CN"/>
                    </w:rPr>
                  </w:pPr>
                  <w:r>
                    <w:rPr>
                      <w:rFonts w:hint="default" w:ascii="Times New Roman" w:hAnsi="Times New Roman" w:cs="Times New Roman"/>
                      <w:b/>
                      <w:bCs/>
                      <w:color w:val="auto"/>
                      <w:sz w:val="21"/>
                      <w:szCs w:val="21"/>
                      <w:u w:val="none" w:color="auto"/>
                      <w:lang w:eastAsia="zh-CN"/>
                    </w:rPr>
                    <w:t>现有工程实际排放量</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760" w:type="dxa"/>
                  <w:vMerge w:val="continue"/>
                  <w:vAlign w:val="center"/>
                </w:tcPr>
                <w:p>
                  <w:pPr>
                    <w:keepNext w:val="0"/>
                    <w:keepLines w:val="0"/>
                    <w:pageBreakBefore w:val="0"/>
                    <w:suppressLineNumbers w:val="0"/>
                    <w:kinsoku/>
                    <w:wordWrap/>
                    <w:overflowPunct/>
                    <w:topLinePunct w:val="0"/>
                    <w:autoSpaceDE w:val="0"/>
                    <w:autoSpaceDN w:val="0"/>
                    <w:bidi w:val="0"/>
                    <w:spacing w:before="0" w:beforeAutospacing="0" w:after="0" w:afterAutospacing="0" w:line="240" w:lineRule="auto"/>
                    <w:ind w:left="0" w:right="0" w:firstLine="0"/>
                    <w:jc w:val="center"/>
                    <w:rPr>
                      <w:rFonts w:hint="default" w:ascii="Times New Roman" w:hAnsi="Times New Roman" w:cs="Times New Roman"/>
                      <w:color w:val="auto"/>
                      <w:sz w:val="21"/>
                      <w:szCs w:val="21"/>
                      <w:u w:val="none" w:color="auto"/>
                    </w:rPr>
                  </w:pPr>
                </w:p>
              </w:tc>
              <w:tc>
                <w:tcPr>
                  <w:tcW w:w="1589" w:type="dxa"/>
                  <w:vAlign w:val="center"/>
                </w:tcPr>
                <w:p>
                  <w:pPr>
                    <w:keepNext w:val="0"/>
                    <w:keepLines w:val="0"/>
                    <w:pageBreakBefore w:val="0"/>
                    <w:suppressLineNumbers w:val="0"/>
                    <w:kinsoku/>
                    <w:wordWrap/>
                    <w:overflowPunct/>
                    <w:topLinePunct w:val="0"/>
                    <w:autoSpaceDE w:val="0"/>
                    <w:autoSpaceDN w:val="0"/>
                    <w:bidi w:val="0"/>
                    <w:spacing w:before="0" w:beforeAutospacing="0" w:after="0" w:afterAutospacing="0" w:line="240" w:lineRule="auto"/>
                    <w:ind w:left="0" w:right="0" w:firstLine="0"/>
                    <w:jc w:val="center"/>
                    <w:rPr>
                      <w:rFonts w:hint="default" w:ascii="Times New Roman" w:hAnsi="Times New Roman" w:eastAsia="宋体" w:cs="Times New Roman"/>
                      <w:b/>
                      <w:bCs/>
                      <w:color w:val="auto"/>
                      <w:sz w:val="21"/>
                      <w:szCs w:val="21"/>
                      <w:u w:val="none" w:color="auto"/>
                      <w:lang w:eastAsia="zh-CN"/>
                    </w:rPr>
                  </w:pPr>
                  <w:r>
                    <w:rPr>
                      <w:rFonts w:hint="default" w:ascii="Times New Roman" w:hAnsi="Times New Roman" w:cs="Times New Roman"/>
                      <w:b/>
                      <w:bCs/>
                      <w:color w:val="auto"/>
                      <w:sz w:val="21"/>
                      <w:szCs w:val="21"/>
                      <w:u w:val="none" w:color="auto"/>
                      <w:lang w:eastAsia="zh-CN"/>
                    </w:rPr>
                    <w:t>已建</w:t>
                  </w:r>
                </w:p>
              </w:tc>
              <w:tc>
                <w:tcPr>
                  <w:tcW w:w="1589" w:type="dxa"/>
                  <w:vAlign w:val="center"/>
                </w:tcPr>
                <w:p>
                  <w:pPr>
                    <w:keepNext w:val="0"/>
                    <w:keepLines w:val="0"/>
                    <w:pageBreakBefore w:val="0"/>
                    <w:suppressLineNumbers w:val="0"/>
                    <w:kinsoku/>
                    <w:wordWrap/>
                    <w:overflowPunct/>
                    <w:topLinePunct w:val="0"/>
                    <w:autoSpaceDE w:val="0"/>
                    <w:autoSpaceDN w:val="0"/>
                    <w:bidi w:val="0"/>
                    <w:spacing w:before="0" w:beforeAutospacing="0" w:after="0" w:afterAutospacing="0" w:line="240" w:lineRule="auto"/>
                    <w:ind w:left="0" w:right="0" w:firstLine="0"/>
                    <w:jc w:val="center"/>
                    <w:rPr>
                      <w:rFonts w:hint="default" w:ascii="Times New Roman" w:hAnsi="Times New Roman" w:eastAsia="宋体" w:cs="Times New Roman"/>
                      <w:b/>
                      <w:bCs/>
                      <w:color w:val="auto"/>
                      <w:sz w:val="21"/>
                      <w:szCs w:val="21"/>
                      <w:u w:val="none" w:color="auto"/>
                      <w:lang w:eastAsia="zh-CN"/>
                    </w:rPr>
                  </w:pPr>
                  <w:r>
                    <w:rPr>
                      <w:rFonts w:hint="default" w:ascii="Times New Roman" w:hAnsi="Times New Roman" w:cs="Times New Roman"/>
                      <w:b/>
                      <w:bCs/>
                      <w:color w:val="auto"/>
                      <w:sz w:val="21"/>
                      <w:szCs w:val="21"/>
                      <w:u w:val="none" w:color="auto"/>
                      <w:lang w:eastAsia="zh-CN"/>
                    </w:rPr>
                    <w:t>在建</w:t>
                  </w:r>
                </w:p>
              </w:tc>
              <w:tc>
                <w:tcPr>
                  <w:tcW w:w="1594" w:type="dxa"/>
                  <w:vAlign w:val="center"/>
                </w:tcPr>
                <w:p>
                  <w:pPr>
                    <w:keepNext w:val="0"/>
                    <w:keepLines w:val="0"/>
                    <w:pageBreakBefore w:val="0"/>
                    <w:suppressLineNumbers w:val="0"/>
                    <w:kinsoku/>
                    <w:wordWrap/>
                    <w:overflowPunct/>
                    <w:topLinePunct w:val="0"/>
                    <w:autoSpaceDE w:val="0"/>
                    <w:autoSpaceDN w:val="0"/>
                    <w:bidi w:val="0"/>
                    <w:spacing w:before="0" w:beforeAutospacing="0" w:after="0" w:afterAutospacing="0" w:line="240" w:lineRule="auto"/>
                    <w:ind w:left="0" w:right="0" w:firstLine="0"/>
                    <w:jc w:val="center"/>
                    <w:rPr>
                      <w:rFonts w:hint="default" w:ascii="Times New Roman" w:hAnsi="Times New Roman" w:cs="Times New Roman"/>
                      <w:b/>
                      <w:bCs/>
                      <w:color w:val="auto"/>
                      <w:sz w:val="21"/>
                      <w:szCs w:val="21"/>
                      <w:u w:val="none" w:color="auto"/>
                      <w:lang w:eastAsia="zh-CN"/>
                    </w:rPr>
                  </w:pPr>
                  <w:r>
                    <w:rPr>
                      <w:rFonts w:hint="default" w:ascii="Times New Roman" w:hAnsi="Times New Roman" w:cs="Times New Roman"/>
                      <w:b/>
                      <w:bCs/>
                      <w:color w:val="auto"/>
                      <w:sz w:val="21"/>
                      <w:szCs w:val="21"/>
                      <w:u w:val="none" w:color="auto"/>
                      <w:lang w:eastAsia="zh-CN"/>
                    </w:rPr>
                    <w:t>全厂</w:t>
                  </w:r>
                </w:p>
              </w:tc>
              <w:tc>
                <w:tcPr>
                  <w:tcW w:w="1889" w:type="dxa"/>
                  <w:vMerge w:val="continue"/>
                  <w:vAlign w:val="center"/>
                </w:tcPr>
                <w:p>
                  <w:pPr>
                    <w:keepNext w:val="0"/>
                    <w:keepLines w:val="0"/>
                    <w:pageBreakBefore w:val="0"/>
                    <w:suppressLineNumbers w:val="0"/>
                    <w:kinsoku/>
                    <w:wordWrap/>
                    <w:overflowPunct/>
                    <w:topLinePunct w:val="0"/>
                    <w:autoSpaceDE w:val="0"/>
                    <w:autoSpaceDN w:val="0"/>
                    <w:bidi w:val="0"/>
                    <w:spacing w:before="0" w:beforeAutospacing="0" w:after="0" w:afterAutospacing="0" w:line="240" w:lineRule="auto"/>
                    <w:ind w:left="0" w:right="0" w:firstLine="0"/>
                    <w:jc w:val="center"/>
                    <w:rPr>
                      <w:rFonts w:hint="default" w:ascii="Times New Roman" w:hAnsi="Times New Roman" w:cs="Times New Roman"/>
                      <w:color w:val="auto"/>
                      <w:sz w:val="21"/>
                      <w:szCs w:val="21"/>
                      <w:u w:val="none" w:color="auto"/>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760" w:type="dxa"/>
                  <w:vAlign w:val="center"/>
                </w:tcPr>
                <w:p>
                  <w:pPr>
                    <w:keepNext w:val="0"/>
                    <w:keepLines w:val="0"/>
                    <w:widowControl w:val="0"/>
                    <w:suppressLineNumbers w:val="0"/>
                    <w:autoSpaceDE w:val="0"/>
                    <w:autoSpaceDN w:val="0"/>
                    <w:spacing w:before="0" w:beforeAutospacing="0" w:after="0" w:afterAutospacing="0"/>
                    <w:ind w:left="0" w:leftChars="0" w:right="0" w:rightChars="0" w:firstLine="0" w:firstLineChars="0"/>
                    <w:jc w:val="center"/>
                    <w:rPr>
                      <w:rFonts w:hint="default" w:ascii="Times New Roman" w:hAnsi="Times New Roman" w:cs="Times New Roman"/>
                      <w:color w:val="auto"/>
                      <w:sz w:val="21"/>
                      <w:szCs w:val="21"/>
                      <w:u w:val="none" w:color="auto"/>
                    </w:rPr>
                  </w:pPr>
                  <w:r>
                    <w:rPr>
                      <w:rFonts w:hint="default" w:ascii="Times New Roman" w:hAnsi="Times New Roman" w:eastAsia="宋体" w:cs="Times New Roman"/>
                      <w:color w:val="auto"/>
                      <w:kern w:val="2"/>
                      <w:sz w:val="21"/>
                      <w:szCs w:val="21"/>
                      <w:lang w:val="en-US" w:eastAsia="zh-CN" w:bidi="ar"/>
                    </w:rPr>
                    <w:t>颗粒物</w:t>
                  </w:r>
                </w:p>
              </w:tc>
              <w:tc>
                <w:tcPr>
                  <w:tcW w:w="1589" w:type="dxa"/>
                  <w:vAlign w:val="center"/>
                </w:tcPr>
                <w:p>
                  <w:pPr>
                    <w:pStyle w:val="23"/>
                    <w:keepNext w:val="0"/>
                    <w:keepLines w:val="0"/>
                    <w:widowControl w:val="0"/>
                    <w:suppressLineNumbers w:val="0"/>
                    <w:adjustRightInd w:val="0"/>
                    <w:snapToGrid w:val="0"/>
                    <w:spacing w:before="0" w:beforeLines="0" w:beforeAutospacing="0" w:after="0" w:afterLines="0" w:afterAutospacing="0" w:line="256"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1"/>
                      <w:sz w:val="21"/>
                      <w:szCs w:val="21"/>
                      <w:u w:val="none" w:color="auto"/>
                      <w:lang w:val="en-US" w:eastAsia="zh-CN"/>
                    </w:rPr>
                  </w:pPr>
                  <w:r>
                    <w:rPr>
                      <w:rFonts w:hint="default" w:ascii="Times New Roman" w:hAnsi="Times New Roman" w:eastAsia="宋体" w:cs="Times New Roman"/>
                      <w:color w:val="auto"/>
                      <w:kern w:val="21"/>
                      <w:sz w:val="21"/>
                      <w:szCs w:val="21"/>
                      <w:lang w:val="en-US" w:eastAsia="zh-CN" w:bidi="ar"/>
                    </w:rPr>
                    <w:t>9.165</w:t>
                  </w:r>
                </w:p>
              </w:tc>
              <w:tc>
                <w:tcPr>
                  <w:tcW w:w="1589" w:type="dxa"/>
                  <w:vAlign w:val="center"/>
                </w:tcPr>
                <w:p>
                  <w:pPr>
                    <w:keepNext w:val="0"/>
                    <w:keepLines w:val="0"/>
                    <w:widowControl/>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0"/>
                      <w:sz w:val="21"/>
                      <w:szCs w:val="21"/>
                      <w:u w:val="none" w:color="auto"/>
                      <w:lang w:val="en-US" w:eastAsia="zh-CN"/>
                    </w:rPr>
                  </w:pPr>
                  <w:r>
                    <w:rPr>
                      <w:rFonts w:hint="default" w:ascii="Times New Roman" w:hAnsi="Times New Roman" w:eastAsia="宋体" w:cs="Times New Roman"/>
                      <w:color w:val="auto"/>
                      <w:kern w:val="0"/>
                      <w:sz w:val="21"/>
                      <w:szCs w:val="21"/>
                      <w:lang w:val="en-US" w:eastAsia="zh-CN" w:bidi="ar"/>
                    </w:rPr>
                    <w:t>19.9226</w:t>
                  </w:r>
                </w:p>
              </w:tc>
              <w:tc>
                <w:tcPr>
                  <w:tcW w:w="1594" w:type="dxa"/>
                  <w:vAlign w:val="center"/>
                </w:tcPr>
                <w:p>
                  <w:pPr>
                    <w:keepNext w:val="0"/>
                    <w:keepLines w:val="0"/>
                    <w:widowControl/>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0"/>
                      <w:sz w:val="21"/>
                      <w:szCs w:val="21"/>
                      <w:u w:val="none" w:color="auto"/>
                      <w:lang w:val="en-US" w:eastAsia="zh-CN"/>
                    </w:rPr>
                  </w:pPr>
                  <w:r>
                    <w:rPr>
                      <w:rFonts w:hint="default" w:ascii="Times New Roman" w:hAnsi="Times New Roman" w:eastAsia="宋体" w:cs="Times New Roman"/>
                      <w:color w:val="auto"/>
                      <w:kern w:val="0"/>
                      <w:sz w:val="21"/>
                      <w:szCs w:val="21"/>
                      <w:lang w:val="en-US" w:eastAsia="zh-CN" w:bidi="ar"/>
                    </w:rPr>
                    <w:t>29.0876</w:t>
                  </w:r>
                </w:p>
              </w:tc>
              <w:tc>
                <w:tcPr>
                  <w:tcW w:w="1889" w:type="dxa"/>
                  <w:vAlign w:val="center"/>
                </w:tcPr>
                <w:p>
                  <w:pPr>
                    <w:pStyle w:val="23"/>
                    <w:keepNext w:val="0"/>
                    <w:keepLines w:val="0"/>
                    <w:widowControl w:val="0"/>
                    <w:suppressLineNumbers w:val="0"/>
                    <w:adjustRightInd w:val="0"/>
                    <w:snapToGrid w:val="0"/>
                    <w:spacing w:before="0" w:beforeLines="0" w:beforeAutospacing="0" w:after="0" w:afterLines="0" w:afterAutospacing="0" w:line="256"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1"/>
                      <w:sz w:val="21"/>
                      <w:szCs w:val="21"/>
                      <w:u w:val="none" w:color="auto"/>
                      <w:lang w:val="en-US" w:eastAsia="zh-CN"/>
                    </w:rPr>
                  </w:pPr>
                  <w:r>
                    <w:rPr>
                      <w:rFonts w:hint="default" w:ascii="Times New Roman" w:hAnsi="Times New Roman" w:eastAsia="宋体" w:cs="Times New Roman"/>
                      <w:color w:val="auto"/>
                      <w:kern w:val="21"/>
                      <w:sz w:val="21"/>
                      <w:szCs w:val="21"/>
                      <w:lang w:val="en-US" w:eastAsia="zh-CN" w:bidi="ar"/>
                    </w:rPr>
                    <w:t>2.3007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760" w:type="dxa"/>
                  <w:vAlign w:val="center"/>
                </w:tcPr>
                <w:p>
                  <w:pPr>
                    <w:keepNext w:val="0"/>
                    <w:keepLines w:val="0"/>
                    <w:pageBreakBefore w:val="0"/>
                    <w:suppressLineNumbers w:val="0"/>
                    <w:kinsoku/>
                    <w:wordWrap/>
                    <w:overflowPunct/>
                    <w:topLinePunct w:val="0"/>
                    <w:autoSpaceDE w:val="0"/>
                    <w:autoSpaceDN w:val="0"/>
                    <w:bidi w:val="0"/>
                    <w:spacing w:before="0" w:beforeAutospacing="0" w:after="0" w:afterAutospacing="0" w:line="240" w:lineRule="auto"/>
                    <w:ind w:left="0" w:right="0" w:firstLine="0" w:firstLineChars="0"/>
                    <w:jc w:val="center"/>
                    <w:rPr>
                      <w:rFonts w:hint="default" w:ascii="Times New Roman" w:hAnsi="Times New Roman" w:cs="Times New Roman"/>
                      <w:color w:val="auto"/>
                      <w:kern w:val="2"/>
                      <w:sz w:val="21"/>
                      <w:szCs w:val="21"/>
                      <w:u w:val="none" w:color="auto"/>
                      <w:lang w:val="en-US" w:eastAsia="zh-CN" w:bidi="ar-SA"/>
                    </w:rPr>
                  </w:pPr>
                  <w:r>
                    <w:rPr>
                      <w:rFonts w:hint="default" w:ascii="Times New Roman" w:hAnsi="Times New Roman" w:cs="Times New Roman"/>
                      <w:color w:val="auto"/>
                      <w:sz w:val="21"/>
                      <w:szCs w:val="21"/>
                      <w:u w:val="none" w:color="auto"/>
                    </w:rPr>
                    <w:t>SO</w:t>
                  </w:r>
                  <w:r>
                    <w:rPr>
                      <w:rFonts w:hint="default" w:ascii="Times New Roman" w:hAnsi="Times New Roman" w:cs="Times New Roman"/>
                      <w:color w:val="auto"/>
                      <w:sz w:val="21"/>
                      <w:szCs w:val="21"/>
                      <w:u w:val="none" w:color="auto"/>
                      <w:vertAlign w:val="subscript"/>
                    </w:rPr>
                    <w:t>2</w:t>
                  </w:r>
                </w:p>
              </w:tc>
              <w:tc>
                <w:tcPr>
                  <w:tcW w:w="1589" w:type="dxa"/>
                  <w:vAlign w:val="center"/>
                </w:tcPr>
                <w:p>
                  <w:pPr>
                    <w:pStyle w:val="46"/>
                    <w:keepNext w:val="0"/>
                    <w:keepLines w:val="0"/>
                    <w:pageBreakBefore w:val="0"/>
                    <w:suppressLineNumbers w:val="0"/>
                    <w:kinsoku/>
                    <w:wordWrap/>
                    <w:overflowPunct/>
                    <w:topLinePunct w:val="0"/>
                    <w:bidi w:val="0"/>
                    <w:spacing w:before="0" w:beforeLines="0" w:beforeAutospacing="0" w:after="0" w:afterLines="0" w:afterAutospacing="0" w:line="240" w:lineRule="auto"/>
                    <w:ind w:left="0" w:right="0" w:firstLine="0" w:firstLineChars="0"/>
                    <w:rPr>
                      <w:rFonts w:hint="default" w:ascii="Times New Roman" w:hAnsi="Times New Roman" w:eastAsia="宋体" w:cs="Times New Roman"/>
                      <w:snapToGrid/>
                      <w:color w:val="auto"/>
                      <w:kern w:val="0"/>
                      <w:sz w:val="21"/>
                      <w:szCs w:val="21"/>
                      <w:u w:val="none" w:color="auto"/>
                      <w:lang w:val="en-US" w:eastAsia="zh-CN" w:bidi="ar-SA"/>
                    </w:rPr>
                  </w:pPr>
                  <w:r>
                    <w:rPr>
                      <w:rFonts w:hint="default" w:ascii="Times New Roman" w:hAnsi="Times New Roman" w:eastAsia="宋体" w:cs="Times New Roman"/>
                      <w:snapToGrid w:val="0"/>
                      <w:color w:val="auto"/>
                      <w:kern w:val="21"/>
                      <w:sz w:val="21"/>
                      <w:szCs w:val="21"/>
                      <w:u w:val="none" w:color="auto"/>
                      <w:lang w:val="en-US" w:eastAsia="zh-CN"/>
                    </w:rPr>
                    <w:t>5.14</w:t>
                  </w:r>
                </w:p>
              </w:tc>
              <w:tc>
                <w:tcPr>
                  <w:tcW w:w="1589" w:type="dxa"/>
                  <w:vAlign w:val="center"/>
                </w:tcPr>
                <w:p>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u w:val="none" w:color="auto"/>
                      <w:lang w:val="en-US" w:eastAsia="zh-CN" w:bidi="ar-SA"/>
                    </w:rPr>
                  </w:pPr>
                  <w:r>
                    <w:rPr>
                      <w:rFonts w:hint="default" w:ascii="Times New Roman" w:hAnsi="Times New Roman" w:eastAsia="宋体" w:cs="Times New Roman"/>
                      <w:color w:val="auto"/>
                      <w:kern w:val="0"/>
                      <w:sz w:val="21"/>
                      <w:szCs w:val="21"/>
                      <w:u w:val="none" w:color="auto"/>
                      <w:lang w:val="en-US" w:eastAsia="zh-CN"/>
                    </w:rPr>
                    <w:t>5.3023</w:t>
                  </w:r>
                </w:p>
              </w:tc>
              <w:tc>
                <w:tcPr>
                  <w:tcW w:w="1594" w:type="dxa"/>
                  <w:vAlign w:val="center"/>
                </w:tcPr>
                <w:p>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u w:val="none" w:color="auto"/>
                      <w:lang w:val="en-US" w:eastAsia="zh-CN" w:bidi="ar-SA"/>
                    </w:rPr>
                  </w:pPr>
                  <w:r>
                    <w:rPr>
                      <w:rFonts w:hint="default" w:ascii="Times New Roman" w:hAnsi="Times New Roman" w:cs="Times New Roman"/>
                      <w:color w:val="auto"/>
                      <w:sz w:val="21"/>
                      <w:szCs w:val="21"/>
                    </w:rPr>
                    <w:t>10.4423</w:t>
                  </w:r>
                </w:p>
              </w:tc>
              <w:tc>
                <w:tcPr>
                  <w:tcW w:w="1889" w:type="dxa"/>
                  <w:vAlign w:val="center"/>
                </w:tcPr>
                <w:p>
                  <w:pPr>
                    <w:pStyle w:val="46"/>
                    <w:keepNext w:val="0"/>
                    <w:keepLines w:val="0"/>
                    <w:pageBreakBefore w:val="0"/>
                    <w:suppressLineNumbers w:val="0"/>
                    <w:kinsoku/>
                    <w:wordWrap/>
                    <w:overflowPunct/>
                    <w:topLinePunct w:val="0"/>
                    <w:bidi w:val="0"/>
                    <w:spacing w:before="0" w:beforeLines="0" w:beforeAutospacing="0" w:after="0" w:afterLines="0" w:afterAutospacing="0" w:line="240" w:lineRule="auto"/>
                    <w:ind w:left="0" w:right="0" w:firstLine="0" w:firstLineChars="0"/>
                    <w:rPr>
                      <w:rFonts w:hint="default" w:ascii="Times New Roman" w:hAnsi="Times New Roman" w:eastAsia="宋体" w:cs="Times New Roman"/>
                      <w:snapToGrid w:val="0"/>
                      <w:color w:val="auto"/>
                      <w:kern w:val="21"/>
                      <w:sz w:val="21"/>
                      <w:szCs w:val="21"/>
                      <w:u w:val="none" w:color="auto"/>
                      <w:lang w:val="en-US" w:eastAsia="zh-CN" w:bidi="ar-SA"/>
                    </w:rPr>
                  </w:pPr>
                  <w:r>
                    <w:rPr>
                      <w:rFonts w:hint="default" w:ascii="Times New Roman" w:hAnsi="Times New Roman" w:eastAsia="宋体" w:cs="Times New Roman"/>
                      <w:snapToGrid w:val="0"/>
                      <w:color w:val="auto"/>
                      <w:kern w:val="21"/>
                      <w:sz w:val="21"/>
                      <w:szCs w:val="21"/>
                      <w:u w:val="none" w:color="auto"/>
                      <w:lang w:val="en-US" w:eastAsia="zh-CN"/>
                    </w:rPr>
                    <w:t>1.8194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760" w:type="dxa"/>
                  <w:vAlign w:val="center"/>
                </w:tcPr>
                <w:p>
                  <w:pPr>
                    <w:keepNext w:val="0"/>
                    <w:keepLines w:val="0"/>
                    <w:pageBreakBefore w:val="0"/>
                    <w:suppressLineNumbers w:val="0"/>
                    <w:kinsoku/>
                    <w:wordWrap/>
                    <w:overflowPunct/>
                    <w:topLinePunct w:val="0"/>
                    <w:autoSpaceDE w:val="0"/>
                    <w:autoSpaceDN w:val="0"/>
                    <w:bidi w:val="0"/>
                    <w:spacing w:before="0" w:beforeAutospacing="0" w:after="0" w:afterAutospacing="0" w:line="240" w:lineRule="auto"/>
                    <w:ind w:left="0" w:right="0" w:firstLine="0" w:firstLineChars="0"/>
                    <w:jc w:val="center"/>
                    <w:rPr>
                      <w:rFonts w:hint="default" w:ascii="Times New Roman" w:hAnsi="Times New Roman" w:cs="Times New Roman"/>
                      <w:color w:val="auto"/>
                      <w:kern w:val="2"/>
                      <w:sz w:val="21"/>
                      <w:szCs w:val="21"/>
                      <w:u w:val="none" w:color="auto"/>
                      <w:lang w:val="en-US" w:eastAsia="zh-CN" w:bidi="ar-SA"/>
                    </w:rPr>
                  </w:pPr>
                  <w:r>
                    <w:rPr>
                      <w:rFonts w:hint="default" w:ascii="Times New Roman" w:hAnsi="Times New Roman" w:cs="Times New Roman"/>
                      <w:color w:val="auto"/>
                      <w:sz w:val="21"/>
                      <w:szCs w:val="21"/>
                      <w:u w:val="none" w:color="auto"/>
                    </w:rPr>
                    <w:t>NOx</w:t>
                  </w:r>
                </w:p>
              </w:tc>
              <w:tc>
                <w:tcPr>
                  <w:tcW w:w="1589" w:type="dxa"/>
                  <w:vAlign w:val="center"/>
                </w:tcPr>
                <w:p>
                  <w:pPr>
                    <w:pStyle w:val="46"/>
                    <w:keepNext w:val="0"/>
                    <w:keepLines w:val="0"/>
                    <w:pageBreakBefore w:val="0"/>
                    <w:suppressLineNumbers w:val="0"/>
                    <w:kinsoku/>
                    <w:wordWrap/>
                    <w:overflowPunct/>
                    <w:topLinePunct w:val="0"/>
                    <w:bidi w:val="0"/>
                    <w:spacing w:before="0" w:beforeLines="0" w:beforeAutospacing="0" w:after="0" w:afterLines="0" w:afterAutospacing="0" w:line="240" w:lineRule="auto"/>
                    <w:ind w:left="0" w:right="0" w:firstLine="0" w:firstLineChars="0"/>
                    <w:rPr>
                      <w:rFonts w:hint="default" w:ascii="Times New Roman" w:hAnsi="Times New Roman" w:eastAsia="宋体" w:cs="Times New Roman"/>
                      <w:snapToGrid/>
                      <w:color w:val="auto"/>
                      <w:kern w:val="0"/>
                      <w:sz w:val="21"/>
                      <w:szCs w:val="21"/>
                      <w:u w:val="none" w:color="auto"/>
                      <w:lang w:val="en-US" w:eastAsia="zh-CN" w:bidi="ar-SA"/>
                    </w:rPr>
                  </w:pPr>
                  <w:r>
                    <w:rPr>
                      <w:rFonts w:hint="default" w:ascii="Times New Roman" w:hAnsi="Times New Roman" w:eastAsia="宋体" w:cs="Times New Roman"/>
                      <w:snapToGrid w:val="0"/>
                      <w:color w:val="auto"/>
                      <w:kern w:val="21"/>
                      <w:sz w:val="21"/>
                      <w:szCs w:val="21"/>
                      <w:u w:val="none" w:color="auto"/>
                      <w:lang w:val="en-US" w:eastAsia="zh-CN"/>
                    </w:rPr>
                    <w:t>64.26</w:t>
                  </w:r>
                </w:p>
              </w:tc>
              <w:tc>
                <w:tcPr>
                  <w:tcW w:w="1589" w:type="dxa"/>
                  <w:vAlign w:val="center"/>
                </w:tcPr>
                <w:p>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u w:val="none" w:color="auto"/>
                      <w:lang w:val="en-US" w:eastAsia="zh-CN" w:bidi="ar-SA"/>
                    </w:rPr>
                  </w:pPr>
                  <w:r>
                    <w:rPr>
                      <w:rFonts w:hint="default" w:ascii="Times New Roman" w:hAnsi="Times New Roman" w:eastAsia="宋体" w:cs="Times New Roman"/>
                      <w:color w:val="auto"/>
                      <w:kern w:val="0"/>
                      <w:sz w:val="21"/>
                      <w:szCs w:val="21"/>
                      <w:u w:val="none" w:color="auto"/>
                      <w:lang w:val="en-US" w:eastAsia="zh-CN"/>
                    </w:rPr>
                    <w:t>72.8463</w:t>
                  </w:r>
                </w:p>
              </w:tc>
              <w:tc>
                <w:tcPr>
                  <w:tcW w:w="1594" w:type="dxa"/>
                  <w:vAlign w:val="center"/>
                </w:tcPr>
                <w:p>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u w:val="none" w:color="auto"/>
                      <w:lang w:val="en-US" w:eastAsia="zh-CN" w:bidi="ar-SA"/>
                    </w:rPr>
                  </w:pPr>
                  <w:r>
                    <w:rPr>
                      <w:rFonts w:hint="default" w:ascii="Times New Roman" w:hAnsi="Times New Roman" w:eastAsia="宋体" w:cs="Times New Roman"/>
                      <w:color w:val="auto"/>
                      <w:kern w:val="0"/>
                      <w:sz w:val="21"/>
                      <w:szCs w:val="21"/>
                      <w:u w:val="none" w:color="auto"/>
                      <w:lang w:val="en-US" w:eastAsia="zh-CN"/>
                    </w:rPr>
                    <w:t>137.1063</w:t>
                  </w:r>
                </w:p>
              </w:tc>
              <w:tc>
                <w:tcPr>
                  <w:tcW w:w="1889" w:type="dxa"/>
                  <w:vAlign w:val="center"/>
                </w:tcPr>
                <w:p>
                  <w:pPr>
                    <w:pStyle w:val="46"/>
                    <w:keepNext w:val="0"/>
                    <w:keepLines w:val="0"/>
                    <w:pageBreakBefore w:val="0"/>
                    <w:suppressLineNumbers w:val="0"/>
                    <w:kinsoku/>
                    <w:wordWrap/>
                    <w:overflowPunct/>
                    <w:topLinePunct w:val="0"/>
                    <w:bidi w:val="0"/>
                    <w:spacing w:before="0" w:beforeLines="0" w:beforeAutospacing="0" w:after="0" w:afterLines="0" w:afterAutospacing="0" w:line="240" w:lineRule="auto"/>
                    <w:ind w:left="0" w:right="0" w:firstLine="0" w:firstLineChars="0"/>
                    <w:rPr>
                      <w:rFonts w:hint="default" w:ascii="Times New Roman" w:hAnsi="Times New Roman" w:eastAsia="宋体" w:cs="Times New Roman"/>
                      <w:snapToGrid w:val="0"/>
                      <w:color w:val="auto"/>
                      <w:kern w:val="21"/>
                      <w:sz w:val="21"/>
                      <w:szCs w:val="21"/>
                      <w:u w:val="none" w:color="auto"/>
                      <w:lang w:val="en-US" w:eastAsia="zh-CN" w:bidi="ar-SA"/>
                    </w:rPr>
                  </w:pPr>
                  <w:r>
                    <w:rPr>
                      <w:rFonts w:hint="default" w:ascii="Times New Roman" w:hAnsi="Times New Roman" w:eastAsia="宋体" w:cs="Times New Roman"/>
                      <w:snapToGrid w:val="0"/>
                      <w:color w:val="auto"/>
                      <w:kern w:val="21"/>
                      <w:sz w:val="21"/>
                      <w:szCs w:val="21"/>
                      <w:u w:val="none" w:color="auto"/>
                      <w:lang w:val="en-US" w:eastAsia="zh-CN"/>
                    </w:rPr>
                    <w:t>16.7422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760" w:type="dxa"/>
                  <w:vAlign w:val="center"/>
                </w:tcPr>
                <w:p>
                  <w:pPr>
                    <w:keepNext w:val="0"/>
                    <w:keepLines w:val="0"/>
                    <w:pageBreakBefore w:val="0"/>
                    <w:suppressLineNumbers w:val="0"/>
                    <w:kinsoku/>
                    <w:wordWrap/>
                    <w:overflowPunct/>
                    <w:topLinePunct w:val="0"/>
                    <w:bidi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u w:val="none" w:color="auto"/>
                      <w:lang w:val="en-US" w:eastAsia="zh-CN" w:bidi="ar-SA"/>
                    </w:rPr>
                  </w:pPr>
                  <w:r>
                    <w:rPr>
                      <w:rFonts w:hint="default" w:ascii="Times New Roman" w:hAnsi="Times New Roman" w:cs="Times New Roman"/>
                      <w:color w:val="auto"/>
                      <w:sz w:val="21"/>
                      <w:szCs w:val="21"/>
                      <w:u w:val="none" w:color="auto"/>
                      <w:lang w:val="en-US" w:eastAsia="zh-CN"/>
                    </w:rPr>
                    <w:t>VOCs</w:t>
                  </w:r>
                </w:p>
              </w:tc>
              <w:tc>
                <w:tcPr>
                  <w:tcW w:w="1589" w:type="dxa"/>
                  <w:vAlign w:val="center"/>
                </w:tcPr>
                <w:p>
                  <w:pPr>
                    <w:keepNext w:val="0"/>
                    <w:keepLines w:val="0"/>
                    <w:pageBreakBefore w:val="0"/>
                    <w:suppressLineNumbers w:val="0"/>
                    <w:kinsoku/>
                    <w:wordWrap/>
                    <w:overflowPunct/>
                    <w:topLinePunct w:val="0"/>
                    <w:bidi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u w:val="none" w:color="auto"/>
                      <w:lang w:val="en-US" w:eastAsia="zh-CN" w:bidi="ar-SA"/>
                    </w:rPr>
                  </w:pPr>
                  <w:r>
                    <w:rPr>
                      <w:rFonts w:hint="default" w:ascii="Times New Roman" w:hAnsi="Times New Roman" w:eastAsia="宋体" w:cs="Times New Roman"/>
                      <w:color w:val="auto"/>
                      <w:sz w:val="21"/>
                      <w:szCs w:val="21"/>
                      <w:u w:val="none" w:color="auto"/>
                      <w:lang w:val="en-US" w:eastAsia="zh-CN"/>
                    </w:rPr>
                    <w:t>84.6</w:t>
                  </w:r>
                </w:p>
              </w:tc>
              <w:tc>
                <w:tcPr>
                  <w:tcW w:w="1589" w:type="dxa"/>
                  <w:vAlign w:val="center"/>
                </w:tcPr>
                <w:p>
                  <w:pPr>
                    <w:keepNext w:val="0"/>
                    <w:keepLines w:val="0"/>
                    <w:pageBreakBefore w:val="0"/>
                    <w:suppressLineNumbers w:val="0"/>
                    <w:kinsoku/>
                    <w:wordWrap/>
                    <w:overflowPunct/>
                    <w:topLinePunct w:val="0"/>
                    <w:bidi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u w:val="none" w:color="auto"/>
                      <w:lang w:val="en-US" w:eastAsia="zh-CN" w:bidi="ar-SA"/>
                    </w:rPr>
                  </w:pPr>
                  <w:r>
                    <w:rPr>
                      <w:rFonts w:hint="default" w:ascii="Times New Roman" w:hAnsi="Times New Roman" w:eastAsia="宋体" w:cs="Times New Roman"/>
                      <w:color w:val="auto"/>
                      <w:kern w:val="0"/>
                      <w:sz w:val="21"/>
                      <w:szCs w:val="21"/>
                      <w:u w:val="none" w:color="auto"/>
                      <w:lang w:val="en-US" w:eastAsia="zh-CN"/>
                    </w:rPr>
                    <w:t>84.6</w:t>
                  </w:r>
                </w:p>
              </w:tc>
              <w:tc>
                <w:tcPr>
                  <w:tcW w:w="1594" w:type="dxa"/>
                  <w:vAlign w:val="center"/>
                </w:tcPr>
                <w:p>
                  <w:pPr>
                    <w:keepNext w:val="0"/>
                    <w:keepLines w:val="0"/>
                    <w:pageBreakBefore w:val="0"/>
                    <w:suppressLineNumbers w:val="0"/>
                    <w:kinsoku/>
                    <w:wordWrap/>
                    <w:overflowPunct/>
                    <w:topLinePunct w:val="0"/>
                    <w:bidi w:val="0"/>
                    <w:spacing w:before="0" w:beforeAutospacing="0" w:after="0" w:afterAutospacing="0" w:line="240" w:lineRule="auto"/>
                    <w:ind w:left="0" w:right="0" w:firstLine="0" w:firstLineChars="0"/>
                    <w:jc w:val="center"/>
                    <w:rPr>
                      <w:rFonts w:hint="default" w:ascii="Times New Roman" w:hAnsi="Times New Roman" w:cs="Times New Roman"/>
                      <w:color w:val="auto"/>
                      <w:kern w:val="2"/>
                      <w:sz w:val="21"/>
                      <w:szCs w:val="21"/>
                      <w:u w:val="none" w:color="auto"/>
                      <w:lang w:val="en-US" w:eastAsia="zh-CN" w:bidi="ar-SA"/>
                    </w:rPr>
                  </w:pPr>
                  <w:r>
                    <w:rPr>
                      <w:rFonts w:hint="default" w:ascii="Times New Roman" w:hAnsi="Times New Roman" w:cs="Times New Roman"/>
                      <w:color w:val="auto"/>
                      <w:kern w:val="2"/>
                      <w:sz w:val="21"/>
                      <w:szCs w:val="21"/>
                      <w:u w:val="none" w:color="auto"/>
                      <w:lang w:val="en-US" w:eastAsia="zh-CN" w:bidi="ar-SA"/>
                    </w:rPr>
                    <w:t>169.2</w:t>
                  </w:r>
                </w:p>
              </w:tc>
              <w:tc>
                <w:tcPr>
                  <w:tcW w:w="1889" w:type="dxa"/>
                  <w:vAlign w:val="center"/>
                </w:tcPr>
                <w:p>
                  <w:pPr>
                    <w:pStyle w:val="46"/>
                    <w:keepNext w:val="0"/>
                    <w:keepLines w:val="0"/>
                    <w:pageBreakBefore w:val="0"/>
                    <w:suppressLineNumbers w:val="0"/>
                    <w:kinsoku/>
                    <w:wordWrap/>
                    <w:overflowPunct/>
                    <w:topLinePunct w:val="0"/>
                    <w:bidi w:val="0"/>
                    <w:spacing w:before="0" w:beforeLines="0" w:beforeAutospacing="0" w:after="0" w:afterLines="0" w:afterAutospacing="0" w:line="240" w:lineRule="auto"/>
                    <w:ind w:left="0" w:right="0" w:firstLine="0" w:firstLineChars="0"/>
                    <w:rPr>
                      <w:rFonts w:hint="default" w:ascii="Times New Roman" w:hAnsi="Times New Roman" w:eastAsia="宋体" w:cs="Times New Roman"/>
                      <w:snapToGrid w:val="0"/>
                      <w:color w:val="auto"/>
                      <w:kern w:val="21"/>
                      <w:sz w:val="21"/>
                      <w:szCs w:val="21"/>
                      <w:u w:val="none" w:color="auto"/>
                      <w:lang w:val="en-US" w:eastAsia="zh-CN" w:bidi="ar-SA"/>
                    </w:rPr>
                  </w:pPr>
                  <w:r>
                    <w:rPr>
                      <w:rFonts w:hint="eastAsia" w:ascii="Times New Roman" w:hAnsi="Times New Roman" w:eastAsia="宋体" w:cs="Times New Roman"/>
                      <w:snapToGrid w:val="0"/>
                      <w:color w:val="auto"/>
                      <w:kern w:val="21"/>
                      <w:sz w:val="21"/>
                      <w:szCs w:val="21"/>
                      <w:u w:val="none" w:color="auto"/>
                      <w:lang w:val="en-US" w:eastAsia="zh-CN"/>
                    </w:rPr>
                    <w:t>12.59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760" w:type="dxa"/>
                  <w:vAlign w:val="center"/>
                </w:tcPr>
                <w:p>
                  <w:pPr>
                    <w:keepNext w:val="0"/>
                    <w:keepLines w:val="0"/>
                    <w:pageBreakBefore w:val="0"/>
                    <w:suppressLineNumbers w:val="0"/>
                    <w:kinsoku/>
                    <w:wordWrap/>
                    <w:overflowPunct/>
                    <w:topLinePunct w:val="0"/>
                    <w:autoSpaceDE w:val="0"/>
                    <w:autoSpaceDN w:val="0"/>
                    <w:bidi w:val="0"/>
                    <w:spacing w:before="0" w:beforeAutospacing="0" w:after="0" w:afterAutospacing="0" w:line="240" w:lineRule="auto"/>
                    <w:ind w:left="0" w:right="0" w:firstLine="0" w:firstLineChars="0"/>
                    <w:jc w:val="center"/>
                    <w:rPr>
                      <w:rFonts w:hint="default" w:ascii="Times New Roman" w:hAnsi="Times New Roman" w:cs="Times New Roman"/>
                      <w:color w:val="auto"/>
                      <w:kern w:val="2"/>
                      <w:sz w:val="21"/>
                      <w:szCs w:val="21"/>
                      <w:u w:val="none" w:color="auto"/>
                      <w:lang w:val="en-US" w:eastAsia="zh-CN" w:bidi="ar-SA"/>
                    </w:rPr>
                  </w:pPr>
                  <w:r>
                    <w:rPr>
                      <w:rFonts w:hint="default" w:ascii="Times New Roman" w:hAnsi="Times New Roman" w:cs="Times New Roman"/>
                      <w:color w:val="auto"/>
                      <w:sz w:val="21"/>
                      <w:szCs w:val="21"/>
                      <w:u w:val="none" w:color="auto"/>
                    </w:rPr>
                    <w:t>COD</w:t>
                  </w:r>
                </w:p>
              </w:tc>
              <w:tc>
                <w:tcPr>
                  <w:tcW w:w="1589" w:type="dxa"/>
                  <w:vAlign w:val="center"/>
                </w:tcPr>
                <w:p>
                  <w:pPr>
                    <w:pStyle w:val="46"/>
                    <w:keepNext w:val="0"/>
                    <w:keepLines w:val="0"/>
                    <w:pageBreakBefore w:val="0"/>
                    <w:suppressLineNumbers w:val="0"/>
                    <w:kinsoku/>
                    <w:wordWrap/>
                    <w:overflowPunct/>
                    <w:topLinePunct w:val="0"/>
                    <w:bidi w:val="0"/>
                    <w:spacing w:before="0" w:beforeLines="0" w:beforeAutospacing="0" w:after="0" w:afterLines="0" w:afterAutospacing="0" w:line="240" w:lineRule="auto"/>
                    <w:ind w:left="0" w:right="0" w:firstLine="0" w:firstLineChars="0"/>
                    <w:rPr>
                      <w:rFonts w:hint="default" w:ascii="Times New Roman" w:hAnsi="Times New Roman" w:eastAsia="宋体" w:cs="Times New Roman"/>
                      <w:snapToGrid/>
                      <w:color w:val="auto"/>
                      <w:kern w:val="0"/>
                      <w:sz w:val="21"/>
                      <w:szCs w:val="21"/>
                      <w:u w:val="none" w:color="auto"/>
                      <w:lang w:val="en-US" w:eastAsia="zh-CN" w:bidi="ar-SA"/>
                    </w:rPr>
                  </w:pPr>
                  <w:r>
                    <w:rPr>
                      <w:rFonts w:hint="default" w:ascii="Times New Roman" w:hAnsi="Times New Roman" w:eastAsia="宋体" w:cs="Times New Roman"/>
                      <w:snapToGrid w:val="0"/>
                      <w:color w:val="auto"/>
                      <w:kern w:val="21"/>
                      <w:sz w:val="21"/>
                      <w:szCs w:val="21"/>
                      <w:u w:val="none" w:color="auto"/>
                      <w:lang w:val="en-US" w:eastAsia="zh-CN"/>
                    </w:rPr>
                    <w:t>5.1</w:t>
                  </w:r>
                </w:p>
              </w:tc>
              <w:tc>
                <w:tcPr>
                  <w:tcW w:w="1589" w:type="dxa"/>
                  <w:vAlign w:val="center"/>
                </w:tcPr>
                <w:p>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u w:val="none" w:color="auto"/>
                      <w:lang w:val="en-US" w:eastAsia="zh-CN" w:bidi="ar-SA"/>
                    </w:rPr>
                  </w:pPr>
                  <w:r>
                    <w:rPr>
                      <w:rFonts w:hint="default" w:ascii="Times New Roman" w:hAnsi="Times New Roman" w:eastAsia="宋体" w:cs="Times New Roman"/>
                      <w:color w:val="auto"/>
                      <w:kern w:val="0"/>
                      <w:sz w:val="21"/>
                      <w:szCs w:val="21"/>
                      <w:u w:val="none" w:color="auto"/>
                      <w:lang w:val="en-US" w:eastAsia="zh-CN"/>
                    </w:rPr>
                    <w:t>8.091</w:t>
                  </w:r>
                </w:p>
              </w:tc>
              <w:tc>
                <w:tcPr>
                  <w:tcW w:w="1594" w:type="dxa"/>
                  <w:vAlign w:val="center"/>
                </w:tcPr>
                <w:p>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u w:val="none" w:color="auto"/>
                      <w:lang w:val="en-US" w:eastAsia="zh-CN" w:bidi="ar-SA"/>
                    </w:rPr>
                  </w:pPr>
                  <w:r>
                    <w:rPr>
                      <w:rFonts w:hint="default" w:ascii="Times New Roman" w:hAnsi="Times New Roman" w:eastAsia="宋体" w:cs="Times New Roman"/>
                      <w:color w:val="auto"/>
                      <w:kern w:val="0"/>
                      <w:sz w:val="21"/>
                      <w:szCs w:val="21"/>
                      <w:u w:val="none" w:color="auto"/>
                    </w:rPr>
                    <w:t>13.191</w:t>
                  </w:r>
                </w:p>
              </w:tc>
              <w:tc>
                <w:tcPr>
                  <w:tcW w:w="1889" w:type="dxa"/>
                  <w:vAlign w:val="center"/>
                </w:tcPr>
                <w:p>
                  <w:pPr>
                    <w:pStyle w:val="46"/>
                    <w:keepNext w:val="0"/>
                    <w:keepLines w:val="0"/>
                    <w:pageBreakBefore w:val="0"/>
                    <w:suppressLineNumbers w:val="0"/>
                    <w:kinsoku/>
                    <w:wordWrap/>
                    <w:overflowPunct/>
                    <w:topLinePunct w:val="0"/>
                    <w:bidi w:val="0"/>
                    <w:spacing w:before="0" w:beforeLines="0" w:beforeAutospacing="0" w:after="0" w:afterLines="0" w:afterAutospacing="0" w:line="240" w:lineRule="auto"/>
                    <w:ind w:left="0" w:right="0" w:firstLine="0" w:firstLineChars="0"/>
                    <w:rPr>
                      <w:rFonts w:hint="default" w:ascii="Times New Roman" w:hAnsi="Times New Roman" w:eastAsia="宋体" w:cs="Times New Roman"/>
                      <w:snapToGrid w:val="0"/>
                      <w:color w:val="auto"/>
                      <w:kern w:val="21"/>
                      <w:sz w:val="21"/>
                      <w:szCs w:val="21"/>
                      <w:u w:val="none" w:color="auto"/>
                      <w:lang w:val="en-US" w:eastAsia="zh-CN" w:bidi="ar-SA"/>
                    </w:rPr>
                  </w:pPr>
                  <w:r>
                    <w:rPr>
                      <w:rFonts w:hint="default" w:ascii="Times New Roman" w:hAnsi="Times New Roman" w:eastAsia="宋体" w:cs="Times New Roman"/>
                      <w:snapToGrid w:val="0"/>
                      <w:color w:val="auto"/>
                      <w:kern w:val="21"/>
                      <w:sz w:val="21"/>
                      <w:szCs w:val="21"/>
                      <w:u w:val="none" w:color="auto"/>
                      <w:lang w:val="en-US" w:eastAsia="zh-CN" w:bidi="ar-SA"/>
                    </w:rPr>
                    <w:t>1.8489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760" w:type="dxa"/>
                  <w:vAlign w:val="center"/>
                </w:tcPr>
                <w:p>
                  <w:pPr>
                    <w:keepNext w:val="0"/>
                    <w:keepLines w:val="0"/>
                    <w:pageBreakBefore w:val="0"/>
                    <w:suppressLineNumbers w:val="0"/>
                    <w:kinsoku/>
                    <w:wordWrap/>
                    <w:overflowPunct/>
                    <w:topLinePunct w:val="0"/>
                    <w:autoSpaceDE w:val="0"/>
                    <w:autoSpaceDN w:val="0"/>
                    <w:bidi w:val="0"/>
                    <w:spacing w:before="0" w:beforeAutospacing="0" w:after="0" w:afterAutospacing="0" w:line="240" w:lineRule="auto"/>
                    <w:ind w:left="0" w:right="0" w:firstLine="0" w:firstLineChars="0"/>
                    <w:jc w:val="center"/>
                    <w:rPr>
                      <w:rFonts w:hint="default" w:ascii="Times New Roman" w:hAnsi="Times New Roman" w:cs="Times New Roman"/>
                      <w:color w:val="auto"/>
                      <w:kern w:val="2"/>
                      <w:sz w:val="21"/>
                      <w:szCs w:val="21"/>
                      <w:u w:val="none" w:color="auto"/>
                      <w:lang w:val="en-US" w:eastAsia="zh-CN" w:bidi="ar-SA"/>
                    </w:rPr>
                  </w:pPr>
                  <w:r>
                    <w:rPr>
                      <w:rFonts w:hint="default" w:ascii="Times New Roman" w:hAnsi="Times New Roman" w:cs="Times New Roman"/>
                      <w:color w:val="auto"/>
                      <w:sz w:val="21"/>
                      <w:szCs w:val="21"/>
                      <w:u w:val="none" w:color="auto"/>
                    </w:rPr>
                    <w:t>氨氮</w:t>
                  </w:r>
                </w:p>
              </w:tc>
              <w:tc>
                <w:tcPr>
                  <w:tcW w:w="1589" w:type="dxa"/>
                  <w:vAlign w:val="center"/>
                </w:tcPr>
                <w:p>
                  <w:pPr>
                    <w:pStyle w:val="46"/>
                    <w:keepNext w:val="0"/>
                    <w:keepLines w:val="0"/>
                    <w:pageBreakBefore w:val="0"/>
                    <w:suppressLineNumbers w:val="0"/>
                    <w:kinsoku/>
                    <w:wordWrap/>
                    <w:overflowPunct/>
                    <w:topLinePunct w:val="0"/>
                    <w:bidi w:val="0"/>
                    <w:spacing w:before="0" w:beforeLines="0" w:beforeAutospacing="0" w:after="0" w:afterLines="0" w:afterAutospacing="0" w:line="240" w:lineRule="auto"/>
                    <w:ind w:left="0" w:right="0" w:firstLine="0" w:firstLineChars="0"/>
                    <w:rPr>
                      <w:rFonts w:hint="default" w:ascii="Times New Roman" w:hAnsi="Times New Roman" w:eastAsia="宋体" w:cs="Times New Roman"/>
                      <w:snapToGrid/>
                      <w:color w:val="auto"/>
                      <w:kern w:val="0"/>
                      <w:sz w:val="21"/>
                      <w:szCs w:val="21"/>
                      <w:u w:val="none" w:color="auto"/>
                      <w:lang w:val="en-US" w:eastAsia="zh-CN" w:bidi="ar-SA"/>
                    </w:rPr>
                  </w:pPr>
                  <w:r>
                    <w:rPr>
                      <w:rFonts w:hint="default" w:ascii="Times New Roman" w:hAnsi="Times New Roman" w:eastAsia="宋体" w:cs="Times New Roman"/>
                      <w:snapToGrid w:val="0"/>
                      <w:color w:val="auto"/>
                      <w:kern w:val="21"/>
                      <w:sz w:val="21"/>
                      <w:szCs w:val="21"/>
                      <w:u w:val="none" w:color="auto"/>
                      <w:lang w:val="en-US" w:eastAsia="zh-CN"/>
                    </w:rPr>
                    <w:t>0.51</w:t>
                  </w:r>
                </w:p>
              </w:tc>
              <w:tc>
                <w:tcPr>
                  <w:tcW w:w="1589" w:type="dxa"/>
                  <w:vAlign w:val="center"/>
                </w:tcPr>
                <w:p>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u w:val="none" w:color="auto"/>
                      <w:lang w:val="en-US" w:eastAsia="zh-CN" w:bidi="ar-SA"/>
                    </w:rPr>
                  </w:pPr>
                  <w:r>
                    <w:rPr>
                      <w:rFonts w:hint="default" w:ascii="Times New Roman" w:hAnsi="Times New Roman" w:eastAsia="宋体" w:cs="Times New Roman"/>
                      <w:color w:val="auto"/>
                      <w:kern w:val="0"/>
                      <w:sz w:val="21"/>
                      <w:szCs w:val="21"/>
                      <w:u w:val="none" w:color="auto"/>
                      <w:lang w:val="en-US" w:eastAsia="zh-CN"/>
                    </w:rPr>
                    <w:t>0.809</w:t>
                  </w:r>
                </w:p>
              </w:tc>
              <w:tc>
                <w:tcPr>
                  <w:tcW w:w="1594" w:type="dxa"/>
                  <w:vAlign w:val="center"/>
                </w:tcPr>
                <w:p>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u w:val="none" w:color="auto"/>
                      <w:lang w:val="en-US" w:eastAsia="zh-CN" w:bidi="ar-SA"/>
                    </w:rPr>
                  </w:pPr>
                  <w:r>
                    <w:rPr>
                      <w:rFonts w:hint="default" w:ascii="Times New Roman" w:hAnsi="Times New Roman" w:eastAsia="宋体" w:cs="Times New Roman"/>
                      <w:color w:val="auto"/>
                      <w:kern w:val="0"/>
                      <w:sz w:val="21"/>
                      <w:szCs w:val="21"/>
                      <w:u w:val="none" w:color="auto"/>
                    </w:rPr>
                    <w:t>1.319</w:t>
                  </w:r>
                </w:p>
              </w:tc>
              <w:tc>
                <w:tcPr>
                  <w:tcW w:w="1889" w:type="dxa"/>
                  <w:vAlign w:val="center"/>
                </w:tcPr>
                <w:p>
                  <w:pPr>
                    <w:pStyle w:val="46"/>
                    <w:keepNext w:val="0"/>
                    <w:keepLines w:val="0"/>
                    <w:pageBreakBefore w:val="0"/>
                    <w:suppressLineNumbers w:val="0"/>
                    <w:kinsoku/>
                    <w:wordWrap/>
                    <w:overflowPunct/>
                    <w:topLinePunct w:val="0"/>
                    <w:bidi w:val="0"/>
                    <w:spacing w:before="0" w:beforeLines="0" w:beforeAutospacing="0" w:after="0" w:afterLines="0" w:afterAutospacing="0" w:line="240" w:lineRule="auto"/>
                    <w:ind w:left="0" w:right="0" w:firstLine="0" w:firstLineChars="0"/>
                    <w:rPr>
                      <w:rFonts w:hint="default" w:ascii="Times New Roman" w:hAnsi="Times New Roman" w:eastAsia="宋体" w:cs="Times New Roman"/>
                      <w:snapToGrid w:val="0"/>
                      <w:color w:val="auto"/>
                      <w:kern w:val="21"/>
                      <w:sz w:val="21"/>
                      <w:szCs w:val="21"/>
                      <w:u w:val="none" w:color="auto"/>
                      <w:lang w:val="en-US" w:eastAsia="zh-CN" w:bidi="ar-SA"/>
                    </w:rPr>
                  </w:pPr>
                  <w:r>
                    <w:rPr>
                      <w:rFonts w:hint="default" w:ascii="Times New Roman" w:hAnsi="Times New Roman" w:eastAsia="宋体" w:cs="Times New Roman"/>
                      <w:snapToGrid w:val="0"/>
                      <w:color w:val="auto"/>
                      <w:kern w:val="21"/>
                      <w:sz w:val="21"/>
                      <w:szCs w:val="21"/>
                      <w:u w:val="none" w:color="auto"/>
                      <w:lang w:val="en-US" w:eastAsia="zh-CN" w:bidi="ar-SA"/>
                    </w:rPr>
                    <w:t>0.2246</w:t>
                  </w:r>
                </w:p>
              </w:tc>
            </w:tr>
          </w:tbl>
          <w:p>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cs="Times New Roman"/>
                <w:bCs/>
                <w:color w:val="auto"/>
                <w:sz w:val="24"/>
                <w:szCs w:val="24"/>
                <w:u w:val="none" w:color="auto"/>
              </w:rPr>
            </w:pPr>
            <w:r>
              <w:rPr>
                <w:rFonts w:hint="eastAsia" w:ascii="Times New Roman" w:hAnsi="Times New Roman" w:cs="Times New Roman"/>
                <w:b/>
                <w:bCs w:val="0"/>
                <w:color w:val="auto"/>
                <w:sz w:val="24"/>
                <w:szCs w:val="24"/>
                <w:u w:val="none" w:color="auto"/>
                <w:lang w:val="en-US" w:eastAsia="zh-CN"/>
              </w:rPr>
              <w:t>5.</w:t>
            </w:r>
            <w:r>
              <w:rPr>
                <w:rFonts w:hint="default" w:ascii="Times New Roman" w:hAnsi="Times New Roman" w:cs="Times New Roman"/>
                <w:b/>
                <w:bCs w:val="0"/>
                <w:color w:val="auto"/>
                <w:sz w:val="24"/>
                <w:szCs w:val="24"/>
                <w:u w:val="none" w:color="auto"/>
              </w:rPr>
              <w:t>现有工程存在的环境问题及整改措施</w:t>
            </w:r>
          </w:p>
          <w:p>
            <w:pPr>
              <w:pStyle w:val="29"/>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b w:val="0"/>
                <w:bCs w:val="0"/>
                <w:color w:val="auto"/>
                <w:kern w:val="0"/>
                <w:sz w:val="24"/>
                <w:szCs w:val="24"/>
                <w:u w:val="none" w:color="auto"/>
                <w:lang w:val="en-US" w:eastAsia="zh-CN"/>
              </w:rPr>
            </w:pPr>
            <w:r>
              <w:rPr>
                <w:rFonts w:hint="eastAsia" w:ascii="Times New Roman" w:hAnsi="Times New Roman" w:eastAsia="宋体" w:cs="Times New Roman"/>
                <w:b w:val="0"/>
                <w:bCs w:val="0"/>
                <w:color w:val="auto"/>
                <w:kern w:val="0"/>
                <w:sz w:val="24"/>
                <w:szCs w:val="24"/>
                <w:u w:val="none" w:color="auto"/>
                <w:lang w:val="en-US" w:eastAsia="zh-CN"/>
              </w:rPr>
              <w:t>经现场踏勘，现有工程无环境问题。</w:t>
            </w:r>
          </w:p>
          <w:p>
            <w:pPr>
              <w:pStyle w:val="29"/>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b w:val="0"/>
                <w:bCs w:val="0"/>
                <w:color w:val="auto"/>
                <w:kern w:val="0"/>
                <w:sz w:val="24"/>
                <w:szCs w:val="24"/>
                <w:u w:val="none" w:color="auto"/>
                <w:lang w:val="en-US" w:eastAsia="zh-CN"/>
              </w:rPr>
            </w:pPr>
          </w:p>
          <w:p>
            <w:pPr>
              <w:pStyle w:val="29"/>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360" w:lineRule="auto"/>
              <w:ind w:left="0" w:right="0"/>
              <w:jc w:val="both"/>
              <w:textAlignment w:val="auto"/>
              <w:rPr>
                <w:rFonts w:hint="default" w:ascii="Times New Roman" w:hAnsi="Times New Roman" w:eastAsia="宋体" w:cs="Times New Roman"/>
                <w:b w:val="0"/>
                <w:bCs w:val="0"/>
                <w:color w:val="auto"/>
                <w:kern w:val="0"/>
                <w:sz w:val="24"/>
                <w:szCs w:val="24"/>
                <w:u w:val="none" w:color="auto"/>
                <w:lang w:val="en-US" w:eastAsia="zh-CN"/>
              </w:rPr>
            </w:pPr>
          </w:p>
        </w:tc>
      </w:tr>
    </w:tbl>
    <w:p>
      <w:pPr>
        <w:pStyle w:val="23"/>
        <w:jc w:val="center"/>
        <w:rPr>
          <w:rFonts w:hint="eastAsia" w:ascii="宋体" w:hAnsi="宋体" w:eastAsia="宋体" w:cs="宋体"/>
          <w:snapToGrid w:val="0"/>
          <w:color w:val="auto"/>
          <w:sz w:val="36"/>
          <w:szCs w:val="36"/>
        </w:rPr>
        <w:sectPr>
          <w:pgSz w:w="11906" w:h="16838"/>
          <w:pgMar w:top="1701" w:right="1531" w:bottom="1701" w:left="1531" w:header="851" w:footer="851" w:gutter="0"/>
          <w:pgBorders>
            <w:top w:val="none" w:color="auto" w:sz="0" w:space="0"/>
            <w:left w:val="none" w:color="auto" w:sz="0" w:space="0"/>
            <w:bottom w:val="none" w:color="auto" w:sz="0" w:space="0"/>
            <w:right w:val="none" w:color="auto" w:sz="0" w:space="0"/>
          </w:pgBorders>
          <w:pgNumType w:fmt="numberInDash"/>
          <w:cols w:space="720" w:num="1"/>
          <w:docGrid w:linePitch="312" w:charSpace="0"/>
        </w:sectPr>
      </w:pPr>
    </w:p>
    <w:p>
      <w:pPr>
        <w:pStyle w:val="23"/>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jc w:val="center"/>
        <w:textAlignment w:val="auto"/>
        <w:outlineLvl w:val="0"/>
        <w:rPr>
          <w:rFonts w:hint="eastAsia" w:ascii="宋体" w:hAnsi="宋体" w:eastAsia="宋体" w:cs="宋体"/>
          <w:b/>
          <w:bCs/>
          <w:snapToGrid w:val="0"/>
          <w:color w:val="auto"/>
          <w:sz w:val="30"/>
          <w:szCs w:val="30"/>
        </w:rPr>
      </w:pPr>
      <w:bookmarkStart w:id="5" w:name="_Toc17006"/>
      <w:r>
        <w:rPr>
          <w:rFonts w:hint="eastAsia" w:ascii="宋体" w:hAnsi="宋体" w:eastAsia="宋体" w:cs="宋体"/>
          <w:b/>
          <w:bCs/>
          <w:snapToGrid w:val="0"/>
          <w:color w:val="auto"/>
          <w:sz w:val="30"/>
          <w:szCs w:val="30"/>
        </w:rPr>
        <w:t>三、区域环境质量现状、环境保护目标及评价标准</w:t>
      </w:r>
      <w:bookmarkEnd w:id="5"/>
    </w:p>
    <w:tbl>
      <w:tblPr>
        <w:tblStyle w:val="27"/>
        <w:tblW w:w="9061"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56"/>
        <w:gridCol w:w="860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172" w:hRule="atLeast"/>
          <w:jc w:val="center"/>
        </w:trPr>
        <w:tc>
          <w:tcPr>
            <w:tcW w:w="45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4"/>
                <w:szCs w:val="24"/>
                <w:u w:val="none" w:color="auto"/>
              </w:rPr>
            </w:pPr>
            <w:r>
              <w:rPr>
                <w:rFonts w:hint="default" w:ascii="Times New Roman" w:hAnsi="Times New Roman" w:eastAsia="宋体" w:cs="Times New Roman"/>
                <w:color w:val="auto"/>
                <w:kern w:val="0"/>
                <w:sz w:val="24"/>
                <w:szCs w:val="24"/>
                <w:u w:val="none" w:color="auto"/>
              </w:rPr>
              <w:t>区域</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4"/>
                <w:szCs w:val="24"/>
                <w:u w:val="none" w:color="auto"/>
              </w:rPr>
            </w:pPr>
            <w:r>
              <w:rPr>
                <w:rFonts w:hint="default" w:ascii="Times New Roman" w:hAnsi="Times New Roman" w:eastAsia="宋体" w:cs="Times New Roman"/>
                <w:color w:val="auto"/>
                <w:kern w:val="0"/>
                <w:sz w:val="24"/>
                <w:szCs w:val="24"/>
                <w:u w:val="none" w:color="auto"/>
              </w:rPr>
              <w:t>环境</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4"/>
                <w:szCs w:val="24"/>
                <w:u w:val="none" w:color="auto"/>
              </w:rPr>
            </w:pPr>
            <w:r>
              <w:rPr>
                <w:rFonts w:hint="default" w:ascii="Times New Roman" w:hAnsi="Times New Roman" w:eastAsia="宋体" w:cs="Times New Roman"/>
                <w:color w:val="auto"/>
                <w:kern w:val="0"/>
                <w:sz w:val="24"/>
                <w:szCs w:val="24"/>
                <w:u w:val="none" w:color="auto"/>
              </w:rPr>
              <w:t>质量</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4"/>
                <w:szCs w:val="24"/>
                <w:u w:val="none" w:color="auto"/>
              </w:rPr>
            </w:pPr>
            <w:r>
              <w:rPr>
                <w:rFonts w:hint="default" w:ascii="Times New Roman" w:hAnsi="Times New Roman" w:eastAsia="宋体" w:cs="Times New Roman"/>
                <w:color w:val="auto"/>
                <w:kern w:val="0"/>
                <w:sz w:val="24"/>
                <w:szCs w:val="24"/>
                <w:u w:val="none" w:color="auto"/>
              </w:rPr>
              <w:t>现状</w:t>
            </w:r>
          </w:p>
        </w:tc>
        <w:tc>
          <w:tcPr>
            <w:tcW w:w="8605" w:type="dxa"/>
            <w:vAlign w:val="center"/>
          </w:tcPr>
          <w:p>
            <w:pPr>
              <w:pStyle w:val="53"/>
              <w:keepNext w:val="0"/>
              <w:keepLines w:val="0"/>
              <w:pageBreakBefore w:val="0"/>
              <w:widowControl w:val="0"/>
              <w:numPr>
                <w:ilvl w:val="0"/>
                <w:numId w:val="0"/>
              </w:numPr>
              <w:suppressLineNumbers w:val="0"/>
              <w:tabs>
                <w:tab w:val="clear" w:pos="0"/>
                <w:tab w:val="clear" w:pos="2040"/>
              </w:tabs>
              <w:kinsoku/>
              <w:wordWrap/>
              <w:overflowPunct/>
              <w:topLinePunct w:val="0"/>
              <w:autoSpaceDE/>
              <w:autoSpaceDN/>
              <w:bidi w:val="0"/>
              <w:adjustRightInd w:val="0"/>
              <w:snapToGrid w:val="0"/>
              <w:spacing w:before="0" w:beforeLines="0" w:beforeAutospacing="0" w:after="0" w:afterLines="0" w:afterAutospacing="0" w:line="360" w:lineRule="auto"/>
              <w:ind w:left="0" w:right="0"/>
              <w:textAlignment w:val="auto"/>
              <w:rPr>
                <w:rFonts w:hint="default" w:ascii="Times New Roman" w:hAnsi="Times New Roman" w:eastAsia="宋体" w:cs="Times New Roman"/>
                <w:b/>
                <w:bCs w:val="0"/>
                <w:color w:val="auto"/>
                <w:sz w:val="24"/>
                <w:szCs w:val="24"/>
                <w:u w:val="none" w:color="auto"/>
              </w:rPr>
            </w:pPr>
            <w:r>
              <w:rPr>
                <w:rFonts w:hint="default" w:ascii="Times New Roman" w:hAnsi="Times New Roman" w:eastAsia="宋体" w:cs="Times New Roman"/>
                <w:b/>
                <w:bCs w:val="0"/>
                <w:color w:val="auto"/>
                <w:sz w:val="24"/>
                <w:szCs w:val="24"/>
                <w:u w:val="none" w:color="auto"/>
                <w:lang w:val="en-US" w:eastAsia="zh-CN"/>
              </w:rPr>
              <w:t>1.大气环境质量现状</w:t>
            </w:r>
          </w:p>
          <w:p>
            <w:pPr>
              <w:pStyle w:val="15"/>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kern w:val="0"/>
                <w:sz w:val="24"/>
                <w:szCs w:val="24"/>
                <w:u w:val="none" w:color="auto"/>
                <w:lang w:val="en-US" w:eastAsia="zh-CN" w:bidi="ar"/>
              </w:rPr>
            </w:pPr>
            <w:r>
              <w:rPr>
                <w:rFonts w:hint="eastAsia" w:ascii="Times New Roman" w:hAnsi="Times New Roman" w:eastAsia="宋体" w:cs="Times New Roman"/>
                <w:color w:val="auto"/>
                <w:kern w:val="0"/>
                <w:sz w:val="24"/>
                <w:szCs w:val="24"/>
                <w:u w:val="none" w:color="auto"/>
                <w:lang w:val="en-US" w:eastAsia="zh-CN" w:bidi="ar"/>
              </w:rPr>
              <w:t>本项目位于</w:t>
            </w:r>
            <w:r>
              <w:rPr>
                <w:rFonts w:hint="eastAsia" w:ascii="Times New Roman" w:hAnsi="Times New Roman" w:cs="Times New Roman"/>
                <w:color w:val="auto"/>
                <w:kern w:val="0"/>
                <w:sz w:val="24"/>
                <w:szCs w:val="24"/>
                <w:u w:val="none" w:color="auto"/>
                <w:lang w:val="en-US" w:eastAsia="zh-CN" w:bidi="ar"/>
              </w:rPr>
              <w:t>安阳市汤阴县中原路与宜兴大道交叉口东北方位</w:t>
            </w:r>
            <w:r>
              <w:rPr>
                <w:rFonts w:hint="eastAsia" w:ascii="Times New Roman" w:hAnsi="Times New Roman" w:eastAsia="宋体" w:cs="Times New Roman"/>
                <w:color w:val="auto"/>
                <w:kern w:val="0"/>
                <w:sz w:val="24"/>
                <w:szCs w:val="24"/>
                <w:u w:val="none" w:color="auto"/>
                <w:lang w:val="en-US" w:eastAsia="zh-CN" w:bidi="ar"/>
              </w:rPr>
              <w:t>，根据安阳市人民政府办公室《关于印发安阳市环境空气质量功能区划（2021-2025年）的通知》（安政办〔2022〕39号）可知，本项目所在区域属于《环境空气质量标准》（GB3095-2012）二类区，应执行《环境空气质量标准》（GB3095-2012）及其修改单中的二级标准。</w:t>
            </w:r>
          </w:p>
          <w:p>
            <w:pPr>
              <w:pStyle w:val="23"/>
              <w:keepNext w:val="0"/>
              <w:keepLines w:val="0"/>
              <w:widowControl w:val="0"/>
              <w:suppressLineNumbers w:val="0"/>
              <w:topLinePunct/>
              <w:autoSpaceDE w:val="0"/>
              <w:autoSpaceDN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根据汤阴一中常规监测点，汤阴县</w:t>
            </w:r>
            <w:r>
              <w:rPr>
                <w:rFonts w:hint="default" w:ascii="Times New Roman" w:hAnsi="Times New Roman" w:eastAsia="宋体" w:cs="Times New Roman"/>
                <w:color w:val="auto"/>
                <w:kern w:val="2"/>
                <w:sz w:val="24"/>
                <w:szCs w:val="24"/>
                <w:lang w:val="en-US" w:eastAsia="zh-CN" w:bidi="ar"/>
              </w:rPr>
              <w:t>2023</w:t>
            </w:r>
            <w:r>
              <w:rPr>
                <w:rFonts w:hint="eastAsia" w:ascii="宋体" w:hAnsi="宋体" w:eastAsia="宋体" w:cs="宋体"/>
                <w:color w:val="auto"/>
                <w:kern w:val="2"/>
                <w:sz w:val="24"/>
                <w:szCs w:val="24"/>
                <w:lang w:val="en-US" w:eastAsia="zh-CN" w:bidi="ar"/>
              </w:rPr>
              <w:t>年环境空气质量数据各项指数统计数据见下表。</w:t>
            </w:r>
          </w:p>
          <w:p>
            <w:pPr>
              <w:pStyle w:val="23"/>
              <w:keepNext w:val="0"/>
              <w:keepLines w:val="0"/>
              <w:widowControl w:val="0"/>
              <w:suppressLineNumbers w:val="0"/>
              <w:topLinePunct/>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b/>
                <w:bCs/>
                <w:color w:val="auto"/>
                <w:kern w:val="2"/>
                <w:sz w:val="24"/>
                <w:szCs w:val="24"/>
                <w:lang w:val="en-US" w:eastAsia="zh-CN" w:bidi="ar"/>
              </w:rPr>
              <w:t>2023</w:t>
            </w:r>
            <w:r>
              <w:rPr>
                <w:rFonts w:hint="eastAsia" w:ascii="宋体" w:hAnsi="宋体" w:eastAsia="宋体" w:cs="宋体"/>
                <w:b/>
                <w:bCs/>
                <w:color w:val="auto"/>
                <w:kern w:val="2"/>
                <w:sz w:val="24"/>
                <w:szCs w:val="24"/>
                <w:lang w:val="en-US" w:eastAsia="zh-CN" w:bidi="ar"/>
              </w:rPr>
              <w:t>年汤阴县环境空气质量现状基本污染物数据一览表</w:t>
            </w:r>
          </w:p>
          <w:tbl>
            <w:tblPr>
              <w:tblStyle w:val="27"/>
              <w:tblW w:w="8386" w:type="dxa"/>
              <w:jc w:val="center"/>
              <w:tblInd w:w="0" w:type="dxa"/>
              <w:tblBorders>
                <w:top w:val="single" w:color="000000" w:sz="4" w:space="0"/>
                <w:left w:val="none" w:color="auto" w:sz="0" w:space="0"/>
                <w:bottom w:val="single" w:color="000000"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773"/>
              <w:gridCol w:w="1623"/>
              <w:gridCol w:w="1197"/>
              <w:gridCol w:w="1333"/>
              <w:gridCol w:w="1264"/>
              <w:gridCol w:w="1187"/>
              <w:gridCol w:w="1009"/>
            </w:tblGrid>
            <w:tr>
              <w:tblPrEx>
                <w:tblBorders>
                  <w:top w:val="single" w:color="000000" w:sz="4" w:space="0"/>
                  <w:left w:val="none" w:color="auto" w:sz="0" w:space="0"/>
                  <w:bottom w:val="single" w:color="000000"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20" w:hRule="atLeast"/>
                <w:jc w:val="center"/>
              </w:trPr>
              <w:tc>
                <w:tcPr>
                  <w:tcW w:w="773" w:type="dxa"/>
                  <w:tcBorders>
                    <w:top w:val="single" w:color="000000" w:sz="4" w:space="0"/>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kern w:val="2"/>
                      <w:sz w:val="21"/>
                      <w:szCs w:val="21"/>
                    </w:rPr>
                  </w:pPr>
                  <w:r>
                    <w:rPr>
                      <w:rFonts w:hint="eastAsia" w:ascii="宋体" w:hAnsi="宋体" w:eastAsia="宋体" w:cs="宋体"/>
                      <w:b/>
                      <w:bCs/>
                      <w:color w:val="auto"/>
                      <w:kern w:val="2"/>
                      <w:sz w:val="21"/>
                      <w:szCs w:val="21"/>
                      <w:lang w:val="en-US" w:eastAsia="zh-CN" w:bidi="ar"/>
                    </w:rPr>
                    <w:t>污染物</w:t>
                  </w:r>
                </w:p>
              </w:tc>
              <w:tc>
                <w:tcPr>
                  <w:tcW w:w="1623" w:type="dxa"/>
                  <w:tcBorders>
                    <w:top w:val="single" w:color="000000"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kern w:val="2"/>
                      <w:sz w:val="21"/>
                      <w:szCs w:val="21"/>
                    </w:rPr>
                  </w:pPr>
                  <w:r>
                    <w:rPr>
                      <w:rFonts w:hint="eastAsia" w:ascii="宋体" w:hAnsi="宋体" w:eastAsia="宋体" w:cs="宋体"/>
                      <w:b/>
                      <w:bCs/>
                      <w:color w:val="auto"/>
                      <w:kern w:val="2"/>
                      <w:sz w:val="21"/>
                      <w:szCs w:val="21"/>
                      <w:lang w:val="en-US" w:eastAsia="zh-CN" w:bidi="ar"/>
                    </w:rPr>
                    <w:t>年评价指标</w:t>
                  </w:r>
                </w:p>
              </w:tc>
              <w:tc>
                <w:tcPr>
                  <w:tcW w:w="1197" w:type="dxa"/>
                  <w:tcBorders>
                    <w:top w:val="single" w:color="000000"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kern w:val="2"/>
                      <w:sz w:val="21"/>
                      <w:szCs w:val="21"/>
                    </w:rPr>
                  </w:pPr>
                  <w:r>
                    <w:rPr>
                      <w:rFonts w:hint="eastAsia" w:ascii="宋体" w:hAnsi="宋体" w:eastAsia="宋体" w:cs="宋体"/>
                      <w:b/>
                      <w:bCs/>
                      <w:color w:val="auto"/>
                      <w:kern w:val="2"/>
                      <w:sz w:val="21"/>
                      <w:szCs w:val="21"/>
                      <w:lang w:val="en-US" w:eastAsia="zh-CN" w:bidi="ar"/>
                    </w:rPr>
                    <w:t>评价标准值（</w:t>
                  </w:r>
                  <w:r>
                    <w:rPr>
                      <w:rFonts w:hint="default" w:ascii="Times New Roman" w:hAnsi="Times New Roman" w:cs="Times New Roman"/>
                      <w:b/>
                      <w:bCs/>
                      <w:color w:val="auto"/>
                      <w:kern w:val="2"/>
                      <w:sz w:val="21"/>
                      <w:szCs w:val="21"/>
                      <w:lang w:val="en-US" w:eastAsia="zh-CN" w:bidi="ar"/>
                    </w:rPr>
                    <w:t>μg/m</w:t>
                  </w:r>
                  <w:r>
                    <w:rPr>
                      <w:rFonts w:hint="default" w:ascii="Times New Roman" w:hAnsi="Times New Roman" w:cs="Times New Roman"/>
                      <w:b/>
                      <w:bCs/>
                      <w:color w:val="auto"/>
                      <w:kern w:val="2"/>
                      <w:sz w:val="21"/>
                      <w:szCs w:val="21"/>
                      <w:vertAlign w:val="superscript"/>
                      <w:lang w:val="en-US" w:eastAsia="zh-CN" w:bidi="ar"/>
                    </w:rPr>
                    <w:t>3</w:t>
                  </w:r>
                  <w:r>
                    <w:rPr>
                      <w:rFonts w:hint="eastAsia" w:ascii="宋体" w:hAnsi="宋体" w:eastAsia="宋体" w:cs="宋体"/>
                      <w:b/>
                      <w:bCs/>
                      <w:color w:val="auto"/>
                      <w:kern w:val="2"/>
                      <w:sz w:val="21"/>
                      <w:szCs w:val="21"/>
                      <w:lang w:val="en-US" w:eastAsia="zh-CN" w:bidi="ar"/>
                    </w:rPr>
                    <w:t>）</w:t>
                  </w:r>
                </w:p>
              </w:tc>
              <w:tc>
                <w:tcPr>
                  <w:tcW w:w="1333" w:type="dxa"/>
                  <w:tcBorders>
                    <w:top w:val="single" w:color="000000"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92" w:leftChars="-44" w:right="-59" w:rightChars="-28"/>
                    <w:jc w:val="center"/>
                    <w:rPr>
                      <w:rFonts w:hint="default" w:ascii="Times New Roman" w:hAnsi="Times New Roman" w:cs="Times New Roman"/>
                      <w:b/>
                      <w:bCs/>
                      <w:color w:val="auto"/>
                      <w:kern w:val="2"/>
                      <w:sz w:val="21"/>
                      <w:szCs w:val="21"/>
                    </w:rPr>
                  </w:pPr>
                  <w:r>
                    <w:rPr>
                      <w:rFonts w:hint="eastAsia" w:ascii="宋体" w:hAnsi="宋体" w:eastAsia="宋体" w:cs="宋体"/>
                      <w:b/>
                      <w:bCs/>
                      <w:color w:val="auto"/>
                      <w:kern w:val="2"/>
                      <w:sz w:val="21"/>
                      <w:szCs w:val="21"/>
                      <w:lang w:val="en-US" w:eastAsia="zh-CN" w:bidi="ar"/>
                    </w:rPr>
                    <w:t>现状浓度（</w:t>
                  </w:r>
                  <w:r>
                    <w:rPr>
                      <w:rFonts w:hint="default" w:ascii="Times New Roman" w:hAnsi="Times New Roman" w:cs="Times New Roman"/>
                      <w:b/>
                      <w:bCs/>
                      <w:color w:val="auto"/>
                      <w:kern w:val="2"/>
                      <w:sz w:val="21"/>
                      <w:szCs w:val="21"/>
                      <w:lang w:val="en-US" w:eastAsia="zh-CN" w:bidi="ar"/>
                    </w:rPr>
                    <w:t>μg/m</w:t>
                  </w:r>
                  <w:r>
                    <w:rPr>
                      <w:rFonts w:hint="default" w:ascii="Times New Roman" w:hAnsi="Times New Roman" w:cs="Times New Roman"/>
                      <w:b/>
                      <w:bCs/>
                      <w:color w:val="auto"/>
                      <w:kern w:val="2"/>
                      <w:sz w:val="21"/>
                      <w:szCs w:val="21"/>
                      <w:vertAlign w:val="superscript"/>
                      <w:lang w:val="en-US" w:eastAsia="zh-CN" w:bidi="ar"/>
                    </w:rPr>
                    <w:t>3</w:t>
                  </w:r>
                  <w:r>
                    <w:rPr>
                      <w:rFonts w:hint="eastAsia" w:ascii="宋体" w:hAnsi="宋体" w:eastAsia="宋体" w:cs="宋体"/>
                      <w:b/>
                      <w:bCs/>
                      <w:color w:val="auto"/>
                      <w:kern w:val="2"/>
                      <w:sz w:val="21"/>
                      <w:szCs w:val="21"/>
                      <w:lang w:val="en-US" w:eastAsia="zh-CN" w:bidi="ar"/>
                    </w:rPr>
                    <w:t>）</w:t>
                  </w:r>
                </w:p>
              </w:tc>
              <w:tc>
                <w:tcPr>
                  <w:tcW w:w="1264" w:type="dxa"/>
                  <w:tcBorders>
                    <w:top w:val="single" w:color="000000"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59" w:rightChars="-28"/>
                    <w:jc w:val="center"/>
                    <w:rPr>
                      <w:rFonts w:hint="default" w:ascii="Times New Roman" w:hAnsi="Times New Roman" w:cs="Times New Roman"/>
                      <w:b/>
                      <w:bCs/>
                      <w:color w:val="auto"/>
                      <w:kern w:val="2"/>
                      <w:sz w:val="21"/>
                      <w:szCs w:val="21"/>
                    </w:rPr>
                  </w:pPr>
                  <w:r>
                    <w:rPr>
                      <w:rFonts w:hint="eastAsia" w:ascii="宋体" w:hAnsi="宋体" w:eastAsia="宋体" w:cs="宋体"/>
                      <w:b/>
                      <w:bCs/>
                      <w:color w:val="auto"/>
                      <w:kern w:val="2"/>
                      <w:sz w:val="21"/>
                      <w:szCs w:val="21"/>
                      <w:lang w:val="en-US" w:eastAsia="zh-CN" w:bidi="ar"/>
                    </w:rPr>
                    <w:t>最大浓度占标率</w:t>
                  </w:r>
                  <w:r>
                    <w:rPr>
                      <w:rFonts w:hint="default" w:ascii="Times New Roman" w:hAnsi="Times New Roman" w:cs="Times New Roman"/>
                      <w:b/>
                      <w:bCs/>
                      <w:color w:val="auto"/>
                      <w:kern w:val="2"/>
                      <w:sz w:val="21"/>
                      <w:szCs w:val="21"/>
                      <w:lang w:val="en-US" w:eastAsia="zh-CN" w:bidi="ar"/>
                    </w:rPr>
                    <w:t>/%</w:t>
                  </w:r>
                </w:p>
              </w:tc>
              <w:tc>
                <w:tcPr>
                  <w:tcW w:w="1187" w:type="dxa"/>
                  <w:tcBorders>
                    <w:top w:val="single" w:color="000000"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92" w:leftChars="-44" w:right="-59" w:rightChars="-28"/>
                    <w:jc w:val="center"/>
                    <w:rPr>
                      <w:rFonts w:hint="default" w:ascii="Times New Roman" w:hAnsi="Times New Roman" w:cs="Times New Roman"/>
                      <w:b/>
                      <w:bCs/>
                      <w:color w:val="auto"/>
                      <w:kern w:val="2"/>
                      <w:sz w:val="21"/>
                      <w:szCs w:val="21"/>
                    </w:rPr>
                  </w:pPr>
                  <w:r>
                    <w:rPr>
                      <w:rFonts w:hint="eastAsia" w:ascii="宋体" w:hAnsi="宋体" w:eastAsia="宋体" w:cs="宋体"/>
                      <w:b/>
                      <w:bCs/>
                      <w:color w:val="auto"/>
                      <w:kern w:val="2"/>
                      <w:sz w:val="21"/>
                      <w:szCs w:val="21"/>
                      <w:lang w:val="en-US" w:eastAsia="zh-CN" w:bidi="ar"/>
                    </w:rPr>
                    <w:t>超标率</w:t>
                  </w:r>
                  <w:r>
                    <w:rPr>
                      <w:rFonts w:hint="default" w:ascii="Times New Roman" w:hAnsi="Times New Roman" w:cs="Times New Roman"/>
                      <w:b/>
                      <w:bCs/>
                      <w:color w:val="auto"/>
                      <w:kern w:val="2"/>
                      <w:sz w:val="21"/>
                      <w:szCs w:val="21"/>
                      <w:lang w:val="en-US" w:eastAsia="zh-CN" w:bidi="ar"/>
                    </w:rPr>
                    <w:t>/%</w:t>
                  </w:r>
                </w:p>
              </w:tc>
              <w:tc>
                <w:tcPr>
                  <w:tcW w:w="1009" w:type="dxa"/>
                  <w:tcBorders>
                    <w:top w:val="single" w:color="000000" w:sz="4" w:space="0"/>
                    <w:left w:val="nil"/>
                    <w:bottom w:val="single" w:color="auto" w:sz="4" w:space="0"/>
                  </w:tcBorders>
                  <w:vAlign w:val="center"/>
                </w:tcPr>
                <w:p>
                  <w:pPr>
                    <w:keepNext w:val="0"/>
                    <w:keepLines w:val="0"/>
                    <w:widowControl w:val="0"/>
                    <w:suppressLineNumbers w:val="0"/>
                    <w:adjustRightInd w:val="0"/>
                    <w:snapToGrid w:val="0"/>
                    <w:spacing w:before="0" w:beforeAutospacing="0" w:after="0" w:afterAutospacing="0"/>
                    <w:ind w:left="-92" w:leftChars="-44" w:right="-59" w:rightChars="-28"/>
                    <w:jc w:val="center"/>
                    <w:rPr>
                      <w:rFonts w:hint="default" w:ascii="Times New Roman" w:hAnsi="Times New Roman" w:cs="Times New Roman"/>
                      <w:b/>
                      <w:bCs/>
                      <w:color w:val="auto"/>
                      <w:kern w:val="2"/>
                      <w:sz w:val="21"/>
                      <w:szCs w:val="21"/>
                    </w:rPr>
                  </w:pPr>
                  <w:r>
                    <w:rPr>
                      <w:rFonts w:hint="eastAsia" w:ascii="宋体" w:hAnsi="宋体" w:eastAsia="宋体" w:cs="宋体"/>
                      <w:b/>
                      <w:bCs/>
                      <w:color w:val="auto"/>
                      <w:kern w:val="2"/>
                      <w:sz w:val="21"/>
                      <w:szCs w:val="21"/>
                      <w:lang w:val="en-US" w:eastAsia="zh-CN" w:bidi="ar"/>
                    </w:rPr>
                    <w:t>达标情况</w:t>
                  </w:r>
                </w:p>
              </w:tc>
            </w:tr>
            <w:tr>
              <w:tblPrEx>
                <w:tblBorders>
                  <w:top w:val="single" w:color="000000" w:sz="4" w:space="0"/>
                  <w:left w:val="none" w:color="auto" w:sz="0" w:space="0"/>
                  <w:bottom w:val="single" w:color="000000"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20" w:hRule="atLeast"/>
                <w:jc w:val="center"/>
              </w:trPr>
              <w:tc>
                <w:tcPr>
                  <w:tcW w:w="773" w:type="dxa"/>
                  <w:tcBorders>
                    <w:top w:val="single" w:color="auto" w:sz="4" w:space="0"/>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lang w:val="en-US" w:eastAsia="zh-CN" w:bidi="ar"/>
                    </w:rPr>
                    <w:t>SO</w:t>
                  </w:r>
                  <w:r>
                    <w:rPr>
                      <w:rFonts w:hint="default" w:ascii="Times New Roman" w:hAnsi="Times New Roman" w:cs="Times New Roman"/>
                      <w:color w:val="auto"/>
                      <w:kern w:val="2"/>
                      <w:sz w:val="21"/>
                      <w:szCs w:val="21"/>
                      <w:vertAlign w:val="subscript"/>
                      <w:lang w:val="en-US" w:eastAsia="zh-CN" w:bidi="ar"/>
                    </w:rPr>
                    <w:t>2</w:t>
                  </w:r>
                </w:p>
              </w:tc>
              <w:tc>
                <w:tcPr>
                  <w:tcW w:w="1623"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eastAsia" w:ascii="宋体" w:hAnsi="宋体" w:eastAsia="宋体" w:cs="宋体"/>
                      <w:color w:val="auto"/>
                      <w:kern w:val="2"/>
                      <w:sz w:val="21"/>
                      <w:szCs w:val="21"/>
                      <w:lang w:val="en-US" w:eastAsia="zh-CN" w:bidi="ar"/>
                    </w:rPr>
                    <w:t>年平均</w:t>
                  </w:r>
                </w:p>
              </w:tc>
              <w:tc>
                <w:tcPr>
                  <w:tcW w:w="1197"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lang w:val="en-US" w:eastAsia="zh-CN" w:bidi="ar"/>
                    </w:rPr>
                    <w:t>60</w:t>
                  </w:r>
                </w:p>
              </w:tc>
              <w:tc>
                <w:tcPr>
                  <w:tcW w:w="1333"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lang w:val="en-US" w:eastAsia="zh-CN" w:bidi="ar"/>
                    </w:rPr>
                    <w:t>10</w:t>
                  </w:r>
                </w:p>
              </w:tc>
              <w:tc>
                <w:tcPr>
                  <w:tcW w:w="1264"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lang w:val="en-US" w:eastAsia="zh-CN" w:bidi="ar"/>
                    </w:rPr>
                    <w:t>16.67</w:t>
                  </w:r>
                </w:p>
              </w:tc>
              <w:tc>
                <w:tcPr>
                  <w:tcW w:w="1187"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lang w:val="en-US" w:eastAsia="zh-CN" w:bidi="ar"/>
                    </w:rPr>
                    <w:t>/</w:t>
                  </w:r>
                </w:p>
              </w:tc>
              <w:tc>
                <w:tcPr>
                  <w:tcW w:w="1009" w:type="dxa"/>
                  <w:tcBorders>
                    <w:top w:val="single" w:color="auto" w:sz="4" w:space="0"/>
                    <w:left w:val="nil"/>
                    <w:bottom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eastAsia" w:ascii="宋体" w:hAnsi="宋体" w:eastAsia="宋体" w:cs="宋体"/>
                      <w:color w:val="auto"/>
                      <w:kern w:val="2"/>
                      <w:sz w:val="21"/>
                      <w:szCs w:val="21"/>
                      <w:lang w:val="en-US" w:eastAsia="zh-CN" w:bidi="ar"/>
                    </w:rPr>
                    <w:t>达标</w:t>
                  </w:r>
                </w:p>
              </w:tc>
            </w:tr>
            <w:tr>
              <w:tblPrEx>
                <w:tblBorders>
                  <w:top w:val="single" w:color="000000" w:sz="4" w:space="0"/>
                  <w:left w:val="none" w:color="auto" w:sz="0" w:space="0"/>
                  <w:bottom w:val="single" w:color="000000"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20" w:hRule="atLeast"/>
                <w:jc w:val="center"/>
              </w:trPr>
              <w:tc>
                <w:tcPr>
                  <w:tcW w:w="773" w:type="dxa"/>
                  <w:tcBorders>
                    <w:top w:val="single" w:color="auto" w:sz="4" w:space="0"/>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lang w:val="en-US" w:eastAsia="zh-CN" w:bidi="ar"/>
                    </w:rPr>
                    <w:t>NO</w:t>
                  </w:r>
                  <w:r>
                    <w:rPr>
                      <w:rFonts w:hint="default" w:ascii="Times New Roman" w:hAnsi="Times New Roman" w:cs="Times New Roman"/>
                      <w:color w:val="auto"/>
                      <w:kern w:val="2"/>
                      <w:sz w:val="21"/>
                      <w:szCs w:val="21"/>
                      <w:vertAlign w:val="subscript"/>
                      <w:lang w:val="en-US" w:eastAsia="zh-CN" w:bidi="ar"/>
                    </w:rPr>
                    <w:t>2</w:t>
                  </w:r>
                </w:p>
              </w:tc>
              <w:tc>
                <w:tcPr>
                  <w:tcW w:w="1623"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eastAsia" w:ascii="宋体" w:hAnsi="宋体" w:eastAsia="宋体" w:cs="宋体"/>
                      <w:color w:val="auto"/>
                      <w:kern w:val="2"/>
                      <w:sz w:val="21"/>
                      <w:szCs w:val="21"/>
                      <w:lang w:val="en-US" w:eastAsia="zh-CN" w:bidi="ar"/>
                    </w:rPr>
                    <w:t>年平均</w:t>
                  </w:r>
                </w:p>
              </w:tc>
              <w:tc>
                <w:tcPr>
                  <w:tcW w:w="1197"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lang w:val="en-US" w:eastAsia="zh-CN" w:bidi="ar"/>
                    </w:rPr>
                    <w:t>40</w:t>
                  </w:r>
                </w:p>
              </w:tc>
              <w:tc>
                <w:tcPr>
                  <w:tcW w:w="1333"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lang w:val="en-US" w:eastAsia="zh-CN" w:bidi="ar"/>
                    </w:rPr>
                    <w:t>31</w:t>
                  </w:r>
                </w:p>
              </w:tc>
              <w:tc>
                <w:tcPr>
                  <w:tcW w:w="1264"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lang w:val="en-US" w:eastAsia="zh-CN" w:bidi="ar"/>
                    </w:rPr>
                    <w:t>77.5</w:t>
                  </w:r>
                </w:p>
              </w:tc>
              <w:tc>
                <w:tcPr>
                  <w:tcW w:w="1187"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pacing w:val="1"/>
                      <w:kern w:val="2"/>
                      <w:sz w:val="21"/>
                      <w:szCs w:val="21"/>
                    </w:rPr>
                  </w:pPr>
                  <w:r>
                    <w:rPr>
                      <w:rFonts w:hint="default" w:ascii="Times New Roman" w:hAnsi="Times New Roman" w:cs="Times New Roman"/>
                      <w:color w:val="auto"/>
                      <w:spacing w:val="1"/>
                      <w:kern w:val="2"/>
                      <w:sz w:val="21"/>
                      <w:szCs w:val="21"/>
                      <w:lang w:val="en-US" w:eastAsia="zh-CN" w:bidi="ar"/>
                    </w:rPr>
                    <w:t>/</w:t>
                  </w:r>
                </w:p>
              </w:tc>
              <w:tc>
                <w:tcPr>
                  <w:tcW w:w="1009" w:type="dxa"/>
                  <w:tcBorders>
                    <w:top w:val="single" w:color="auto" w:sz="4" w:space="0"/>
                    <w:left w:val="nil"/>
                    <w:bottom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eastAsia" w:ascii="宋体" w:hAnsi="宋体" w:eastAsia="宋体" w:cs="宋体"/>
                      <w:color w:val="auto"/>
                      <w:kern w:val="2"/>
                      <w:sz w:val="21"/>
                      <w:szCs w:val="21"/>
                      <w:lang w:val="en-US" w:eastAsia="zh-CN" w:bidi="ar"/>
                    </w:rPr>
                    <w:t>达标</w:t>
                  </w:r>
                </w:p>
              </w:tc>
            </w:tr>
            <w:tr>
              <w:tblPrEx>
                <w:tblBorders>
                  <w:top w:val="single" w:color="000000" w:sz="4" w:space="0"/>
                  <w:left w:val="none" w:color="auto" w:sz="0" w:space="0"/>
                  <w:bottom w:val="single" w:color="000000"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20" w:hRule="atLeast"/>
                <w:jc w:val="center"/>
              </w:trPr>
              <w:tc>
                <w:tcPr>
                  <w:tcW w:w="773" w:type="dxa"/>
                  <w:tcBorders>
                    <w:top w:val="single" w:color="auto" w:sz="4" w:space="0"/>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lang w:val="en-US" w:eastAsia="zh-CN" w:bidi="ar"/>
                    </w:rPr>
                    <w:t>PM</w:t>
                  </w:r>
                  <w:r>
                    <w:rPr>
                      <w:rFonts w:hint="default" w:ascii="Times New Roman" w:hAnsi="Times New Roman" w:cs="Times New Roman"/>
                      <w:color w:val="auto"/>
                      <w:kern w:val="2"/>
                      <w:sz w:val="21"/>
                      <w:szCs w:val="21"/>
                      <w:vertAlign w:val="subscript"/>
                      <w:lang w:val="en-US" w:eastAsia="zh-CN" w:bidi="ar"/>
                    </w:rPr>
                    <w:t>10</w:t>
                  </w:r>
                </w:p>
              </w:tc>
              <w:tc>
                <w:tcPr>
                  <w:tcW w:w="1623"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eastAsia" w:ascii="宋体" w:hAnsi="宋体" w:eastAsia="宋体" w:cs="宋体"/>
                      <w:color w:val="auto"/>
                      <w:kern w:val="2"/>
                      <w:sz w:val="21"/>
                      <w:szCs w:val="21"/>
                      <w:lang w:val="en-US" w:eastAsia="zh-CN" w:bidi="ar"/>
                    </w:rPr>
                    <w:t>年平均</w:t>
                  </w:r>
                </w:p>
              </w:tc>
              <w:tc>
                <w:tcPr>
                  <w:tcW w:w="1197"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lang w:val="en-US" w:eastAsia="zh-CN" w:bidi="ar"/>
                    </w:rPr>
                    <w:t>70</w:t>
                  </w:r>
                </w:p>
              </w:tc>
              <w:tc>
                <w:tcPr>
                  <w:tcW w:w="1333"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lang w:val="en-US" w:eastAsia="zh-CN" w:bidi="ar"/>
                    </w:rPr>
                    <w:t>84</w:t>
                  </w:r>
                </w:p>
              </w:tc>
              <w:tc>
                <w:tcPr>
                  <w:tcW w:w="1264"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lang w:val="en-US" w:eastAsia="zh-CN" w:bidi="ar"/>
                    </w:rPr>
                    <w:t>120</w:t>
                  </w:r>
                </w:p>
              </w:tc>
              <w:tc>
                <w:tcPr>
                  <w:tcW w:w="1187"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pacing w:val="1"/>
                      <w:kern w:val="2"/>
                      <w:sz w:val="21"/>
                      <w:szCs w:val="21"/>
                    </w:rPr>
                  </w:pPr>
                  <w:r>
                    <w:rPr>
                      <w:rFonts w:hint="default" w:ascii="Times New Roman" w:hAnsi="Times New Roman" w:cs="Times New Roman"/>
                      <w:color w:val="auto"/>
                      <w:spacing w:val="1"/>
                      <w:kern w:val="2"/>
                      <w:sz w:val="21"/>
                      <w:szCs w:val="21"/>
                      <w:lang w:val="en-US" w:eastAsia="zh-CN" w:bidi="ar"/>
                    </w:rPr>
                    <w:t>20</w:t>
                  </w:r>
                </w:p>
              </w:tc>
              <w:tc>
                <w:tcPr>
                  <w:tcW w:w="1009" w:type="dxa"/>
                  <w:tcBorders>
                    <w:top w:val="single" w:color="auto" w:sz="4" w:space="0"/>
                    <w:left w:val="nil"/>
                    <w:bottom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eastAsia" w:ascii="宋体" w:hAnsi="宋体" w:eastAsia="宋体" w:cs="宋体"/>
                      <w:color w:val="auto"/>
                      <w:kern w:val="2"/>
                      <w:sz w:val="21"/>
                      <w:szCs w:val="21"/>
                      <w:lang w:val="en-US" w:eastAsia="zh-CN" w:bidi="ar"/>
                    </w:rPr>
                    <w:t>超标</w:t>
                  </w:r>
                </w:p>
              </w:tc>
            </w:tr>
            <w:tr>
              <w:tblPrEx>
                <w:tblBorders>
                  <w:top w:val="single" w:color="000000" w:sz="4" w:space="0"/>
                  <w:left w:val="none" w:color="auto" w:sz="0" w:space="0"/>
                  <w:bottom w:val="single" w:color="000000"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20" w:hRule="atLeast"/>
                <w:jc w:val="center"/>
              </w:trPr>
              <w:tc>
                <w:tcPr>
                  <w:tcW w:w="773" w:type="dxa"/>
                  <w:tcBorders>
                    <w:top w:val="single" w:color="auto" w:sz="4" w:space="0"/>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lang w:val="en-US" w:eastAsia="zh-CN" w:bidi="ar"/>
                    </w:rPr>
                    <w:t>PM</w:t>
                  </w:r>
                  <w:r>
                    <w:rPr>
                      <w:rFonts w:hint="default" w:ascii="Times New Roman" w:hAnsi="Times New Roman" w:cs="Times New Roman"/>
                      <w:color w:val="auto"/>
                      <w:kern w:val="2"/>
                      <w:sz w:val="21"/>
                      <w:szCs w:val="21"/>
                      <w:vertAlign w:val="subscript"/>
                      <w:lang w:val="en-US" w:eastAsia="zh-CN" w:bidi="ar"/>
                    </w:rPr>
                    <w:t>2.5</w:t>
                  </w:r>
                </w:p>
              </w:tc>
              <w:tc>
                <w:tcPr>
                  <w:tcW w:w="1623"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eastAsia" w:ascii="宋体" w:hAnsi="宋体" w:eastAsia="宋体" w:cs="宋体"/>
                      <w:color w:val="auto"/>
                      <w:kern w:val="2"/>
                      <w:sz w:val="21"/>
                      <w:szCs w:val="21"/>
                      <w:lang w:val="en-US" w:eastAsia="zh-CN" w:bidi="ar"/>
                    </w:rPr>
                    <w:t>年平均</w:t>
                  </w:r>
                </w:p>
              </w:tc>
              <w:tc>
                <w:tcPr>
                  <w:tcW w:w="1197"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lang w:val="en-US" w:eastAsia="zh-CN" w:bidi="ar"/>
                    </w:rPr>
                    <w:t>35</w:t>
                  </w:r>
                </w:p>
              </w:tc>
              <w:tc>
                <w:tcPr>
                  <w:tcW w:w="1333"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lang w:val="en-US" w:eastAsia="zh-CN" w:bidi="ar"/>
                    </w:rPr>
                    <w:t>50</w:t>
                  </w:r>
                </w:p>
              </w:tc>
              <w:tc>
                <w:tcPr>
                  <w:tcW w:w="1264"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lang w:val="en-US" w:eastAsia="zh-CN" w:bidi="ar"/>
                    </w:rPr>
                    <w:t>142.86</w:t>
                  </w:r>
                </w:p>
              </w:tc>
              <w:tc>
                <w:tcPr>
                  <w:tcW w:w="1187"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pacing w:val="1"/>
                      <w:kern w:val="2"/>
                      <w:sz w:val="21"/>
                      <w:szCs w:val="21"/>
                    </w:rPr>
                  </w:pPr>
                  <w:r>
                    <w:rPr>
                      <w:rFonts w:hint="default" w:ascii="Times New Roman" w:hAnsi="Times New Roman" w:cs="Times New Roman"/>
                      <w:color w:val="auto"/>
                      <w:spacing w:val="1"/>
                      <w:kern w:val="2"/>
                      <w:sz w:val="21"/>
                      <w:szCs w:val="21"/>
                      <w:lang w:val="en-US" w:eastAsia="zh-CN" w:bidi="ar"/>
                    </w:rPr>
                    <w:t>42.86</w:t>
                  </w:r>
                </w:p>
              </w:tc>
              <w:tc>
                <w:tcPr>
                  <w:tcW w:w="1009" w:type="dxa"/>
                  <w:tcBorders>
                    <w:top w:val="single" w:color="auto" w:sz="4" w:space="0"/>
                    <w:left w:val="nil"/>
                    <w:bottom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eastAsia" w:ascii="宋体" w:hAnsi="宋体" w:eastAsia="宋体" w:cs="宋体"/>
                      <w:color w:val="auto"/>
                      <w:kern w:val="2"/>
                      <w:sz w:val="21"/>
                      <w:szCs w:val="21"/>
                      <w:lang w:val="en-US" w:eastAsia="zh-CN" w:bidi="ar"/>
                    </w:rPr>
                    <w:t>超标</w:t>
                  </w:r>
                </w:p>
              </w:tc>
            </w:tr>
            <w:tr>
              <w:tblPrEx>
                <w:tblBorders>
                  <w:top w:val="single" w:color="000000" w:sz="4" w:space="0"/>
                  <w:left w:val="none" w:color="auto" w:sz="0" w:space="0"/>
                  <w:bottom w:val="single" w:color="000000"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20" w:hRule="atLeast"/>
                <w:jc w:val="center"/>
              </w:trPr>
              <w:tc>
                <w:tcPr>
                  <w:tcW w:w="773" w:type="dxa"/>
                  <w:tcBorders>
                    <w:top w:val="single" w:color="auto" w:sz="4" w:space="0"/>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lang w:val="en-US" w:eastAsia="zh-CN" w:bidi="ar"/>
                    </w:rPr>
                    <w:t>CO</w:t>
                  </w:r>
                </w:p>
              </w:tc>
              <w:tc>
                <w:tcPr>
                  <w:tcW w:w="1623"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lang w:val="en-US" w:eastAsia="zh-CN" w:bidi="ar"/>
                    </w:rPr>
                    <w:t>24h</w:t>
                  </w:r>
                  <w:r>
                    <w:rPr>
                      <w:rFonts w:hint="eastAsia" w:ascii="宋体" w:hAnsi="宋体" w:eastAsia="宋体" w:cs="宋体"/>
                      <w:color w:val="auto"/>
                      <w:kern w:val="2"/>
                      <w:sz w:val="21"/>
                      <w:szCs w:val="21"/>
                      <w:lang w:val="en-US" w:eastAsia="zh-CN" w:bidi="ar"/>
                    </w:rPr>
                    <w:t>平均第</w:t>
                  </w:r>
                  <w:r>
                    <w:rPr>
                      <w:rFonts w:hint="default" w:ascii="Times New Roman" w:hAnsi="Times New Roman" w:cs="Times New Roman"/>
                      <w:color w:val="auto"/>
                      <w:kern w:val="2"/>
                      <w:sz w:val="21"/>
                      <w:szCs w:val="21"/>
                      <w:lang w:val="en-US" w:eastAsia="zh-CN" w:bidi="ar"/>
                    </w:rPr>
                    <w:t>95</w:t>
                  </w:r>
                  <w:r>
                    <w:rPr>
                      <w:rFonts w:hint="eastAsia" w:ascii="宋体" w:hAnsi="宋体" w:eastAsia="宋体" w:cs="宋体"/>
                      <w:color w:val="auto"/>
                      <w:kern w:val="2"/>
                      <w:sz w:val="21"/>
                      <w:szCs w:val="21"/>
                      <w:lang w:val="en-US" w:eastAsia="zh-CN" w:bidi="ar"/>
                    </w:rPr>
                    <w:t>百分位数</w:t>
                  </w:r>
                </w:p>
              </w:tc>
              <w:tc>
                <w:tcPr>
                  <w:tcW w:w="1197"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lang w:val="en-US" w:eastAsia="zh-CN" w:bidi="ar"/>
                    </w:rPr>
                    <w:t>4000</w:t>
                  </w:r>
                </w:p>
              </w:tc>
              <w:tc>
                <w:tcPr>
                  <w:tcW w:w="1333"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lang w:val="en-US" w:eastAsia="zh-CN" w:bidi="ar"/>
                    </w:rPr>
                    <w:t>1400</w:t>
                  </w:r>
                </w:p>
              </w:tc>
              <w:tc>
                <w:tcPr>
                  <w:tcW w:w="1264"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lang w:val="en-US" w:eastAsia="zh-CN" w:bidi="ar"/>
                    </w:rPr>
                    <w:t>35</w:t>
                  </w:r>
                </w:p>
              </w:tc>
              <w:tc>
                <w:tcPr>
                  <w:tcW w:w="1187"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pacing w:val="1"/>
                      <w:kern w:val="2"/>
                      <w:sz w:val="21"/>
                      <w:szCs w:val="21"/>
                    </w:rPr>
                  </w:pPr>
                  <w:r>
                    <w:rPr>
                      <w:rFonts w:hint="default" w:ascii="Times New Roman" w:hAnsi="Times New Roman" w:cs="Times New Roman"/>
                      <w:color w:val="auto"/>
                      <w:spacing w:val="1"/>
                      <w:kern w:val="2"/>
                      <w:sz w:val="21"/>
                      <w:szCs w:val="21"/>
                      <w:lang w:val="en-US" w:eastAsia="zh-CN" w:bidi="ar"/>
                    </w:rPr>
                    <w:t>/</w:t>
                  </w:r>
                </w:p>
              </w:tc>
              <w:tc>
                <w:tcPr>
                  <w:tcW w:w="1009" w:type="dxa"/>
                  <w:tcBorders>
                    <w:top w:val="single" w:color="auto" w:sz="4" w:space="0"/>
                    <w:left w:val="nil"/>
                    <w:bottom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eastAsia" w:ascii="宋体" w:hAnsi="宋体" w:eastAsia="宋体" w:cs="宋体"/>
                      <w:color w:val="auto"/>
                      <w:kern w:val="2"/>
                      <w:sz w:val="21"/>
                      <w:szCs w:val="21"/>
                      <w:lang w:val="en-US" w:eastAsia="zh-CN" w:bidi="ar"/>
                    </w:rPr>
                    <w:t>达标</w:t>
                  </w:r>
                </w:p>
              </w:tc>
            </w:tr>
            <w:tr>
              <w:tblPrEx>
                <w:tblBorders>
                  <w:top w:val="single" w:color="000000" w:sz="4" w:space="0"/>
                  <w:left w:val="none" w:color="auto" w:sz="0" w:space="0"/>
                  <w:bottom w:val="single" w:color="000000"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20" w:hRule="atLeast"/>
                <w:jc w:val="center"/>
              </w:trPr>
              <w:tc>
                <w:tcPr>
                  <w:tcW w:w="773" w:type="dxa"/>
                  <w:tcBorders>
                    <w:top w:val="single" w:color="auto" w:sz="4" w:space="0"/>
                    <w:bottom w:val="single" w:color="000000"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lang w:val="en-US" w:eastAsia="zh-CN" w:bidi="ar"/>
                    </w:rPr>
                    <w:t>O</w:t>
                  </w:r>
                  <w:r>
                    <w:rPr>
                      <w:rFonts w:hint="default" w:ascii="Times New Roman" w:hAnsi="Times New Roman" w:cs="Times New Roman"/>
                      <w:color w:val="auto"/>
                      <w:kern w:val="2"/>
                      <w:sz w:val="21"/>
                      <w:szCs w:val="21"/>
                      <w:vertAlign w:val="subscript"/>
                      <w:lang w:val="en-US" w:eastAsia="zh-CN" w:bidi="ar"/>
                    </w:rPr>
                    <w:t>3</w:t>
                  </w:r>
                </w:p>
              </w:tc>
              <w:tc>
                <w:tcPr>
                  <w:tcW w:w="1623" w:type="dxa"/>
                  <w:tcBorders>
                    <w:top w:val="single" w:color="auto" w:sz="4" w:space="0"/>
                    <w:left w:val="nil"/>
                    <w:bottom w:val="single" w:color="000000"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eastAsia" w:ascii="宋体" w:hAnsi="宋体" w:eastAsia="宋体" w:cs="宋体"/>
                      <w:color w:val="auto"/>
                      <w:kern w:val="2"/>
                      <w:sz w:val="21"/>
                      <w:szCs w:val="21"/>
                      <w:lang w:val="en-US" w:eastAsia="zh-CN" w:bidi="ar"/>
                    </w:rPr>
                    <w:t>日最大</w:t>
                  </w:r>
                  <w:r>
                    <w:rPr>
                      <w:rFonts w:hint="default" w:ascii="Times New Roman" w:hAnsi="Times New Roman" w:cs="Times New Roman"/>
                      <w:color w:val="auto"/>
                      <w:kern w:val="2"/>
                      <w:sz w:val="21"/>
                      <w:szCs w:val="21"/>
                      <w:lang w:val="en-US" w:eastAsia="zh-CN" w:bidi="ar"/>
                    </w:rPr>
                    <w:t>8h</w:t>
                  </w:r>
                  <w:r>
                    <w:rPr>
                      <w:rFonts w:hint="eastAsia" w:ascii="宋体" w:hAnsi="宋体" w:eastAsia="宋体" w:cs="宋体"/>
                      <w:color w:val="auto"/>
                      <w:kern w:val="2"/>
                      <w:sz w:val="21"/>
                      <w:szCs w:val="21"/>
                      <w:lang w:val="en-US" w:eastAsia="zh-CN" w:bidi="ar"/>
                    </w:rPr>
                    <w:t>平均第</w:t>
                  </w:r>
                  <w:r>
                    <w:rPr>
                      <w:rFonts w:hint="default" w:ascii="Times New Roman" w:hAnsi="Times New Roman" w:cs="Times New Roman"/>
                      <w:color w:val="auto"/>
                      <w:kern w:val="2"/>
                      <w:sz w:val="21"/>
                      <w:szCs w:val="21"/>
                      <w:lang w:val="en-US" w:eastAsia="zh-CN" w:bidi="ar"/>
                    </w:rPr>
                    <w:t>90</w:t>
                  </w:r>
                  <w:r>
                    <w:rPr>
                      <w:rFonts w:hint="eastAsia" w:ascii="宋体" w:hAnsi="宋体" w:eastAsia="宋体" w:cs="宋体"/>
                      <w:color w:val="auto"/>
                      <w:kern w:val="2"/>
                      <w:sz w:val="21"/>
                      <w:szCs w:val="21"/>
                      <w:lang w:val="en-US" w:eastAsia="zh-CN" w:bidi="ar"/>
                    </w:rPr>
                    <w:t>百分位数</w:t>
                  </w:r>
                </w:p>
              </w:tc>
              <w:tc>
                <w:tcPr>
                  <w:tcW w:w="1197" w:type="dxa"/>
                  <w:tcBorders>
                    <w:top w:val="single" w:color="auto" w:sz="4" w:space="0"/>
                    <w:left w:val="nil"/>
                    <w:bottom w:val="single" w:color="000000"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lang w:val="en-US" w:eastAsia="zh-CN" w:bidi="ar"/>
                    </w:rPr>
                    <w:t>160</w:t>
                  </w:r>
                </w:p>
              </w:tc>
              <w:tc>
                <w:tcPr>
                  <w:tcW w:w="1333" w:type="dxa"/>
                  <w:tcBorders>
                    <w:top w:val="single" w:color="auto" w:sz="4" w:space="0"/>
                    <w:left w:val="nil"/>
                    <w:bottom w:val="single" w:color="000000"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lang w:val="en-US" w:eastAsia="zh-CN" w:bidi="ar"/>
                    </w:rPr>
                    <w:t>178</w:t>
                  </w:r>
                </w:p>
              </w:tc>
              <w:tc>
                <w:tcPr>
                  <w:tcW w:w="1264" w:type="dxa"/>
                  <w:tcBorders>
                    <w:top w:val="single" w:color="auto" w:sz="4" w:space="0"/>
                    <w:left w:val="nil"/>
                    <w:bottom w:val="single" w:color="000000"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lang w:val="en-US" w:eastAsia="zh-CN" w:bidi="ar"/>
                    </w:rPr>
                    <w:t>111.25</w:t>
                  </w:r>
                </w:p>
              </w:tc>
              <w:tc>
                <w:tcPr>
                  <w:tcW w:w="1187" w:type="dxa"/>
                  <w:tcBorders>
                    <w:top w:val="single" w:color="auto" w:sz="4" w:space="0"/>
                    <w:left w:val="nil"/>
                    <w:bottom w:val="single" w:color="000000" w:sz="4" w:space="0"/>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pacing w:val="1"/>
                      <w:kern w:val="2"/>
                      <w:sz w:val="21"/>
                      <w:szCs w:val="21"/>
                    </w:rPr>
                  </w:pPr>
                  <w:r>
                    <w:rPr>
                      <w:rFonts w:hint="default" w:ascii="Times New Roman" w:hAnsi="Times New Roman" w:cs="Times New Roman"/>
                      <w:color w:val="auto"/>
                      <w:spacing w:val="1"/>
                      <w:kern w:val="2"/>
                      <w:sz w:val="21"/>
                      <w:szCs w:val="21"/>
                      <w:lang w:val="en-US" w:eastAsia="zh-CN" w:bidi="ar"/>
                    </w:rPr>
                    <w:t>11.25</w:t>
                  </w:r>
                </w:p>
              </w:tc>
              <w:tc>
                <w:tcPr>
                  <w:tcW w:w="1009" w:type="dxa"/>
                  <w:tcBorders>
                    <w:top w:val="single" w:color="auto" w:sz="4" w:space="0"/>
                    <w:left w:val="nil"/>
                    <w:bottom w:val="single" w:color="000000"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rPr>
                  </w:pPr>
                  <w:r>
                    <w:rPr>
                      <w:rFonts w:hint="eastAsia" w:ascii="宋体" w:hAnsi="宋体" w:eastAsia="宋体" w:cs="宋体"/>
                      <w:color w:val="auto"/>
                      <w:kern w:val="2"/>
                      <w:sz w:val="21"/>
                      <w:szCs w:val="21"/>
                      <w:lang w:val="en-US" w:eastAsia="zh-CN" w:bidi="ar"/>
                    </w:rPr>
                    <w:t>超标</w:t>
                  </w:r>
                </w:p>
              </w:tc>
            </w:tr>
          </w:tbl>
          <w:p>
            <w:pPr>
              <w:keepNext w:val="0"/>
              <w:keepLines w:val="0"/>
              <w:pageBreakBefore w:val="0"/>
              <w:widowControl w:val="0"/>
              <w:suppressLineNumbers w:val="0"/>
              <w:kinsoku/>
              <w:wordWrap/>
              <w:overflowPunct/>
              <w:topLinePunct/>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吸入颗粒物（</w:t>
            </w:r>
            <w:r>
              <w:rPr>
                <w:rFonts w:hint="default" w:ascii="Times New Roman" w:hAnsi="Times New Roman" w:eastAsia="宋体" w:cs="Times New Roman"/>
                <w:color w:val="auto"/>
                <w:kern w:val="2"/>
                <w:sz w:val="24"/>
                <w:szCs w:val="24"/>
                <w:lang w:val="en-US" w:eastAsia="zh-CN" w:bidi="ar"/>
              </w:rPr>
              <w:t>PM</w:t>
            </w:r>
            <w:r>
              <w:rPr>
                <w:rFonts w:hint="default" w:ascii="Times New Roman" w:hAnsi="Times New Roman" w:eastAsia="宋体" w:cs="Times New Roman"/>
                <w:color w:val="auto"/>
                <w:kern w:val="2"/>
                <w:sz w:val="24"/>
                <w:szCs w:val="24"/>
                <w:vertAlign w:val="subscript"/>
                <w:lang w:val="en-US" w:eastAsia="zh-CN" w:bidi="ar"/>
              </w:rPr>
              <w:t>10</w:t>
            </w:r>
            <w:r>
              <w:rPr>
                <w:rFonts w:hint="eastAsia" w:ascii="宋体" w:hAnsi="宋体" w:eastAsia="宋体" w:cs="宋体"/>
                <w:color w:val="auto"/>
                <w:kern w:val="2"/>
                <w:sz w:val="24"/>
                <w:szCs w:val="24"/>
                <w:lang w:val="en-US" w:eastAsia="zh-CN" w:bidi="ar"/>
              </w:rPr>
              <w:t>）、细颗粒物（</w:t>
            </w:r>
            <w:r>
              <w:rPr>
                <w:rFonts w:hint="default" w:ascii="Times New Roman" w:hAnsi="Times New Roman" w:eastAsia="宋体" w:cs="Times New Roman"/>
                <w:color w:val="auto"/>
                <w:kern w:val="2"/>
                <w:sz w:val="24"/>
                <w:szCs w:val="24"/>
                <w:lang w:val="en-US" w:eastAsia="zh-CN" w:bidi="ar"/>
              </w:rPr>
              <w:t>PM</w:t>
            </w:r>
            <w:r>
              <w:rPr>
                <w:rFonts w:hint="default" w:ascii="Times New Roman" w:hAnsi="Times New Roman" w:eastAsia="宋体" w:cs="Times New Roman"/>
                <w:color w:val="auto"/>
                <w:kern w:val="2"/>
                <w:sz w:val="24"/>
                <w:szCs w:val="24"/>
                <w:vertAlign w:val="subscript"/>
                <w:lang w:val="en-US" w:eastAsia="zh-CN" w:bidi="ar"/>
              </w:rPr>
              <w:t>2.5</w:t>
            </w:r>
            <w:r>
              <w:rPr>
                <w:rFonts w:hint="eastAsia" w:ascii="宋体" w:hAnsi="宋体" w:eastAsia="宋体" w:cs="宋体"/>
                <w:color w:val="auto"/>
                <w:kern w:val="2"/>
                <w:sz w:val="24"/>
                <w:szCs w:val="24"/>
                <w:lang w:val="en-US" w:eastAsia="zh-CN" w:bidi="ar"/>
              </w:rPr>
              <w:t>）、臭氧浓度均超出《环境空气质量标准》（</w:t>
            </w:r>
            <w:r>
              <w:rPr>
                <w:rFonts w:hint="default" w:ascii="Times New Roman" w:hAnsi="Times New Roman" w:eastAsia="宋体" w:cs="Times New Roman"/>
                <w:color w:val="auto"/>
                <w:kern w:val="2"/>
                <w:sz w:val="24"/>
                <w:szCs w:val="24"/>
                <w:lang w:val="en-US" w:eastAsia="zh-CN" w:bidi="ar"/>
              </w:rPr>
              <w:t>GB3095-2012</w:t>
            </w:r>
            <w:r>
              <w:rPr>
                <w:rFonts w:hint="eastAsia" w:ascii="宋体" w:hAnsi="宋体" w:eastAsia="宋体" w:cs="宋体"/>
                <w:color w:val="auto"/>
                <w:kern w:val="2"/>
                <w:sz w:val="24"/>
                <w:szCs w:val="24"/>
                <w:lang w:val="en-US" w:eastAsia="zh-CN" w:bidi="ar"/>
              </w:rPr>
              <w:t>）及其修改单中的二级标准；二氧化硫、二氧化氮、一氧化碳浓度未超出《环境空气质量标准》（</w:t>
            </w:r>
            <w:r>
              <w:rPr>
                <w:rFonts w:hint="default" w:ascii="Times New Roman" w:hAnsi="Times New Roman" w:eastAsia="宋体" w:cs="Times New Roman"/>
                <w:color w:val="auto"/>
                <w:kern w:val="2"/>
                <w:sz w:val="24"/>
                <w:szCs w:val="24"/>
                <w:lang w:val="en-US" w:eastAsia="zh-CN" w:bidi="ar"/>
              </w:rPr>
              <w:t>GB3095-2012</w:t>
            </w:r>
            <w:r>
              <w:rPr>
                <w:rFonts w:hint="eastAsia" w:ascii="宋体" w:hAnsi="宋体" w:eastAsia="宋体" w:cs="宋体"/>
                <w:color w:val="auto"/>
                <w:kern w:val="2"/>
                <w:sz w:val="24"/>
                <w:szCs w:val="24"/>
                <w:lang w:val="en-US" w:eastAsia="zh-CN" w:bidi="ar"/>
              </w:rPr>
              <w:t>）及其修改单中的二级标准，根据《环境影响评价技术导则</w:t>
            </w:r>
            <w:r>
              <w:rPr>
                <w:rFonts w:hint="default" w:ascii="Times New Roman" w:hAnsi="Times New Roman" w:eastAsia="宋体" w:cs="Times New Roman"/>
                <w:color w:val="auto"/>
                <w:kern w:val="2"/>
                <w:sz w:val="24"/>
                <w:szCs w:val="24"/>
                <w:lang w:val="en-US" w:eastAsia="zh-CN" w:bidi="ar"/>
              </w:rPr>
              <w:t>-</w:t>
            </w:r>
            <w:r>
              <w:rPr>
                <w:rFonts w:hint="eastAsia" w:ascii="宋体" w:hAnsi="宋体" w:eastAsia="宋体" w:cs="宋体"/>
                <w:color w:val="auto"/>
                <w:kern w:val="2"/>
                <w:sz w:val="24"/>
                <w:szCs w:val="24"/>
                <w:lang w:val="en-US" w:eastAsia="zh-CN" w:bidi="ar"/>
              </w:rPr>
              <w:t>大气环境》（</w:t>
            </w:r>
            <w:r>
              <w:rPr>
                <w:rFonts w:hint="default" w:ascii="Times New Roman" w:hAnsi="Times New Roman" w:eastAsia="宋体" w:cs="Times New Roman"/>
                <w:color w:val="auto"/>
                <w:kern w:val="2"/>
                <w:sz w:val="24"/>
                <w:szCs w:val="24"/>
                <w:lang w:val="en-US" w:eastAsia="zh-CN" w:bidi="ar"/>
              </w:rPr>
              <w:t>HJ2.2-2018</w:t>
            </w:r>
            <w:r>
              <w:rPr>
                <w:rFonts w:hint="eastAsia" w:ascii="宋体" w:hAnsi="宋体" w:eastAsia="宋体" w:cs="宋体"/>
                <w:color w:val="auto"/>
                <w:kern w:val="2"/>
                <w:sz w:val="24"/>
                <w:szCs w:val="24"/>
                <w:lang w:val="en-US" w:eastAsia="zh-CN" w:bidi="ar"/>
              </w:rPr>
              <w:t>），六项污染物全部达标才为城市环境空气质量达标，因此，企业所在区域为不达标区，环境空气质量为不达标。</w:t>
            </w:r>
          </w:p>
          <w:p>
            <w:pPr>
              <w:keepNext w:val="0"/>
              <w:keepLines w:val="0"/>
              <w:pageBreakBefore w:val="0"/>
              <w:widowControl w:val="0"/>
              <w:suppressLineNumbers w:val="0"/>
              <w:kinsoku/>
              <w:wordWrap/>
              <w:overflowPunct/>
              <w:topLinePunct/>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0"/>
                <w:sz w:val="24"/>
                <w:szCs w:val="24"/>
                <w:lang w:val="en-US" w:eastAsia="zh-CN" w:bidi="ar"/>
              </w:rPr>
              <w:t>为切实改善空气质量，持续改善全市环境空气质量，打赢大气污染防治攻坚战，安阳市生态环境保护委员会印发了《安阳市2025年大气污染防治攻坚行动方案》</w:t>
            </w:r>
            <w:r>
              <w:rPr>
                <w:rFonts w:hint="eastAsia" w:ascii="Times New Roman" w:hAnsi="Times New Roman" w:eastAsia="宋体" w:cs="Times New Roman"/>
                <w:color w:val="auto"/>
                <w:kern w:val="0"/>
                <w:sz w:val="24"/>
                <w:szCs w:val="24"/>
                <w:lang w:val="en-US" w:eastAsia="zh-CN" w:bidi="ar"/>
              </w:rPr>
              <w:t>，</w:t>
            </w:r>
            <w:r>
              <w:rPr>
                <w:rFonts w:hint="default" w:ascii="Times New Roman" w:hAnsi="Times New Roman" w:eastAsia="宋体" w:cs="Times New Roman"/>
                <w:color w:val="auto"/>
                <w:kern w:val="0"/>
                <w:sz w:val="24"/>
                <w:szCs w:val="24"/>
                <w:lang w:val="en-US" w:eastAsia="zh-CN" w:bidi="ar"/>
              </w:rPr>
              <w:t>根据</w:t>
            </w:r>
            <w:r>
              <w:rPr>
                <w:rFonts w:hint="eastAsia" w:ascii="Times New Roman" w:hAnsi="Times New Roman" w:eastAsia="宋体" w:cs="Times New Roman"/>
                <w:color w:val="auto"/>
                <w:kern w:val="0"/>
                <w:sz w:val="24"/>
                <w:szCs w:val="24"/>
                <w:lang w:val="en-US" w:eastAsia="zh-CN" w:bidi="ar"/>
              </w:rPr>
              <w:t>文件要求</w:t>
            </w:r>
            <w:r>
              <w:rPr>
                <w:rFonts w:hint="default" w:ascii="Times New Roman" w:hAnsi="Times New Roman" w:eastAsia="宋体" w:cs="Times New Roman"/>
                <w:color w:val="auto"/>
                <w:kern w:val="0"/>
                <w:sz w:val="24"/>
                <w:szCs w:val="24"/>
                <w:lang w:val="en-US" w:eastAsia="zh-CN" w:bidi="ar"/>
              </w:rPr>
              <w:t>，实施重点攻坚行动，强化制度机制落实，补齐能力体系短板，全力推动空气质量持续改善。攻坚行动包括：</w:t>
            </w:r>
            <w:r>
              <w:rPr>
                <w:rFonts w:hint="eastAsia" w:ascii="Times New Roman" w:hAnsi="Times New Roman" w:eastAsia="宋体" w:cs="Times New Roman"/>
                <w:color w:val="auto"/>
                <w:kern w:val="0"/>
                <w:sz w:val="24"/>
                <w:szCs w:val="24"/>
                <w:lang w:val="en-US" w:eastAsia="zh-CN" w:bidi="ar"/>
              </w:rPr>
              <w:t>产业结构调整攻坚、清洁运输替代攻坚、能源绿色转型攻坚、工业深度清污攻坚、污染协同治理攻坚、面源精细管控攻坚、污染天气应对攻坚、监测监管提升攻坚等，不断改善区域大气环境质量。</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本次拟建项目炒灰上料、炒灰废气将采用密闭收集+耐高温高效覆膜袋式除尘器治理设施</w:t>
            </w:r>
            <w:r>
              <w:rPr>
                <w:rFonts w:hint="eastAsia" w:ascii="宋体" w:hAnsi="宋体" w:cs="宋体"/>
                <w:color w:val="auto"/>
                <w:kern w:val="2"/>
                <w:sz w:val="24"/>
                <w:szCs w:val="24"/>
                <w:lang w:val="en-US" w:eastAsia="zh-CN" w:bidi="ar"/>
              </w:rPr>
              <w:t>；危废间废</w:t>
            </w:r>
            <w:r>
              <w:rPr>
                <w:rFonts w:hint="default" w:ascii="Times New Roman" w:hAnsi="Times New Roman" w:cs="Times New Roman"/>
                <w:color w:val="auto"/>
                <w:kern w:val="2"/>
                <w:sz w:val="24"/>
                <w:szCs w:val="24"/>
                <w:lang w:val="en-US" w:eastAsia="zh-CN" w:bidi="ar"/>
              </w:rPr>
              <w:t>气依托原有</w:t>
            </w:r>
            <w:r>
              <w:rPr>
                <w:rFonts w:hint="eastAsia" w:cs="Times New Roman"/>
                <w:color w:val="auto"/>
                <w:kern w:val="2"/>
                <w:sz w:val="24"/>
                <w:szCs w:val="24"/>
                <w:lang w:val="en-US" w:eastAsia="zh-CN" w:bidi="ar"/>
              </w:rPr>
              <w:t>UV光氧+活性炭吸附一体机</w:t>
            </w:r>
            <w:r>
              <w:rPr>
                <w:rFonts w:hint="eastAsia" w:ascii="宋体" w:hAnsi="宋体" w:eastAsia="宋体" w:cs="宋体"/>
                <w:color w:val="auto"/>
                <w:kern w:val="2"/>
                <w:sz w:val="24"/>
                <w:szCs w:val="24"/>
                <w:lang w:val="en-US" w:eastAsia="zh-CN" w:bidi="ar"/>
              </w:rPr>
              <w:t>，可有效减少污染物排放，同时在区域内寻找污染物替代源，经采取以上措施后，不会降低项目周边环境空气质量。</w:t>
            </w:r>
          </w:p>
          <w:p>
            <w:pPr>
              <w:pStyle w:val="5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b/>
                <w:bCs/>
                <w:color w:val="auto"/>
                <w:sz w:val="24"/>
                <w:szCs w:val="24"/>
                <w:u w:val="none" w:color="auto"/>
              </w:rPr>
            </w:pPr>
            <w:r>
              <w:rPr>
                <w:rFonts w:hint="default" w:ascii="Times New Roman" w:hAnsi="Times New Roman" w:eastAsia="宋体" w:cs="Times New Roman"/>
                <w:b/>
                <w:bCs/>
                <w:color w:val="auto"/>
                <w:sz w:val="24"/>
                <w:szCs w:val="24"/>
                <w:u w:val="none" w:color="auto"/>
              </w:rPr>
              <w:t>2</w:t>
            </w:r>
            <w:r>
              <w:rPr>
                <w:rFonts w:hint="eastAsia" w:ascii="Times New Roman" w:hAnsi="Times New Roman" w:eastAsia="宋体" w:cs="Times New Roman"/>
                <w:b/>
                <w:bCs/>
                <w:color w:val="auto"/>
                <w:sz w:val="24"/>
                <w:szCs w:val="24"/>
                <w:u w:val="none" w:color="auto"/>
                <w:lang w:val="en-US" w:eastAsia="zh-CN"/>
              </w:rPr>
              <w:t>.</w:t>
            </w:r>
            <w:r>
              <w:rPr>
                <w:rFonts w:hint="default" w:ascii="Times New Roman" w:hAnsi="Times New Roman" w:eastAsia="宋体" w:cs="Times New Roman"/>
                <w:b/>
                <w:bCs/>
                <w:color w:val="auto"/>
                <w:sz w:val="24"/>
                <w:szCs w:val="24"/>
                <w:u w:val="none" w:color="auto"/>
              </w:rPr>
              <w:t>地表水环境</w:t>
            </w:r>
          </w:p>
          <w:p>
            <w:pPr>
              <w:keepNext w:val="0"/>
              <w:keepLines w:val="0"/>
              <w:pageBreakBefore w:val="0"/>
              <w:suppressLineNumbers w:val="0"/>
              <w:kinsoku/>
              <w:wordWrap/>
              <w:overflowPunct/>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szCs w:val="24"/>
                <w:u w:val="single"/>
              </w:rPr>
            </w:pPr>
            <w:r>
              <w:rPr>
                <w:rFonts w:hint="eastAsia" w:ascii="Times New Roman" w:hAnsi="Times New Roman" w:cs="Times New Roman"/>
                <w:color w:val="auto"/>
                <w:sz w:val="24"/>
                <w:szCs w:val="24"/>
              </w:rPr>
              <w:t>本项目最近的地表水为</w:t>
            </w:r>
            <w:r>
              <w:rPr>
                <w:rFonts w:hint="eastAsia" w:ascii="Times New Roman" w:hAnsi="Times New Roman" w:cs="Times New Roman"/>
                <w:color w:val="auto"/>
                <w:sz w:val="24"/>
                <w:szCs w:val="24"/>
                <w:lang w:eastAsia="zh-CN"/>
              </w:rPr>
              <w:t>厂址南侧</w:t>
            </w:r>
            <w:r>
              <w:rPr>
                <w:rFonts w:hint="eastAsia" w:ascii="Times New Roman" w:hAnsi="Times New Roman" w:cs="Times New Roman"/>
                <w:color w:val="auto"/>
                <w:sz w:val="24"/>
                <w:szCs w:val="24"/>
                <w:lang w:val="en-US" w:eastAsia="zh-CN"/>
              </w:rPr>
              <w:t>1200m的汾河</w:t>
            </w:r>
            <w:r>
              <w:rPr>
                <w:rFonts w:hint="eastAsia" w:ascii="Times New Roman" w:hAnsi="Times New Roman" w:cs="Times New Roman"/>
                <w:color w:val="auto"/>
                <w:sz w:val="24"/>
                <w:szCs w:val="24"/>
              </w:rPr>
              <w:t>，</w:t>
            </w:r>
            <w:r>
              <w:rPr>
                <w:rFonts w:hint="eastAsia" w:ascii="Times New Roman" w:hAnsi="Times New Roman" w:cs="Times New Roman"/>
                <w:color w:val="auto"/>
                <w:sz w:val="24"/>
                <w:szCs w:val="24"/>
                <w:lang w:eastAsia="zh-CN"/>
              </w:rPr>
              <w:t>向东在南阳村汇入</w:t>
            </w:r>
            <w:r>
              <w:rPr>
                <w:rFonts w:hint="eastAsia" w:ascii="Times New Roman" w:hAnsi="Times New Roman" w:cs="Times New Roman"/>
                <w:color w:val="auto"/>
                <w:sz w:val="24"/>
                <w:szCs w:val="24"/>
              </w:rPr>
              <w:t>永通河</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rPr>
              <w:t>永通河在下游汇入汤河。根据</w:t>
            </w:r>
            <w:r>
              <w:rPr>
                <w:rFonts w:hint="eastAsia" w:ascii="Times New Roman" w:hAnsi="Times New Roman" w:cs="Times New Roman"/>
                <w:color w:val="auto"/>
                <w:sz w:val="24"/>
                <w:szCs w:val="24"/>
                <w:lang w:eastAsia="zh-CN"/>
              </w:rPr>
              <w:t>《</w:t>
            </w:r>
            <w:r>
              <w:rPr>
                <w:rFonts w:hint="eastAsia" w:cs="Times New Roman"/>
                <w:color w:val="auto"/>
                <w:sz w:val="24"/>
                <w:szCs w:val="24"/>
                <w:lang w:eastAsia="zh-CN"/>
              </w:rPr>
              <w:t>安阳市2025年碧水保卫战实施方案</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rPr>
              <w:t>，汤河石辛庄断面目标为</w:t>
            </w:r>
            <w:r>
              <w:rPr>
                <w:rFonts w:hint="default" w:ascii="Times New Roman" w:hAnsi="Times New Roman" w:cs="Times New Roman"/>
                <w:color w:val="auto"/>
                <w:sz w:val="24"/>
                <w:szCs w:val="24"/>
              </w:rPr>
              <w:t>V</w:t>
            </w:r>
            <w:r>
              <w:rPr>
                <w:rFonts w:hint="eastAsia" w:ascii="Times New Roman" w:hAnsi="Times New Roman" w:cs="Times New Roman"/>
                <w:color w:val="auto"/>
                <w:sz w:val="24"/>
                <w:szCs w:val="24"/>
              </w:rPr>
              <w:t>类。</w:t>
            </w:r>
            <w:r>
              <w:rPr>
                <w:rFonts w:hint="eastAsia" w:ascii="Times New Roman" w:hAnsi="Times New Roman" w:cs="Times New Roman"/>
                <w:color w:val="auto"/>
                <w:sz w:val="24"/>
                <w:szCs w:val="24"/>
                <w:u w:val="none"/>
              </w:rPr>
              <w:t>根据安阳市地表水汤河石辛庄市控县界断面2023年1周-53周的常规监测数据，</w:t>
            </w:r>
            <w:r>
              <w:rPr>
                <w:rFonts w:hint="default" w:ascii="Times New Roman" w:hAnsi="Times New Roman" w:cs="Times New Roman"/>
                <w:color w:val="auto"/>
                <w:sz w:val="24"/>
                <w:szCs w:val="24"/>
                <w:u w:val="none"/>
              </w:rPr>
              <w:t>统计结果见下表。</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val="0"/>
                <w:bCs/>
                <w:color w:val="auto"/>
                <w:sz w:val="24"/>
                <w:szCs w:val="24"/>
                <w:u w:val="none"/>
              </w:rPr>
            </w:pPr>
            <w:r>
              <w:rPr>
                <w:rFonts w:hint="eastAsia" w:ascii="Times New Roman" w:hAnsi="Times New Roman" w:cs="Times New Roman"/>
                <w:b/>
                <w:bCs w:val="0"/>
                <w:color w:val="auto"/>
                <w:sz w:val="24"/>
                <w:szCs w:val="24"/>
                <w:u w:val="none"/>
              </w:rPr>
              <w:t>汤河石辛庄断面水质监测数据一览表    单位：mg/L</w:t>
            </w:r>
          </w:p>
          <w:tbl>
            <w:tblPr>
              <w:tblStyle w:val="27"/>
              <w:tblW w:w="8386" w:type="dxa"/>
              <w:jc w:val="center"/>
              <w:tblInd w:w="0" w:type="dxa"/>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2496"/>
              <w:gridCol w:w="1295"/>
              <w:gridCol w:w="1419"/>
              <w:gridCol w:w="1241"/>
              <w:gridCol w:w="1935"/>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71" w:hRule="atLeast"/>
                <w:jc w:val="center"/>
              </w:trPr>
              <w:tc>
                <w:tcPr>
                  <w:tcW w:w="2496"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bCs/>
                      <w:color w:val="auto"/>
                      <w:sz w:val="21"/>
                      <w:szCs w:val="21"/>
                      <w:u w:val="none"/>
                    </w:rPr>
                  </w:pPr>
                  <w:r>
                    <w:rPr>
                      <w:rFonts w:hint="default" w:ascii="Times New Roman" w:hAnsi="Times New Roman" w:cs="Times New Roman"/>
                      <w:b/>
                      <w:bCs/>
                      <w:color w:val="auto"/>
                      <w:sz w:val="21"/>
                      <w:szCs w:val="21"/>
                      <w:u w:val="none"/>
                    </w:rPr>
                    <w:t>时间</w:t>
                  </w:r>
                </w:p>
              </w:tc>
              <w:tc>
                <w:tcPr>
                  <w:tcW w:w="1295"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bCs/>
                      <w:color w:val="auto"/>
                      <w:sz w:val="21"/>
                      <w:szCs w:val="21"/>
                      <w:u w:val="none"/>
                    </w:rPr>
                  </w:pPr>
                  <w:r>
                    <w:rPr>
                      <w:rFonts w:hint="default" w:ascii="Times New Roman" w:hAnsi="Times New Roman" w:cs="Times New Roman"/>
                      <w:b/>
                      <w:bCs/>
                      <w:color w:val="auto"/>
                      <w:sz w:val="21"/>
                      <w:szCs w:val="21"/>
                      <w:u w:val="none"/>
                    </w:rPr>
                    <w:t>COD</w:t>
                  </w:r>
                </w:p>
              </w:tc>
              <w:tc>
                <w:tcPr>
                  <w:tcW w:w="1419"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bCs/>
                      <w:color w:val="auto"/>
                      <w:sz w:val="21"/>
                      <w:szCs w:val="21"/>
                      <w:u w:val="none"/>
                    </w:rPr>
                  </w:pPr>
                  <w:r>
                    <w:rPr>
                      <w:rFonts w:hint="default" w:ascii="Times New Roman" w:hAnsi="Times New Roman" w:cs="Times New Roman"/>
                      <w:b/>
                      <w:bCs/>
                      <w:color w:val="auto"/>
                      <w:sz w:val="21"/>
                      <w:szCs w:val="21"/>
                      <w:u w:val="none"/>
                    </w:rPr>
                    <w:t>氨氮</w:t>
                  </w:r>
                </w:p>
              </w:tc>
              <w:tc>
                <w:tcPr>
                  <w:tcW w:w="1241"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bCs/>
                      <w:color w:val="auto"/>
                      <w:sz w:val="21"/>
                      <w:szCs w:val="21"/>
                      <w:u w:val="none"/>
                    </w:rPr>
                  </w:pPr>
                  <w:r>
                    <w:rPr>
                      <w:rFonts w:hint="default" w:ascii="Times New Roman" w:hAnsi="Times New Roman" w:cs="Times New Roman"/>
                      <w:b/>
                      <w:bCs/>
                      <w:color w:val="auto"/>
                      <w:sz w:val="21"/>
                      <w:szCs w:val="21"/>
                      <w:u w:val="none"/>
                    </w:rPr>
                    <w:t>总磷</w:t>
                  </w:r>
                </w:p>
              </w:tc>
              <w:tc>
                <w:tcPr>
                  <w:tcW w:w="1935"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bCs/>
                      <w:color w:val="auto"/>
                      <w:sz w:val="21"/>
                      <w:szCs w:val="21"/>
                      <w:u w:val="none"/>
                    </w:rPr>
                  </w:pPr>
                  <w:r>
                    <w:rPr>
                      <w:rFonts w:hint="default" w:ascii="Times New Roman" w:hAnsi="Times New Roman" w:cs="Times New Roman"/>
                      <w:b/>
                      <w:bCs/>
                      <w:color w:val="auto"/>
                      <w:sz w:val="21"/>
                      <w:szCs w:val="21"/>
                      <w:u w:val="none"/>
                    </w:rPr>
                    <w:t>高锰酸盐指数</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03" w:hRule="atLeast"/>
                <w:jc w:val="center"/>
              </w:trPr>
              <w:tc>
                <w:tcPr>
                  <w:tcW w:w="2496"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年1周</w:t>
                  </w:r>
                </w:p>
              </w:tc>
              <w:tc>
                <w:tcPr>
                  <w:tcW w:w="1295"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25.7</w:t>
                  </w:r>
                </w:p>
              </w:tc>
              <w:tc>
                <w:tcPr>
                  <w:tcW w:w="1419"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3.75</w:t>
                  </w:r>
                </w:p>
              </w:tc>
              <w:tc>
                <w:tcPr>
                  <w:tcW w:w="1241"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0.4</w:t>
                  </w:r>
                </w:p>
              </w:tc>
              <w:tc>
                <w:tcPr>
                  <w:tcW w:w="1935"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9.1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03" w:hRule="atLeast"/>
                <w:jc w:val="center"/>
              </w:trPr>
              <w:tc>
                <w:tcPr>
                  <w:tcW w:w="2496"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年2周</w:t>
                  </w:r>
                </w:p>
              </w:tc>
              <w:tc>
                <w:tcPr>
                  <w:tcW w:w="1295"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kern w:val="2"/>
                      <w:sz w:val="21"/>
                      <w:szCs w:val="21"/>
                      <w:u w:val="none"/>
                      <w:lang w:val="en-US" w:eastAsia="zh-CN" w:bidi="ar-SA"/>
                    </w:rPr>
                  </w:pPr>
                  <w:r>
                    <w:rPr>
                      <w:rFonts w:hint="eastAsia" w:ascii="Times New Roman" w:hAnsi="Times New Roman" w:eastAsia="宋体" w:cs="Times New Roman"/>
                      <w:b w:val="0"/>
                      <w:bCs w:val="0"/>
                      <w:color w:val="auto"/>
                      <w:sz w:val="21"/>
                      <w:szCs w:val="21"/>
                      <w:u w:val="none"/>
                      <w:lang w:val="en-US" w:eastAsia="zh-CN"/>
                    </w:rPr>
                    <w:t>28.7</w:t>
                  </w:r>
                </w:p>
              </w:tc>
              <w:tc>
                <w:tcPr>
                  <w:tcW w:w="1419"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kern w:val="2"/>
                      <w:sz w:val="21"/>
                      <w:szCs w:val="21"/>
                      <w:u w:val="none"/>
                      <w:lang w:val="en-US" w:eastAsia="zh-CN" w:bidi="ar-SA"/>
                    </w:rPr>
                  </w:pPr>
                  <w:r>
                    <w:rPr>
                      <w:rFonts w:hint="eastAsia" w:ascii="Times New Roman" w:hAnsi="Times New Roman" w:eastAsia="宋体" w:cs="Times New Roman"/>
                      <w:b w:val="0"/>
                      <w:bCs w:val="0"/>
                      <w:color w:val="auto"/>
                      <w:sz w:val="21"/>
                      <w:szCs w:val="21"/>
                      <w:u w:val="none"/>
                      <w:lang w:val="en-US" w:eastAsia="zh-CN"/>
                    </w:rPr>
                    <w:t>5.02</w:t>
                  </w:r>
                </w:p>
              </w:tc>
              <w:tc>
                <w:tcPr>
                  <w:tcW w:w="1241"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kern w:val="2"/>
                      <w:sz w:val="21"/>
                      <w:szCs w:val="21"/>
                      <w:u w:val="none"/>
                      <w:lang w:val="en-US" w:eastAsia="zh-CN" w:bidi="ar-SA"/>
                    </w:rPr>
                  </w:pPr>
                  <w:r>
                    <w:rPr>
                      <w:rFonts w:hint="eastAsia" w:ascii="Times New Roman" w:hAnsi="Times New Roman" w:eastAsia="宋体" w:cs="Times New Roman"/>
                      <w:b w:val="0"/>
                      <w:bCs w:val="0"/>
                      <w:color w:val="auto"/>
                      <w:sz w:val="21"/>
                      <w:szCs w:val="21"/>
                      <w:u w:val="none"/>
                      <w:lang w:val="en-US" w:eastAsia="zh-CN"/>
                    </w:rPr>
                    <w:t>0.578</w:t>
                  </w:r>
                </w:p>
              </w:tc>
              <w:tc>
                <w:tcPr>
                  <w:tcW w:w="1935"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kern w:val="2"/>
                      <w:sz w:val="21"/>
                      <w:szCs w:val="21"/>
                      <w:u w:val="none"/>
                      <w:lang w:val="en-US" w:eastAsia="zh-CN" w:bidi="ar-SA"/>
                    </w:rPr>
                  </w:pPr>
                  <w:r>
                    <w:rPr>
                      <w:rFonts w:hint="eastAsia" w:ascii="Times New Roman" w:hAnsi="Times New Roman" w:eastAsia="宋体" w:cs="Times New Roman"/>
                      <w:b w:val="0"/>
                      <w:bCs w:val="0"/>
                      <w:color w:val="auto"/>
                      <w:sz w:val="21"/>
                      <w:szCs w:val="21"/>
                      <w:u w:val="none"/>
                      <w:lang w:val="en-US" w:eastAsia="zh-CN"/>
                    </w:rPr>
                    <w:t>10.8</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19" w:hRule="atLeast"/>
                <w:jc w:val="center"/>
              </w:trPr>
              <w:tc>
                <w:tcPr>
                  <w:tcW w:w="2496"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年3周</w:t>
                  </w:r>
                </w:p>
              </w:tc>
              <w:tc>
                <w:tcPr>
                  <w:tcW w:w="1295"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28.7</w:t>
                  </w:r>
                </w:p>
              </w:tc>
              <w:tc>
                <w:tcPr>
                  <w:tcW w:w="1419"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5.02</w:t>
                  </w:r>
                </w:p>
              </w:tc>
              <w:tc>
                <w:tcPr>
                  <w:tcW w:w="1241"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0.578</w:t>
                  </w:r>
                </w:p>
              </w:tc>
              <w:tc>
                <w:tcPr>
                  <w:tcW w:w="1935"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10.8</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03" w:hRule="atLeast"/>
                <w:jc w:val="center"/>
              </w:trPr>
              <w:tc>
                <w:tcPr>
                  <w:tcW w:w="2496"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年4周</w:t>
                  </w:r>
                </w:p>
              </w:tc>
              <w:tc>
                <w:tcPr>
                  <w:tcW w:w="1295"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33.7</w:t>
                  </w:r>
                </w:p>
              </w:tc>
              <w:tc>
                <w:tcPr>
                  <w:tcW w:w="1419"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5.88</w:t>
                  </w:r>
                </w:p>
              </w:tc>
              <w:tc>
                <w:tcPr>
                  <w:tcW w:w="1241"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0.67</w:t>
                  </w:r>
                </w:p>
              </w:tc>
              <w:tc>
                <w:tcPr>
                  <w:tcW w:w="1935"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11.2</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03" w:hRule="atLeast"/>
                <w:jc w:val="center"/>
              </w:trPr>
              <w:tc>
                <w:tcPr>
                  <w:tcW w:w="2496"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年5周</w:t>
                  </w:r>
                </w:p>
              </w:tc>
              <w:tc>
                <w:tcPr>
                  <w:tcW w:w="1295"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22.0</w:t>
                  </w:r>
                </w:p>
              </w:tc>
              <w:tc>
                <w:tcPr>
                  <w:tcW w:w="1419"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3.11</w:t>
                  </w:r>
                </w:p>
              </w:tc>
              <w:tc>
                <w:tcPr>
                  <w:tcW w:w="1241"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0.416</w:t>
                  </w:r>
                </w:p>
              </w:tc>
              <w:tc>
                <w:tcPr>
                  <w:tcW w:w="1935"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7.3</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03" w:hRule="atLeast"/>
                <w:jc w:val="center"/>
              </w:trPr>
              <w:tc>
                <w:tcPr>
                  <w:tcW w:w="2496"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年6周</w:t>
                  </w:r>
                </w:p>
              </w:tc>
              <w:tc>
                <w:tcPr>
                  <w:tcW w:w="1295"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22.2</w:t>
                  </w:r>
                </w:p>
              </w:tc>
              <w:tc>
                <w:tcPr>
                  <w:tcW w:w="1419"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3.05</w:t>
                  </w:r>
                </w:p>
              </w:tc>
              <w:tc>
                <w:tcPr>
                  <w:tcW w:w="1241"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0.422</w:t>
                  </w:r>
                </w:p>
              </w:tc>
              <w:tc>
                <w:tcPr>
                  <w:tcW w:w="1935"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8.0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03" w:hRule="atLeast"/>
                <w:jc w:val="center"/>
              </w:trPr>
              <w:tc>
                <w:tcPr>
                  <w:tcW w:w="2496"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年7周</w:t>
                  </w:r>
                </w:p>
              </w:tc>
              <w:tc>
                <w:tcPr>
                  <w:tcW w:w="1295"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25.7</w:t>
                  </w:r>
                </w:p>
              </w:tc>
              <w:tc>
                <w:tcPr>
                  <w:tcW w:w="1419"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4.14</w:t>
                  </w:r>
                </w:p>
              </w:tc>
              <w:tc>
                <w:tcPr>
                  <w:tcW w:w="1241"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0.506</w:t>
                  </w:r>
                </w:p>
              </w:tc>
              <w:tc>
                <w:tcPr>
                  <w:tcW w:w="1935"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10.9</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03" w:hRule="atLeast"/>
                <w:jc w:val="center"/>
              </w:trPr>
              <w:tc>
                <w:tcPr>
                  <w:tcW w:w="2496"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年8周</w:t>
                  </w:r>
                </w:p>
              </w:tc>
              <w:tc>
                <w:tcPr>
                  <w:tcW w:w="1295"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15.1</w:t>
                  </w:r>
                </w:p>
              </w:tc>
              <w:tc>
                <w:tcPr>
                  <w:tcW w:w="1419"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2.54</w:t>
                  </w:r>
                </w:p>
              </w:tc>
              <w:tc>
                <w:tcPr>
                  <w:tcW w:w="1241"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0.358</w:t>
                  </w:r>
                </w:p>
              </w:tc>
              <w:tc>
                <w:tcPr>
                  <w:tcW w:w="1935"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8.1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03" w:hRule="atLeast"/>
                <w:jc w:val="center"/>
              </w:trPr>
              <w:tc>
                <w:tcPr>
                  <w:tcW w:w="2496"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年9周</w:t>
                  </w:r>
                </w:p>
              </w:tc>
              <w:tc>
                <w:tcPr>
                  <w:tcW w:w="1295"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16.8</w:t>
                  </w:r>
                </w:p>
              </w:tc>
              <w:tc>
                <w:tcPr>
                  <w:tcW w:w="1419"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2.48</w:t>
                  </w:r>
                </w:p>
              </w:tc>
              <w:tc>
                <w:tcPr>
                  <w:tcW w:w="1241"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0.263</w:t>
                  </w:r>
                </w:p>
              </w:tc>
              <w:tc>
                <w:tcPr>
                  <w:tcW w:w="1935"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7.2</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03" w:hRule="atLeast"/>
                <w:jc w:val="center"/>
              </w:trPr>
              <w:tc>
                <w:tcPr>
                  <w:tcW w:w="2496"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年10周</w:t>
                  </w:r>
                </w:p>
              </w:tc>
              <w:tc>
                <w:tcPr>
                  <w:tcW w:w="129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21.5</w:t>
                  </w:r>
                </w:p>
              </w:tc>
              <w:tc>
                <w:tcPr>
                  <w:tcW w:w="1419"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2.87</w:t>
                  </w:r>
                </w:p>
              </w:tc>
              <w:tc>
                <w:tcPr>
                  <w:tcW w:w="1241"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0.325</w:t>
                  </w:r>
                </w:p>
              </w:tc>
              <w:tc>
                <w:tcPr>
                  <w:tcW w:w="193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10.4</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18" w:hRule="atLeast"/>
                <w:jc w:val="center"/>
              </w:trPr>
              <w:tc>
                <w:tcPr>
                  <w:tcW w:w="2496"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年11周</w:t>
                  </w:r>
                </w:p>
              </w:tc>
              <w:tc>
                <w:tcPr>
                  <w:tcW w:w="129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32.8</w:t>
                  </w:r>
                </w:p>
              </w:tc>
              <w:tc>
                <w:tcPr>
                  <w:tcW w:w="1419"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1.85</w:t>
                  </w:r>
                </w:p>
              </w:tc>
              <w:tc>
                <w:tcPr>
                  <w:tcW w:w="1241"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0.358</w:t>
                  </w:r>
                </w:p>
              </w:tc>
              <w:tc>
                <w:tcPr>
                  <w:tcW w:w="193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13.0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03" w:hRule="atLeast"/>
                <w:jc w:val="center"/>
              </w:trPr>
              <w:tc>
                <w:tcPr>
                  <w:tcW w:w="2496"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年12周</w:t>
                  </w:r>
                </w:p>
              </w:tc>
              <w:tc>
                <w:tcPr>
                  <w:tcW w:w="129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19.9</w:t>
                  </w:r>
                </w:p>
              </w:tc>
              <w:tc>
                <w:tcPr>
                  <w:tcW w:w="1419"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0.804</w:t>
                  </w:r>
                </w:p>
              </w:tc>
              <w:tc>
                <w:tcPr>
                  <w:tcW w:w="1241"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0.253</w:t>
                  </w:r>
                </w:p>
              </w:tc>
              <w:tc>
                <w:tcPr>
                  <w:tcW w:w="193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7.3</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03" w:hRule="atLeast"/>
                <w:jc w:val="center"/>
              </w:trPr>
              <w:tc>
                <w:tcPr>
                  <w:tcW w:w="2496"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年13周</w:t>
                  </w:r>
                </w:p>
              </w:tc>
              <w:tc>
                <w:tcPr>
                  <w:tcW w:w="129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40.8</w:t>
                  </w:r>
                </w:p>
              </w:tc>
              <w:tc>
                <w:tcPr>
                  <w:tcW w:w="1419"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0.728</w:t>
                  </w:r>
                </w:p>
              </w:tc>
              <w:tc>
                <w:tcPr>
                  <w:tcW w:w="1241"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0.251</w:t>
                  </w:r>
                </w:p>
              </w:tc>
              <w:tc>
                <w:tcPr>
                  <w:tcW w:w="193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12.3</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03" w:hRule="atLeast"/>
                <w:jc w:val="center"/>
              </w:trPr>
              <w:tc>
                <w:tcPr>
                  <w:tcW w:w="2496"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eastAsia" w:ascii="Times New Roman" w:hAnsi="Times New Roman" w:cs="Times New Roman"/>
                      <w:b w:val="0"/>
                      <w:bCs w:val="0"/>
                      <w:color w:val="auto"/>
                      <w:sz w:val="21"/>
                      <w:szCs w:val="21"/>
                      <w:u w:val="none"/>
                    </w:rPr>
                    <w:t>2023年1</w:t>
                  </w:r>
                  <w:r>
                    <w:rPr>
                      <w:rFonts w:hint="eastAsia" w:ascii="Times New Roman" w:hAnsi="Times New Roman" w:cs="Times New Roman"/>
                      <w:b w:val="0"/>
                      <w:bCs w:val="0"/>
                      <w:color w:val="auto"/>
                      <w:sz w:val="21"/>
                      <w:szCs w:val="21"/>
                      <w:u w:val="none"/>
                      <w:lang w:val="en-US" w:eastAsia="zh-CN"/>
                    </w:rPr>
                    <w:t>4</w:t>
                  </w:r>
                  <w:r>
                    <w:rPr>
                      <w:rFonts w:hint="eastAsia" w:ascii="Times New Roman" w:hAnsi="Times New Roman" w:cs="Times New Roman"/>
                      <w:b w:val="0"/>
                      <w:bCs w:val="0"/>
                      <w:color w:val="auto"/>
                      <w:sz w:val="21"/>
                      <w:szCs w:val="21"/>
                      <w:u w:val="none"/>
                    </w:rPr>
                    <w:t>周</w:t>
                  </w:r>
                </w:p>
              </w:tc>
              <w:tc>
                <w:tcPr>
                  <w:tcW w:w="129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w:t>
                  </w:r>
                </w:p>
              </w:tc>
              <w:tc>
                <w:tcPr>
                  <w:tcW w:w="1419"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w:t>
                  </w:r>
                </w:p>
              </w:tc>
              <w:tc>
                <w:tcPr>
                  <w:tcW w:w="1241"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w:t>
                  </w:r>
                </w:p>
              </w:tc>
              <w:tc>
                <w:tcPr>
                  <w:tcW w:w="193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03" w:hRule="atLeast"/>
                <w:jc w:val="center"/>
              </w:trPr>
              <w:tc>
                <w:tcPr>
                  <w:tcW w:w="2496"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年15周</w:t>
                  </w:r>
                </w:p>
              </w:tc>
              <w:tc>
                <w:tcPr>
                  <w:tcW w:w="129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50.6</w:t>
                  </w:r>
                </w:p>
              </w:tc>
              <w:tc>
                <w:tcPr>
                  <w:tcW w:w="1419"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3.60</w:t>
                  </w:r>
                </w:p>
              </w:tc>
              <w:tc>
                <w:tcPr>
                  <w:tcW w:w="1241"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0.684</w:t>
                  </w:r>
                </w:p>
              </w:tc>
              <w:tc>
                <w:tcPr>
                  <w:tcW w:w="193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11.1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03" w:hRule="atLeast"/>
                <w:jc w:val="center"/>
              </w:trPr>
              <w:tc>
                <w:tcPr>
                  <w:tcW w:w="2496"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年16周</w:t>
                  </w:r>
                </w:p>
              </w:tc>
              <w:tc>
                <w:tcPr>
                  <w:tcW w:w="129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36.6</w:t>
                  </w:r>
                </w:p>
              </w:tc>
              <w:tc>
                <w:tcPr>
                  <w:tcW w:w="1419"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1.34</w:t>
                  </w:r>
                </w:p>
              </w:tc>
              <w:tc>
                <w:tcPr>
                  <w:tcW w:w="1241"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0.343</w:t>
                  </w:r>
                </w:p>
              </w:tc>
              <w:tc>
                <w:tcPr>
                  <w:tcW w:w="193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11.2</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03" w:hRule="atLeast"/>
                <w:jc w:val="center"/>
              </w:trPr>
              <w:tc>
                <w:tcPr>
                  <w:tcW w:w="2496"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年17周</w:t>
                  </w:r>
                </w:p>
              </w:tc>
              <w:tc>
                <w:tcPr>
                  <w:tcW w:w="129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34.7</w:t>
                  </w:r>
                </w:p>
              </w:tc>
              <w:tc>
                <w:tcPr>
                  <w:tcW w:w="1419"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0.63</w:t>
                  </w:r>
                </w:p>
              </w:tc>
              <w:tc>
                <w:tcPr>
                  <w:tcW w:w="1241"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0.198</w:t>
                  </w:r>
                </w:p>
              </w:tc>
              <w:tc>
                <w:tcPr>
                  <w:tcW w:w="193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11.5</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03" w:hRule="atLeast"/>
                <w:jc w:val="center"/>
              </w:trPr>
              <w:tc>
                <w:tcPr>
                  <w:tcW w:w="2496"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年18周</w:t>
                  </w:r>
                </w:p>
              </w:tc>
              <w:tc>
                <w:tcPr>
                  <w:tcW w:w="129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36.8</w:t>
                  </w:r>
                </w:p>
              </w:tc>
              <w:tc>
                <w:tcPr>
                  <w:tcW w:w="1419"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3.13</w:t>
                  </w:r>
                </w:p>
              </w:tc>
              <w:tc>
                <w:tcPr>
                  <w:tcW w:w="1241"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0.53</w:t>
                  </w:r>
                </w:p>
              </w:tc>
              <w:tc>
                <w:tcPr>
                  <w:tcW w:w="193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9.9</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03" w:hRule="atLeast"/>
                <w:jc w:val="center"/>
              </w:trPr>
              <w:tc>
                <w:tcPr>
                  <w:tcW w:w="2496"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年19周</w:t>
                  </w:r>
                </w:p>
              </w:tc>
              <w:tc>
                <w:tcPr>
                  <w:tcW w:w="129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33.6</w:t>
                  </w:r>
                </w:p>
              </w:tc>
              <w:tc>
                <w:tcPr>
                  <w:tcW w:w="1419"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1.24</w:t>
                  </w:r>
                </w:p>
              </w:tc>
              <w:tc>
                <w:tcPr>
                  <w:tcW w:w="1241"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0.358</w:t>
                  </w:r>
                </w:p>
              </w:tc>
              <w:tc>
                <w:tcPr>
                  <w:tcW w:w="193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9.0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03" w:hRule="atLeast"/>
                <w:jc w:val="center"/>
              </w:trPr>
              <w:tc>
                <w:tcPr>
                  <w:tcW w:w="2496"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年20周</w:t>
                  </w:r>
                </w:p>
              </w:tc>
              <w:tc>
                <w:tcPr>
                  <w:tcW w:w="129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top"/>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28.7</w:t>
                  </w:r>
                </w:p>
              </w:tc>
              <w:tc>
                <w:tcPr>
                  <w:tcW w:w="1419"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top"/>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0.53</w:t>
                  </w:r>
                </w:p>
              </w:tc>
              <w:tc>
                <w:tcPr>
                  <w:tcW w:w="1241"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top"/>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0.213</w:t>
                  </w:r>
                </w:p>
              </w:tc>
              <w:tc>
                <w:tcPr>
                  <w:tcW w:w="193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top"/>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10.3</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03" w:hRule="atLeast"/>
                <w:jc w:val="center"/>
              </w:trPr>
              <w:tc>
                <w:tcPr>
                  <w:tcW w:w="2496"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年21周</w:t>
                  </w:r>
                </w:p>
              </w:tc>
              <w:tc>
                <w:tcPr>
                  <w:tcW w:w="129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19.9</w:t>
                  </w:r>
                </w:p>
              </w:tc>
              <w:tc>
                <w:tcPr>
                  <w:tcW w:w="1419"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1.19</w:t>
                  </w:r>
                </w:p>
              </w:tc>
              <w:tc>
                <w:tcPr>
                  <w:tcW w:w="1241"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0.502</w:t>
                  </w:r>
                </w:p>
              </w:tc>
              <w:tc>
                <w:tcPr>
                  <w:tcW w:w="193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9.3</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03" w:hRule="atLeast"/>
                <w:jc w:val="center"/>
              </w:trPr>
              <w:tc>
                <w:tcPr>
                  <w:tcW w:w="2496"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年22周</w:t>
                  </w:r>
                </w:p>
              </w:tc>
              <w:tc>
                <w:tcPr>
                  <w:tcW w:w="129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36.2</w:t>
                  </w:r>
                </w:p>
              </w:tc>
              <w:tc>
                <w:tcPr>
                  <w:tcW w:w="1419"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3.09</w:t>
                  </w:r>
                </w:p>
              </w:tc>
              <w:tc>
                <w:tcPr>
                  <w:tcW w:w="1241"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0.769</w:t>
                  </w:r>
                </w:p>
              </w:tc>
              <w:tc>
                <w:tcPr>
                  <w:tcW w:w="193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10.5</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03" w:hRule="atLeast"/>
                <w:jc w:val="center"/>
              </w:trPr>
              <w:tc>
                <w:tcPr>
                  <w:tcW w:w="2496"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年23周</w:t>
                  </w:r>
                </w:p>
              </w:tc>
              <w:tc>
                <w:tcPr>
                  <w:tcW w:w="129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34.0</w:t>
                  </w:r>
                </w:p>
              </w:tc>
              <w:tc>
                <w:tcPr>
                  <w:tcW w:w="1419"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1.54</w:t>
                  </w:r>
                </w:p>
              </w:tc>
              <w:tc>
                <w:tcPr>
                  <w:tcW w:w="1241"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0.409</w:t>
                  </w:r>
                </w:p>
              </w:tc>
              <w:tc>
                <w:tcPr>
                  <w:tcW w:w="193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7.5</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03" w:hRule="atLeast"/>
                <w:jc w:val="center"/>
              </w:trPr>
              <w:tc>
                <w:tcPr>
                  <w:tcW w:w="2496"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年24周</w:t>
                  </w:r>
                </w:p>
              </w:tc>
              <w:tc>
                <w:tcPr>
                  <w:tcW w:w="129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24.6</w:t>
                  </w:r>
                </w:p>
              </w:tc>
              <w:tc>
                <w:tcPr>
                  <w:tcW w:w="1419"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0.03</w:t>
                  </w:r>
                </w:p>
              </w:tc>
              <w:tc>
                <w:tcPr>
                  <w:tcW w:w="1241"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0.148</w:t>
                  </w:r>
                </w:p>
              </w:tc>
              <w:tc>
                <w:tcPr>
                  <w:tcW w:w="193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7.4</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03" w:hRule="atLeast"/>
                <w:jc w:val="center"/>
              </w:trPr>
              <w:tc>
                <w:tcPr>
                  <w:tcW w:w="2496"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年25周</w:t>
                  </w:r>
                </w:p>
              </w:tc>
              <w:tc>
                <w:tcPr>
                  <w:tcW w:w="129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26.7</w:t>
                  </w:r>
                </w:p>
              </w:tc>
              <w:tc>
                <w:tcPr>
                  <w:tcW w:w="1419"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0.028</w:t>
                  </w:r>
                </w:p>
              </w:tc>
              <w:tc>
                <w:tcPr>
                  <w:tcW w:w="1241"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0.151</w:t>
                  </w:r>
                </w:p>
              </w:tc>
              <w:tc>
                <w:tcPr>
                  <w:tcW w:w="193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8.4</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03" w:hRule="atLeast"/>
                <w:jc w:val="center"/>
              </w:trPr>
              <w:tc>
                <w:tcPr>
                  <w:tcW w:w="2496"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年26周</w:t>
                  </w:r>
                </w:p>
              </w:tc>
              <w:tc>
                <w:tcPr>
                  <w:tcW w:w="129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36.4</w:t>
                  </w:r>
                </w:p>
              </w:tc>
              <w:tc>
                <w:tcPr>
                  <w:tcW w:w="1419"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0.048</w:t>
                  </w:r>
                </w:p>
              </w:tc>
              <w:tc>
                <w:tcPr>
                  <w:tcW w:w="1241"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0.238</w:t>
                  </w:r>
                </w:p>
              </w:tc>
              <w:tc>
                <w:tcPr>
                  <w:tcW w:w="193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9.2</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03" w:hRule="atLeast"/>
                <w:jc w:val="center"/>
              </w:trPr>
              <w:tc>
                <w:tcPr>
                  <w:tcW w:w="2496"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年27周</w:t>
                  </w:r>
                </w:p>
              </w:tc>
              <w:tc>
                <w:tcPr>
                  <w:tcW w:w="129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52.5</w:t>
                  </w:r>
                </w:p>
              </w:tc>
              <w:tc>
                <w:tcPr>
                  <w:tcW w:w="1419"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0.547</w:t>
                  </w:r>
                </w:p>
              </w:tc>
              <w:tc>
                <w:tcPr>
                  <w:tcW w:w="1241"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0.366</w:t>
                  </w:r>
                </w:p>
              </w:tc>
              <w:tc>
                <w:tcPr>
                  <w:tcW w:w="193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10.5</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17" w:hRule="atLeast"/>
                <w:jc w:val="center"/>
              </w:trPr>
              <w:tc>
                <w:tcPr>
                  <w:tcW w:w="2496" w:type="dxa"/>
                  <w:tcBorders>
                    <w:tl2br w:val="nil"/>
                    <w:tr2bl w:val="nil"/>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年28周</w:t>
                  </w:r>
                </w:p>
              </w:tc>
              <w:tc>
                <w:tcPr>
                  <w:tcW w:w="129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28.0</w:t>
                  </w:r>
                </w:p>
              </w:tc>
              <w:tc>
                <w:tcPr>
                  <w:tcW w:w="1419"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0.05</w:t>
                  </w:r>
                </w:p>
              </w:tc>
              <w:tc>
                <w:tcPr>
                  <w:tcW w:w="1241"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0.176</w:t>
                  </w:r>
                </w:p>
              </w:tc>
              <w:tc>
                <w:tcPr>
                  <w:tcW w:w="1935" w:type="dxa"/>
                  <w:tcBorders>
                    <w:tl2br w:val="nil"/>
                    <w:tr2bl w:val="nil"/>
                  </w:tcBorders>
                  <w:tcMar>
                    <w:top w:w="15" w:type="dxa"/>
                    <w:left w:w="15" w:type="dxa"/>
                    <w:bottom w:w="0" w:type="dxa"/>
                    <w:right w:w="15" w:type="dxa"/>
                  </w:tcMar>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7.0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32" w:hRule="atLeast"/>
                <w:jc w:val="center"/>
              </w:trPr>
              <w:tc>
                <w:tcPr>
                  <w:tcW w:w="2496" w:type="dxa"/>
                  <w:tcBorders>
                    <w:tl2br w:val="nil"/>
                    <w:tr2bl w:val="nil"/>
                  </w:tcBorders>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年29周</w:t>
                  </w:r>
                </w:p>
              </w:tc>
              <w:tc>
                <w:tcPr>
                  <w:tcW w:w="129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29.5</w:t>
                  </w:r>
                </w:p>
              </w:tc>
              <w:tc>
                <w:tcPr>
                  <w:tcW w:w="1419"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0.756</w:t>
                  </w:r>
                </w:p>
              </w:tc>
              <w:tc>
                <w:tcPr>
                  <w:tcW w:w="1241"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0.275</w:t>
                  </w:r>
                </w:p>
              </w:tc>
              <w:tc>
                <w:tcPr>
                  <w:tcW w:w="193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9.0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12" w:hRule="atLeast"/>
                <w:jc w:val="center"/>
              </w:trPr>
              <w:tc>
                <w:tcPr>
                  <w:tcW w:w="2496" w:type="dxa"/>
                  <w:tcBorders>
                    <w:tl2br w:val="nil"/>
                    <w:tr2bl w:val="nil"/>
                  </w:tcBorders>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年30周</w:t>
                  </w:r>
                </w:p>
              </w:tc>
              <w:tc>
                <w:tcPr>
                  <w:tcW w:w="129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28.0</w:t>
                  </w:r>
                </w:p>
              </w:tc>
              <w:tc>
                <w:tcPr>
                  <w:tcW w:w="1419"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0.790</w:t>
                  </w:r>
                </w:p>
              </w:tc>
              <w:tc>
                <w:tcPr>
                  <w:tcW w:w="1241"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0.245</w:t>
                  </w:r>
                </w:p>
              </w:tc>
              <w:tc>
                <w:tcPr>
                  <w:tcW w:w="193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7.4</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42" w:hRule="atLeast"/>
                <w:jc w:val="center"/>
              </w:trPr>
              <w:tc>
                <w:tcPr>
                  <w:tcW w:w="2496" w:type="dxa"/>
                  <w:tcBorders>
                    <w:tl2br w:val="nil"/>
                    <w:tr2bl w:val="nil"/>
                  </w:tcBorders>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年31周</w:t>
                  </w:r>
                </w:p>
              </w:tc>
              <w:tc>
                <w:tcPr>
                  <w:tcW w:w="129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48.8</w:t>
                  </w:r>
                </w:p>
              </w:tc>
              <w:tc>
                <w:tcPr>
                  <w:tcW w:w="1419"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1.090</w:t>
                  </w:r>
                </w:p>
              </w:tc>
              <w:tc>
                <w:tcPr>
                  <w:tcW w:w="1241"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0.427</w:t>
                  </w:r>
                </w:p>
              </w:tc>
              <w:tc>
                <w:tcPr>
                  <w:tcW w:w="193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8.2</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27" w:hRule="atLeast"/>
                <w:jc w:val="center"/>
              </w:trPr>
              <w:tc>
                <w:tcPr>
                  <w:tcW w:w="2496" w:type="dxa"/>
                  <w:tcBorders>
                    <w:tl2br w:val="nil"/>
                    <w:tr2bl w:val="nil"/>
                  </w:tcBorders>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年32周</w:t>
                  </w:r>
                </w:p>
              </w:tc>
              <w:tc>
                <w:tcPr>
                  <w:tcW w:w="129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57.7</w:t>
                  </w:r>
                </w:p>
              </w:tc>
              <w:tc>
                <w:tcPr>
                  <w:tcW w:w="1419"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0.624</w:t>
                  </w:r>
                </w:p>
              </w:tc>
              <w:tc>
                <w:tcPr>
                  <w:tcW w:w="1241"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0.555</w:t>
                  </w:r>
                </w:p>
              </w:tc>
              <w:tc>
                <w:tcPr>
                  <w:tcW w:w="193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8.4</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42" w:hRule="atLeast"/>
                <w:jc w:val="center"/>
              </w:trPr>
              <w:tc>
                <w:tcPr>
                  <w:tcW w:w="2496" w:type="dxa"/>
                  <w:tcBorders>
                    <w:tl2br w:val="nil"/>
                    <w:tr2bl w:val="nil"/>
                  </w:tcBorders>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年33周</w:t>
                  </w:r>
                </w:p>
              </w:tc>
              <w:tc>
                <w:tcPr>
                  <w:tcW w:w="129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18.1</w:t>
                  </w:r>
                </w:p>
              </w:tc>
              <w:tc>
                <w:tcPr>
                  <w:tcW w:w="1419"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0.430</w:t>
                  </w:r>
                </w:p>
              </w:tc>
              <w:tc>
                <w:tcPr>
                  <w:tcW w:w="1241"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0.213</w:t>
                  </w:r>
                </w:p>
              </w:tc>
              <w:tc>
                <w:tcPr>
                  <w:tcW w:w="193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6.7</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12" w:hRule="atLeast"/>
                <w:jc w:val="center"/>
              </w:trPr>
              <w:tc>
                <w:tcPr>
                  <w:tcW w:w="2496" w:type="dxa"/>
                  <w:tcBorders>
                    <w:tl2br w:val="nil"/>
                    <w:tr2bl w:val="nil"/>
                  </w:tcBorders>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年34周</w:t>
                  </w:r>
                </w:p>
              </w:tc>
              <w:tc>
                <w:tcPr>
                  <w:tcW w:w="129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23.5</w:t>
                  </w:r>
                </w:p>
              </w:tc>
              <w:tc>
                <w:tcPr>
                  <w:tcW w:w="1419"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0.825</w:t>
                  </w:r>
                </w:p>
              </w:tc>
              <w:tc>
                <w:tcPr>
                  <w:tcW w:w="1241"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0.254</w:t>
                  </w:r>
                </w:p>
              </w:tc>
              <w:tc>
                <w:tcPr>
                  <w:tcW w:w="193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7.4</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297" w:hRule="atLeast"/>
                <w:jc w:val="center"/>
              </w:trPr>
              <w:tc>
                <w:tcPr>
                  <w:tcW w:w="2496" w:type="dxa"/>
                  <w:tcBorders>
                    <w:tl2br w:val="nil"/>
                    <w:tr2bl w:val="nil"/>
                  </w:tcBorders>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年35周</w:t>
                  </w:r>
                </w:p>
              </w:tc>
              <w:tc>
                <w:tcPr>
                  <w:tcW w:w="129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24.3</w:t>
                  </w:r>
                </w:p>
              </w:tc>
              <w:tc>
                <w:tcPr>
                  <w:tcW w:w="1419"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1.170</w:t>
                  </w:r>
                </w:p>
              </w:tc>
              <w:tc>
                <w:tcPr>
                  <w:tcW w:w="1241"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0.311</w:t>
                  </w:r>
                </w:p>
              </w:tc>
              <w:tc>
                <w:tcPr>
                  <w:tcW w:w="193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7.6</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42" w:hRule="atLeast"/>
                <w:jc w:val="center"/>
              </w:trPr>
              <w:tc>
                <w:tcPr>
                  <w:tcW w:w="2496" w:type="dxa"/>
                  <w:tcBorders>
                    <w:tl2br w:val="nil"/>
                    <w:tr2bl w:val="nil"/>
                  </w:tcBorders>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年36周</w:t>
                  </w:r>
                </w:p>
              </w:tc>
              <w:tc>
                <w:tcPr>
                  <w:tcW w:w="129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29.5</w:t>
                  </w:r>
                </w:p>
              </w:tc>
              <w:tc>
                <w:tcPr>
                  <w:tcW w:w="1419"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0.696</w:t>
                  </w:r>
                </w:p>
              </w:tc>
              <w:tc>
                <w:tcPr>
                  <w:tcW w:w="1241"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0.353</w:t>
                  </w:r>
                </w:p>
              </w:tc>
              <w:tc>
                <w:tcPr>
                  <w:tcW w:w="193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6.7</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27" w:hRule="atLeast"/>
                <w:jc w:val="center"/>
              </w:trPr>
              <w:tc>
                <w:tcPr>
                  <w:tcW w:w="2496" w:type="dxa"/>
                  <w:tcBorders>
                    <w:tl2br w:val="nil"/>
                    <w:tr2bl w:val="nil"/>
                  </w:tcBorders>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年37周</w:t>
                  </w:r>
                </w:p>
              </w:tc>
              <w:tc>
                <w:tcPr>
                  <w:tcW w:w="129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17.0</w:t>
                  </w:r>
                </w:p>
              </w:tc>
              <w:tc>
                <w:tcPr>
                  <w:tcW w:w="1419"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0.707</w:t>
                  </w:r>
                </w:p>
              </w:tc>
              <w:tc>
                <w:tcPr>
                  <w:tcW w:w="1241"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0.228</w:t>
                  </w:r>
                </w:p>
              </w:tc>
              <w:tc>
                <w:tcPr>
                  <w:tcW w:w="193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6.5</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57" w:hRule="atLeast"/>
                <w:jc w:val="center"/>
              </w:trPr>
              <w:tc>
                <w:tcPr>
                  <w:tcW w:w="2496" w:type="dxa"/>
                  <w:tcBorders>
                    <w:tl2br w:val="nil"/>
                    <w:tr2bl w:val="nil"/>
                  </w:tcBorders>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年38周</w:t>
                  </w:r>
                </w:p>
              </w:tc>
              <w:tc>
                <w:tcPr>
                  <w:tcW w:w="129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kern w:val="0"/>
                      <w:sz w:val="21"/>
                      <w:szCs w:val="21"/>
                      <w:u w:val="none"/>
                      <w:lang w:val="en-US" w:eastAsia="zh-CN" w:bidi="ar-SA"/>
                    </w:rPr>
                  </w:pPr>
                  <w:r>
                    <w:rPr>
                      <w:rFonts w:hint="eastAsia" w:ascii="Times New Roman" w:hAnsi="Times New Roman" w:eastAsia="宋体" w:cs="Times New Roman"/>
                      <w:b w:val="0"/>
                      <w:bCs w:val="0"/>
                      <w:color w:val="auto"/>
                      <w:kern w:val="0"/>
                      <w:sz w:val="21"/>
                      <w:szCs w:val="21"/>
                      <w:u w:val="none"/>
                      <w:lang w:val="en-US" w:eastAsia="zh-CN" w:bidi="ar-SA"/>
                    </w:rPr>
                    <w:t>22.0</w:t>
                  </w:r>
                </w:p>
              </w:tc>
              <w:tc>
                <w:tcPr>
                  <w:tcW w:w="1419"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kern w:val="0"/>
                      <w:sz w:val="21"/>
                      <w:szCs w:val="21"/>
                      <w:u w:val="none"/>
                      <w:lang w:val="en-US" w:eastAsia="zh-CN" w:bidi="ar-SA"/>
                    </w:rPr>
                  </w:pPr>
                  <w:r>
                    <w:rPr>
                      <w:rFonts w:hint="eastAsia" w:ascii="Times New Roman" w:hAnsi="Times New Roman" w:eastAsia="宋体" w:cs="Times New Roman"/>
                      <w:b w:val="0"/>
                      <w:bCs w:val="0"/>
                      <w:color w:val="auto"/>
                      <w:kern w:val="0"/>
                      <w:sz w:val="21"/>
                      <w:szCs w:val="21"/>
                      <w:u w:val="none"/>
                      <w:lang w:val="en-US" w:eastAsia="zh-CN" w:bidi="ar-SA"/>
                    </w:rPr>
                    <w:t>1.09</w:t>
                  </w:r>
                </w:p>
              </w:tc>
              <w:tc>
                <w:tcPr>
                  <w:tcW w:w="1241"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kern w:val="0"/>
                      <w:sz w:val="21"/>
                      <w:szCs w:val="21"/>
                      <w:u w:val="none"/>
                      <w:lang w:val="en-US" w:eastAsia="zh-CN" w:bidi="ar-SA"/>
                    </w:rPr>
                  </w:pPr>
                  <w:r>
                    <w:rPr>
                      <w:rFonts w:hint="eastAsia" w:ascii="Times New Roman" w:hAnsi="Times New Roman" w:eastAsia="宋体" w:cs="Times New Roman"/>
                      <w:b w:val="0"/>
                      <w:bCs w:val="0"/>
                      <w:color w:val="auto"/>
                      <w:kern w:val="0"/>
                      <w:sz w:val="21"/>
                      <w:szCs w:val="21"/>
                      <w:u w:val="none"/>
                      <w:lang w:val="en-US" w:eastAsia="zh-CN" w:bidi="ar-SA"/>
                    </w:rPr>
                    <w:t>0.284</w:t>
                  </w:r>
                </w:p>
              </w:tc>
              <w:tc>
                <w:tcPr>
                  <w:tcW w:w="193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kern w:val="0"/>
                      <w:sz w:val="21"/>
                      <w:szCs w:val="21"/>
                      <w:u w:val="none"/>
                      <w:lang w:val="en-US" w:eastAsia="zh-CN" w:bidi="ar-SA"/>
                    </w:rPr>
                  </w:pPr>
                  <w:r>
                    <w:rPr>
                      <w:rFonts w:hint="eastAsia" w:ascii="Times New Roman" w:hAnsi="Times New Roman" w:eastAsia="宋体" w:cs="Times New Roman"/>
                      <w:b w:val="0"/>
                      <w:bCs w:val="0"/>
                      <w:color w:val="auto"/>
                      <w:kern w:val="0"/>
                      <w:sz w:val="21"/>
                      <w:szCs w:val="21"/>
                      <w:u w:val="none"/>
                      <w:lang w:val="en-US" w:eastAsia="zh-CN" w:bidi="ar-SA"/>
                    </w:rPr>
                    <w:t>6.5</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12" w:hRule="atLeast"/>
                <w:jc w:val="center"/>
              </w:trPr>
              <w:tc>
                <w:tcPr>
                  <w:tcW w:w="2496" w:type="dxa"/>
                  <w:tcBorders>
                    <w:tl2br w:val="nil"/>
                    <w:tr2bl w:val="nil"/>
                  </w:tcBorders>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年39周</w:t>
                  </w:r>
                </w:p>
              </w:tc>
              <w:tc>
                <w:tcPr>
                  <w:tcW w:w="129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30.7</w:t>
                  </w:r>
                </w:p>
              </w:tc>
              <w:tc>
                <w:tcPr>
                  <w:tcW w:w="1419"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0.784</w:t>
                  </w:r>
                </w:p>
              </w:tc>
              <w:tc>
                <w:tcPr>
                  <w:tcW w:w="1241"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0.322</w:t>
                  </w:r>
                </w:p>
              </w:tc>
              <w:tc>
                <w:tcPr>
                  <w:tcW w:w="193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7</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42" w:hRule="atLeast"/>
                <w:jc w:val="center"/>
              </w:trPr>
              <w:tc>
                <w:tcPr>
                  <w:tcW w:w="2496" w:type="dxa"/>
                  <w:tcBorders>
                    <w:tl2br w:val="nil"/>
                    <w:tr2bl w:val="nil"/>
                  </w:tcBorders>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年40周</w:t>
                  </w:r>
                </w:p>
              </w:tc>
              <w:tc>
                <w:tcPr>
                  <w:tcW w:w="129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18.3</w:t>
                  </w:r>
                </w:p>
              </w:tc>
              <w:tc>
                <w:tcPr>
                  <w:tcW w:w="1419"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0.84</w:t>
                  </w:r>
                </w:p>
              </w:tc>
              <w:tc>
                <w:tcPr>
                  <w:tcW w:w="1241"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0.254</w:t>
                  </w:r>
                </w:p>
              </w:tc>
              <w:tc>
                <w:tcPr>
                  <w:tcW w:w="193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5.4</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27" w:hRule="atLeast"/>
                <w:jc w:val="center"/>
              </w:trPr>
              <w:tc>
                <w:tcPr>
                  <w:tcW w:w="2496" w:type="dxa"/>
                  <w:tcBorders>
                    <w:tl2br w:val="nil"/>
                    <w:tr2bl w:val="nil"/>
                  </w:tcBorders>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年41周</w:t>
                  </w:r>
                </w:p>
              </w:tc>
              <w:tc>
                <w:tcPr>
                  <w:tcW w:w="129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14.8</w:t>
                  </w:r>
                </w:p>
              </w:tc>
              <w:tc>
                <w:tcPr>
                  <w:tcW w:w="1419"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0.508</w:t>
                  </w:r>
                </w:p>
              </w:tc>
              <w:tc>
                <w:tcPr>
                  <w:tcW w:w="1241"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0.168</w:t>
                  </w:r>
                </w:p>
              </w:tc>
              <w:tc>
                <w:tcPr>
                  <w:tcW w:w="193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4.5</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12" w:hRule="atLeast"/>
                <w:jc w:val="center"/>
              </w:trPr>
              <w:tc>
                <w:tcPr>
                  <w:tcW w:w="2496" w:type="dxa"/>
                  <w:tcBorders>
                    <w:tl2br w:val="nil"/>
                    <w:tr2bl w:val="nil"/>
                  </w:tcBorders>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年42周</w:t>
                  </w:r>
                </w:p>
              </w:tc>
              <w:tc>
                <w:tcPr>
                  <w:tcW w:w="129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16.0</w:t>
                  </w:r>
                </w:p>
              </w:tc>
              <w:tc>
                <w:tcPr>
                  <w:tcW w:w="1419"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0.601</w:t>
                  </w:r>
                </w:p>
              </w:tc>
              <w:tc>
                <w:tcPr>
                  <w:tcW w:w="1241"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0.175</w:t>
                  </w:r>
                </w:p>
              </w:tc>
              <w:tc>
                <w:tcPr>
                  <w:tcW w:w="193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5.1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42" w:hRule="atLeast"/>
                <w:jc w:val="center"/>
              </w:trPr>
              <w:tc>
                <w:tcPr>
                  <w:tcW w:w="2496" w:type="dxa"/>
                  <w:tcBorders>
                    <w:tl2br w:val="nil"/>
                    <w:tr2bl w:val="nil"/>
                  </w:tcBorders>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年43周</w:t>
                  </w:r>
                </w:p>
              </w:tc>
              <w:tc>
                <w:tcPr>
                  <w:tcW w:w="129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18.9</w:t>
                  </w:r>
                </w:p>
              </w:tc>
              <w:tc>
                <w:tcPr>
                  <w:tcW w:w="1419"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1.05</w:t>
                  </w:r>
                </w:p>
              </w:tc>
              <w:tc>
                <w:tcPr>
                  <w:tcW w:w="1241"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0.198</w:t>
                  </w:r>
                </w:p>
              </w:tc>
              <w:tc>
                <w:tcPr>
                  <w:tcW w:w="193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5.4</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12" w:hRule="atLeast"/>
                <w:jc w:val="center"/>
              </w:trPr>
              <w:tc>
                <w:tcPr>
                  <w:tcW w:w="2496" w:type="dxa"/>
                  <w:tcBorders>
                    <w:tl2br w:val="nil"/>
                    <w:tr2bl w:val="nil"/>
                  </w:tcBorders>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年44周</w:t>
                  </w:r>
                </w:p>
              </w:tc>
              <w:tc>
                <w:tcPr>
                  <w:tcW w:w="129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19.2</w:t>
                  </w:r>
                </w:p>
              </w:tc>
              <w:tc>
                <w:tcPr>
                  <w:tcW w:w="1419"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0.511</w:t>
                  </w:r>
                </w:p>
              </w:tc>
              <w:tc>
                <w:tcPr>
                  <w:tcW w:w="1241"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0.102</w:t>
                  </w:r>
                </w:p>
              </w:tc>
              <w:tc>
                <w:tcPr>
                  <w:tcW w:w="193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5.4</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27" w:hRule="atLeast"/>
                <w:jc w:val="center"/>
              </w:trPr>
              <w:tc>
                <w:tcPr>
                  <w:tcW w:w="2496" w:type="dxa"/>
                  <w:tcBorders>
                    <w:tl2br w:val="nil"/>
                    <w:tr2bl w:val="nil"/>
                  </w:tcBorders>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年45周</w:t>
                  </w:r>
                </w:p>
              </w:tc>
              <w:tc>
                <w:tcPr>
                  <w:tcW w:w="129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21.7</w:t>
                  </w:r>
                </w:p>
              </w:tc>
              <w:tc>
                <w:tcPr>
                  <w:tcW w:w="1419"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0.50</w:t>
                  </w:r>
                </w:p>
              </w:tc>
              <w:tc>
                <w:tcPr>
                  <w:tcW w:w="1241"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0.142</w:t>
                  </w:r>
                </w:p>
              </w:tc>
              <w:tc>
                <w:tcPr>
                  <w:tcW w:w="193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5.9</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297" w:hRule="atLeast"/>
                <w:jc w:val="center"/>
              </w:trPr>
              <w:tc>
                <w:tcPr>
                  <w:tcW w:w="2496" w:type="dxa"/>
                  <w:tcBorders>
                    <w:tl2br w:val="nil"/>
                    <w:tr2bl w:val="nil"/>
                  </w:tcBorders>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年46周</w:t>
                  </w:r>
                </w:p>
              </w:tc>
              <w:tc>
                <w:tcPr>
                  <w:tcW w:w="129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22.0</w:t>
                  </w:r>
                </w:p>
              </w:tc>
              <w:tc>
                <w:tcPr>
                  <w:tcW w:w="1419"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1.37</w:t>
                  </w:r>
                </w:p>
              </w:tc>
              <w:tc>
                <w:tcPr>
                  <w:tcW w:w="1241"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0.236</w:t>
                  </w:r>
                </w:p>
              </w:tc>
              <w:tc>
                <w:tcPr>
                  <w:tcW w:w="193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6.4</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297" w:hRule="atLeast"/>
                <w:jc w:val="center"/>
              </w:trPr>
              <w:tc>
                <w:tcPr>
                  <w:tcW w:w="2496" w:type="dxa"/>
                  <w:tcBorders>
                    <w:tl2br w:val="nil"/>
                    <w:tr2bl w:val="nil"/>
                  </w:tcBorders>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年47周</w:t>
                  </w:r>
                </w:p>
              </w:tc>
              <w:tc>
                <w:tcPr>
                  <w:tcW w:w="129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18.0</w:t>
                  </w:r>
                </w:p>
              </w:tc>
              <w:tc>
                <w:tcPr>
                  <w:tcW w:w="1419"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1.02</w:t>
                  </w:r>
                </w:p>
              </w:tc>
              <w:tc>
                <w:tcPr>
                  <w:tcW w:w="1241"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0.178</w:t>
                  </w:r>
                </w:p>
              </w:tc>
              <w:tc>
                <w:tcPr>
                  <w:tcW w:w="193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6.7</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27" w:hRule="atLeast"/>
                <w:jc w:val="center"/>
              </w:trPr>
              <w:tc>
                <w:tcPr>
                  <w:tcW w:w="2496" w:type="dxa"/>
                  <w:tcBorders>
                    <w:tl2br w:val="nil"/>
                    <w:tr2bl w:val="nil"/>
                  </w:tcBorders>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年48周</w:t>
                  </w:r>
                </w:p>
              </w:tc>
              <w:tc>
                <w:tcPr>
                  <w:tcW w:w="129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19.5</w:t>
                  </w:r>
                </w:p>
              </w:tc>
              <w:tc>
                <w:tcPr>
                  <w:tcW w:w="1419"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1.02</w:t>
                  </w:r>
                </w:p>
              </w:tc>
              <w:tc>
                <w:tcPr>
                  <w:tcW w:w="1241"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0.182</w:t>
                  </w:r>
                </w:p>
              </w:tc>
              <w:tc>
                <w:tcPr>
                  <w:tcW w:w="193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7.9</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57" w:hRule="atLeast"/>
                <w:jc w:val="center"/>
              </w:trPr>
              <w:tc>
                <w:tcPr>
                  <w:tcW w:w="2496" w:type="dxa"/>
                  <w:tcBorders>
                    <w:tl2br w:val="nil"/>
                    <w:tr2bl w:val="nil"/>
                  </w:tcBorders>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年49周</w:t>
                  </w:r>
                </w:p>
              </w:tc>
              <w:tc>
                <w:tcPr>
                  <w:tcW w:w="129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20.8</w:t>
                  </w:r>
                </w:p>
              </w:tc>
              <w:tc>
                <w:tcPr>
                  <w:tcW w:w="1419"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1.413</w:t>
                  </w:r>
                </w:p>
              </w:tc>
              <w:tc>
                <w:tcPr>
                  <w:tcW w:w="1241"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0.190</w:t>
                  </w:r>
                </w:p>
              </w:tc>
              <w:tc>
                <w:tcPr>
                  <w:tcW w:w="193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8.5</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57" w:hRule="atLeast"/>
                <w:jc w:val="center"/>
              </w:trPr>
              <w:tc>
                <w:tcPr>
                  <w:tcW w:w="2496" w:type="dxa"/>
                  <w:tcBorders>
                    <w:tl2br w:val="nil"/>
                    <w:tr2bl w:val="nil"/>
                  </w:tcBorders>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年50周</w:t>
                  </w:r>
                </w:p>
              </w:tc>
              <w:tc>
                <w:tcPr>
                  <w:tcW w:w="129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16.2</w:t>
                  </w:r>
                </w:p>
              </w:tc>
              <w:tc>
                <w:tcPr>
                  <w:tcW w:w="1419"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1.55</w:t>
                  </w:r>
                </w:p>
              </w:tc>
              <w:tc>
                <w:tcPr>
                  <w:tcW w:w="1241"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0.19</w:t>
                  </w:r>
                </w:p>
              </w:tc>
              <w:tc>
                <w:tcPr>
                  <w:tcW w:w="193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6.1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42" w:hRule="atLeast"/>
                <w:jc w:val="center"/>
              </w:trPr>
              <w:tc>
                <w:tcPr>
                  <w:tcW w:w="2496" w:type="dxa"/>
                  <w:tcBorders>
                    <w:tl2br w:val="nil"/>
                    <w:tr2bl w:val="nil"/>
                  </w:tcBorders>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年51周</w:t>
                  </w:r>
                </w:p>
              </w:tc>
              <w:tc>
                <w:tcPr>
                  <w:tcW w:w="129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21.4</w:t>
                  </w:r>
                </w:p>
              </w:tc>
              <w:tc>
                <w:tcPr>
                  <w:tcW w:w="1419"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1.4</w:t>
                  </w:r>
                </w:p>
              </w:tc>
              <w:tc>
                <w:tcPr>
                  <w:tcW w:w="1241"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0.185</w:t>
                  </w:r>
                </w:p>
              </w:tc>
              <w:tc>
                <w:tcPr>
                  <w:tcW w:w="193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6.3</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82" w:hRule="atLeast"/>
                <w:jc w:val="center"/>
              </w:trPr>
              <w:tc>
                <w:tcPr>
                  <w:tcW w:w="2496" w:type="dxa"/>
                  <w:tcBorders>
                    <w:tl2br w:val="nil"/>
                    <w:tr2bl w:val="nil"/>
                  </w:tcBorders>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w:t>
                  </w:r>
                  <w:r>
                    <w:rPr>
                      <w:rFonts w:hint="default" w:ascii="Times New Roman" w:hAnsi="Times New Roman" w:cs="Times New Roman"/>
                      <w:b w:val="0"/>
                      <w:bCs w:val="0"/>
                      <w:color w:val="auto"/>
                      <w:sz w:val="21"/>
                      <w:szCs w:val="21"/>
                      <w:u w:val="none"/>
                    </w:rPr>
                    <w:t>年52周</w:t>
                  </w:r>
                </w:p>
              </w:tc>
              <w:tc>
                <w:tcPr>
                  <w:tcW w:w="129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24.1</w:t>
                  </w:r>
                </w:p>
              </w:tc>
              <w:tc>
                <w:tcPr>
                  <w:tcW w:w="1419"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0.84</w:t>
                  </w:r>
                </w:p>
              </w:tc>
              <w:tc>
                <w:tcPr>
                  <w:tcW w:w="1241"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0.139</w:t>
                  </w:r>
                </w:p>
              </w:tc>
              <w:tc>
                <w:tcPr>
                  <w:tcW w:w="193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42" w:hRule="atLeast"/>
                <w:jc w:val="center"/>
              </w:trPr>
              <w:tc>
                <w:tcPr>
                  <w:tcW w:w="2496" w:type="dxa"/>
                  <w:tcBorders>
                    <w:tl2br w:val="nil"/>
                    <w:tr2bl w:val="nil"/>
                  </w:tcBorders>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lang w:val="en-US"/>
                    </w:rPr>
                  </w:pPr>
                  <w:r>
                    <w:rPr>
                      <w:rFonts w:hint="default" w:ascii="Times New Roman" w:hAnsi="Times New Roman" w:cs="Times New Roman"/>
                      <w:b w:val="0"/>
                      <w:bCs w:val="0"/>
                      <w:color w:val="auto"/>
                      <w:sz w:val="21"/>
                      <w:szCs w:val="21"/>
                      <w:u w:val="none"/>
                    </w:rPr>
                    <w:t>202</w:t>
                  </w:r>
                  <w:r>
                    <w:rPr>
                      <w:rFonts w:hint="eastAsia" w:ascii="Times New Roman" w:hAnsi="Times New Roman" w:cs="Times New Roman"/>
                      <w:b w:val="0"/>
                      <w:bCs w:val="0"/>
                      <w:color w:val="auto"/>
                      <w:sz w:val="21"/>
                      <w:szCs w:val="21"/>
                      <w:u w:val="none"/>
                      <w:lang w:val="en-US" w:eastAsia="zh-CN"/>
                    </w:rPr>
                    <w:t>3年53周</w:t>
                  </w:r>
                </w:p>
              </w:tc>
              <w:tc>
                <w:tcPr>
                  <w:tcW w:w="129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22.2</w:t>
                  </w:r>
                </w:p>
              </w:tc>
              <w:tc>
                <w:tcPr>
                  <w:tcW w:w="1419"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2.16</w:t>
                  </w:r>
                </w:p>
              </w:tc>
              <w:tc>
                <w:tcPr>
                  <w:tcW w:w="1241"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0.174</w:t>
                  </w:r>
                </w:p>
              </w:tc>
              <w:tc>
                <w:tcPr>
                  <w:tcW w:w="193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27" w:hRule="atLeast"/>
                <w:jc w:val="center"/>
              </w:trPr>
              <w:tc>
                <w:tcPr>
                  <w:tcW w:w="2496"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cs="Times New Roman"/>
                      <w:b w:val="0"/>
                      <w:bCs w:val="0"/>
                      <w:color w:val="auto"/>
                      <w:sz w:val="21"/>
                      <w:szCs w:val="21"/>
                      <w:u w:val="none"/>
                    </w:rPr>
                  </w:pPr>
                  <w:r>
                    <w:rPr>
                      <w:rFonts w:hint="eastAsia" w:ascii="Times New Roman" w:hAnsi="Times New Roman" w:cs="Times New Roman"/>
                      <w:b w:val="0"/>
                      <w:bCs w:val="0"/>
                      <w:color w:val="auto"/>
                      <w:sz w:val="21"/>
                      <w:szCs w:val="21"/>
                      <w:u w:val="none"/>
                    </w:rPr>
                    <w:t>年均值</w:t>
                  </w:r>
                </w:p>
              </w:tc>
              <w:tc>
                <w:tcPr>
                  <w:tcW w:w="129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highlight w:val="yellow"/>
                      <w:u w:val="none"/>
                      <w:lang w:val="en-US" w:eastAsia="zh-CN"/>
                    </w:rPr>
                  </w:pPr>
                  <w:r>
                    <w:rPr>
                      <w:rFonts w:hint="eastAsia" w:ascii="Times New Roman" w:hAnsi="Times New Roman" w:cs="Times New Roman"/>
                      <w:b w:val="0"/>
                      <w:bCs w:val="0"/>
                      <w:color w:val="auto"/>
                      <w:sz w:val="21"/>
                      <w:szCs w:val="21"/>
                      <w:highlight w:val="none"/>
                      <w:u w:val="none"/>
                      <w:lang w:val="en-US" w:eastAsia="zh-CN"/>
                    </w:rPr>
                    <w:t>27.2</w:t>
                  </w:r>
                </w:p>
              </w:tc>
              <w:tc>
                <w:tcPr>
                  <w:tcW w:w="1419"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highlight w:val="yellow"/>
                      <w:u w:val="none"/>
                      <w:lang w:val="en-US" w:eastAsia="zh-CN"/>
                    </w:rPr>
                  </w:pPr>
                  <w:r>
                    <w:rPr>
                      <w:rFonts w:hint="eastAsia" w:ascii="Times New Roman" w:hAnsi="Times New Roman" w:cs="Times New Roman"/>
                      <w:b w:val="0"/>
                      <w:bCs w:val="0"/>
                      <w:color w:val="auto"/>
                      <w:sz w:val="21"/>
                      <w:szCs w:val="21"/>
                      <w:highlight w:val="none"/>
                      <w:u w:val="none"/>
                      <w:lang w:val="en-US" w:eastAsia="zh-CN"/>
                    </w:rPr>
                    <w:t>1.58</w:t>
                  </w:r>
                </w:p>
              </w:tc>
              <w:tc>
                <w:tcPr>
                  <w:tcW w:w="1241"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highlight w:val="yellow"/>
                      <w:u w:val="none"/>
                      <w:lang w:val="en-US" w:eastAsia="zh-CN"/>
                    </w:rPr>
                  </w:pPr>
                  <w:r>
                    <w:rPr>
                      <w:rFonts w:hint="eastAsia" w:ascii="Times New Roman" w:hAnsi="Times New Roman" w:cs="Times New Roman"/>
                      <w:b w:val="0"/>
                      <w:bCs w:val="0"/>
                      <w:color w:val="auto"/>
                      <w:sz w:val="21"/>
                      <w:szCs w:val="21"/>
                      <w:highlight w:val="none"/>
                      <w:u w:val="none"/>
                      <w:lang w:val="en-US" w:eastAsia="zh-CN"/>
                    </w:rPr>
                    <w:t>0.316</w:t>
                  </w:r>
                </w:p>
              </w:tc>
              <w:tc>
                <w:tcPr>
                  <w:tcW w:w="1935" w:type="dxa"/>
                  <w:tcBorders>
                    <w:tl2br w:val="nil"/>
                    <w:tr2bl w:val="nil"/>
                  </w:tcBorders>
                  <w:vAlign w:val="center"/>
                </w:tcPr>
                <w:p>
                  <w:pPr>
                    <w:pStyle w:val="23"/>
                    <w:keepNext w:val="0"/>
                    <w:keepLines w:val="0"/>
                    <w:suppressLineNumbers w:val="0"/>
                    <w:spacing w:before="0" w:beforeAutospacing="0" w:after="0" w:afterAutospacing="0"/>
                    <w:ind w:left="0" w:right="0"/>
                    <w:contextualSpacing/>
                    <w:jc w:val="center"/>
                    <w:textAlignment w:val="center"/>
                    <w:rPr>
                      <w:rFonts w:hint="default" w:ascii="Times New Roman" w:hAnsi="Times New Roman" w:eastAsia="宋体" w:cs="Times New Roman"/>
                      <w:b w:val="0"/>
                      <w:bCs w:val="0"/>
                      <w:color w:val="auto"/>
                      <w:sz w:val="21"/>
                      <w:szCs w:val="21"/>
                      <w:highlight w:val="yellow"/>
                      <w:u w:val="none"/>
                      <w:lang w:val="en-US" w:eastAsia="zh-CN"/>
                    </w:rPr>
                  </w:pPr>
                  <w:r>
                    <w:rPr>
                      <w:rFonts w:hint="eastAsia" w:ascii="Times New Roman" w:hAnsi="Times New Roman" w:cs="Times New Roman"/>
                      <w:b w:val="0"/>
                      <w:bCs w:val="0"/>
                      <w:color w:val="auto"/>
                      <w:sz w:val="21"/>
                      <w:szCs w:val="21"/>
                      <w:highlight w:val="none"/>
                      <w:u w:val="none"/>
                      <w:lang w:val="en-US" w:eastAsia="zh-CN"/>
                    </w:rPr>
                    <w:t>8.3</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Ex>
              <w:trPr>
                <w:cantSplit/>
                <w:trHeight w:val="322" w:hRule="atLeast"/>
                <w:jc w:val="center"/>
              </w:trPr>
              <w:tc>
                <w:tcPr>
                  <w:tcW w:w="2496" w:type="dxa"/>
                  <w:tcBorders>
                    <w:tl2br w:val="nil"/>
                    <w:tr2bl w:val="nil"/>
                  </w:tcBorders>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Ⅴ类水质指标</w:t>
                  </w:r>
                </w:p>
              </w:tc>
              <w:tc>
                <w:tcPr>
                  <w:tcW w:w="1295" w:type="dxa"/>
                  <w:tcBorders>
                    <w:tl2br w:val="nil"/>
                    <w:tr2bl w:val="nil"/>
                  </w:tcBorders>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cs="Times New Roman"/>
                      <w:b w:val="0"/>
                      <w:bCs w:val="0"/>
                      <w:color w:val="auto"/>
                      <w:sz w:val="21"/>
                      <w:szCs w:val="21"/>
                      <w:u w:val="none"/>
                      <w:lang w:val="en-US"/>
                    </w:rPr>
                  </w:pPr>
                  <w:r>
                    <w:rPr>
                      <w:rFonts w:hint="eastAsia" w:ascii="Times New Roman" w:hAnsi="Times New Roman" w:cs="Times New Roman"/>
                      <w:b w:val="0"/>
                      <w:bCs w:val="0"/>
                      <w:color w:val="auto"/>
                      <w:sz w:val="21"/>
                      <w:szCs w:val="21"/>
                      <w:u w:val="none"/>
                      <w:lang w:val="en-US" w:eastAsia="zh-CN"/>
                    </w:rPr>
                    <w:t>40</w:t>
                  </w:r>
                </w:p>
              </w:tc>
              <w:tc>
                <w:tcPr>
                  <w:tcW w:w="1419" w:type="dxa"/>
                  <w:tcBorders>
                    <w:tl2br w:val="nil"/>
                    <w:tr2bl w:val="nil"/>
                  </w:tcBorders>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2.0</w:t>
                  </w:r>
                </w:p>
              </w:tc>
              <w:tc>
                <w:tcPr>
                  <w:tcW w:w="1241" w:type="dxa"/>
                  <w:tcBorders>
                    <w:tl2br w:val="nil"/>
                    <w:tr2bl w:val="nil"/>
                  </w:tcBorders>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0.4</w:t>
                  </w:r>
                </w:p>
              </w:tc>
              <w:tc>
                <w:tcPr>
                  <w:tcW w:w="1935" w:type="dxa"/>
                  <w:tcBorders>
                    <w:tl2br w:val="nil"/>
                    <w:tr2bl w:val="nil"/>
                  </w:tcBorders>
                  <w:vAlign w:val="center"/>
                </w:tcPr>
                <w:p>
                  <w:pPr>
                    <w:keepNext w:val="0"/>
                    <w:keepLines w:val="0"/>
                    <w:suppressLineNumbers w:val="0"/>
                    <w:spacing w:before="0" w:beforeAutospacing="0" w:after="0" w:afterAutospacing="0"/>
                    <w:ind w:left="0" w:right="0"/>
                    <w:contextualSpacing/>
                    <w:jc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15</w:t>
                  </w:r>
                </w:p>
              </w:tc>
            </w:tr>
          </w:tbl>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Cs/>
                <w:color w:val="auto"/>
                <w:sz w:val="24"/>
                <w:szCs w:val="24"/>
                <w:u w:val="single"/>
                <w:lang w:val="en-US" w:eastAsia="zh-CN"/>
              </w:rPr>
            </w:pPr>
            <w:r>
              <w:rPr>
                <w:rFonts w:hint="eastAsia" w:ascii="Times New Roman" w:hAnsi="Times New Roman" w:cs="Times New Roman"/>
                <w:bCs/>
                <w:color w:val="auto"/>
                <w:sz w:val="24"/>
                <w:szCs w:val="24"/>
                <w:u w:val="none"/>
              </w:rPr>
              <w:t>由上表可知，汤河石辛庄断面的COD、</w:t>
            </w:r>
            <w:r>
              <w:rPr>
                <w:rFonts w:hint="eastAsia" w:ascii="Times New Roman" w:hAnsi="Times New Roman" w:cs="Times New Roman"/>
                <w:bCs/>
                <w:color w:val="auto"/>
                <w:sz w:val="24"/>
                <w:szCs w:val="24"/>
                <w:u w:val="none"/>
                <w:lang w:val="en-US" w:eastAsia="zh-CN"/>
              </w:rPr>
              <w:t>氨氮、总磷、</w:t>
            </w:r>
            <w:r>
              <w:rPr>
                <w:rFonts w:hint="eastAsia" w:ascii="Times New Roman" w:hAnsi="Times New Roman" w:cs="Times New Roman"/>
                <w:bCs/>
                <w:color w:val="auto"/>
                <w:sz w:val="24"/>
                <w:szCs w:val="24"/>
                <w:u w:val="none"/>
              </w:rPr>
              <w:t>高锰酸盐指数的监测平均浓度值均能满足《地表水环境质量标准》（GB3838-2002）中</w:t>
            </w:r>
            <w:r>
              <w:rPr>
                <w:rFonts w:hint="default" w:ascii="Times New Roman" w:hAnsi="Times New Roman" w:cs="Times New Roman"/>
                <w:b w:val="0"/>
                <w:bCs w:val="0"/>
                <w:color w:val="auto"/>
                <w:sz w:val="24"/>
                <w:szCs w:val="24"/>
                <w:u w:val="none"/>
              </w:rPr>
              <w:t>Ⅴ</w:t>
            </w:r>
            <w:r>
              <w:rPr>
                <w:rFonts w:hint="eastAsia" w:ascii="Times New Roman" w:hAnsi="Times New Roman" w:cs="Times New Roman"/>
                <w:bCs/>
                <w:color w:val="auto"/>
                <w:sz w:val="24"/>
                <w:szCs w:val="24"/>
                <w:u w:val="none"/>
              </w:rPr>
              <w:t>类标准要求；</w:t>
            </w:r>
          </w:p>
          <w:p>
            <w:pPr>
              <w:pStyle w:val="55"/>
              <w:keepNext w:val="0"/>
              <w:keepLines w:val="0"/>
              <w:pageBreakBefore w:val="0"/>
              <w:suppressLineNumbers w:val="0"/>
              <w:kinsoku/>
              <w:wordWrap/>
              <w:overflowPunct/>
              <w:topLinePunct w:val="0"/>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b/>
                <w:bCs/>
                <w:color w:val="auto"/>
                <w:kern w:val="0"/>
                <w:sz w:val="24"/>
                <w:szCs w:val="24"/>
                <w:u w:val="none" w:color="auto"/>
                <w:lang w:val="en-US" w:eastAsia="zh-CN" w:bidi="ar-SA"/>
              </w:rPr>
            </w:pPr>
            <w:r>
              <w:rPr>
                <w:rFonts w:hint="default" w:ascii="Times New Roman" w:hAnsi="Times New Roman" w:eastAsia="宋体" w:cs="Times New Roman"/>
                <w:b/>
                <w:bCs/>
                <w:color w:val="auto"/>
                <w:kern w:val="0"/>
                <w:sz w:val="24"/>
                <w:szCs w:val="24"/>
                <w:u w:val="none" w:color="auto"/>
                <w:lang w:val="en-US" w:eastAsia="zh-CN" w:bidi="ar-SA"/>
              </w:rPr>
              <w:t>3</w:t>
            </w:r>
            <w:r>
              <w:rPr>
                <w:rFonts w:hint="eastAsia" w:ascii="Times New Roman" w:hAnsi="Times New Roman" w:eastAsia="宋体" w:cs="Times New Roman"/>
                <w:b/>
                <w:bCs/>
                <w:color w:val="auto"/>
                <w:kern w:val="0"/>
                <w:sz w:val="24"/>
                <w:szCs w:val="24"/>
                <w:u w:val="none" w:color="auto"/>
                <w:lang w:val="en-US" w:eastAsia="zh-CN" w:bidi="ar-SA"/>
              </w:rPr>
              <w:t>.</w:t>
            </w:r>
            <w:r>
              <w:rPr>
                <w:rFonts w:hint="default" w:ascii="Times New Roman" w:hAnsi="Times New Roman" w:eastAsia="宋体" w:cs="Times New Roman"/>
                <w:b/>
                <w:bCs/>
                <w:color w:val="auto"/>
                <w:kern w:val="0"/>
                <w:sz w:val="24"/>
                <w:szCs w:val="24"/>
                <w:u w:val="none" w:color="auto"/>
                <w:lang w:val="en-US" w:eastAsia="zh-CN" w:bidi="ar-SA"/>
              </w:rPr>
              <w:t>声环境</w:t>
            </w:r>
            <w:r>
              <w:rPr>
                <w:rFonts w:hint="eastAsia" w:ascii="Times New Roman" w:hAnsi="Times New Roman" w:eastAsia="宋体" w:cs="Times New Roman"/>
                <w:b/>
                <w:bCs/>
                <w:color w:val="auto"/>
                <w:kern w:val="0"/>
                <w:sz w:val="24"/>
                <w:szCs w:val="24"/>
                <w:u w:val="none" w:color="auto"/>
                <w:lang w:val="en-US" w:eastAsia="zh-CN" w:bidi="ar-SA"/>
              </w:rPr>
              <w:t>质量</w:t>
            </w:r>
          </w:p>
          <w:p>
            <w:pPr>
              <w:pStyle w:val="15"/>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b w:val="0"/>
                <w:bCs w:val="0"/>
                <w:color w:val="auto"/>
                <w:kern w:val="0"/>
                <w:sz w:val="24"/>
                <w:szCs w:val="24"/>
                <w:u w:val="none" w:color="auto"/>
                <w:lang w:val="en-US" w:eastAsia="zh-CN" w:bidi="ar-SA"/>
              </w:rPr>
            </w:pPr>
            <w:r>
              <w:rPr>
                <w:rFonts w:hint="default" w:ascii="Times New Roman" w:hAnsi="Times New Roman" w:eastAsia="宋体" w:cs="Times New Roman"/>
                <w:b w:val="0"/>
                <w:bCs w:val="0"/>
                <w:color w:val="auto"/>
                <w:kern w:val="0"/>
                <w:sz w:val="24"/>
                <w:szCs w:val="24"/>
                <w:u w:val="none" w:color="auto"/>
                <w:lang w:val="en-US" w:eastAsia="zh-CN" w:bidi="ar-SA"/>
              </w:rPr>
              <w:t>本项目位于</w:t>
            </w:r>
            <w:r>
              <w:rPr>
                <w:rFonts w:hint="eastAsia" w:ascii="Times New Roman" w:hAnsi="Times New Roman" w:cs="Times New Roman"/>
                <w:b w:val="0"/>
                <w:bCs w:val="0"/>
                <w:color w:val="auto"/>
                <w:kern w:val="0"/>
                <w:sz w:val="24"/>
                <w:szCs w:val="24"/>
                <w:u w:val="none" w:color="auto"/>
                <w:lang w:val="en-US" w:eastAsia="zh-CN" w:bidi="ar-SA"/>
              </w:rPr>
              <w:t>安阳市汤阴县中原路与宜兴大道交叉口东北方位</w:t>
            </w:r>
            <w:r>
              <w:rPr>
                <w:rFonts w:hint="eastAsia" w:ascii="Times New Roman" w:hAnsi="Times New Roman" w:eastAsia="宋体" w:cs="Times New Roman"/>
                <w:b w:val="0"/>
                <w:bCs w:val="0"/>
                <w:color w:val="auto"/>
                <w:kern w:val="0"/>
                <w:sz w:val="24"/>
                <w:szCs w:val="24"/>
                <w:u w:val="none" w:color="auto"/>
                <w:lang w:val="en-US" w:eastAsia="zh-CN" w:bidi="ar-SA"/>
              </w:rPr>
              <w:t>现有厂区内</w:t>
            </w:r>
            <w:r>
              <w:rPr>
                <w:rFonts w:hint="default" w:ascii="Times New Roman" w:hAnsi="Times New Roman" w:eastAsia="宋体" w:cs="Times New Roman"/>
                <w:b w:val="0"/>
                <w:bCs w:val="0"/>
                <w:color w:val="auto"/>
                <w:kern w:val="0"/>
                <w:sz w:val="24"/>
                <w:szCs w:val="24"/>
                <w:u w:val="none" w:color="auto"/>
                <w:lang w:val="en-US" w:eastAsia="zh-CN" w:bidi="ar-SA"/>
              </w:rPr>
              <w:t>，</w:t>
            </w:r>
            <w:r>
              <w:rPr>
                <w:rFonts w:hint="eastAsia" w:ascii="Times New Roman" w:hAnsi="Times New Roman" w:cs="Times New Roman"/>
                <w:b w:val="0"/>
                <w:bCs w:val="0"/>
                <w:color w:val="auto"/>
                <w:kern w:val="0"/>
                <w:sz w:val="24"/>
                <w:szCs w:val="24"/>
                <w:u w:val="none" w:color="auto"/>
                <w:lang w:val="en-US" w:eastAsia="zh-CN" w:bidi="ar-SA"/>
              </w:rPr>
              <w:t>根据</w:t>
            </w:r>
            <w:r>
              <w:rPr>
                <w:rFonts w:hint="default" w:ascii="Times New Roman" w:hAnsi="Times New Roman" w:eastAsia="宋体" w:cs="Times New Roman"/>
                <w:b w:val="0"/>
                <w:bCs w:val="0"/>
                <w:color w:val="auto"/>
                <w:kern w:val="0"/>
                <w:sz w:val="24"/>
                <w:szCs w:val="24"/>
                <w:u w:val="none" w:color="auto"/>
                <w:lang w:val="en-US" w:eastAsia="zh-CN" w:bidi="ar-SA"/>
              </w:rPr>
              <w:t>《汤阴县声环境功能区划（2021-2025）》</w:t>
            </w:r>
            <w:r>
              <w:rPr>
                <w:rFonts w:hint="eastAsia" w:ascii="Times New Roman" w:hAnsi="Times New Roman" w:eastAsia="宋体" w:cs="Times New Roman"/>
                <w:b w:val="0"/>
                <w:bCs w:val="0"/>
                <w:color w:val="auto"/>
                <w:kern w:val="0"/>
                <w:sz w:val="24"/>
                <w:szCs w:val="24"/>
                <w:u w:val="none" w:color="auto"/>
                <w:lang w:val="en-US" w:eastAsia="zh-CN" w:bidi="ar-SA"/>
              </w:rPr>
              <w:t>，本项目所属区域属于声环境3类区，环境噪声执行《声环境质量标准》(GB3096-2008)3类标准，即昼间≤65dB(A)、夜间&lt;55dB(A)。</w:t>
            </w:r>
          </w:p>
          <w:p>
            <w:pPr>
              <w:pStyle w:val="15"/>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val="0"/>
                <w:color w:val="auto"/>
                <w:kern w:val="0"/>
                <w:sz w:val="24"/>
                <w:szCs w:val="24"/>
                <w:u w:val="none" w:color="auto"/>
                <w:lang w:val="en-US" w:eastAsia="zh-CN" w:bidi="ar-SA"/>
              </w:rPr>
            </w:pPr>
            <w:r>
              <w:rPr>
                <w:rFonts w:hint="default" w:ascii="Times New Roman" w:hAnsi="Times New Roman" w:eastAsia="宋体" w:cs="Times New Roman"/>
                <w:b w:val="0"/>
                <w:bCs w:val="0"/>
                <w:color w:val="auto"/>
                <w:kern w:val="0"/>
                <w:sz w:val="24"/>
                <w:szCs w:val="24"/>
                <w:u w:val="none" w:color="auto"/>
                <w:lang w:val="en-US" w:eastAsia="zh-CN" w:bidi="ar-SA"/>
              </w:rPr>
              <w:t>距离本项目</w:t>
            </w:r>
            <w:r>
              <w:rPr>
                <w:rFonts w:hint="eastAsia" w:ascii="Times New Roman" w:hAnsi="Times New Roman" w:eastAsia="宋体" w:cs="Times New Roman"/>
                <w:b w:val="0"/>
                <w:bCs w:val="0"/>
                <w:color w:val="auto"/>
                <w:kern w:val="0"/>
                <w:sz w:val="24"/>
                <w:szCs w:val="24"/>
                <w:u w:val="none" w:color="auto"/>
                <w:lang w:val="en-US" w:eastAsia="zh-CN" w:bidi="ar-SA"/>
              </w:rPr>
              <w:t>厂址</w:t>
            </w:r>
            <w:r>
              <w:rPr>
                <w:rFonts w:hint="default" w:ascii="Times New Roman" w:hAnsi="Times New Roman" w:eastAsia="宋体" w:cs="Times New Roman"/>
                <w:b w:val="0"/>
                <w:bCs w:val="0"/>
                <w:color w:val="auto"/>
                <w:kern w:val="0"/>
                <w:sz w:val="24"/>
                <w:szCs w:val="24"/>
                <w:u w:val="none" w:color="auto"/>
                <w:lang w:val="en-US" w:eastAsia="zh-CN" w:bidi="ar-SA"/>
              </w:rPr>
              <w:t>最近的敏感点为</w:t>
            </w:r>
            <w:r>
              <w:rPr>
                <w:rFonts w:hint="eastAsia" w:ascii="Times New Roman" w:hAnsi="Times New Roman" w:eastAsia="宋体" w:cs="Times New Roman"/>
                <w:b w:val="0"/>
                <w:bCs w:val="0"/>
                <w:color w:val="auto"/>
                <w:kern w:val="0"/>
                <w:sz w:val="24"/>
                <w:szCs w:val="24"/>
                <w:u w:val="none" w:color="auto"/>
                <w:lang w:val="en-US" w:eastAsia="zh-CN" w:bidi="ar-SA"/>
              </w:rPr>
              <w:t>东侧200</w:t>
            </w:r>
            <w:r>
              <w:rPr>
                <w:rFonts w:hint="default" w:ascii="Times New Roman" w:hAnsi="Times New Roman" w:eastAsia="宋体" w:cs="Times New Roman"/>
                <w:b w:val="0"/>
                <w:bCs w:val="0"/>
                <w:color w:val="auto"/>
                <w:kern w:val="0"/>
                <w:sz w:val="24"/>
                <w:szCs w:val="24"/>
                <w:u w:val="none" w:color="auto"/>
                <w:lang w:val="en-US" w:eastAsia="zh-CN" w:bidi="ar-SA"/>
              </w:rPr>
              <w:t>m处的</w:t>
            </w:r>
            <w:r>
              <w:rPr>
                <w:rFonts w:hint="eastAsia" w:ascii="Times New Roman" w:hAnsi="Times New Roman" w:eastAsia="宋体" w:cs="Times New Roman"/>
                <w:b w:val="0"/>
                <w:bCs w:val="0"/>
                <w:color w:val="auto"/>
                <w:kern w:val="0"/>
                <w:sz w:val="24"/>
                <w:szCs w:val="24"/>
                <w:u w:val="none" w:color="auto"/>
                <w:lang w:val="en-US" w:eastAsia="zh-CN" w:bidi="ar-SA"/>
              </w:rPr>
              <w:t>将城村</w:t>
            </w:r>
            <w:r>
              <w:rPr>
                <w:rFonts w:hint="default" w:ascii="Times New Roman" w:hAnsi="Times New Roman" w:eastAsia="宋体" w:cs="Times New Roman"/>
                <w:b w:val="0"/>
                <w:bCs w:val="0"/>
                <w:color w:val="auto"/>
                <w:kern w:val="0"/>
                <w:sz w:val="24"/>
                <w:szCs w:val="24"/>
                <w:u w:val="none" w:color="auto"/>
                <w:lang w:val="en-US" w:eastAsia="zh-CN" w:bidi="ar-SA"/>
              </w:rPr>
              <w:t>，项目厂界外周边50m范围内不存在声环境保护目标，无需进行声环境现状监测。</w:t>
            </w:r>
          </w:p>
          <w:p>
            <w:pPr>
              <w:keepNext w:val="0"/>
              <w:keepLines w:val="0"/>
              <w:pageBreakBefore w:val="0"/>
              <w:numPr>
                <w:ilvl w:val="0"/>
                <w:numId w:val="0"/>
              </w:numPr>
              <w:suppressLineNumbers w:val="0"/>
              <w:tabs>
                <w:tab w:val="clear" w:pos="0"/>
                <w:tab w:val="clear" w:pos="2040"/>
              </w:tabs>
              <w:kinsoku/>
              <w:wordWrap/>
              <w:overflowPunct/>
              <w:topLinePunct w:val="0"/>
              <w:bidi w:val="0"/>
              <w:adjustRightInd w:val="0"/>
              <w:snapToGrid w:val="0"/>
              <w:spacing w:before="0" w:beforeAutospacing="0" w:after="0" w:afterAutospacing="0" w:line="360" w:lineRule="auto"/>
              <w:ind w:left="0" w:right="0"/>
              <w:textAlignment w:val="auto"/>
              <w:rPr>
                <w:rFonts w:hint="eastAsia" w:ascii="Times New Roman" w:hAnsi="Times New Roman" w:eastAsia="宋体" w:cs="Times New Roman"/>
                <w:b/>
                <w:bCs/>
                <w:color w:val="auto"/>
                <w:kern w:val="0"/>
                <w:sz w:val="24"/>
                <w:szCs w:val="24"/>
                <w:u w:val="none" w:color="auto"/>
                <w:lang w:val="en-US" w:eastAsia="zh-CN" w:bidi="ar-SA"/>
              </w:rPr>
            </w:pPr>
            <w:r>
              <w:rPr>
                <w:rFonts w:hint="eastAsia" w:ascii="Times New Roman" w:hAnsi="Times New Roman" w:eastAsia="宋体" w:cs="Times New Roman"/>
                <w:b/>
                <w:bCs/>
                <w:color w:val="auto"/>
                <w:kern w:val="0"/>
                <w:sz w:val="24"/>
                <w:szCs w:val="24"/>
                <w:lang w:val="en-US" w:eastAsia="zh-CN" w:bidi="ar-SA"/>
              </w:rPr>
              <w:t>4.</w:t>
            </w:r>
            <w:r>
              <w:rPr>
                <w:rFonts w:hint="eastAsia" w:ascii="Times New Roman" w:hAnsi="Times New Roman" w:eastAsia="宋体" w:cs="Times New Roman"/>
                <w:b/>
                <w:bCs/>
                <w:color w:val="auto"/>
                <w:kern w:val="0"/>
                <w:sz w:val="24"/>
                <w:szCs w:val="24"/>
                <w:u w:val="none" w:color="auto"/>
                <w:lang w:val="en-US" w:eastAsia="zh-CN" w:bidi="ar-SA"/>
              </w:rPr>
              <w:t>生态环境</w:t>
            </w:r>
          </w:p>
          <w:p>
            <w:pPr>
              <w:keepNext w:val="0"/>
              <w:keepLines w:val="0"/>
              <w:pageBreakBefore w:val="0"/>
              <w:widowControl/>
              <w:suppressLineNumbers w:val="0"/>
              <w:tabs>
                <w:tab w:val="left" w:pos="3377"/>
              </w:tabs>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bCs/>
                <w:color w:val="auto"/>
                <w:kern w:val="0"/>
                <w:sz w:val="24"/>
                <w:szCs w:val="24"/>
                <w:u w:val="none" w:color="auto"/>
                <w:lang w:val="en-US" w:eastAsia="zh-CN" w:bidi="ar-SA"/>
              </w:rPr>
            </w:pPr>
            <w:r>
              <w:rPr>
                <w:rFonts w:hint="default" w:ascii="Times New Roman" w:hAnsi="Times New Roman" w:eastAsia="宋体" w:cs="Times New Roman"/>
                <w:color w:val="auto"/>
                <w:kern w:val="2"/>
                <w:sz w:val="24"/>
                <w:szCs w:val="24"/>
                <w:highlight w:val="none"/>
                <w:u w:val="none"/>
                <w:lang w:val="en-US" w:eastAsia="zh-CN" w:bidi="ar-SA"/>
              </w:rPr>
              <w:t>本项目位于</w:t>
            </w:r>
            <w:r>
              <w:rPr>
                <w:rFonts w:hint="eastAsia" w:cs="Times New Roman"/>
                <w:color w:val="auto"/>
                <w:kern w:val="2"/>
                <w:sz w:val="24"/>
                <w:szCs w:val="24"/>
                <w:highlight w:val="none"/>
                <w:u w:val="none"/>
                <w:lang w:val="en-US" w:eastAsia="zh-CN" w:bidi="ar-SA"/>
              </w:rPr>
              <w:t>安阳市汤阴县中原路与宜兴大道交叉口东北方位</w:t>
            </w:r>
            <w:r>
              <w:rPr>
                <w:rFonts w:hint="default" w:ascii="Times New Roman" w:hAnsi="Times New Roman" w:eastAsia="宋体" w:cs="Times New Roman"/>
                <w:color w:val="auto"/>
                <w:kern w:val="2"/>
                <w:sz w:val="24"/>
                <w:szCs w:val="24"/>
                <w:highlight w:val="none"/>
                <w:u w:val="none"/>
                <w:lang w:val="en-US" w:eastAsia="zh-CN" w:bidi="ar-SA"/>
              </w:rPr>
              <w:t>，</w:t>
            </w:r>
            <w:r>
              <w:rPr>
                <w:rFonts w:hint="eastAsia" w:ascii="Times New Roman" w:hAnsi="Times New Roman" w:eastAsia="宋体" w:cs="Times New Roman"/>
                <w:color w:val="auto"/>
                <w:kern w:val="2"/>
                <w:sz w:val="24"/>
                <w:szCs w:val="24"/>
                <w:highlight w:val="none"/>
                <w:u w:val="none"/>
                <w:lang w:val="en-US" w:eastAsia="zh-CN" w:bidi="ar-SA"/>
              </w:rPr>
              <w:t>在现有厂房内建设</w:t>
            </w:r>
            <w:r>
              <w:rPr>
                <w:rFonts w:hint="default" w:ascii="Times New Roman" w:hAnsi="Times New Roman" w:eastAsia="宋体" w:cs="Times New Roman"/>
                <w:color w:val="auto"/>
                <w:kern w:val="2"/>
                <w:sz w:val="24"/>
                <w:szCs w:val="24"/>
                <w:highlight w:val="none"/>
                <w:u w:val="none"/>
                <w:lang w:val="en-US" w:eastAsia="zh-CN" w:bidi="ar-SA"/>
              </w:rPr>
              <w:t>，不涉及新增土地</w:t>
            </w:r>
            <w:r>
              <w:rPr>
                <w:rFonts w:hint="eastAsia" w:ascii="Times New Roman" w:hAnsi="Times New Roman" w:eastAsia="宋体" w:cs="Times New Roman"/>
                <w:color w:val="auto"/>
                <w:kern w:val="2"/>
                <w:sz w:val="24"/>
                <w:szCs w:val="24"/>
                <w:highlight w:val="none"/>
                <w:u w:val="none"/>
                <w:lang w:val="en-US" w:eastAsia="zh-CN" w:bidi="ar-SA"/>
              </w:rPr>
              <w:t>。</w:t>
            </w:r>
            <w:r>
              <w:rPr>
                <w:rFonts w:hint="default" w:ascii="Times New Roman" w:hAnsi="Times New Roman" w:eastAsia="宋体" w:cs="Times New Roman"/>
                <w:color w:val="auto"/>
                <w:kern w:val="2"/>
                <w:sz w:val="24"/>
                <w:szCs w:val="24"/>
                <w:highlight w:val="none"/>
                <w:u w:val="none"/>
                <w:lang w:val="en-US" w:eastAsia="zh-CN" w:bidi="ar-SA"/>
              </w:rPr>
              <w:t>项目周围主要为工业企业、农田以及村庄，地表植被主要为小麦、玉米等当地农作物，生态环境一般。项目周边500m范围内未发现列入《国家重点保护野生植物名录》和《国家重点保护野生动物名录》的动植物。</w:t>
            </w:r>
          </w:p>
          <w:p>
            <w:pPr>
              <w:keepNext w:val="0"/>
              <w:keepLines w:val="0"/>
              <w:pageBreakBefore w:val="0"/>
              <w:suppressLineNumbers w:val="0"/>
              <w:kinsoku/>
              <w:wordWrap/>
              <w:overflowPunct/>
              <w:topLinePunct w:val="0"/>
              <w:bidi w:val="0"/>
              <w:adjustRightInd w:val="0"/>
              <w:snapToGrid w:val="0"/>
              <w:spacing w:before="0" w:beforeAutospacing="0" w:after="0" w:afterAutospacing="0" w:line="360" w:lineRule="auto"/>
              <w:ind w:left="0" w:right="0"/>
              <w:textAlignment w:val="auto"/>
              <w:rPr>
                <w:rFonts w:hint="default" w:ascii="Times New Roman" w:hAnsi="Times New Roman" w:cs="Times New Roman"/>
                <w:b/>
                <w:color w:val="auto"/>
                <w:sz w:val="24"/>
                <w:szCs w:val="24"/>
              </w:rPr>
            </w:pPr>
            <w:r>
              <w:rPr>
                <w:rFonts w:hint="eastAsia" w:ascii="Times New Roman" w:hAnsi="Times New Roman" w:eastAsia="宋体" w:cs="Times New Roman"/>
                <w:b/>
                <w:bCs/>
                <w:color w:val="auto"/>
                <w:kern w:val="0"/>
                <w:sz w:val="24"/>
                <w:szCs w:val="24"/>
                <w:u w:val="none" w:color="auto"/>
                <w:lang w:val="en-US" w:eastAsia="zh-CN" w:bidi="ar-SA"/>
              </w:rPr>
              <w:t>5.</w:t>
            </w:r>
            <w:r>
              <w:rPr>
                <w:rFonts w:hint="default" w:ascii="Times New Roman" w:hAnsi="Times New Roman" w:cs="Times New Roman"/>
                <w:b/>
                <w:color w:val="auto"/>
                <w:sz w:val="24"/>
                <w:szCs w:val="24"/>
              </w:rPr>
              <w:t>土壤</w:t>
            </w:r>
            <w:r>
              <w:rPr>
                <w:rFonts w:hint="eastAsia" w:ascii="Times New Roman" w:hAnsi="Times New Roman" w:cs="Times New Roman"/>
                <w:b/>
                <w:color w:val="auto"/>
                <w:sz w:val="24"/>
                <w:szCs w:val="24"/>
                <w:lang w:eastAsia="zh-CN"/>
              </w:rPr>
              <w:t>、</w:t>
            </w:r>
            <w:r>
              <w:rPr>
                <w:rFonts w:hint="default" w:ascii="Times New Roman" w:hAnsi="Times New Roman" w:cs="Times New Roman"/>
                <w:b/>
                <w:color w:val="auto"/>
                <w:sz w:val="24"/>
                <w:szCs w:val="24"/>
              </w:rPr>
              <w:t>地下水环境质量现状</w:t>
            </w:r>
          </w:p>
          <w:p>
            <w:pPr>
              <w:keepNext w:val="0"/>
              <w:keepLines w:val="0"/>
              <w:pageBreakBefore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default" w:ascii="sans-serif" w:hAnsi="sans-serif" w:eastAsia="宋体" w:cs="sans-serif"/>
                <w:color w:val="auto"/>
                <w:sz w:val="24"/>
                <w:szCs w:val="24"/>
                <w:highlight w:val="none"/>
                <w:shd w:val="clear" w:color="auto" w:fill="FFFFFF"/>
              </w:rPr>
            </w:pPr>
            <w:r>
              <w:rPr>
                <w:rFonts w:hint="eastAsia" w:ascii="sans-serif" w:hAnsi="sans-serif" w:eastAsia="宋体" w:cs="sans-serif"/>
                <w:color w:val="auto"/>
                <w:sz w:val="24"/>
                <w:szCs w:val="24"/>
                <w:shd w:val="clear" w:color="auto" w:fill="FFFFFF"/>
              </w:rPr>
              <w:t>根据《建设项目环境影响报告表编制技术指南》（污染影响类）（试行）</w:t>
            </w:r>
            <w:r>
              <w:rPr>
                <w:rFonts w:hint="eastAsia" w:ascii="sans-serif" w:hAnsi="sans-serif" w:eastAsia="宋体" w:cs="sans-serif"/>
                <w:color w:val="auto"/>
                <w:sz w:val="24"/>
                <w:szCs w:val="24"/>
                <w:shd w:val="clear" w:color="auto" w:fill="FFFFFF"/>
                <w:lang w:eastAsia="zh-CN"/>
              </w:rPr>
              <w:t>“</w:t>
            </w:r>
            <w:r>
              <w:rPr>
                <w:rFonts w:hint="eastAsia" w:ascii="sans-serif" w:hAnsi="sans-serif" w:eastAsia="宋体" w:cs="sans-serif"/>
                <w:color w:val="auto"/>
                <w:sz w:val="24"/>
                <w:szCs w:val="24"/>
                <w:shd w:val="clear" w:color="auto" w:fill="FFFFFF"/>
              </w:rPr>
              <w:t>原则上不开展环境质量现状调查。建设项目存在土壤、</w:t>
            </w:r>
            <w:r>
              <w:rPr>
                <w:rFonts w:hint="eastAsia" w:ascii="sans-serif" w:hAnsi="sans-serif" w:eastAsia="宋体" w:cs="sans-serif"/>
                <w:color w:val="auto"/>
                <w:sz w:val="24"/>
                <w:szCs w:val="24"/>
                <w:highlight w:val="none"/>
                <w:shd w:val="clear" w:color="auto" w:fill="FFFFFF"/>
              </w:rPr>
              <w:t>地下水污染途径的，应结合污染源、环境保护目标分布情况开展现状调查以留作背景值</w:t>
            </w:r>
            <w:r>
              <w:rPr>
                <w:rFonts w:hint="eastAsia" w:ascii="sans-serif" w:hAnsi="sans-serif" w:eastAsia="宋体" w:cs="sans-serif"/>
                <w:color w:val="auto"/>
                <w:sz w:val="24"/>
                <w:szCs w:val="24"/>
                <w:highlight w:val="none"/>
                <w:shd w:val="clear" w:color="auto" w:fill="FFFFFF"/>
                <w:lang w:eastAsia="zh-CN"/>
              </w:rPr>
              <w:t>”</w:t>
            </w:r>
            <w:r>
              <w:rPr>
                <w:rFonts w:hint="eastAsia" w:ascii="sans-serif" w:hAnsi="sans-serif" w:eastAsia="宋体" w:cs="sans-serif"/>
                <w:color w:val="auto"/>
                <w:sz w:val="24"/>
                <w:szCs w:val="24"/>
                <w:highlight w:val="none"/>
                <w:shd w:val="clear" w:color="auto" w:fill="FFFFFF"/>
              </w:rPr>
              <w:t>。</w:t>
            </w:r>
            <w:r>
              <w:rPr>
                <w:rFonts w:hint="eastAsia" w:ascii="Times New Roman" w:hAnsi="宋体" w:cs="Times New Roman"/>
                <w:color w:val="auto"/>
                <w:sz w:val="24"/>
                <w:szCs w:val="24"/>
                <w:highlight w:val="none"/>
              </w:rPr>
              <w:t>本项目不涉及重点管控的重金属和持久性有机污染</w:t>
            </w:r>
            <w:r>
              <w:rPr>
                <w:rFonts w:hint="eastAsia" w:ascii="sans-serif" w:hAnsi="sans-serif" w:eastAsia="宋体" w:cs="sans-serif"/>
                <w:color w:val="auto"/>
                <w:sz w:val="24"/>
                <w:szCs w:val="24"/>
                <w:highlight w:val="none"/>
                <w:shd w:val="clear" w:color="auto" w:fill="FFFFFF"/>
              </w:rPr>
              <w:t>，</w:t>
            </w:r>
            <w:r>
              <w:rPr>
                <w:rFonts w:hint="eastAsia" w:ascii="sans-serif" w:hAnsi="sans-serif" w:eastAsia="宋体" w:cs="sans-serif"/>
                <w:color w:val="auto"/>
                <w:sz w:val="24"/>
                <w:szCs w:val="24"/>
                <w:highlight w:val="none"/>
                <w:shd w:val="clear" w:color="auto" w:fill="FFFFFF"/>
                <w:lang w:eastAsia="zh-CN"/>
              </w:rPr>
              <w:t>无需</w:t>
            </w:r>
            <w:r>
              <w:rPr>
                <w:rFonts w:hint="eastAsia" w:ascii="sans-serif" w:hAnsi="sans-serif" w:eastAsia="宋体" w:cs="sans-serif"/>
                <w:color w:val="auto"/>
                <w:sz w:val="24"/>
                <w:szCs w:val="24"/>
                <w:highlight w:val="none"/>
                <w:shd w:val="clear" w:color="auto" w:fill="FFFFFF"/>
              </w:rPr>
              <w:t>开展土壤、地下水环境现状调查。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5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4"/>
                <w:szCs w:val="24"/>
                <w:u w:val="none" w:color="auto"/>
              </w:rPr>
            </w:pPr>
            <w:r>
              <w:rPr>
                <w:rFonts w:hint="default" w:ascii="Times New Roman" w:hAnsi="Times New Roman" w:eastAsia="宋体" w:cs="Times New Roman"/>
                <w:color w:val="auto"/>
                <w:kern w:val="0"/>
                <w:sz w:val="24"/>
                <w:szCs w:val="24"/>
                <w:u w:val="none" w:color="auto"/>
              </w:rPr>
              <w:t>环境</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4"/>
                <w:szCs w:val="24"/>
                <w:u w:val="none" w:color="auto"/>
              </w:rPr>
            </w:pPr>
            <w:r>
              <w:rPr>
                <w:rFonts w:hint="default" w:ascii="Times New Roman" w:hAnsi="Times New Roman" w:eastAsia="宋体" w:cs="Times New Roman"/>
                <w:color w:val="auto"/>
                <w:kern w:val="0"/>
                <w:sz w:val="24"/>
                <w:szCs w:val="24"/>
                <w:u w:val="none" w:color="auto"/>
              </w:rPr>
              <w:t>保护</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4"/>
                <w:szCs w:val="24"/>
                <w:u w:val="none" w:color="auto"/>
              </w:rPr>
            </w:pPr>
            <w:r>
              <w:rPr>
                <w:rFonts w:hint="default" w:ascii="Times New Roman" w:hAnsi="Times New Roman" w:eastAsia="宋体" w:cs="Times New Roman"/>
                <w:color w:val="auto"/>
                <w:kern w:val="0"/>
                <w:sz w:val="24"/>
                <w:szCs w:val="24"/>
                <w:u w:val="none" w:color="auto"/>
              </w:rPr>
              <w:t>目标</w:t>
            </w:r>
          </w:p>
        </w:tc>
        <w:tc>
          <w:tcPr>
            <w:tcW w:w="860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eastAsia" w:ascii="Times New Roman" w:hAnsi="Times New Roman" w:eastAsia="宋体" w:cs="Times New Roman"/>
                <w:b/>
                <w:bCs/>
                <w:color w:val="auto"/>
                <w:sz w:val="24"/>
                <w:szCs w:val="24"/>
                <w:highlight w:val="none"/>
                <w:u w:val="none" w:color="auto"/>
                <w:lang w:eastAsia="zh-CN"/>
              </w:rPr>
            </w:pPr>
            <w:r>
              <w:rPr>
                <w:rFonts w:hint="eastAsia" w:ascii="Times New Roman" w:hAnsi="Times New Roman" w:eastAsia="宋体" w:cs="Times New Roman"/>
                <w:b/>
                <w:bCs/>
                <w:color w:val="auto"/>
                <w:sz w:val="24"/>
                <w:szCs w:val="24"/>
                <w:highlight w:val="none"/>
                <w:u w:val="none" w:color="auto"/>
                <w:lang w:val="en-US" w:eastAsia="zh-CN"/>
              </w:rPr>
              <w:t>1.</w:t>
            </w:r>
            <w:r>
              <w:rPr>
                <w:rFonts w:hint="eastAsia" w:ascii="Times New Roman" w:hAnsi="Times New Roman" w:eastAsia="宋体" w:cs="Times New Roman"/>
                <w:b/>
                <w:bCs/>
                <w:color w:val="auto"/>
                <w:sz w:val="24"/>
                <w:szCs w:val="24"/>
                <w:highlight w:val="none"/>
                <w:u w:val="none" w:color="auto"/>
                <w:lang w:eastAsia="zh-CN"/>
              </w:rPr>
              <w:t>大气环境</w:t>
            </w:r>
          </w:p>
          <w:p>
            <w:pPr>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outlineLvl w:val="9"/>
              <w:rPr>
                <w:rFonts w:hint="eastAsia" w:ascii="Times New Roman" w:hAnsi="Times New Roman" w:cs="Times New Roman"/>
                <w:b w:val="0"/>
                <w:bCs/>
                <w:color w:val="auto"/>
                <w:sz w:val="24"/>
                <w:szCs w:val="24"/>
                <w:highlight w:val="none"/>
                <w:u w:val="none" w:color="auto"/>
                <w:lang w:val="en-US" w:eastAsia="zh-CN"/>
              </w:rPr>
            </w:pPr>
            <w:r>
              <w:rPr>
                <w:rFonts w:hint="eastAsia" w:ascii="Times New Roman" w:hAnsi="Times New Roman" w:cs="Times New Roman"/>
                <w:b w:val="0"/>
                <w:bCs/>
                <w:color w:val="auto"/>
                <w:sz w:val="24"/>
                <w:szCs w:val="24"/>
                <w:highlight w:val="none"/>
                <w:u w:val="none" w:color="auto"/>
                <w:lang w:val="en-US" w:eastAsia="zh-CN"/>
              </w:rPr>
              <w:t>本项目</w:t>
            </w:r>
            <w:r>
              <w:rPr>
                <w:rFonts w:hint="eastAsia" w:ascii="Times New Roman" w:hAnsi="Times New Roman" w:cs="Times New Roman"/>
                <w:b w:val="0"/>
                <w:bCs/>
                <w:color w:val="auto"/>
                <w:sz w:val="24"/>
                <w:szCs w:val="24"/>
                <w:highlight w:val="none"/>
                <w:u w:val="none" w:color="auto"/>
                <w:lang w:eastAsia="zh-CN"/>
              </w:rPr>
              <w:t>大气</w:t>
            </w:r>
            <w:r>
              <w:rPr>
                <w:rFonts w:hint="default" w:ascii="Times New Roman" w:hAnsi="Times New Roman" w:cs="Times New Roman"/>
                <w:b w:val="0"/>
                <w:bCs/>
                <w:color w:val="auto"/>
                <w:sz w:val="24"/>
                <w:szCs w:val="24"/>
                <w:highlight w:val="none"/>
                <w:u w:val="none" w:color="auto"/>
              </w:rPr>
              <w:t>环境保护目标</w:t>
            </w:r>
            <w:r>
              <w:rPr>
                <w:rFonts w:hint="eastAsia" w:ascii="Times New Roman" w:hAnsi="Times New Roman" w:cs="Times New Roman"/>
                <w:b w:val="0"/>
                <w:bCs/>
                <w:color w:val="auto"/>
                <w:sz w:val="24"/>
                <w:szCs w:val="24"/>
                <w:highlight w:val="none"/>
                <w:u w:val="none" w:color="auto"/>
                <w:lang w:val="en-US" w:eastAsia="zh-CN"/>
              </w:rPr>
              <w:t>见下表。</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0"/>
                <w:sz w:val="24"/>
                <w:szCs w:val="24"/>
                <w:highlight w:val="none"/>
                <w:lang w:val="zh-CN" w:eastAsia="zh-CN"/>
              </w:rPr>
            </w:pPr>
            <w:r>
              <w:rPr>
                <w:rFonts w:hint="eastAsia" w:ascii="Times New Roman" w:hAnsi="Times New Roman" w:eastAsia="宋体" w:cs="Times New Roman"/>
                <w:b/>
                <w:bCs/>
                <w:color w:val="auto"/>
                <w:kern w:val="0"/>
                <w:sz w:val="24"/>
                <w:szCs w:val="24"/>
                <w:highlight w:val="none"/>
                <w:lang w:val="zh-CN"/>
              </w:rPr>
              <w:t>大气</w:t>
            </w:r>
            <w:r>
              <w:rPr>
                <w:rFonts w:hint="default" w:ascii="Times New Roman" w:hAnsi="Times New Roman" w:eastAsia="宋体" w:cs="Times New Roman"/>
                <w:b/>
                <w:bCs/>
                <w:color w:val="auto"/>
                <w:kern w:val="0"/>
                <w:sz w:val="24"/>
                <w:szCs w:val="24"/>
                <w:highlight w:val="none"/>
                <w:lang w:val="zh-CN"/>
              </w:rPr>
              <w:t>环境保护目标一览表</w:t>
            </w:r>
          </w:p>
          <w:tbl>
            <w:tblPr>
              <w:tblStyle w:val="27"/>
              <w:tblW w:w="8384" w:type="dxa"/>
              <w:jc w:val="center"/>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138"/>
              <w:gridCol w:w="2249"/>
              <w:gridCol w:w="1137"/>
              <w:gridCol w:w="286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13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 w:val="21"/>
                      <w:szCs w:val="21"/>
                      <w:highlight w:val="none"/>
                      <w:u w:val="none" w:color="auto"/>
                      <w:lang w:val="en-US" w:eastAsia="zh-CN"/>
                    </w:rPr>
                  </w:pPr>
                  <w:r>
                    <w:rPr>
                      <w:rFonts w:hint="eastAsia" w:ascii="Times New Roman" w:hAnsi="Times New Roman" w:eastAsia="宋体" w:cs="Times New Roman"/>
                      <w:b/>
                      <w:bCs/>
                      <w:color w:val="auto"/>
                      <w:sz w:val="21"/>
                      <w:szCs w:val="21"/>
                      <w:highlight w:val="none"/>
                      <w:lang w:val="en-US" w:eastAsia="zh-CN"/>
                    </w:rPr>
                    <w:t>类别</w:t>
                  </w:r>
                </w:p>
              </w:tc>
              <w:tc>
                <w:tcPr>
                  <w:tcW w:w="2249"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u w:val="none" w:color="auto"/>
                      <w:lang w:eastAsia="zh-CN"/>
                    </w:rPr>
                  </w:pPr>
                  <w:r>
                    <w:rPr>
                      <w:rFonts w:hint="default" w:ascii="Times New Roman" w:hAnsi="Times New Roman" w:eastAsia="宋体" w:cs="Times New Roman"/>
                      <w:b/>
                      <w:bCs/>
                      <w:color w:val="auto"/>
                      <w:sz w:val="21"/>
                      <w:szCs w:val="21"/>
                      <w:highlight w:val="none"/>
                      <w:u w:val="none" w:color="auto"/>
                      <w:lang w:eastAsia="zh-CN"/>
                    </w:rPr>
                    <w:t>保护对象</w:t>
                  </w:r>
                </w:p>
              </w:tc>
              <w:tc>
                <w:tcPr>
                  <w:tcW w:w="1137"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u w:val="none" w:color="auto"/>
                      <w:lang w:val="en-US" w:eastAsia="zh-CN"/>
                    </w:rPr>
                  </w:pPr>
                  <w:r>
                    <w:rPr>
                      <w:rFonts w:hint="default" w:ascii="Times New Roman" w:hAnsi="Times New Roman" w:eastAsia="宋体" w:cs="Times New Roman"/>
                      <w:b/>
                      <w:bCs/>
                      <w:color w:val="auto"/>
                      <w:sz w:val="21"/>
                      <w:szCs w:val="21"/>
                      <w:highlight w:val="none"/>
                    </w:rPr>
                    <w:t>方位</w:t>
                  </w:r>
                </w:p>
              </w:tc>
              <w:tc>
                <w:tcPr>
                  <w:tcW w:w="286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u w:val="none" w:color="auto"/>
                      <w:lang w:val="en-US"/>
                    </w:rPr>
                  </w:pPr>
                  <w:r>
                    <w:rPr>
                      <w:rFonts w:hint="eastAsia" w:ascii="Times New Roman" w:hAnsi="Times New Roman" w:eastAsia="宋体" w:cs="Times New Roman"/>
                      <w:b/>
                      <w:bCs/>
                      <w:color w:val="auto"/>
                      <w:sz w:val="21"/>
                      <w:szCs w:val="21"/>
                      <w:highlight w:val="none"/>
                      <w:lang w:eastAsia="zh-CN"/>
                    </w:rPr>
                    <w:t>相对厂址距离</w:t>
                  </w:r>
                  <w:r>
                    <w:rPr>
                      <w:rFonts w:hint="default" w:ascii="Times New Roman" w:hAnsi="Times New Roman" w:eastAsia="宋体" w:cs="Times New Roman"/>
                      <w:b/>
                      <w:bCs/>
                      <w:color w:val="auto"/>
                      <w:sz w:val="21"/>
                      <w:szCs w:val="21"/>
                      <w:highlight w:val="none"/>
                    </w:rPr>
                    <w:t>/m</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138" w:type="dxa"/>
                  <w:tcBorders>
                    <w:tl2br w:val="nil"/>
                    <w:tr2bl w:val="nil"/>
                  </w:tcBorders>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val="0"/>
                      <w:bCs w:val="0"/>
                      <w:color w:val="auto"/>
                      <w:sz w:val="21"/>
                      <w:szCs w:val="21"/>
                      <w:highlight w:val="none"/>
                      <w:u w:val="none" w:color="auto"/>
                      <w:lang w:val="en-US" w:eastAsia="zh-CN"/>
                    </w:rPr>
                  </w:pPr>
                  <w:r>
                    <w:rPr>
                      <w:rFonts w:hint="eastAsia" w:ascii="Times New Roman" w:hAnsi="Times New Roman" w:eastAsia="宋体" w:cs="Times New Roman"/>
                      <w:b w:val="0"/>
                      <w:bCs w:val="0"/>
                      <w:color w:val="auto"/>
                      <w:sz w:val="21"/>
                      <w:szCs w:val="21"/>
                      <w:highlight w:val="none"/>
                      <w:u w:val="none"/>
                      <w:lang w:val="en-US" w:eastAsia="zh-CN"/>
                    </w:rPr>
                    <w:t>大气环境</w:t>
                  </w:r>
                </w:p>
              </w:tc>
              <w:tc>
                <w:tcPr>
                  <w:tcW w:w="2249"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color w:val="auto"/>
                      <w:sz w:val="21"/>
                      <w:szCs w:val="21"/>
                      <w:highlight w:val="none"/>
                      <w:lang w:eastAsia="zh-CN"/>
                    </w:rPr>
                  </w:pPr>
                  <w:r>
                    <w:rPr>
                      <w:rFonts w:hint="eastAsia" w:ascii="Times New Roman" w:hAnsi="Times New Roman" w:eastAsia="宋体" w:cs="Times New Roman"/>
                      <w:b w:val="0"/>
                      <w:bCs w:val="0"/>
                      <w:color w:val="auto"/>
                      <w:sz w:val="21"/>
                      <w:szCs w:val="21"/>
                      <w:highlight w:val="none"/>
                      <w:lang w:eastAsia="zh-CN"/>
                    </w:rPr>
                    <w:t>将城村</w:t>
                  </w:r>
                </w:p>
              </w:tc>
              <w:tc>
                <w:tcPr>
                  <w:tcW w:w="1137" w:type="dxa"/>
                  <w:tcBorders>
                    <w:tl2br w:val="nil"/>
                    <w:tr2bl w:val="nil"/>
                  </w:tcBorders>
                  <w:vAlign w:val="center"/>
                </w:tcPr>
                <w:p>
                  <w:pPr>
                    <w:keepNext w:val="0"/>
                    <w:keepLines w:val="0"/>
                    <w:suppressLineNumbers w:val="0"/>
                    <w:autoSpaceDE w:val="0"/>
                    <w:autoSpaceDN w:val="0"/>
                    <w:spacing w:before="0" w:beforeAutospacing="0" w:after="0" w:afterAutospacing="0" w:line="360" w:lineRule="exact"/>
                    <w:ind w:left="0" w:right="0"/>
                    <w:jc w:val="center"/>
                    <w:rPr>
                      <w:rFonts w:hint="eastAsia" w:ascii="Times New Roman" w:hAnsi="Times New Roman" w:eastAsia="宋体" w:cs="Times New Roman"/>
                      <w:b w:val="0"/>
                      <w:bCs w:val="0"/>
                      <w:color w:val="auto"/>
                      <w:sz w:val="21"/>
                      <w:szCs w:val="21"/>
                      <w:highlight w:val="none"/>
                      <w:lang w:eastAsia="zh-CN"/>
                    </w:rPr>
                  </w:pPr>
                  <w:r>
                    <w:rPr>
                      <w:rFonts w:hint="eastAsia" w:ascii="Times New Roman" w:hAnsi="Times New Roman" w:cs="Times New Roman"/>
                      <w:b w:val="0"/>
                      <w:bCs w:val="0"/>
                      <w:color w:val="auto"/>
                      <w:sz w:val="21"/>
                      <w:szCs w:val="21"/>
                      <w:highlight w:val="none"/>
                      <w:lang w:eastAsia="zh-CN"/>
                    </w:rPr>
                    <w:t>东</w:t>
                  </w:r>
                </w:p>
              </w:tc>
              <w:tc>
                <w:tcPr>
                  <w:tcW w:w="2860" w:type="dxa"/>
                  <w:tcBorders>
                    <w:tl2br w:val="nil"/>
                    <w:tr2bl w:val="nil"/>
                  </w:tcBorders>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200</w:t>
                  </w:r>
                </w:p>
              </w:tc>
            </w:tr>
          </w:tbl>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eastAsia" w:ascii="Times New Roman" w:hAnsi="Times New Roman" w:eastAsia="宋体" w:cs="Times New Roman"/>
                <w:b/>
                <w:bCs w:val="0"/>
                <w:color w:val="auto"/>
                <w:sz w:val="24"/>
                <w:szCs w:val="24"/>
                <w:highlight w:val="none"/>
                <w:u w:val="none" w:color="auto"/>
                <w:lang w:val="zh-CN" w:eastAsia="zh-CN"/>
              </w:rPr>
            </w:pPr>
            <w:r>
              <w:rPr>
                <w:rFonts w:hint="eastAsia" w:ascii="Times New Roman" w:hAnsi="Times New Roman" w:eastAsia="宋体" w:cs="Times New Roman"/>
                <w:b/>
                <w:bCs w:val="0"/>
                <w:color w:val="auto"/>
                <w:sz w:val="24"/>
                <w:szCs w:val="24"/>
                <w:highlight w:val="none"/>
                <w:u w:val="none" w:color="auto"/>
                <w:lang w:val="en-US" w:eastAsia="zh-CN"/>
              </w:rPr>
              <w:t>2.声环境</w:t>
            </w:r>
          </w:p>
          <w:p>
            <w:pPr>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outlineLvl w:val="9"/>
              <w:rPr>
                <w:rFonts w:hint="eastAsia" w:ascii="Times New Roman" w:hAnsi="Times New Roman" w:eastAsia="宋体" w:cs="Times New Roman"/>
                <w:b w:val="0"/>
                <w:bCs/>
                <w:color w:val="auto"/>
                <w:sz w:val="24"/>
                <w:szCs w:val="24"/>
                <w:highlight w:val="none"/>
                <w:u w:val="none" w:color="auto"/>
                <w:lang w:val="zh-CN" w:eastAsia="zh-CN"/>
              </w:rPr>
            </w:pPr>
            <w:r>
              <w:rPr>
                <w:rFonts w:hint="eastAsia" w:ascii="Times New Roman" w:hAnsi="Times New Roman" w:eastAsia="宋体" w:cs="Times New Roman"/>
                <w:b w:val="0"/>
                <w:bCs/>
                <w:color w:val="auto"/>
                <w:sz w:val="24"/>
                <w:szCs w:val="24"/>
                <w:highlight w:val="none"/>
                <w:u w:val="none" w:color="auto"/>
                <w:lang w:val="en-US" w:eastAsia="zh-CN"/>
              </w:rPr>
              <w:t>项目厂界</w:t>
            </w:r>
            <w:r>
              <w:rPr>
                <w:rFonts w:hint="default" w:ascii="Times New Roman" w:hAnsi="Times New Roman" w:eastAsia="宋体" w:cs="Times New Roman"/>
                <w:b w:val="0"/>
                <w:bCs/>
                <w:color w:val="auto"/>
                <w:sz w:val="24"/>
                <w:szCs w:val="24"/>
                <w:highlight w:val="none"/>
                <w:u w:val="none" w:color="auto"/>
                <w:lang w:val="zh-CN" w:eastAsia="zh-CN"/>
              </w:rPr>
              <w:t>外50米</w:t>
            </w:r>
            <w:r>
              <w:rPr>
                <w:rFonts w:hint="eastAsia" w:ascii="Times New Roman" w:hAnsi="Times New Roman" w:eastAsia="宋体" w:cs="Times New Roman"/>
                <w:b w:val="0"/>
                <w:bCs/>
                <w:color w:val="auto"/>
                <w:sz w:val="24"/>
                <w:szCs w:val="24"/>
                <w:highlight w:val="none"/>
                <w:u w:val="none" w:color="auto"/>
                <w:lang w:val="zh-CN" w:eastAsia="zh-CN"/>
              </w:rPr>
              <w:t>范围</w:t>
            </w:r>
            <w:r>
              <w:rPr>
                <w:rFonts w:hint="default" w:ascii="Times New Roman" w:hAnsi="Times New Roman" w:eastAsia="宋体" w:cs="Times New Roman"/>
                <w:b w:val="0"/>
                <w:bCs/>
                <w:color w:val="auto"/>
                <w:sz w:val="24"/>
                <w:szCs w:val="24"/>
                <w:highlight w:val="none"/>
                <w:u w:val="none" w:color="auto"/>
                <w:lang w:val="zh-CN" w:eastAsia="zh-CN"/>
              </w:rPr>
              <w:t>内</w:t>
            </w:r>
            <w:r>
              <w:rPr>
                <w:rFonts w:hint="eastAsia" w:ascii="Times New Roman" w:hAnsi="Times New Roman" w:eastAsia="宋体" w:cs="Times New Roman"/>
                <w:b w:val="0"/>
                <w:bCs/>
                <w:color w:val="auto"/>
                <w:sz w:val="24"/>
                <w:szCs w:val="24"/>
                <w:highlight w:val="none"/>
                <w:u w:val="none" w:color="auto"/>
                <w:lang w:val="zh-CN" w:eastAsia="zh-CN"/>
              </w:rPr>
              <w:t>无</w:t>
            </w:r>
            <w:r>
              <w:rPr>
                <w:rFonts w:hint="default" w:ascii="Times New Roman" w:hAnsi="Times New Roman" w:eastAsia="宋体" w:cs="Times New Roman"/>
                <w:b w:val="0"/>
                <w:bCs/>
                <w:color w:val="auto"/>
                <w:sz w:val="24"/>
                <w:szCs w:val="24"/>
                <w:highlight w:val="none"/>
                <w:u w:val="none" w:color="auto"/>
                <w:lang w:val="zh-CN" w:eastAsia="zh-CN"/>
              </w:rPr>
              <w:t>声环境保护目标</w:t>
            </w:r>
            <w:r>
              <w:rPr>
                <w:rFonts w:hint="eastAsia" w:ascii="Times New Roman" w:hAnsi="Times New Roman" w:eastAsia="宋体" w:cs="Times New Roman"/>
                <w:b w:val="0"/>
                <w:bCs/>
                <w:color w:val="auto"/>
                <w:sz w:val="24"/>
                <w:szCs w:val="24"/>
                <w:highlight w:val="none"/>
                <w:u w:val="none" w:color="auto"/>
                <w:lang w:val="zh-CN" w:eastAsia="zh-CN"/>
              </w:rPr>
              <w:t>，不需进行监测。</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b/>
                <w:bCs w:val="0"/>
                <w:color w:val="auto"/>
                <w:sz w:val="24"/>
                <w:szCs w:val="24"/>
                <w:highlight w:val="none"/>
                <w:u w:val="none" w:color="auto"/>
                <w:lang w:val="zh-CN" w:eastAsia="zh-CN"/>
              </w:rPr>
            </w:pPr>
            <w:r>
              <w:rPr>
                <w:rFonts w:hint="eastAsia" w:ascii="Times New Roman" w:hAnsi="Times New Roman" w:eastAsia="宋体" w:cs="Times New Roman"/>
                <w:b/>
                <w:bCs w:val="0"/>
                <w:color w:val="auto"/>
                <w:sz w:val="24"/>
                <w:szCs w:val="24"/>
                <w:highlight w:val="none"/>
                <w:u w:val="none" w:color="auto"/>
                <w:lang w:val="en-US" w:eastAsia="zh-CN"/>
              </w:rPr>
              <w:t>3.</w:t>
            </w:r>
            <w:r>
              <w:rPr>
                <w:rFonts w:hint="default" w:ascii="Times New Roman" w:hAnsi="Times New Roman" w:eastAsia="宋体" w:cs="Times New Roman"/>
                <w:b/>
                <w:bCs w:val="0"/>
                <w:color w:val="auto"/>
                <w:sz w:val="24"/>
                <w:szCs w:val="24"/>
                <w:highlight w:val="none"/>
                <w:u w:val="none" w:color="auto"/>
                <w:lang w:val="zh-CN" w:eastAsia="zh-CN"/>
              </w:rPr>
              <w:t>地下水环境</w:t>
            </w:r>
          </w:p>
          <w:p>
            <w:pPr>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outlineLvl w:val="9"/>
              <w:rPr>
                <w:rFonts w:hint="default" w:ascii="Times New Roman" w:hAnsi="Times New Roman" w:eastAsia="宋体" w:cs="Times New Roman"/>
                <w:b w:val="0"/>
                <w:bCs/>
                <w:color w:val="auto"/>
                <w:sz w:val="24"/>
                <w:szCs w:val="24"/>
                <w:highlight w:val="none"/>
                <w:u w:val="none" w:color="auto"/>
                <w:lang w:val="zh-CN" w:eastAsia="zh-CN"/>
              </w:rPr>
            </w:pPr>
            <w:r>
              <w:rPr>
                <w:rFonts w:hint="default" w:ascii="Times New Roman" w:hAnsi="Times New Roman" w:eastAsia="宋体" w:cs="Times New Roman"/>
                <w:b w:val="0"/>
                <w:bCs/>
                <w:color w:val="auto"/>
                <w:sz w:val="24"/>
                <w:szCs w:val="24"/>
                <w:highlight w:val="none"/>
                <w:u w:val="none" w:color="auto"/>
                <w:lang w:val="zh-CN" w:eastAsia="zh-CN"/>
              </w:rPr>
              <w:t>项目厂界外500米</w:t>
            </w:r>
            <w:r>
              <w:rPr>
                <w:rFonts w:hint="eastAsia" w:ascii="Times New Roman" w:hAnsi="Times New Roman" w:eastAsia="宋体" w:cs="Times New Roman"/>
                <w:b w:val="0"/>
                <w:bCs/>
                <w:color w:val="auto"/>
                <w:sz w:val="24"/>
                <w:szCs w:val="24"/>
                <w:highlight w:val="none"/>
                <w:u w:val="none" w:color="auto"/>
                <w:lang w:val="zh-CN" w:eastAsia="zh-CN"/>
              </w:rPr>
              <w:t>范围</w:t>
            </w:r>
            <w:r>
              <w:rPr>
                <w:rFonts w:hint="default" w:ascii="Times New Roman" w:hAnsi="Times New Roman" w:eastAsia="宋体" w:cs="Times New Roman"/>
                <w:b w:val="0"/>
                <w:bCs/>
                <w:color w:val="auto"/>
                <w:sz w:val="24"/>
                <w:szCs w:val="24"/>
                <w:highlight w:val="none"/>
                <w:u w:val="none" w:color="auto"/>
                <w:lang w:val="zh-CN" w:eastAsia="zh-CN"/>
              </w:rPr>
              <w:t>内没有地下水集中式饮用水水源和热水、矿泉水、温泉等特殊地下水资源</w:t>
            </w:r>
            <w:r>
              <w:rPr>
                <w:rFonts w:hint="eastAsia" w:ascii="Times New Roman" w:hAnsi="Times New Roman" w:eastAsia="宋体" w:cs="Times New Roman"/>
                <w:b w:val="0"/>
                <w:bCs/>
                <w:color w:val="auto"/>
                <w:sz w:val="24"/>
                <w:szCs w:val="24"/>
                <w:highlight w:val="none"/>
                <w:u w:val="none" w:color="auto"/>
                <w:lang w:val="zh-CN" w:eastAsia="zh-CN"/>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b/>
                <w:bCs/>
                <w:color w:val="auto"/>
                <w:sz w:val="24"/>
                <w:szCs w:val="24"/>
                <w:highlight w:val="none"/>
                <w:u w:val="none" w:color="auto"/>
                <w:lang w:val="zh-CN" w:eastAsia="zh-CN"/>
              </w:rPr>
            </w:pPr>
            <w:r>
              <w:rPr>
                <w:rFonts w:hint="eastAsia" w:ascii="Times New Roman" w:hAnsi="Times New Roman" w:eastAsia="宋体" w:cs="Times New Roman"/>
                <w:b/>
                <w:bCs w:val="0"/>
                <w:color w:val="auto"/>
                <w:sz w:val="24"/>
                <w:szCs w:val="24"/>
                <w:highlight w:val="none"/>
                <w:u w:val="none" w:color="auto"/>
                <w:lang w:val="en-US" w:eastAsia="zh-CN"/>
              </w:rPr>
              <w:t>4.</w:t>
            </w:r>
            <w:r>
              <w:rPr>
                <w:rFonts w:hint="default" w:ascii="Times New Roman" w:hAnsi="Times New Roman" w:eastAsia="宋体" w:cs="Times New Roman"/>
                <w:b/>
                <w:bCs w:val="0"/>
                <w:color w:val="auto"/>
                <w:sz w:val="24"/>
                <w:szCs w:val="24"/>
                <w:highlight w:val="none"/>
                <w:u w:val="none" w:color="auto"/>
                <w:lang w:val="zh-CN" w:eastAsia="zh-CN"/>
              </w:rPr>
              <w:t>生态环境</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auto"/>
                <w:kern w:val="0"/>
                <w:sz w:val="24"/>
                <w:szCs w:val="24"/>
                <w:u w:val="none" w:color="auto"/>
                <w:lang w:eastAsia="zh-CN"/>
              </w:rPr>
            </w:pPr>
            <w:r>
              <w:rPr>
                <w:rFonts w:hint="default" w:ascii="Times New Roman" w:hAnsi="Times New Roman" w:eastAsia="宋体" w:cs="Times New Roman"/>
                <w:b w:val="0"/>
                <w:bCs/>
                <w:color w:val="auto"/>
                <w:sz w:val="24"/>
                <w:szCs w:val="24"/>
                <w:highlight w:val="none"/>
                <w:u w:val="none" w:color="auto"/>
                <w:lang w:val="zh-CN" w:eastAsia="zh-CN"/>
              </w:rPr>
              <w:t>本项目位于</w:t>
            </w:r>
            <w:r>
              <w:rPr>
                <w:rFonts w:hint="eastAsia" w:cs="Times New Roman"/>
                <w:b w:val="0"/>
                <w:bCs/>
                <w:color w:val="auto"/>
                <w:sz w:val="24"/>
                <w:szCs w:val="24"/>
                <w:highlight w:val="none"/>
                <w:u w:val="none" w:color="auto"/>
                <w:lang w:val="zh-CN" w:eastAsia="zh-CN"/>
              </w:rPr>
              <w:t>安阳市汤阴县中原路与宜兴大道交叉口东北方位</w:t>
            </w:r>
            <w:r>
              <w:rPr>
                <w:rFonts w:hint="eastAsia" w:ascii="Times New Roman" w:hAnsi="Times New Roman" w:eastAsia="宋体" w:cs="Times New Roman"/>
                <w:b w:val="0"/>
                <w:bCs/>
                <w:color w:val="auto"/>
                <w:sz w:val="24"/>
                <w:szCs w:val="24"/>
                <w:highlight w:val="none"/>
                <w:u w:val="none" w:color="auto"/>
                <w:lang w:val="zh-CN" w:eastAsia="zh-CN"/>
              </w:rPr>
              <w:t>现有厂区内，不新增用地，</w:t>
            </w:r>
            <w:r>
              <w:rPr>
                <w:rFonts w:hint="default" w:ascii="Times New Roman" w:hAnsi="Times New Roman" w:eastAsia="宋体" w:cs="Times New Roman"/>
                <w:b w:val="0"/>
                <w:bCs/>
                <w:color w:val="auto"/>
                <w:sz w:val="24"/>
                <w:szCs w:val="24"/>
                <w:highlight w:val="none"/>
                <w:u w:val="none" w:color="auto"/>
                <w:lang w:val="zh-CN" w:eastAsia="zh-CN"/>
              </w:rPr>
              <w:t>用地</w:t>
            </w:r>
            <w:r>
              <w:rPr>
                <w:rFonts w:hint="eastAsia" w:ascii="Times New Roman" w:hAnsi="Times New Roman" w:eastAsia="宋体" w:cs="Times New Roman"/>
                <w:b w:val="0"/>
                <w:bCs/>
                <w:color w:val="auto"/>
                <w:sz w:val="24"/>
                <w:szCs w:val="24"/>
                <w:highlight w:val="none"/>
                <w:u w:val="none" w:color="auto"/>
                <w:lang w:val="zh-CN" w:eastAsia="zh-CN"/>
              </w:rPr>
              <w:t>范围</w:t>
            </w:r>
            <w:r>
              <w:rPr>
                <w:rFonts w:hint="default" w:ascii="Times New Roman" w:hAnsi="Times New Roman" w:eastAsia="宋体" w:cs="Times New Roman"/>
                <w:b w:val="0"/>
                <w:bCs/>
                <w:color w:val="auto"/>
                <w:sz w:val="24"/>
                <w:szCs w:val="24"/>
                <w:highlight w:val="none"/>
                <w:u w:val="none" w:color="auto"/>
                <w:lang w:val="zh-CN" w:eastAsia="zh-CN"/>
              </w:rPr>
              <w:t>内不涉及生</w:t>
            </w:r>
            <w:r>
              <w:rPr>
                <w:rFonts w:hint="eastAsia" w:ascii="Times New Roman" w:hAnsi="Times New Roman" w:eastAsia="宋体" w:cs="Times New Roman"/>
                <w:b w:val="0"/>
                <w:bCs/>
                <w:color w:val="auto"/>
                <w:sz w:val="24"/>
                <w:szCs w:val="24"/>
                <w:highlight w:val="none"/>
                <w:u w:val="none" w:color="auto"/>
                <w:lang w:val="zh-CN" w:eastAsia="zh-CN"/>
              </w:rPr>
              <w:t>态</w:t>
            </w:r>
            <w:r>
              <w:rPr>
                <w:rFonts w:hint="default" w:ascii="Times New Roman" w:hAnsi="Times New Roman" w:eastAsia="宋体" w:cs="Times New Roman"/>
                <w:b w:val="0"/>
                <w:bCs/>
                <w:color w:val="auto"/>
                <w:sz w:val="24"/>
                <w:szCs w:val="24"/>
                <w:highlight w:val="none"/>
                <w:u w:val="none" w:color="auto"/>
                <w:lang w:val="zh-CN" w:eastAsia="zh-CN"/>
              </w:rPr>
              <w:t>环境保护目标</w:t>
            </w:r>
            <w:r>
              <w:rPr>
                <w:rFonts w:hint="eastAsia" w:ascii="Times New Roman" w:hAnsi="Times New Roman" w:eastAsia="宋体" w:cs="Times New Roman"/>
                <w:b w:val="0"/>
                <w:bCs/>
                <w:color w:val="auto"/>
                <w:sz w:val="24"/>
                <w:szCs w:val="24"/>
                <w:highlight w:val="none"/>
                <w:u w:val="none" w:color="auto"/>
                <w:lang w:val="zh-CN"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56" w:type="dxa"/>
            <w:tcMar>
              <w:left w:w="28" w:type="dxa"/>
              <w:right w:w="28"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4"/>
                <w:szCs w:val="24"/>
                <w:u w:val="none" w:color="auto"/>
              </w:rPr>
            </w:pPr>
            <w:r>
              <w:rPr>
                <w:rFonts w:hint="default" w:ascii="Times New Roman" w:hAnsi="Times New Roman" w:eastAsia="宋体" w:cs="Times New Roman"/>
                <w:color w:val="auto"/>
                <w:kern w:val="0"/>
                <w:sz w:val="24"/>
                <w:szCs w:val="24"/>
                <w:u w:val="none" w:color="auto"/>
              </w:rPr>
              <w:t>污染</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4"/>
                <w:szCs w:val="24"/>
                <w:u w:val="none" w:color="auto"/>
              </w:rPr>
            </w:pPr>
            <w:r>
              <w:rPr>
                <w:rFonts w:hint="default" w:ascii="Times New Roman" w:hAnsi="Times New Roman" w:eastAsia="宋体" w:cs="Times New Roman"/>
                <w:color w:val="auto"/>
                <w:kern w:val="0"/>
                <w:sz w:val="24"/>
                <w:szCs w:val="24"/>
                <w:u w:val="none" w:color="auto"/>
              </w:rPr>
              <w:t>物排</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4"/>
                <w:szCs w:val="24"/>
                <w:u w:val="none" w:color="auto"/>
              </w:rPr>
            </w:pPr>
            <w:r>
              <w:rPr>
                <w:rFonts w:hint="default" w:ascii="Times New Roman" w:hAnsi="Times New Roman" w:eastAsia="宋体" w:cs="Times New Roman"/>
                <w:color w:val="auto"/>
                <w:kern w:val="0"/>
                <w:sz w:val="24"/>
                <w:szCs w:val="24"/>
                <w:u w:val="none" w:color="auto"/>
              </w:rPr>
              <w:t>放控</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4"/>
                <w:szCs w:val="24"/>
                <w:u w:val="none" w:color="auto"/>
              </w:rPr>
            </w:pPr>
            <w:r>
              <w:rPr>
                <w:rFonts w:hint="default" w:ascii="Times New Roman" w:hAnsi="Times New Roman" w:eastAsia="宋体" w:cs="Times New Roman"/>
                <w:color w:val="auto"/>
                <w:kern w:val="0"/>
                <w:sz w:val="24"/>
                <w:szCs w:val="24"/>
                <w:u w:val="none" w:color="auto"/>
              </w:rPr>
              <w:t>制标</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4"/>
                <w:szCs w:val="24"/>
                <w:u w:val="none" w:color="auto"/>
              </w:rPr>
            </w:pPr>
            <w:r>
              <w:rPr>
                <w:rFonts w:hint="default" w:ascii="Times New Roman" w:hAnsi="Times New Roman" w:eastAsia="宋体" w:cs="Times New Roman"/>
                <w:color w:val="auto"/>
                <w:kern w:val="0"/>
                <w:sz w:val="24"/>
                <w:szCs w:val="24"/>
                <w:u w:val="none" w:color="auto"/>
              </w:rPr>
              <w:t>准</w:t>
            </w:r>
          </w:p>
        </w:tc>
        <w:tc>
          <w:tcPr>
            <w:tcW w:w="8605" w:type="dxa"/>
            <w:vAlign w:val="center"/>
          </w:tcPr>
          <w:p>
            <w:pPr>
              <w:keepNext w:val="0"/>
              <w:keepLines w:val="0"/>
              <w:numPr>
                <w:ilvl w:val="0"/>
                <w:numId w:val="0"/>
              </w:numPr>
              <w:suppressLineNumbers w:val="0"/>
              <w:tabs>
                <w:tab w:val="clear" w:pos="0"/>
                <w:tab w:val="clear" w:pos="2040"/>
              </w:tabs>
              <w:adjustRightInd w:val="0"/>
              <w:snapToGrid w:val="0"/>
              <w:spacing w:before="0" w:beforeAutospacing="0" w:after="0" w:afterAutospacing="0" w:line="360" w:lineRule="auto"/>
              <w:ind w:left="0" w:right="0"/>
              <w:jc w:val="left"/>
              <w:rPr>
                <w:rFonts w:hint="default" w:ascii="Times New Roman" w:hAnsi="Times New Roman" w:cs="Times New Roman"/>
                <w:b/>
                <w:bCs/>
                <w:color w:val="auto"/>
                <w:sz w:val="24"/>
                <w:szCs w:val="24"/>
              </w:rPr>
            </w:pPr>
            <w:r>
              <w:rPr>
                <w:rFonts w:hint="default" w:ascii="Times New Roman" w:hAnsi="Times New Roman" w:cs="Times New Roman"/>
                <w:b/>
                <w:bCs/>
                <w:color w:val="auto"/>
                <w:kern w:val="2"/>
                <w:sz w:val="24"/>
                <w:szCs w:val="24"/>
                <w:lang w:val="en-US" w:eastAsia="zh-CN" w:bidi="ar-SA"/>
              </w:rPr>
              <w:t>1.</w:t>
            </w:r>
            <w:r>
              <w:rPr>
                <w:rFonts w:hint="default" w:ascii="Times New Roman" w:hAnsi="Times New Roman" w:cs="Times New Roman"/>
                <w:b/>
                <w:bCs/>
                <w:color w:val="auto"/>
                <w:sz w:val="24"/>
                <w:szCs w:val="24"/>
              </w:rPr>
              <w:t>废气</w:t>
            </w:r>
          </w:p>
          <w:p>
            <w:pPr>
              <w:keepNext w:val="0"/>
              <w:keepLines w:val="0"/>
              <w:numPr>
                <w:ilvl w:val="0"/>
                <w:numId w:val="0"/>
              </w:numPr>
              <w:suppressLineNumbers w:val="0"/>
              <w:tabs>
                <w:tab w:val="clear" w:pos="0"/>
                <w:tab w:val="clear" w:pos="2040"/>
              </w:tabs>
              <w:adjustRightInd w:val="0"/>
              <w:snapToGrid w:val="0"/>
              <w:spacing w:before="0" w:beforeAutospacing="0" w:after="0" w:afterAutospacing="0" w:line="360" w:lineRule="auto"/>
              <w:ind w:left="0" w:right="0" w:firstLine="480" w:firstLineChars="200"/>
              <w:jc w:val="both"/>
              <w:rPr>
                <w:rFonts w:hint="eastAsia" w:ascii="Times New Roman" w:hAnsi="Times New Roman" w:cs="Times New Roman"/>
                <w:b w:val="0"/>
                <w:bCs w:val="0"/>
                <w:color w:val="auto"/>
                <w:sz w:val="24"/>
                <w:szCs w:val="24"/>
                <w:lang w:eastAsia="zh-CN"/>
              </w:rPr>
            </w:pPr>
            <w:r>
              <w:rPr>
                <w:rFonts w:hint="eastAsia" w:ascii="Times New Roman" w:hAnsi="Times New Roman" w:cs="Times New Roman"/>
                <w:b w:val="0"/>
                <w:bCs w:val="0"/>
                <w:color w:val="auto"/>
                <w:sz w:val="24"/>
                <w:szCs w:val="24"/>
                <w:lang w:eastAsia="zh-CN"/>
              </w:rPr>
              <w:t>本项目运营期产生废气主要为炒灰机上料废气、炒灰废气、危废间废气等。</w:t>
            </w:r>
          </w:p>
          <w:p>
            <w:pPr>
              <w:keepNext w:val="0"/>
              <w:keepLines w:val="0"/>
              <w:numPr>
                <w:ilvl w:val="0"/>
                <w:numId w:val="0"/>
              </w:numPr>
              <w:suppressLineNumbers w:val="0"/>
              <w:tabs>
                <w:tab w:val="clear" w:pos="0"/>
                <w:tab w:val="clear" w:pos="2040"/>
              </w:tabs>
              <w:adjustRightInd w:val="0"/>
              <w:snapToGrid w:val="0"/>
              <w:spacing w:before="0" w:beforeAutospacing="0" w:after="0" w:afterAutospacing="0" w:line="360" w:lineRule="auto"/>
              <w:ind w:left="0" w:right="0" w:firstLine="480" w:firstLineChars="200"/>
              <w:jc w:val="both"/>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eastAsia="zh-CN"/>
              </w:rPr>
              <w:t>炒灰机上料、炒灰过程中产生的颗粒物、氟化物、氯化物（氯化氢），执行《工业炉窑大气污染物排放标准》（DB41/1066-2020），同时满足《安阳市2019年工业大气污染治理5个专项实施方案》的通知（安环攻坚办〔2019〕196号文）及《河南省重污染天气通用行业应急减排措施制定技术指南》（2024年修订版）中涉PM企业引领性指标</w:t>
            </w:r>
            <w:r>
              <w:rPr>
                <w:rFonts w:hint="eastAsia" w:ascii="Times New Roman" w:hAnsi="Times New Roman" w:cs="Times New Roman"/>
                <w:b w:val="0"/>
                <w:bCs w:val="0"/>
                <w:color w:val="auto"/>
                <w:sz w:val="24"/>
                <w:szCs w:val="24"/>
                <w:lang w:val="en-US" w:eastAsia="zh-CN"/>
              </w:rPr>
              <w:t>。</w:t>
            </w:r>
          </w:p>
          <w:p>
            <w:pPr>
              <w:keepNext w:val="0"/>
              <w:keepLines w:val="0"/>
              <w:numPr>
                <w:ilvl w:val="0"/>
                <w:numId w:val="0"/>
              </w:numPr>
              <w:suppressLineNumbers w:val="0"/>
              <w:tabs>
                <w:tab w:val="clear" w:pos="0"/>
                <w:tab w:val="clear" w:pos="2040"/>
              </w:tabs>
              <w:adjustRightInd w:val="0"/>
              <w:snapToGrid w:val="0"/>
              <w:spacing w:before="0" w:beforeAutospacing="0" w:after="0" w:afterAutospacing="0" w:line="360" w:lineRule="auto"/>
              <w:ind w:left="0" w:right="0" w:firstLine="480" w:firstLineChars="200"/>
              <w:jc w:val="both"/>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危废间废气主要为二次熔炼渣</w:t>
            </w:r>
            <w:r>
              <w:rPr>
                <w:rFonts w:hint="eastAsia" w:cs="Times New Roman"/>
                <w:b w:val="0"/>
                <w:bCs w:val="0"/>
                <w:color w:val="auto"/>
                <w:sz w:val="24"/>
                <w:szCs w:val="24"/>
                <w:lang w:val="en-US" w:eastAsia="zh-CN"/>
              </w:rPr>
              <w:t>、除尘灰</w:t>
            </w:r>
            <w:r>
              <w:rPr>
                <w:rFonts w:hint="eastAsia" w:ascii="Times New Roman" w:hAnsi="Times New Roman" w:cs="Times New Roman"/>
                <w:b w:val="0"/>
                <w:bCs w:val="0"/>
                <w:color w:val="auto"/>
                <w:sz w:val="24"/>
                <w:szCs w:val="24"/>
                <w:lang w:val="en-US" w:eastAsia="zh-CN"/>
              </w:rPr>
              <w:t>中AlN与潮湿空气接触后产生的氨气，执行《恶臭污染物排放标准》（GB14554-93）表2中恶臭污染物排放标准限值。</w:t>
            </w:r>
          </w:p>
          <w:p>
            <w:pPr>
              <w:keepNext w:val="0"/>
              <w:keepLines w:val="0"/>
              <w:numPr>
                <w:ilvl w:val="0"/>
                <w:numId w:val="0"/>
              </w:numPr>
              <w:suppressLineNumbers w:val="0"/>
              <w:tabs>
                <w:tab w:val="clear" w:pos="0"/>
                <w:tab w:val="clear" w:pos="2040"/>
              </w:tabs>
              <w:adjustRightInd w:val="0"/>
              <w:snapToGrid w:val="0"/>
              <w:spacing w:before="0" w:beforeAutospacing="0" w:after="0" w:afterAutospacing="0" w:line="360" w:lineRule="auto"/>
              <w:ind w:left="0" w:right="0" w:firstLine="480" w:firstLineChars="200"/>
              <w:jc w:val="both"/>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炒灰机上料、炒灰废气与年产6万吨铝锌合金生产线扒渣工序共用一套耐高温高效覆膜袋式除尘器，合用一根18m高排气筒（DA066）排放，</w:t>
            </w:r>
            <w:r>
              <w:rPr>
                <w:rFonts w:hint="eastAsia" w:cs="Times New Roman"/>
                <w:b w:val="0"/>
                <w:bCs w:val="0"/>
                <w:color w:val="auto"/>
                <w:sz w:val="24"/>
                <w:szCs w:val="24"/>
                <w:lang w:val="en-US" w:eastAsia="zh-CN"/>
              </w:rPr>
              <w:t>污染物排放控制标准</w:t>
            </w:r>
            <w:r>
              <w:rPr>
                <w:rFonts w:hint="eastAsia" w:ascii="Times New Roman" w:hAnsi="Times New Roman" w:cs="Times New Roman"/>
                <w:b w:val="0"/>
                <w:bCs w:val="0"/>
                <w:color w:val="auto"/>
                <w:sz w:val="24"/>
                <w:szCs w:val="24"/>
                <w:lang w:val="en-US" w:eastAsia="zh-CN"/>
              </w:rPr>
              <w:t>详见下表：</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eastAsia="zh-CN"/>
              </w:rPr>
              <w:t>运营期</w:t>
            </w:r>
            <w:r>
              <w:rPr>
                <w:rFonts w:hint="default" w:ascii="Times New Roman" w:hAnsi="Times New Roman" w:eastAsia="宋体" w:cs="Times New Roman"/>
                <w:b/>
                <w:bCs/>
                <w:color w:val="auto"/>
                <w:sz w:val="24"/>
                <w:szCs w:val="24"/>
                <w:highlight w:val="none"/>
                <w:u w:val="none" w:color="auto"/>
                <w:lang w:eastAsia="zh-CN"/>
              </w:rPr>
              <w:t>污染物排放控制标准</w:t>
            </w:r>
            <w:r>
              <w:rPr>
                <w:rFonts w:hint="eastAsia" w:ascii="Times New Roman" w:hAnsi="Times New Roman" w:eastAsia="宋体" w:cs="Times New Roman"/>
                <w:b/>
                <w:bCs/>
                <w:color w:val="auto"/>
                <w:sz w:val="24"/>
                <w:szCs w:val="24"/>
                <w:highlight w:val="none"/>
                <w:u w:val="none" w:color="auto"/>
                <w:lang w:val="en-US" w:eastAsia="zh-CN"/>
              </w:rPr>
              <w:t>一览表</w:t>
            </w:r>
          </w:p>
          <w:tbl>
            <w:tblPr>
              <w:tblStyle w:val="27"/>
              <w:tblW w:w="8386" w:type="dxa"/>
              <w:jc w:val="center"/>
              <w:tblInd w:w="0" w:type="dxa"/>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3175"/>
              <w:gridCol w:w="1248"/>
              <w:gridCol w:w="661"/>
              <w:gridCol w:w="1251"/>
              <w:gridCol w:w="1025"/>
              <w:gridCol w:w="1026"/>
            </w:tblGrid>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jc w:val="center"/>
              </w:trPr>
              <w:tc>
                <w:tcPr>
                  <w:tcW w:w="3175" w:type="dxa"/>
                  <w:tcBorders>
                    <w:left w:val="nil"/>
                  </w:tcBorders>
                  <w:vAlign w:val="center"/>
                </w:tcPr>
                <w:p>
                  <w:pPr>
                    <w:keepNext w:val="0"/>
                    <w:keepLines w:val="0"/>
                    <w:widowControl w:val="0"/>
                    <w:suppressLineNumbers w:val="0"/>
                    <w:adjustRightInd w:val="0"/>
                    <w:snapToGrid w:val="0"/>
                    <w:spacing w:before="0" w:beforeAutospacing="0" w:after="0" w:afterAutospacing="0"/>
                    <w:ind w:left="0" w:right="0" w:firstLine="422" w:firstLineChars="20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评价标准</w:t>
                  </w:r>
                </w:p>
              </w:tc>
              <w:tc>
                <w:tcPr>
                  <w:tcW w:w="1248" w:type="dxa"/>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评价因子</w:t>
                  </w:r>
                </w:p>
              </w:tc>
              <w:tc>
                <w:tcPr>
                  <w:tcW w:w="1912" w:type="dxa"/>
                  <w:gridSpan w:val="2"/>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 w:val="21"/>
                      <w:szCs w:val="21"/>
                      <w:lang w:val="en-US"/>
                    </w:rPr>
                  </w:pPr>
                  <w:r>
                    <w:rPr>
                      <w:rFonts w:hint="eastAsia" w:ascii="宋体" w:hAnsi="宋体" w:eastAsia="宋体" w:cs="宋体"/>
                      <w:b/>
                      <w:bCs/>
                      <w:color w:val="auto"/>
                      <w:kern w:val="0"/>
                      <w:sz w:val="21"/>
                      <w:szCs w:val="21"/>
                      <w:lang w:val="en-US" w:eastAsia="zh-CN" w:bidi="ar"/>
                    </w:rPr>
                    <w:t>最高允许排放浓度</w:t>
                  </w:r>
                </w:p>
              </w:tc>
              <w:tc>
                <w:tcPr>
                  <w:tcW w:w="1025" w:type="dxa"/>
                  <w:vMerge w:val="restart"/>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排放口编号</w:t>
                  </w:r>
                </w:p>
              </w:tc>
              <w:tc>
                <w:tcPr>
                  <w:tcW w:w="1026" w:type="dxa"/>
                  <w:vMerge w:val="restart"/>
                  <w:tcBorders>
                    <w:right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备注</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6335" w:type="dxa"/>
                  <w:gridSpan w:val="4"/>
                  <w:tcBorders>
                    <w:left w:val="nil"/>
                    <w:right w:val="single" w:color="auto" w:sz="4" w:space="0"/>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有组织</w:t>
                  </w:r>
                </w:p>
              </w:tc>
              <w:tc>
                <w:tcPr>
                  <w:tcW w:w="1025" w:type="dxa"/>
                  <w:vMerge w:val="continue"/>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auto"/>
                      <w:kern w:val="0"/>
                      <w:sz w:val="21"/>
                      <w:szCs w:val="21"/>
                      <w:lang w:val="en-US" w:eastAsia="zh-CN" w:bidi="ar"/>
                    </w:rPr>
                  </w:pPr>
                </w:p>
              </w:tc>
              <w:tc>
                <w:tcPr>
                  <w:tcW w:w="1026" w:type="dxa"/>
                  <w:vMerge w:val="continue"/>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auto"/>
                      <w:kern w:val="0"/>
                      <w:sz w:val="21"/>
                      <w:szCs w:val="21"/>
                      <w:lang w:val="en-US" w:eastAsia="zh-CN" w:bidi="ar"/>
                    </w:rPr>
                  </w:pP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175" w:type="dxa"/>
                  <w:tcBorders>
                    <w:lef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
                    </w:rPr>
                  </w:pPr>
                  <w:r>
                    <w:rPr>
                      <w:rFonts w:hint="default" w:ascii="Times New Roman" w:hAnsi="Times New Roman" w:eastAsia="宋体" w:cs="Times New Roman"/>
                      <w:color w:val="auto"/>
                      <w:kern w:val="2"/>
                      <w:sz w:val="21"/>
                      <w:szCs w:val="21"/>
                      <w:highlight w:val="none"/>
                      <w:lang w:val="en-US" w:eastAsia="zh-CN" w:bidi="ar"/>
                    </w:rPr>
                    <w:t>《恶臭污染物排放标准》（GB14554-93）</w:t>
                  </w:r>
                </w:p>
              </w:tc>
              <w:tc>
                <w:tcPr>
                  <w:tcW w:w="1248" w:type="dxa"/>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氨气</w:t>
                  </w:r>
                </w:p>
              </w:tc>
              <w:tc>
                <w:tcPr>
                  <w:tcW w:w="661" w:type="dxa"/>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排放速率</w:t>
                  </w:r>
                </w:p>
              </w:tc>
              <w:tc>
                <w:tcPr>
                  <w:tcW w:w="1251" w:type="dxa"/>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7.18kg/h</w:t>
                  </w:r>
                </w:p>
              </w:tc>
              <w:tc>
                <w:tcPr>
                  <w:tcW w:w="1025" w:type="dxa"/>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DA063</w:t>
                  </w:r>
                </w:p>
              </w:tc>
              <w:tc>
                <w:tcPr>
                  <w:tcW w:w="1026" w:type="dxa"/>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15m高排气筒</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175" w:type="dxa"/>
                  <w:vMerge w:val="restart"/>
                  <w:tcBorders>
                    <w:lef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
                    </w:rPr>
                  </w:pPr>
                  <w:r>
                    <w:rPr>
                      <w:rFonts w:hint="default" w:ascii="Times New Roman" w:hAnsi="Times New Roman" w:eastAsia="宋体" w:cs="Times New Roman"/>
                      <w:color w:val="auto"/>
                      <w:kern w:val="2"/>
                      <w:sz w:val="21"/>
                      <w:szCs w:val="21"/>
                      <w:highlight w:val="none"/>
                      <w:lang w:val="en-US" w:eastAsia="zh-CN" w:bidi="ar"/>
                    </w:rPr>
                    <w:t>《工业炉窑大气污染物排放标准》（DB41/1066-2020）</w:t>
                  </w:r>
                </w:p>
              </w:tc>
              <w:tc>
                <w:tcPr>
                  <w:tcW w:w="1248" w:type="dxa"/>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颗粒物</w:t>
                  </w:r>
                </w:p>
              </w:tc>
              <w:tc>
                <w:tcPr>
                  <w:tcW w:w="1912" w:type="dxa"/>
                  <w:gridSpan w:val="2"/>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10</w:t>
                  </w:r>
                  <w:r>
                    <w:rPr>
                      <w:rFonts w:hint="default" w:ascii="Times New Roman" w:hAnsi="Times New Roman" w:eastAsia="宋体" w:cs="Times New Roman"/>
                      <w:color w:val="auto"/>
                      <w:kern w:val="0"/>
                      <w:sz w:val="21"/>
                      <w:szCs w:val="21"/>
                      <w:lang w:val="en-US" w:eastAsia="zh-CN" w:bidi="ar"/>
                    </w:rPr>
                    <w:t>mg/m</w:t>
                  </w:r>
                  <w:r>
                    <w:rPr>
                      <w:rFonts w:hint="default" w:ascii="Times New Roman" w:hAnsi="Times New Roman" w:eastAsia="宋体" w:cs="Times New Roman"/>
                      <w:color w:val="auto"/>
                      <w:kern w:val="0"/>
                      <w:sz w:val="21"/>
                      <w:szCs w:val="21"/>
                      <w:vertAlign w:val="superscript"/>
                      <w:lang w:val="en-US" w:eastAsia="zh-CN" w:bidi="ar"/>
                    </w:rPr>
                    <w:t>3</w:t>
                  </w:r>
                </w:p>
              </w:tc>
              <w:tc>
                <w:tcPr>
                  <w:tcW w:w="1025" w:type="dxa"/>
                  <w:vMerge w:val="restart"/>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DA066</w:t>
                  </w:r>
                </w:p>
              </w:tc>
              <w:tc>
                <w:tcPr>
                  <w:tcW w:w="1026" w:type="dxa"/>
                  <w:vMerge w:val="restart"/>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18</w:t>
                  </w:r>
                  <w:r>
                    <w:rPr>
                      <w:rFonts w:hint="eastAsia" w:ascii="Times New Roman" w:hAnsi="Times New Roman" w:eastAsia="宋体" w:cs="Times New Roman"/>
                      <w:color w:val="auto"/>
                      <w:kern w:val="0"/>
                      <w:sz w:val="21"/>
                      <w:szCs w:val="21"/>
                      <w:lang w:val="en-US" w:eastAsia="zh-CN" w:bidi="ar"/>
                    </w:rPr>
                    <w:t>m高排气筒</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175" w:type="dxa"/>
                  <w:vMerge w:val="continue"/>
                  <w:tcBorders>
                    <w:lef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
                    </w:rPr>
                  </w:pPr>
                </w:p>
              </w:tc>
              <w:tc>
                <w:tcPr>
                  <w:tcW w:w="1248" w:type="dxa"/>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氟化物</w:t>
                  </w:r>
                </w:p>
              </w:tc>
              <w:tc>
                <w:tcPr>
                  <w:tcW w:w="1912" w:type="dxa"/>
                  <w:gridSpan w:val="2"/>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6mg/m</w:t>
                  </w:r>
                  <w:r>
                    <w:rPr>
                      <w:rFonts w:hint="eastAsia" w:ascii="Times New Roman" w:hAnsi="Times New Roman" w:eastAsia="宋体" w:cs="Times New Roman"/>
                      <w:color w:val="auto"/>
                      <w:kern w:val="0"/>
                      <w:sz w:val="21"/>
                      <w:szCs w:val="21"/>
                      <w:vertAlign w:val="superscript"/>
                      <w:lang w:val="en-US" w:eastAsia="zh-CN" w:bidi="ar"/>
                    </w:rPr>
                    <w:t>3</w:t>
                  </w:r>
                </w:p>
              </w:tc>
              <w:tc>
                <w:tcPr>
                  <w:tcW w:w="1025" w:type="dxa"/>
                  <w:vMerge w:val="continue"/>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
                    </w:rPr>
                  </w:pPr>
                </w:p>
              </w:tc>
              <w:tc>
                <w:tcPr>
                  <w:tcW w:w="1026" w:type="dxa"/>
                  <w:vMerge w:val="continue"/>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1"/>
                      <w:szCs w:val="21"/>
                      <w:lang w:val="en-US" w:eastAsia="zh-CN" w:bidi="ar"/>
                    </w:rPr>
                  </w:pP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175" w:type="dxa"/>
                  <w:vMerge w:val="continue"/>
                  <w:tcBorders>
                    <w:lef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
                    </w:rPr>
                  </w:pPr>
                </w:p>
              </w:tc>
              <w:tc>
                <w:tcPr>
                  <w:tcW w:w="1248" w:type="dxa"/>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氯化物</w:t>
                  </w:r>
                </w:p>
                <w:p>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（氯化氢）</w:t>
                  </w:r>
                </w:p>
              </w:tc>
              <w:tc>
                <w:tcPr>
                  <w:tcW w:w="1912" w:type="dxa"/>
                  <w:gridSpan w:val="2"/>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30</w:t>
                  </w:r>
                  <w:r>
                    <w:rPr>
                      <w:rFonts w:hint="default" w:ascii="Times New Roman" w:hAnsi="Times New Roman" w:eastAsia="宋体" w:cs="Times New Roman"/>
                      <w:color w:val="auto"/>
                      <w:kern w:val="0"/>
                      <w:sz w:val="21"/>
                      <w:szCs w:val="21"/>
                      <w:lang w:val="en-US" w:eastAsia="zh-CN" w:bidi="ar"/>
                    </w:rPr>
                    <w:t>mg/m</w:t>
                  </w:r>
                  <w:r>
                    <w:rPr>
                      <w:rFonts w:hint="default" w:ascii="Times New Roman" w:hAnsi="Times New Roman" w:eastAsia="宋体" w:cs="Times New Roman"/>
                      <w:color w:val="auto"/>
                      <w:kern w:val="0"/>
                      <w:sz w:val="21"/>
                      <w:szCs w:val="21"/>
                      <w:vertAlign w:val="superscript"/>
                      <w:lang w:val="en-US" w:eastAsia="zh-CN" w:bidi="ar"/>
                    </w:rPr>
                    <w:t>3</w:t>
                  </w:r>
                </w:p>
              </w:tc>
              <w:tc>
                <w:tcPr>
                  <w:tcW w:w="1025" w:type="dxa"/>
                  <w:vMerge w:val="continue"/>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
                    </w:rPr>
                  </w:pPr>
                </w:p>
              </w:tc>
              <w:tc>
                <w:tcPr>
                  <w:tcW w:w="1026" w:type="dxa"/>
                  <w:vMerge w:val="continue"/>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1"/>
                      <w:szCs w:val="21"/>
                      <w:lang w:val="en-US" w:eastAsia="zh-CN" w:bidi="ar"/>
                    </w:rPr>
                  </w:pP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882" w:hRule="atLeast"/>
                <w:jc w:val="center"/>
              </w:trPr>
              <w:tc>
                <w:tcPr>
                  <w:tcW w:w="3175" w:type="dxa"/>
                  <w:tcBorders>
                    <w:lef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
                    </w:rPr>
                  </w:pPr>
                  <w:r>
                    <w:rPr>
                      <w:rFonts w:hint="eastAsia" w:ascii="Times New Roman" w:hAnsi="Times New Roman" w:cs="Times New Roman"/>
                      <w:color w:val="auto"/>
                    </w:rPr>
                    <w:t>《安阳市2019年工业大气污染治理5个专项实施方案》的通知（安环攻坚办〔2019〕196号文）</w:t>
                  </w:r>
                </w:p>
              </w:tc>
              <w:tc>
                <w:tcPr>
                  <w:tcW w:w="1248" w:type="dxa"/>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颗粒物</w:t>
                  </w:r>
                </w:p>
              </w:tc>
              <w:tc>
                <w:tcPr>
                  <w:tcW w:w="1912" w:type="dxa"/>
                  <w:gridSpan w:val="2"/>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10</w:t>
                  </w:r>
                  <w:r>
                    <w:rPr>
                      <w:rFonts w:hint="default" w:ascii="Times New Roman" w:hAnsi="Times New Roman" w:eastAsia="宋体" w:cs="Times New Roman"/>
                      <w:color w:val="auto"/>
                      <w:kern w:val="0"/>
                      <w:sz w:val="21"/>
                      <w:szCs w:val="21"/>
                      <w:lang w:val="en-US" w:eastAsia="zh-CN" w:bidi="ar"/>
                    </w:rPr>
                    <w:t>mg/m</w:t>
                  </w:r>
                  <w:r>
                    <w:rPr>
                      <w:rFonts w:hint="default" w:ascii="Times New Roman" w:hAnsi="Times New Roman" w:eastAsia="宋体" w:cs="Times New Roman"/>
                      <w:color w:val="auto"/>
                      <w:kern w:val="0"/>
                      <w:sz w:val="21"/>
                      <w:szCs w:val="21"/>
                      <w:vertAlign w:val="superscript"/>
                      <w:lang w:val="en-US" w:eastAsia="zh-CN" w:bidi="ar"/>
                    </w:rPr>
                    <w:t>3</w:t>
                  </w:r>
                </w:p>
              </w:tc>
              <w:tc>
                <w:tcPr>
                  <w:tcW w:w="1025" w:type="dxa"/>
                  <w:vMerge w:val="continue"/>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
                    </w:rPr>
                  </w:pPr>
                </w:p>
              </w:tc>
              <w:tc>
                <w:tcPr>
                  <w:tcW w:w="1026" w:type="dxa"/>
                  <w:vMerge w:val="continue"/>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1"/>
                      <w:szCs w:val="21"/>
                      <w:lang w:val="en-US" w:eastAsia="zh-CN" w:bidi="ar"/>
                    </w:rPr>
                  </w:pP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175" w:type="dxa"/>
                  <w:tcBorders>
                    <w:lef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color w:val="auto"/>
                      <w:kern w:val="0"/>
                      <w:sz w:val="21"/>
                      <w:szCs w:val="21"/>
                      <w:lang w:val="en-US" w:eastAsia="zh-CN" w:bidi="ar"/>
                    </w:rPr>
                  </w:pPr>
                  <w:r>
                    <w:rPr>
                      <w:rFonts w:hint="eastAsia" w:ascii="Times New Roman" w:hAnsi="Times New Roman" w:eastAsia="宋体" w:cs="Times New Roman"/>
                      <w:color w:val="auto"/>
                      <w:kern w:val="2"/>
                      <w:sz w:val="21"/>
                      <w:szCs w:val="21"/>
                      <w:highlight w:val="none"/>
                      <w:lang w:val="en-US" w:eastAsia="zh-CN" w:bidi="ar"/>
                    </w:rPr>
                    <w:t>《</w:t>
                  </w:r>
                  <w:r>
                    <w:rPr>
                      <w:rFonts w:hint="default" w:ascii="Times New Roman" w:hAnsi="Times New Roman" w:eastAsia="宋体" w:cs="Times New Roman"/>
                      <w:color w:val="auto"/>
                      <w:kern w:val="2"/>
                      <w:sz w:val="21"/>
                      <w:szCs w:val="21"/>
                      <w:highlight w:val="none"/>
                      <w:lang w:val="en-US" w:eastAsia="zh-CN" w:bidi="ar"/>
                    </w:rPr>
                    <w:t>河南省重污染天气通用行业应急减排措施制定技术指南</w:t>
                  </w:r>
                  <w:r>
                    <w:rPr>
                      <w:rFonts w:hint="eastAsia" w:ascii="Times New Roman" w:hAnsi="Times New Roman" w:eastAsia="宋体" w:cs="Times New Roman"/>
                      <w:color w:val="auto"/>
                      <w:kern w:val="2"/>
                      <w:sz w:val="21"/>
                      <w:szCs w:val="21"/>
                      <w:highlight w:val="none"/>
                      <w:lang w:val="en-US" w:eastAsia="zh-CN" w:bidi="ar"/>
                    </w:rPr>
                    <w:t>》</w:t>
                  </w:r>
                  <w:r>
                    <w:rPr>
                      <w:rFonts w:hint="default" w:ascii="Times New Roman" w:hAnsi="Times New Roman" w:eastAsia="宋体" w:cs="Times New Roman"/>
                      <w:color w:val="auto"/>
                      <w:kern w:val="2"/>
                      <w:sz w:val="21"/>
                      <w:szCs w:val="21"/>
                      <w:highlight w:val="none"/>
                      <w:lang w:val="en-US" w:eastAsia="zh-CN" w:bidi="ar"/>
                    </w:rPr>
                    <w:t>（2024年修订版）</w:t>
                  </w:r>
                </w:p>
              </w:tc>
              <w:tc>
                <w:tcPr>
                  <w:tcW w:w="1248" w:type="dxa"/>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颗粒物</w:t>
                  </w:r>
                </w:p>
              </w:tc>
              <w:tc>
                <w:tcPr>
                  <w:tcW w:w="1912" w:type="dxa"/>
                  <w:gridSpan w:val="2"/>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10</w:t>
                  </w:r>
                  <w:r>
                    <w:rPr>
                      <w:rFonts w:hint="default" w:ascii="Times New Roman" w:hAnsi="Times New Roman" w:eastAsia="宋体" w:cs="Times New Roman"/>
                      <w:color w:val="auto"/>
                      <w:kern w:val="0"/>
                      <w:sz w:val="21"/>
                      <w:szCs w:val="21"/>
                      <w:lang w:val="en-US" w:eastAsia="zh-CN" w:bidi="ar"/>
                    </w:rPr>
                    <w:t>mg/m</w:t>
                  </w:r>
                  <w:r>
                    <w:rPr>
                      <w:rFonts w:hint="default" w:ascii="Times New Roman" w:hAnsi="Times New Roman" w:eastAsia="宋体" w:cs="Times New Roman"/>
                      <w:color w:val="auto"/>
                      <w:kern w:val="0"/>
                      <w:sz w:val="21"/>
                      <w:szCs w:val="21"/>
                      <w:vertAlign w:val="superscript"/>
                      <w:lang w:val="en-US" w:eastAsia="zh-CN" w:bidi="ar"/>
                    </w:rPr>
                    <w:t>3</w:t>
                  </w:r>
                </w:p>
              </w:tc>
              <w:tc>
                <w:tcPr>
                  <w:tcW w:w="1025" w:type="dxa"/>
                  <w:vMerge w:val="continue"/>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
                    </w:rPr>
                  </w:pPr>
                </w:p>
              </w:tc>
              <w:tc>
                <w:tcPr>
                  <w:tcW w:w="1026" w:type="dxa"/>
                  <w:vMerge w:val="continue"/>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1"/>
                      <w:szCs w:val="21"/>
                      <w:lang w:val="en-US" w:eastAsia="zh-CN" w:bidi="ar"/>
                    </w:rPr>
                  </w:pP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jc w:val="center"/>
              </w:trPr>
              <w:tc>
                <w:tcPr>
                  <w:tcW w:w="3175" w:type="dxa"/>
                  <w:vMerge w:val="restart"/>
                  <w:tcBorders>
                    <w:lef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
                    </w:rPr>
                  </w:pPr>
                  <w:r>
                    <w:rPr>
                      <w:rFonts w:hint="eastAsia" w:ascii="Times New Roman" w:hAnsi="Times New Roman" w:eastAsia="宋体" w:cs="Times New Roman"/>
                      <w:b/>
                      <w:bCs/>
                      <w:color w:val="auto"/>
                      <w:kern w:val="2"/>
                      <w:sz w:val="21"/>
                      <w:szCs w:val="21"/>
                      <w:highlight w:val="none"/>
                      <w:lang w:val="en-US" w:eastAsia="zh-CN" w:bidi="ar"/>
                    </w:rPr>
                    <w:t>从严执行</w:t>
                  </w:r>
                </w:p>
              </w:tc>
              <w:tc>
                <w:tcPr>
                  <w:tcW w:w="1248" w:type="dxa"/>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颗粒物</w:t>
                  </w:r>
                </w:p>
              </w:tc>
              <w:tc>
                <w:tcPr>
                  <w:tcW w:w="1912" w:type="dxa"/>
                  <w:gridSpan w:val="2"/>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10</w:t>
                  </w:r>
                  <w:r>
                    <w:rPr>
                      <w:rFonts w:hint="default" w:ascii="Times New Roman" w:hAnsi="Times New Roman" w:eastAsia="宋体" w:cs="Times New Roman"/>
                      <w:color w:val="auto"/>
                      <w:kern w:val="0"/>
                      <w:sz w:val="21"/>
                      <w:szCs w:val="21"/>
                      <w:lang w:val="en-US" w:eastAsia="zh-CN" w:bidi="ar"/>
                    </w:rPr>
                    <w:t>mg/m</w:t>
                  </w:r>
                  <w:r>
                    <w:rPr>
                      <w:rFonts w:hint="default" w:ascii="Times New Roman" w:hAnsi="Times New Roman" w:eastAsia="宋体" w:cs="Times New Roman"/>
                      <w:color w:val="auto"/>
                      <w:kern w:val="0"/>
                      <w:sz w:val="21"/>
                      <w:szCs w:val="21"/>
                      <w:vertAlign w:val="superscript"/>
                      <w:lang w:val="en-US" w:eastAsia="zh-CN" w:bidi="ar"/>
                    </w:rPr>
                    <w:t>3</w:t>
                  </w:r>
                </w:p>
              </w:tc>
              <w:tc>
                <w:tcPr>
                  <w:tcW w:w="1025" w:type="dxa"/>
                  <w:vMerge w:val="continue"/>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
                    </w:rPr>
                  </w:pPr>
                </w:p>
              </w:tc>
              <w:tc>
                <w:tcPr>
                  <w:tcW w:w="1026" w:type="dxa"/>
                  <w:vMerge w:val="continue"/>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1"/>
                      <w:szCs w:val="21"/>
                      <w:lang w:val="en-US" w:eastAsia="zh-CN" w:bidi="ar"/>
                    </w:rPr>
                  </w:pP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jc w:val="center"/>
              </w:trPr>
              <w:tc>
                <w:tcPr>
                  <w:tcW w:w="3175" w:type="dxa"/>
                  <w:vMerge w:val="continue"/>
                  <w:tcBorders>
                    <w:lef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bCs/>
                      <w:color w:val="auto"/>
                      <w:kern w:val="2"/>
                      <w:sz w:val="21"/>
                      <w:szCs w:val="21"/>
                      <w:highlight w:val="none"/>
                      <w:lang w:val="en-US" w:eastAsia="zh-CN" w:bidi="ar"/>
                    </w:rPr>
                  </w:pPr>
                </w:p>
              </w:tc>
              <w:tc>
                <w:tcPr>
                  <w:tcW w:w="1248" w:type="dxa"/>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氟化物</w:t>
                  </w:r>
                </w:p>
              </w:tc>
              <w:tc>
                <w:tcPr>
                  <w:tcW w:w="1912" w:type="dxa"/>
                  <w:gridSpan w:val="2"/>
                  <w:vAlign w:val="center"/>
                </w:tcPr>
                <w:p>
                  <w:pPr>
                    <w:keepNext w:val="0"/>
                    <w:keepLines w:val="0"/>
                    <w:widowControl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3mg/m</w:t>
                  </w:r>
                  <w:r>
                    <w:rPr>
                      <w:rFonts w:hint="default" w:ascii="Times New Roman" w:hAnsi="Times New Roman" w:eastAsia="宋体" w:cs="Times New Roman"/>
                      <w:color w:val="auto"/>
                      <w:kern w:val="0"/>
                      <w:sz w:val="21"/>
                      <w:szCs w:val="21"/>
                      <w:vertAlign w:val="superscript"/>
                      <w:lang w:val="en-US" w:eastAsia="zh-CN" w:bidi="ar"/>
                    </w:rPr>
                    <w:t>3</w:t>
                  </w:r>
                </w:p>
              </w:tc>
              <w:tc>
                <w:tcPr>
                  <w:tcW w:w="1025" w:type="dxa"/>
                  <w:vMerge w:val="continue"/>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
                    </w:rPr>
                  </w:pPr>
                </w:p>
              </w:tc>
              <w:tc>
                <w:tcPr>
                  <w:tcW w:w="1026" w:type="dxa"/>
                  <w:vMerge w:val="continue"/>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1"/>
                      <w:szCs w:val="21"/>
                      <w:lang w:val="en-US" w:eastAsia="zh-CN" w:bidi="ar"/>
                    </w:rPr>
                  </w:pP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jc w:val="center"/>
              </w:trPr>
              <w:tc>
                <w:tcPr>
                  <w:tcW w:w="3175" w:type="dxa"/>
                  <w:vMerge w:val="continue"/>
                  <w:tcBorders>
                    <w:lef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bCs/>
                      <w:color w:val="auto"/>
                      <w:kern w:val="2"/>
                      <w:sz w:val="21"/>
                      <w:szCs w:val="21"/>
                      <w:highlight w:val="none"/>
                      <w:lang w:val="en-US" w:eastAsia="zh-CN" w:bidi="ar"/>
                    </w:rPr>
                  </w:pPr>
                </w:p>
              </w:tc>
              <w:tc>
                <w:tcPr>
                  <w:tcW w:w="1248" w:type="dxa"/>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氯化氢</w:t>
                  </w:r>
                </w:p>
              </w:tc>
              <w:tc>
                <w:tcPr>
                  <w:tcW w:w="1912" w:type="dxa"/>
                  <w:gridSpan w:val="2"/>
                  <w:vAlign w:val="center"/>
                </w:tcPr>
                <w:p>
                  <w:pPr>
                    <w:keepNext w:val="0"/>
                    <w:keepLines w:val="0"/>
                    <w:widowControl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30mg/m</w:t>
                  </w:r>
                  <w:r>
                    <w:rPr>
                      <w:rFonts w:hint="default" w:ascii="Times New Roman" w:hAnsi="Times New Roman" w:eastAsia="宋体" w:cs="Times New Roman"/>
                      <w:color w:val="auto"/>
                      <w:kern w:val="0"/>
                      <w:sz w:val="21"/>
                      <w:szCs w:val="21"/>
                      <w:vertAlign w:val="superscript"/>
                      <w:lang w:val="en-US" w:eastAsia="zh-CN" w:bidi="ar"/>
                    </w:rPr>
                    <w:t>3</w:t>
                  </w:r>
                </w:p>
              </w:tc>
              <w:tc>
                <w:tcPr>
                  <w:tcW w:w="1025" w:type="dxa"/>
                  <w:vMerge w:val="continue"/>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
                    </w:rPr>
                  </w:pPr>
                </w:p>
              </w:tc>
              <w:tc>
                <w:tcPr>
                  <w:tcW w:w="1026" w:type="dxa"/>
                  <w:vMerge w:val="continue"/>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1"/>
                      <w:szCs w:val="21"/>
                      <w:lang w:val="en-US" w:eastAsia="zh-CN" w:bidi="ar"/>
                    </w:rPr>
                  </w:pP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3175" w:type="dxa"/>
                  <w:vMerge w:val="continue"/>
                  <w:tcBorders>
                    <w:lef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bCs/>
                      <w:color w:val="auto"/>
                      <w:kern w:val="2"/>
                      <w:sz w:val="21"/>
                      <w:szCs w:val="21"/>
                      <w:highlight w:val="none"/>
                      <w:lang w:val="en-US" w:eastAsia="zh-CN" w:bidi="ar"/>
                    </w:rPr>
                  </w:pPr>
                </w:p>
              </w:tc>
              <w:tc>
                <w:tcPr>
                  <w:tcW w:w="1248" w:type="dxa"/>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氨气</w:t>
                  </w:r>
                </w:p>
              </w:tc>
              <w:tc>
                <w:tcPr>
                  <w:tcW w:w="661" w:type="dxa"/>
                  <w:vAlign w:val="center"/>
                </w:tcPr>
                <w:p>
                  <w:pPr>
                    <w:keepNext w:val="0"/>
                    <w:keepLines w:val="0"/>
                    <w:widowControl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
                    </w:rPr>
                  </w:pPr>
                  <w:r>
                    <w:rPr>
                      <w:rFonts w:hint="eastAsia" w:ascii="宋体" w:hAnsi="宋体" w:eastAsia="宋体" w:cs="宋体"/>
                      <w:color w:val="auto"/>
                      <w:kern w:val="0"/>
                      <w:sz w:val="21"/>
                      <w:szCs w:val="21"/>
                      <w:lang w:val="en-US" w:eastAsia="zh-CN" w:bidi="ar"/>
                    </w:rPr>
                    <w:t>排放速率</w:t>
                  </w:r>
                </w:p>
              </w:tc>
              <w:tc>
                <w:tcPr>
                  <w:tcW w:w="1251" w:type="dxa"/>
                  <w:vAlign w:val="center"/>
                </w:tcPr>
                <w:p>
                  <w:pPr>
                    <w:keepNext w:val="0"/>
                    <w:keepLines w:val="0"/>
                    <w:widowControl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7.18kg/h</w:t>
                  </w:r>
                </w:p>
              </w:tc>
              <w:tc>
                <w:tcPr>
                  <w:tcW w:w="1025" w:type="dxa"/>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DA063</w:t>
                  </w:r>
                </w:p>
              </w:tc>
              <w:tc>
                <w:tcPr>
                  <w:tcW w:w="1026" w:type="dxa"/>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15m高排气筒</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112" w:hRule="atLeast"/>
                <w:jc w:val="center"/>
              </w:trPr>
              <w:tc>
                <w:tcPr>
                  <w:tcW w:w="8386" w:type="dxa"/>
                  <w:gridSpan w:val="6"/>
                  <w:tcBorders>
                    <w:left w:val="nil"/>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无组织</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3175" w:type="dxa"/>
                  <w:vMerge w:val="restart"/>
                  <w:tcBorders>
                    <w:lef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w:t>
                  </w:r>
                  <w:r>
                    <w:rPr>
                      <w:rFonts w:hint="eastAsia" w:cs="Times New Roman"/>
                      <w:color w:val="auto"/>
                      <w:kern w:val="0"/>
                      <w:sz w:val="21"/>
                      <w:szCs w:val="21"/>
                      <w:lang w:eastAsia="zh-CN"/>
                    </w:rPr>
                    <w:t>大气污染物综合排放标准</w:t>
                  </w:r>
                  <w:r>
                    <w:rPr>
                      <w:rFonts w:hint="default" w:ascii="Times New Roman" w:hAnsi="Times New Roman" w:eastAsia="宋体" w:cs="Times New Roman"/>
                      <w:color w:val="auto"/>
                      <w:kern w:val="0"/>
                      <w:sz w:val="21"/>
                      <w:szCs w:val="21"/>
                    </w:rPr>
                    <w:t>》（GB</w:t>
                  </w:r>
                  <w:r>
                    <w:rPr>
                      <w:rFonts w:hint="eastAsia" w:cs="Times New Roman"/>
                      <w:color w:val="auto"/>
                      <w:kern w:val="0"/>
                      <w:sz w:val="21"/>
                      <w:szCs w:val="21"/>
                      <w:lang w:val="en-US" w:eastAsia="zh-CN"/>
                    </w:rPr>
                    <w:t>16297-1996</w:t>
                  </w:r>
                  <w:r>
                    <w:rPr>
                      <w:rFonts w:hint="default" w:ascii="Times New Roman" w:hAnsi="Times New Roman" w:eastAsia="宋体" w:cs="Times New Roman"/>
                      <w:color w:val="auto"/>
                      <w:kern w:val="0"/>
                      <w:sz w:val="21"/>
                      <w:szCs w:val="21"/>
                    </w:rPr>
                    <w:t>）</w:t>
                  </w:r>
                </w:p>
              </w:tc>
              <w:tc>
                <w:tcPr>
                  <w:tcW w:w="1248" w:type="dxa"/>
                  <w:vAlign w:val="center"/>
                </w:tcPr>
                <w:p>
                  <w:pPr>
                    <w:keepNext w:val="0"/>
                    <w:keepLines w:val="0"/>
                    <w:widowControl w:val="0"/>
                    <w:suppressLineNumbers w:val="0"/>
                    <w:autoSpaceDE w:val="0"/>
                    <w:autoSpaceDN/>
                    <w:adjustRightInd w:val="0"/>
                    <w:snapToGrid w:val="0"/>
                    <w:spacing w:before="0" w:beforeAutospacing="0" w:after="0" w:afterAutospacing="0"/>
                    <w:ind w:left="-105" w:leftChars="-50" w:right="-105" w:rightChars="-50"/>
                    <w:jc w:val="center"/>
                    <w:rPr>
                      <w:rFonts w:hint="eastAsia" w:ascii="Times New Roman" w:hAnsi="Times New Roman" w:eastAsia="宋体" w:cs="Times New Roman"/>
                      <w:color w:val="auto"/>
                      <w:kern w:val="0"/>
                      <w:sz w:val="21"/>
                      <w:szCs w:val="21"/>
                      <w:lang w:eastAsia="zh-CN"/>
                    </w:rPr>
                  </w:pPr>
                  <w:r>
                    <w:rPr>
                      <w:rFonts w:hint="eastAsia" w:ascii="宋体" w:hAnsi="宋体" w:eastAsia="宋体" w:cs="宋体"/>
                      <w:bCs/>
                      <w:color w:val="auto"/>
                      <w:spacing w:val="-10"/>
                      <w:kern w:val="2"/>
                      <w:sz w:val="21"/>
                      <w:szCs w:val="21"/>
                      <w:lang w:val="en-US" w:eastAsia="zh-CN" w:bidi="ar"/>
                    </w:rPr>
                    <w:t>氟化物</w:t>
                  </w:r>
                </w:p>
              </w:tc>
              <w:tc>
                <w:tcPr>
                  <w:tcW w:w="1912" w:type="dxa"/>
                  <w:gridSpan w:val="2"/>
                  <w:vAlign w:val="center"/>
                </w:tcPr>
                <w:p>
                  <w:pPr>
                    <w:keepNext w:val="0"/>
                    <w:keepLines w:val="0"/>
                    <w:widowControl w:val="0"/>
                    <w:suppressLineNumbers w:val="0"/>
                    <w:autoSpaceDE w:val="0"/>
                    <w:autoSpaceDN/>
                    <w:adjustRightInd w:val="0"/>
                    <w:snapToGrid w:val="0"/>
                    <w:spacing w:before="0" w:beforeAutospacing="0" w:after="0" w:afterAutospacing="0"/>
                    <w:ind w:left="-105" w:leftChars="-50" w:right="-105" w:rightChars="-50"/>
                    <w:jc w:val="center"/>
                    <w:rPr>
                      <w:rFonts w:hint="default" w:ascii="宋体" w:hAnsi="宋体" w:eastAsia="宋体" w:cs="宋体"/>
                      <w:color w:val="auto"/>
                      <w:kern w:val="0"/>
                      <w:sz w:val="21"/>
                      <w:szCs w:val="21"/>
                      <w:lang w:val="en-US" w:eastAsia="zh-CN" w:bidi="ar"/>
                    </w:rPr>
                  </w:pPr>
                  <w:r>
                    <w:rPr>
                      <w:rFonts w:hint="eastAsia" w:ascii="宋体" w:hAnsi="宋体" w:cs="宋体"/>
                      <w:b w:val="0"/>
                      <w:bCs/>
                      <w:color w:val="auto"/>
                      <w:kern w:val="2"/>
                      <w:sz w:val="21"/>
                      <w:szCs w:val="21"/>
                      <w:lang w:val="en-US" w:eastAsia="zh-CN" w:bidi="ar"/>
                    </w:rPr>
                    <w:t>周界外浓度最高点</w:t>
                  </w:r>
                  <w:r>
                    <w:rPr>
                      <w:rFonts w:hint="default" w:ascii="Times New Roman" w:hAnsi="Times New Roman" w:eastAsia="宋体" w:cs="Times New Roman"/>
                      <w:b w:val="0"/>
                      <w:bCs/>
                      <w:color w:val="auto"/>
                      <w:kern w:val="2"/>
                      <w:sz w:val="21"/>
                      <w:szCs w:val="21"/>
                      <w:lang w:val="en-US" w:eastAsia="zh-CN" w:bidi="ar"/>
                    </w:rPr>
                    <w:t>20μg/m</w:t>
                  </w:r>
                  <w:r>
                    <w:rPr>
                      <w:rFonts w:hint="default" w:ascii="Times New Roman" w:hAnsi="Times New Roman" w:eastAsia="宋体" w:cs="Times New Roman"/>
                      <w:b w:val="0"/>
                      <w:bCs/>
                      <w:color w:val="auto"/>
                      <w:kern w:val="2"/>
                      <w:sz w:val="21"/>
                      <w:szCs w:val="21"/>
                      <w:vertAlign w:val="superscript"/>
                      <w:lang w:val="en-US" w:eastAsia="zh-CN" w:bidi="ar"/>
                    </w:rPr>
                    <w:t>3</w:t>
                  </w:r>
                </w:p>
              </w:tc>
              <w:tc>
                <w:tcPr>
                  <w:tcW w:w="1025" w:type="dxa"/>
                  <w:vMerge w:val="restart"/>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w:t>
                  </w:r>
                </w:p>
              </w:tc>
              <w:tc>
                <w:tcPr>
                  <w:tcW w:w="1026" w:type="dxa"/>
                  <w:vMerge w:val="restart"/>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cs="Times New Roman"/>
                      <w:color w:val="auto"/>
                    </w:rPr>
                    <w:t>厂界</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3175" w:type="dxa"/>
                  <w:vMerge w:val="continue"/>
                  <w:tcBorders>
                    <w:lef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rPr>
                  </w:pPr>
                </w:p>
              </w:tc>
              <w:tc>
                <w:tcPr>
                  <w:tcW w:w="1248" w:type="dxa"/>
                  <w:vAlign w:val="center"/>
                </w:tcPr>
                <w:p>
                  <w:pPr>
                    <w:keepNext w:val="0"/>
                    <w:keepLines w:val="0"/>
                    <w:widowControl w:val="0"/>
                    <w:suppressLineNumbers w:val="0"/>
                    <w:autoSpaceDE w:val="0"/>
                    <w:autoSpaceDN/>
                    <w:adjustRightInd w:val="0"/>
                    <w:snapToGrid w:val="0"/>
                    <w:spacing w:before="0" w:beforeAutospacing="0" w:after="0" w:afterAutospacing="0"/>
                    <w:ind w:left="-105" w:leftChars="-50" w:right="-105" w:rightChars="-50"/>
                    <w:jc w:val="center"/>
                    <w:rPr>
                      <w:rFonts w:hint="eastAsia" w:ascii="宋体" w:hAnsi="宋体" w:eastAsia="宋体" w:cs="宋体"/>
                      <w:color w:val="auto"/>
                      <w:kern w:val="2"/>
                      <w:sz w:val="21"/>
                      <w:szCs w:val="21"/>
                      <w:lang w:val="en-US" w:eastAsia="zh-CN" w:bidi="ar"/>
                    </w:rPr>
                  </w:pPr>
                  <w:r>
                    <w:rPr>
                      <w:rFonts w:hint="eastAsia" w:ascii="宋体" w:hAnsi="宋体" w:eastAsia="宋体" w:cs="宋体"/>
                      <w:color w:val="auto"/>
                      <w:kern w:val="2"/>
                      <w:sz w:val="21"/>
                      <w:szCs w:val="21"/>
                      <w:lang w:val="en-US" w:eastAsia="zh-CN" w:bidi="ar"/>
                    </w:rPr>
                    <w:t>氯化物</w:t>
                  </w:r>
                </w:p>
                <w:p>
                  <w:pPr>
                    <w:keepNext w:val="0"/>
                    <w:keepLines w:val="0"/>
                    <w:widowControl w:val="0"/>
                    <w:suppressLineNumbers w:val="0"/>
                    <w:autoSpaceDE w:val="0"/>
                    <w:autoSpaceDN/>
                    <w:adjustRightInd w:val="0"/>
                    <w:snapToGrid w:val="0"/>
                    <w:spacing w:before="0" w:beforeAutospacing="0" w:after="0" w:afterAutospacing="0"/>
                    <w:ind w:left="-105" w:leftChars="-50" w:right="-105" w:rightChars="-50"/>
                    <w:jc w:val="center"/>
                    <w:rPr>
                      <w:rFonts w:hint="eastAsia" w:ascii="Times New Roman" w:hAnsi="Times New Roman" w:eastAsia="宋体" w:cs="Times New Roman"/>
                      <w:color w:val="auto"/>
                      <w:kern w:val="0"/>
                      <w:sz w:val="21"/>
                      <w:szCs w:val="21"/>
                      <w:lang w:eastAsia="zh-CN"/>
                    </w:rPr>
                  </w:pPr>
                  <w:r>
                    <w:rPr>
                      <w:rFonts w:hint="eastAsia" w:ascii="宋体" w:hAnsi="宋体" w:eastAsia="宋体" w:cs="宋体"/>
                      <w:color w:val="auto"/>
                      <w:kern w:val="2"/>
                      <w:sz w:val="21"/>
                      <w:szCs w:val="21"/>
                      <w:lang w:val="en-US" w:eastAsia="zh-CN" w:bidi="ar"/>
                    </w:rPr>
                    <w:t>（氯化氢）</w:t>
                  </w:r>
                </w:p>
              </w:tc>
              <w:tc>
                <w:tcPr>
                  <w:tcW w:w="1912" w:type="dxa"/>
                  <w:gridSpan w:val="2"/>
                  <w:vAlign w:val="center"/>
                </w:tcPr>
                <w:p>
                  <w:pPr>
                    <w:keepNext w:val="0"/>
                    <w:keepLines w:val="0"/>
                    <w:widowControl w:val="0"/>
                    <w:suppressLineNumbers w:val="0"/>
                    <w:autoSpaceDE w:val="0"/>
                    <w:autoSpaceDN/>
                    <w:adjustRightInd w:val="0"/>
                    <w:snapToGrid w:val="0"/>
                    <w:spacing w:before="0" w:beforeAutospacing="0" w:after="0" w:afterAutospacing="0"/>
                    <w:ind w:left="-105" w:leftChars="-50" w:right="-105" w:rightChars="-50"/>
                    <w:jc w:val="center"/>
                    <w:rPr>
                      <w:rFonts w:hint="eastAsia" w:ascii="Times New Roman" w:hAnsi="Times New Roman" w:eastAsia="宋体" w:cs="Times New Roman"/>
                      <w:color w:val="auto"/>
                      <w:kern w:val="0"/>
                      <w:sz w:val="21"/>
                      <w:szCs w:val="21"/>
                      <w:lang w:eastAsia="zh-CN"/>
                    </w:rPr>
                  </w:pPr>
                  <w:r>
                    <w:rPr>
                      <w:rFonts w:hint="eastAsia" w:cs="Times New Roman"/>
                      <w:b w:val="0"/>
                      <w:bCs/>
                      <w:color w:val="auto"/>
                      <w:kern w:val="2"/>
                      <w:sz w:val="21"/>
                      <w:szCs w:val="21"/>
                      <w:lang w:val="en-US" w:eastAsia="zh-CN" w:bidi="ar"/>
                    </w:rPr>
                    <w:t>周界外浓度最高点</w:t>
                  </w:r>
                  <w:r>
                    <w:rPr>
                      <w:rFonts w:hint="default" w:ascii="Times New Roman" w:hAnsi="Times New Roman" w:eastAsia="宋体" w:cs="Times New Roman"/>
                      <w:b w:val="0"/>
                      <w:bCs/>
                      <w:color w:val="auto"/>
                      <w:kern w:val="2"/>
                      <w:sz w:val="21"/>
                      <w:szCs w:val="21"/>
                      <w:lang w:val="en-US" w:eastAsia="zh-CN" w:bidi="ar"/>
                    </w:rPr>
                    <w:t>0.2mg/m</w:t>
                  </w:r>
                  <w:r>
                    <w:rPr>
                      <w:rFonts w:hint="default" w:ascii="Times New Roman" w:hAnsi="Times New Roman" w:eastAsia="宋体" w:cs="Times New Roman"/>
                      <w:b w:val="0"/>
                      <w:bCs/>
                      <w:color w:val="auto"/>
                      <w:kern w:val="2"/>
                      <w:sz w:val="21"/>
                      <w:szCs w:val="21"/>
                      <w:vertAlign w:val="superscript"/>
                      <w:lang w:val="en-US" w:eastAsia="zh-CN" w:bidi="ar"/>
                    </w:rPr>
                    <w:t>3</w:t>
                  </w:r>
                </w:p>
              </w:tc>
              <w:tc>
                <w:tcPr>
                  <w:tcW w:w="1025" w:type="dxa"/>
                  <w:vMerge w:val="continue"/>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1"/>
                      <w:szCs w:val="21"/>
                      <w:lang w:eastAsia="zh-CN"/>
                    </w:rPr>
                  </w:pPr>
                </w:p>
              </w:tc>
              <w:tc>
                <w:tcPr>
                  <w:tcW w:w="1026" w:type="dxa"/>
                  <w:vMerge w:val="continue"/>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1"/>
                      <w:szCs w:val="21"/>
                      <w:lang w:eastAsia="zh-CN"/>
                    </w:rPr>
                  </w:pP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3175" w:type="dxa"/>
                  <w:tcBorders>
                    <w:lef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rPr>
                  </w:pPr>
                  <w:r>
                    <w:rPr>
                      <w:rFonts w:hint="eastAsia" w:ascii="Times New Roman" w:hAnsi="Times New Roman" w:cs="Times New Roman"/>
                      <w:color w:val="auto"/>
                    </w:rPr>
                    <w:t>《恶臭污染物排放标准》（GB14554-93）</w:t>
                  </w:r>
                </w:p>
              </w:tc>
              <w:tc>
                <w:tcPr>
                  <w:tcW w:w="1248" w:type="dxa"/>
                  <w:vAlign w:val="center"/>
                </w:tcPr>
                <w:p>
                  <w:pPr>
                    <w:keepNext w:val="0"/>
                    <w:keepLines w:val="0"/>
                    <w:widowControl w:val="0"/>
                    <w:suppressLineNumbers w:val="0"/>
                    <w:autoSpaceDE w:val="0"/>
                    <w:autoSpaceDN/>
                    <w:adjustRightInd w:val="0"/>
                    <w:snapToGrid w:val="0"/>
                    <w:spacing w:before="0" w:beforeAutospacing="0" w:after="0" w:afterAutospacing="0"/>
                    <w:ind w:left="-105" w:leftChars="-50" w:right="-105" w:rightChars="-50"/>
                    <w:jc w:val="center"/>
                    <w:rPr>
                      <w:rFonts w:hint="eastAsia" w:ascii="宋体" w:hAnsi="宋体" w:eastAsia="宋体" w:cs="宋体"/>
                      <w:color w:val="auto"/>
                      <w:kern w:val="2"/>
                      <w:sz w:val="21"/>
                      <w:szCs w:val="21"/>
                      <w:lang w:val="en-US" w:eastAsia="zh-CN" w:bidi="ar"/>
                    </w:rPr>
                  </w:pPr>
                  <w:r>
                    <w:rPr>
                      <w:rFonts w:hint="eastAsia" w:ascii="宋体" w:hAnsi="宋体" w:eastAsia="宋体" w:cs="宋体"/>
                      <w:color w:val="auto"/>
                      <w:kern w:val="2"/>
                      <w:sz w:val="21"/>
                      <w:szCs w:val="21"/>
                      <w:lang w:val="en-US" w:eastAsia="zh-CN" w:bidi="ar"/>
                    </w:rPr>
                    <w:t>氨气</w:t>
                  </w:r>
                </w:p>
              </w:tc>
              <w:tc>
                <w:tcPr>
                  <w:tcW w:w="1912" w:type="dxa"/>
                  <w:gridSpan w:val="2"/>
                  <w:vAlign w:val="center"/>
                </w:tcPr>
                <w:p>
                  <w:pPr>
                    <w:keepNext w:val="0"/>
                    <w:keepLines w:val="0"/>
                    <w:widowControl w:val="0"/>
                    <w:suppressLineNumbers w:val="0"/>
                    <w:autoSpaceDE w:val="0"/>
                    <w:autoSpaceDN/>
                    <w:adjustRightInd w:val="0"/>
                    <w:snapToGrid w:val="0"/>
                    <w:spacing w:before="0" w:beforeAutospacing="0" w:after="0" w:afterAutospacing="0"/>
                    <w:ind w:left="-105" w:leftChars="-50" w:right="-105" w:rightChars="-50"/>
                    <w:jc w:val="center"/>
                    <w:rPr>
                      <w:rFonts w:hint="default" w:ascii="Times New Roman" w:hAnsi="Times New Roman" w:eastAsia="宋体" w:cs="Times New Roman"/>
                      <w:b w:val="0"/>
                      <w:bCs/>
                      <w:color w:val="auto"/>
                      <w:kern w:val="2"/>
                      <w:sz w:val="21"/>
                      <w:szCs w:val="21"/>
                      <w:lang w:val="en-US" w:eastAsia="zh-CN" w:bidi="ar"/>
                    </w:rPr>
                  </w:pPr>
                  <w:r>
                    <w:rPr>
                      <w:rFonts w:hint="default" w:ascii="Times New Roman" w:hAnsi="Times New Roman" w:eastAsia="宋体" w:cs="Times New Roman"/>
                      <w:b w:val="0"/>
                      <w:bCs/>
                      <w:color w:val="auto"/>
                      <w:kern w:val="2"/>
                      <w:sz w:val="21"/>
                      <w:szCs w:val="21"/>
                      <w:lang w:val="en-US" w:eastAsia="zh-CN" w:bidi="ar"/>
                    </w:rPr>
                    <w:t>1.5mg/m</w:t>
                  </w:r>
                  <w:r>
                    <w:rPr>
                      <w:rFonts w:hint="default" w:ascii="Times New Roman" w:hAnsi="Times New Roman" w:eastAsia="宋体" w:cs="Times New Roman"/>
                      <w:b w:val="0"/>
                      <w:bCs/>
                      <w:color w:val="auto"/>
                      <w:kern w:val="2"/>
                      <w:sz w:val="21"/>
                      <w:szCs w:val="21"/>
                      <w:vertAlign w:val="superscript"/>
                      <w:lang w:val="en-US" w:eastAsia="zh-CN" w:bidi="ar"/>
                    </w:rPr>
                    <w:t>3</w:t>
                  </w:r>
                </w:p>
              </w:tc>
              <w:tc>
                <w:tcPr>
                  <w:tcW w:w="1025" w:type="dxa"/>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w:t>
                  </w:r>
                </w:p>
              </w:tc>
              <w:tc>
                <w:tcPr>
                  <w:tcW w:w="1026" w:type="dxa"/>
                  <w:vMerge w:val="continue"/>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1"/>
                      <w:szCs w:val="21"/>
                      <w:lang w:eastAsia="zh-CN"/>
                    </w:rPr>
                  </w:pP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175" w:type="dxa"/>
                  <w:tcBorders>
                    <w:lef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《工业炉窑大气污染物排放标准》（DB41/1066-2020）</w:t>
                  </w:r>
                </w:p>
              </w:tc>
              <w:tc>
                <w:tcPr>
                  <w:tcW w:w="1248" w:type="dxa"/>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1"/>
                      <w:szCs w:val="21"/>
                      <w:lang w:eastAsia="zh-CN"/>
                    </w:rPr>
                  </w:pPr>
                  <w:r>
                    <w:rPr>
                      <w:rFonts w:hint="eastAsia" w:ascii="Times New Roman" w:hAnsi="Times New Roman" w:eastAsia="宋体" w:cs="Times New Roman"/>
                      <w:color w:val="auto"/>
                      <w:kern w:val="0"/>
                      <w:sz w:val="21"/>
                      <w:szCs w:val="21"/>
                      <w:lang w:eastAsia="zh-CN"/>
                    </w:rPr>
                    <w:t>颗粒物</w:t>
                  </w:r>
                </w:p>
              </w:tc>
              <w:tc>
                <w:tcPr>
                  <w:tcW w:w="1912" w:type="dxa"/>
                  <w:gridSpan w:val="2"/>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color w:val="auto"/>
                      <w:kern w:val="2"/>
                      <w:sz w:val="21"/>
                      <w:szCs w:val="21"/>
                      <w:highlight w:val="none"/>
                      <w:lang w:val="en-US" w:eastAsia="zh-CN" w:bidi="ar"/>
                    </w:rPr>
                  </w:pPr>
                  <w:r>
                    <w:rPr>
                      <w:rFonts w:hint="eastAsia" w:ascii="宋体" w:hAnsi="宋体" w:eastAsia="宋体" w:cs="宋体"/>
                      <w:color w:val="auto"/>
                      <w:kern w:val="0"/>
                      <w:sz w:val="21"/>
                      <w:szCs w:val="21"/>
                      <w:lang w:val="en-US" w:eastAsia="zh-CN" w:bidi="ar"/>
                    </w:rPr>
                    <w:t>周界外浓度最高点</w:t>
                  </w:r>
                  <w:r>
                    <w:rPr>
                      <w:rFonts w:hint="default" w:ascii="Times New Roman" w:hAnsi="Times New Roman" w:eastAsia="宋体" w:cs="Times New Roman"/>
                      <w:color w:val="auto"/>
                      <w:kern w:val="0"/>
                      <w:sz w:val="21"/>
                      <w:szCs w:val="21"/>
                      <w:lang w:val="en-US" w:eastAsia="zh-CN" w:bidi="ar"/>
                    </w:rPr>
                    <w:t>1.0mg/m</w:t>
                  </w:r>
                  <w:r>
                    <w:rPr>
                      <w:rFonts w:hint="default" w:ascii="Times New Roman" w:hAnsi="Times New Roman" w:eastAsia="宋体" w:cs="Times New Roman"/>
                      <w:color w:val="auto"/>
                      <w:kern w:val="0"/>
                      <w:sz w:val="21"/>
                      <w:szCs w:val="21"/>
                      <w:vertAlign w:val="superscript"/>
                      <w:lang w:val="en-US" w:eastAsia="zh-CN" w:bidi="ar"/>
                    </w:rPr>
                    <w:t>3</w:t>
                  </w:r>
                </w:p>
              </w:tc>
              <w:tc>
                <w:tcPr>
                  <w:tcW w:w="1025" w:type="dxa"/>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w:t>
                  </w:r>
                </w:p>
              </w:tc>
              <w:tc>
                <w:tcPr>
                  <w:tcW w:w="1026" w:type="dxa"/>
                  <w:vMerge w:val="continue"/>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
                    </w:rPr>
                  </w:pP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175" w:type="dxa"/>
                  <w:tcBorders>
                    <w:lef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《安阳市2019年工业企业无组织排放污染治理实施方案》</w:t>
                  </w:r>
                </w:p>
              </w:tc>
              <w:tc>
                <w:tcPr>
                  <w:tcW w:w="1248" w:type="dxa"/>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1"/>
                      <w:szCs w:val="21"/>
                      <w:lang w:eastAsia="zh-CN"/>
                    </w:rPr>
                  </w:pPr>
                  <w:r>
                    <w:rPr>
                      <w:rFonts w:hint="eastAsia" w:ascii="Times New Roman" w:hAnsi="Times New Roman" w:eastAsia="宋体" w:cs="Times New Roman"/>
                      <w:color w:val="auto"/>
                      <w:kern w:val="0"/>
                      <w:sz w:val="21"/>
                      <w:szCs w:val="21"/>
                      <w:lang w:eastAsia="zh-CN"/>
                    </w:rPr>
                    <w:t>颗粒物</w:t>
                  </w:r>
                </w:p>
              </w:tc>
              <w:tc>
                <w:tcPr>
                  <w:tcW w:w="1912" w:type="dxa"/>
                  <w:gridSpan w:val="2"/>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color w:val="auto"/>
                      <w:kern w:val="0"/>
                      <w:sz w:val="21"/>
                      <w:szCs w:val="21"/>
                      <w:vertAlign w:val="baseline"/>
                    </w:rPr>
                  </w:pPr>
                  <w:r>
                    <w:rPr>
                      <w:rFonts w:hint="default" w:ascii="Times New Roman" w:hAnsi="Times New Roman" w:eastAsia="宋体" w:cs="Times New Roman"/>
                      <w:color w:val="auto"/>
                      <w:kern w:val="2"/>
                      <w:sz w:val="21"/>
                      <w:szCs w:val="21"/>
                      <w:highlight w:val="none"/>
                      <w:lang w:val="en-US" w:eastAsia="zh-CN" w:bidi="ar"/>
                    </w:rPr>
                    <w:t>企业厂界边界颗粒物浓度不超过0.5mg/m</w:t>
                  </w:r>
                  <w:r>
                    <w:rPr>
                      <w:rFonts w:hint="default" w:ascii="Times New Roman" w:hAnsi="Times New Roman" w:eastAsia="宋体" w:cs="Times New Roman"/>
                      <w:color w:val="auto"/>
                      <w:kern w:val="2"/>
                      <w:sz w:val="21"/>
                      <w:szCs w:val="21"/>
                      <w:highlight w:val="none"/>
                      <w:vertAlign w:val="superscript"/>
                      <w:lang w:val="en-US" w:eastAsia="zh-CN" w:bidi="ar"/>
                    </w:rPr>
                    <w:t>3</w:t>
                  </w:r>
                  <w:r>
                    <w:rPr>
                      <w:rFonts w:hint="default" w:ascii="Times New Roman" w:hAnsi="Times New Roman" w:eastAsia="宋体" w:cs="Times New Roman"/>
                      <w:color w:val="auto"/>
                      <w:kern w:val="2"/>
                      <w:sz w:val="21"/>
                      <w:szCs w:val="21"/>
                      <w:highlight w:val="none"/>
                      <w:lang w:val="en-US" w:eastAsia="zh-CN" w:bidi="ar"/>
                    </w:rPr>
                    <w:t>，厂房车间内产尘点周边1米处（车间封闭并安装顶吸的为车间门口）颗粒物浓度小于2.0mg/m</w:t>
                  </w:r>
                  <w:r>
                    <w:rPr>
                      <w:rFonts w:hint="default" w:ascii="Times New Roman" w:hAnsi="Times New Roman" w:eastAsia="宋体" w:cs="Times New Roman"/>
                      <w:color w:val="auto"/>
                      <w:kern w:val="2"/>
                      <w:sz w:val="21"/>
                      <w:szCs w:val="21"/>
                      <w:highlight w:val="none"/>
                      <w:vertAlign w:val="superscript"/>
                      <w:lang w:val="en-US" w:eastAsia="zh-CN" w:bidi="ar"/>
                    </w:rPr>
                    <w:t>3</w:t>
                  </w:r>
                  <w:r>
                    <w:rPr>
                      <w:rFonts w:hint="eastAsia" w:ascii="Times New Roman" w:hAnsi="Times New Roman" w:eastAsia="宋体" w:cs="Times New Roman"/>
                      <w:color w:val="auto"/>
                      <w:kern w:val="2"/>
                      <w:sz w:val="21"/>
                      <w:szCs w:val="21"/>
                      <w:highlight w:val="none"/>
                      <w:vertAlign w:val="baseline"/>
                      <w:lang w:val="en-US" w:eastAsia="zh-CN" w:bidi="ar"/>
                    </w:rPr>
                    <w:t>，全厂各车间不能有可见烟粉尘外逸</w:t>
                  </w:r>
                </w:p>
              </w:tc>
              <w:tc>
                <w:tcPr>
                  <w:tcW w:w="1025" w:type="dxa"/>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bidi="ar"/>
                    </w:rPr>
                    <w:t>/</w:t>
                  </w:r>
                </w:p>
              </w:tc>
              <w:tc>
                <w:tcPr>
                  <w:tcW w:w="1026" w:type="dxa"/>
                  <w:vMerge w:val="continue"/>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
                    </w:rPr>
                  </w:pP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jc w:val="center"/>
              </w:trPr>
              <w:tc>
                <w:tcPr>
                  <w:tcW w:w="3175" w:type="dxa"/>
                  <w:vMerge w:val="restart"/>
                  <w:tcBorders>
                    <w:lef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1"/>
                      <w:szCs w:val="21"/>
                      <w:lang w:eastAsia="zh-CN"/>
                    </w:rPr>
                  </w:pPr>
                  <w:r>
                    <w:rPr>
                      <w:rFonts w:hint="eastAsia" w:ascii="Times New Roman" w:hAnsi="Times New Roman" w:eastAsia="宋体" w:cs="Times New Roman"/>
                      <w:b/>
                      <w:bCs/>
                      <w:color w:val="auto"/>
                      <w:kern w:val="0"/>
                      <w:sz w:val="21"/>
                      <w:szCs w:val="21"/>
                      <w:lang w:eastAsia="zh-CN"/>
                    </w:rPr>
                    <w:t>从严执行</w:t>
                  </w:r>
                </w:p>
              </w:tc>
              <w:tc>
                <w:tcPr>
                  <w:tcW w:w="1248" w:type="dxa"/>
                  <w:vAlign w:val="center"/>
                </w:tcPr>
                <w:p>
                  <w:pPr>
                    <w:keepNext w:val="0"/>
                    <w:keepLines w:val="0"/>
                    <w:widowControl w:val="0"/>
                    <w:suppressLineNumbers w:val="0"/>
                    <w:autoSpaceDE w:val="0"/>
                    <w:autoSpaceDN/>
                    <w:adjustRightInd w:val="0"/>
                    <w:snapToGrid w:val="0"/>
                    <w:spacing w:before="0" w:beforeAutospacing="0" w:after="0" w:afterAutospacing="0"/>
                    <w:ind w:left="-105" w:leftChars="-50" w:right="-105" w:rightChars="-50"/>
                    <w:jc w:val="center"/>
                    <w:rPr>
                      <w:rFonts w:hint="default" w:ascii="Times New Roman" w:hAnsi="Times New Roman" w:eastAsia="宋体" w:cs="Times New Roman"/>
                      <w:color w:val="auto"/>
                      <w:kern w:val="0"/>
                      <w:sz w:val="21"/>
                      <w:szCs w:val="21"/>
                    </w:rPr>
                  </w:pPr>
                  <w:r>
                    <w:rPr>
                      <w:rFonts w:hint="eastAsia" w:ascii="宋体" w:hAnsi="宋体" w:eastAsia="宋体" w:cs="宋体"/>
                      <w:bCs/>
                      <w:color w:val="auto"/>
                      <w:spacing w:val="-10"/>
                      <w:kern w:val="2"/>
                      <w:sz w:val="21"/>
                      <w:szCs w:val="21"/>
                      <w:lang w:val="en-US" w:eastAsia="zh-CN" w:bidi="ar"/>
                    </w:rPr>
                    <w:t>氟化物</w:t>
                  </w:r>
                </w:p>
              </w:tc>
              <w:tc>
                <w:tcPr>
                  <w:tcW w:w="1912" w:type="dxa"/>
                  <w:gridSpan w:val="2"/>
                  <w:vAlign w:val="center"/>
                </w:tcPr>
                <w:p>
                  <w:pPr>
                    <w:keepNext w:val="0"/>
                    <w:keepLines w:val="0"/>
                    <w:widowControl w:val="0"/>
                    <w:suppressLineNumbers w:val="0"/>
                    <w:autoSpaceDE w:val="0"/>
                    <w:autoSpaceDN/>
                    <w:adjustRightInd w:val="0"/>
                    <w:snapToGrid w:val="0"/>
                    <w:spacing w:before="0" w:beforeAutospacing="0" w:after="0" w:afterAutospacing="0"/>
                    <w:ind w:left="-105" w:leftChars="-50" w:right="-105" w:rightChars="-50"/>
                    <w:jc w:val="center"/>
                    <w:rPr>
                      <w:rFonts w:hint="default" w:ascii="Times New Roman" w:hAnsi="Times New Roman" w:eastAsia="宋体" w:cs="Times New Roman"/>
                      <w:color w:val="auto"/>
                      <w:kern w:val="2"/>
                      <w:sz w:val="21"/>
                      <w:szCs w:val="21"/>
                      <w:highlight w:val="none"/>
                      <w:lang w:val="en-US" w:eastAsia="zh-CN" w:bidi="ar"/>
                    </w:rPr>
                  </w:pPr>
                  <w:r>
                    <w:rPr>
                      <w:rFonts w:hint="eastAsia" w:ascii="宋体" w:hAnsi="宋体" w:cs="宋体"/>
                      <w:b w:val="0"/>
                      <w:bCs/>
                      <w:color w:val="auto"/>
                      <w:kern w:val="2"/>
                      <w:sz w:val="21"/>
                      <w:szCs w:val="21"/>
                      <w:lang w:val="en-US" w:eastAsia="zh-CN" w:bidi="ar"/>
                    </w:rPr>
                    <w:t>周界外浓度最高点</w:t>
                  </w:r>
                  <w:r>
                    <w:rPr>
                      <w:rFonts w:hint="default" w:ascii="Times New Roman" w:hAnsi="Times New Roman" w:eastAsia="宋体" w:cs="Times New Roman"/>
                      <w:b w:val="0"/>
                      <w:bCs/>
                      <w:color w:val="auto"/>
                      <w:kern w:val="2"/>
                      <w:sz w:val="21"/>
                      <w:szCs w:val="21"/>
                      <w:lang w:val="en-US" w:eastAsia="zh-CN" w:bidi="ar"/>
                    </w:rPr>
                    <w:t>20μg/m</w:t>
                  </w:r>
                  <w:r>
                    <w:rPr>
                      <w:rFonts w:hint="default" w:ascii="Times New Roman" w:hAnsi="Times New Roman" w:eastAsia="宋体" w:cs="Times New Roman"/>
                      <w:b w:val="0"/>
                      <w:bCs/>
                      <w:color w:val="auto"/>
                      <w:kern w:val="2"/>
                      <w:sz w:val="21"/>
                      <w:szCs w:val="21"/>
                      <w:vertAlign w:val="superscript"/>
                      <w:lang w:val="en-US" w:eastAsia="zh-CN" w:bidi="ar"/>
                    </w:rPr>
                    <w:t>3</w:t>
                  </w:r>
                </w:p>
              </w:tc>
              <w:tc>
                <w:tcPr>
                  <w:tcW w:w="1025" w:type="dxa"/>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w:t>
                  </w:r>
                </w:p>
              </w:tc>
              <w:tc>
                <w:tcPr>
                  <w:tcW w:w="1026" w:type="dxa"/>
                  <w:vMerge w:val="continue"/>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1"/>
                      <w:szCs w:val="21"/>
                      <w:lang w:val="en-US" w:eastAsia="zh-CN" w:bidi="ar"/>
                    </w:rPr>
                  </w:pP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jc w:val="center"/>
              </w:trPr>
              <w:tc>
                <w:tcPr>
                  <w:tcW w:w="3175" w:type="dxa"/>
                  <w:vMerge w:val="continue"/>
                  <w:tcBorders>
                    <w:lef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bCs/>
                      <w:color w:val="auto"/>
                      <w:kern w:val="0"/>
                      <w:sz w:val="21"/>
                      <w:szCs w:val="21"/>
                      <w:lang w:eastAsia="zh-CN"/>
                    </w:rPr>
                  </w:pPr>
                </w:p>
              </w:tc>
              <w:tc>
                <w:tcPr>
                  <w:tcW w:w="1248" w:type="dxa"/>
                  <w:vAlign w:val="center"/>
                </w:tcPr>
                <w:p>
                  <w:pPr>
                    <w:keepNext w:val="0"/>
                    <w:keepLines w:val="0"/>
                    <w:widowControl w:val="0"/>
                    <w:suppressLineNumbers w:val="0"/>
                    <w:autoSpaceDE w:val="0"/>
                    <w:autoSpaceDN/>
                    <w:adjustRightInd w:val="0"/>
                    <w:snapToGrid w:val="0"/>
                    <w:spacing w:before="0" w:beforeAutospacing="0" w:after="0" w:afterAutospacing="0"/>
                    <w:ind w:left="-105" w:leftChars="-50" w:right="-105" w:rightChars="-5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bidi="ar"/>
                    </w:rPr>
                    <w:t>氯化物</w:t>
                  </w:r>
                </w:p>
                <w:p>
                  <w:pPr>
                    <w:keepNext w:val="0"/>
                    <w:keepLines w:val="0"/>
                    <w:widowControl w:val="0"/>
                    <w:suppressLineNumbers w:val="0"/>
                    <w:autoSpaceDE w:val="0"/>
                    <w:autoSpaceDN/>
                    <w:adjustRightInd w:val="0"/>
                    <w:snapToGrid w:val="0"/>
                    <w:spacing w:before="0" w:beforeAutospacing="0" w:after="0" w:afterAutospacing="0"/>
                    <w:ind w:left="-105" w:leftChars="-50" w:right="-105" w:rightChars="-50"/>
                    <w:jc w:val="center"/>
                    <w:rPr>
                      <w:rFonts w:hint="default" w:ascii="Times New Roman" w:hAnsi="Times New Roman" w:eastAsia="宋体" w:cs="Times New Roman"/>
                      <w:color w:val="auto"/>
                      <w:kern w:val="0"/>
                      <w:sz w:val="21"/>
                      <w:szCs w:val="21"/>
                    </w:rPr>
                  </w:pPr>
                  <w:r>
                    <w:rPr>
                      <w:rFonts w:hint="eastAsia" w:ascii="宋体" w:hAnsi="宋体" w:eastAsia="宋体" w:cs="宋体"/>
                      <w:color w:val="auto"/>
                      <w:kern w:val="2"/>
                      <w:sz w:val="21"/>
                      <w:szCs w:val="21"/>
                      <w:lang w:val="en-US" w:eastAsia="zh-CN" w:bidi="ar"/>
                    </w:rPr>
                    <w:t>（氯化氢）</w:t>
                  </w:r>
                </w:p>
              </w:tc>
              <w:tc>
                <w:tcPr>
                  <w:tcW w:w="1912" w:type="dxa"/>
                  <w:gridSpan w:val="2"/>
                  <w:vAlign w:val="center"/>
                </w:tcPr>
                <w:p>
                  <w:pPr>
                    <w:keepNext w:val="0"/>
                    <w:keepLines w:val="0"/>
                    <w:widowControl w:val="0"/>
                    <w:suppressLineNumbers w:val="0"/>
                    <w:autoSpaceDE w:val="0"/>
                    <w:autoSpaceDN/>
                    <w:adjustRightInd w:val="0"/>
                    <w:snapToGrid w:val="0"/>
                    <w:spacing w:before="0" w:beforeAutospacing="0" w:after="0" w:afterAutospacing="0"/>
                    <w:ind w:left="-105" w:leftChars="-50" w:right="-105" w:rightChars="-50"/>
                    <w:jc w:val="center"/>
                    <w:rPr>
                      <w:rFonts w:hint="default" w:ascii="Times New Roman" w:hAnsi="Times New Roman" w:eastAsia="宋体" w:cs="Times New Roman"/>
                      <w:color w:val="auto"/>
                      <w:kern w:val="2"/>
                      <w:sz w:val="21"/>
                      <w:szCs w:val="21"/>
                      <w:highlight w:val="none"/>
                      <w:lang w:val="en-US" w:eastAsia="zh-CN" w:bidi="ar"/>
                    </w:rPr>
                  </w:pPr>
                  <w:r>
                    <w:rPr>
                      <w:rFonts w:hint="eastAsia" w:cs="Times New Roman"/>
                      <w:b w:val="0"/>
                      <w:bCs/>
                      <w:color w:val="auto"/>
                      <w:kern w:val="2"/>
                      <w:sz w:val="21"/>
                      <w:szCs w:val="21"/>
                      <w:lang w:val="en-US" w:eastAsia="zh-CN" w:bidi="ar"/>
                    </w:rPr>
                    <w:t>周界外浓度最高点</w:t>
                  </w:r>
                  <w:r>
                    <w:rPr>
                      <w:rFonts w:hint="default" w:ascii="Times New Roman" w:hAnsi="Times New Roman" w:eastAsia="宋体" w:cs="Times New Roman"/>
                      <w:b w:val="0"/>
                      <w:bCs/>
                      <w:color w:val="auto"/>
                      <w:kern w:val="2"/>
                      <w:sz w:val="21"/>
                      <w:szCs w:val="21"/>
                      <w:lang w:val="en-US" w:eastAsia="zh-CN" w:bidi="ar"/>
                    </w:rPr>
                    <w:t>0.2mg/m</w:t>
                  </w:r>
                  <w:r>
                    <w:rPr>
                      <w:rFonts w:hint="default" w:ascii="Times New Roman" w:hAnsi="Times New Roman" w:eastAsia="宋体" w:cs="Times New Roman"/>
                      <w:b w:val="0"/>
                      <w:bCs/>
                      <w:color w:val="auto"/>
                      <w:kern w:val="2"/>
                      <w:sz w:val="21"/>
                      <w:szCs w:val="21"/>
                      <w:vertAlign w:val="superscript"/>
                      <w:lang w:val="en-US" w:eastAsia="zh-CN" w:bidi="ar"/>
                    </w:rPr>
                    <w:t>3</w:t>
                  </w:r>
                </w:p>
              </w:tc>
              <w:tc>
                <w:tcPr>
                  <w:tcW w:w="1025" w:type="dxa"/>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w:t>
                  </w:r>
                </w:p>
              </w:tc>
              <w:tc>
                <w:tcPr>
                  <w:tcW w:w="1026" w:type="dxa"/>
                  <w:vMerge w:val="continue"/>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1"/>
                      <w:szCs w:val="21"/>
                      <w:lang w:val="en-US" w:eastAsia="zh-CN" w:bidi="ar"/>
                    </w:rPr>
                  </w:pP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jc w:val="center"/>
              </w:trPr>
              <w:tc>
                <w:tcPr>
                  <w:tcW w:w="3175" w:type="dxa"/>
                  <w:vMerge w:val="continue"/>
                  <w:tcBorders>
                    <w:lef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bCs/>
                      <w:color w:val="auto"/>
                      <w:kern w:val="0"/>
                      <w:sz w:val="21"/>
                      <w:szCs w:val="21"/>
                      <w:lang w:eastAsia="zh-CN"/>
                    </w:rPr>
                  </w:pPr>
                </w:p>
              </w:tc>
              <w:tc>
                <w:tcPr>
                  <w:tcW w:w="1248" w:type="dxa"/>
                  <w:vAlign w:val="center"/>
                </w:tcPr>
                <w:p>
                  <w:pPr>
                    <w:keepNext w:val="0"/>
                    <w:keepLines w:val="0"/>
                    <w:widowControl w:val="0"/>
                    <w:suppressLineNumbers w:val="0"/>
                    <w:autoSpaceDE w:val="0"/>
                    <w:autoSpaceDN/>
                    <w:adjustRightInd w:val="0"/>
                    <w:snapToGrid w:val="0"/>
                    <w:spacing w:before="0" w:beforeAutospacing="0" w:after="0" w:afterAutospacing="0"/>
                    <w:ind w:left="-105" w:leftChars="-50" w:right="-105" w:rightChars="-50"/>
                    <w:jc w:val="center"/>
                    <w:rPr>
                      <w:rFonts w:hint="default" w:ascii="Times New Roman" w:hAnsi="Times New Roman" w:eastAsia="宋体" w:cs="Times New Roman"/>
                      <w:color w:val="auto"/>
                      <w:kern w:val="0"/>
                      <w:sz w:val="21"/>
                      <w:szCs w:val="21"/>
                    </w:rPr>
                  </w:pPr>
                  <w:r>
                    <w:rPr>
                      <w:rFonts w:hint="eastAsia" w:ascii="宋体" w:hAnsi="宋体" w:eastAsia="宋体" w:cs="宋体"/>
                      <w:color w:val="auto"/>
                      <w:kern w:val="2"/>
                      <w:sz w:val="21"/>
                      <w:szCs w:val="21"/>
                      <w:lang w:val="en-US" w:eastAsia="zh-CN" w:bidi="ar"/>
                    </w:rPr>
                    <w:t>氨气</w:t>
                  </w:r>
                </w:p>
              </w:tc>
              <w:tc>
                <w:tcPr>
                  <w:tcW w:w="1912" w:type="dxa"/>
                  <w:gridSpan w:val="2"/>
                  <w:vAlign w:val="center"/>
                </w:tcPr>
                <w:p>
                  <w:pPr>
                    <w:keepNext w:val="0"/>
                    <w:keepLines w:val="0"/>
                    <w:widowControl w:val="0"/>
                    <w:suppressLineNumbers w:val="0"/>
                    <w:autoSpaceDE w:val="0"/>
                    <w:autoSpaceDN/>
                    <w:adjustRightInd w:val="0"/>
                    <w:snapToGrid w:val="0"/>
                    <w:spacing w:before="0" w:beforeAutospacing="0" w:after="0" w:afterAutospacing="0"/>
                    <w:ind w:left="-105" w:leftChars="-50" w:right="-105" w:rightChars="-50"/>
                    <w:jc w:val="center"/>
                    <w:rPr>
                      <w:rFonts w:hint="default" w:ascii="Times New Roman" w:hAnsi="Times New Roman" w:eastAsia="宋体" w:cs="Times New Roman"/>
                      <w:color w:val="auto"/>
                      <w:kern w:val="2"/>
                      <w:sz w:val="21"/>
                      <w:szCs w:val="21"/>
                      <w:highlight w:val="none"/>
                      <w:lang w:val="en-US" w:eastAsia="zh-CN" w:bidi="ar"/>
                    </w:rPr>
                  </w:pPr>
                  <w:r>
                    <w:rPr>
                      <w:rFonts w:hint="default" w:ascii="Times New Roman" w:hAnsi="Times New Roman" w:eastAsia="宋体" w:cs="Times New Roman"/>
                      <w:b w:val="0"/>
                      <w:bCs/>
                      <w:color w:val="auto"/>
                      <w:kern w:val="2"/>
                      <w:sz w:val="21"/>
                      <w:szCs w:val="21"/>
                      <w:lang w:val="en-US" w:eastAsia="zh-CN" w:bidi="ar"/>
                    </w:rPr>
                    <w:t>1.5mg/m</w:t>
                  </w:r>
                  <w:r>
                    <w:rPr>
                      <w:rFonts w:hint="default" w:ascii="Times New Roman" w:hAnsi="Times New Roman" w:eastAsia="宋体" w:cs="Times New Roman"/>
                      <w:b w:val="0"/>
                      <w:bCs/>
                      <w:color w:val="auto"/>
                      <w:kern w:val="2"/>
                      <w:sz w:val="21"/>
                      <w:szCs w:val="21"/>
                      <w:vertAlign w:val="superscript"/>
                      <w:lang w:val="en-US" w:eastAsia="zh-CN" w:bidi="ar"/>
                    </w:rPr>
                    <w:t>3</w:t>
                  </w:r>
                </w:p>
              </w:tc>
              <w:tc>
                <w:tcPr>
                  <w:tcW w:w="1025" w:type="dxa"/>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w:t>
                  </w:r>
                </w:p>
              </w:tc>
              <w:tc>
                <w:tcPr>
                  <w:tcW w:w="1026" w:type="dxa"/>
                  <w:vMerge w:val="continue"/>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1"/>
                      <w:szCs w:val="21"/>
                      <w:lang w:val="en-US" w:eastAsia="zh-CN" w:bidi="ar"/>
                    </w:rPr>
                  </w:pP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jc w:val="center"/>
              </w:trPr>
              <w:tc>
                <w:tcPr>
                  <w:tcW w:w="3175" w:type="dxa"/>
                  <w:vMerge w:val="continue"/>
                  <w:tcBorders>
                    <w:lef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1"/>
                      <w:szCs w:val="21"/>
                      <w:lang w:eastAsia="zh-CN"/>
                    </w:rPr>
                  </w:pPr>
                </w:p>
              </w:tc>
              <w:tc>
                <w:tcPr>
                  <w:tcW w:w="1248" w:type="dxa"/>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1"/>
                      <w:szCs w:val="21"/>
                      <w:lang w:eastAsia="zh-CN"/>
                    </w:rPr>
                  </w:pPr>
                  <w:r>
                    <w:rPr>
                      <w:rFonts w:hint="eastAsia" w:ascii="Times New Roman" w:hAnsi="Times New Roman" w:eastAsia="宋体" w:cs="Times New Roman"/>
                      <w:color w:val="auto"/>
                      <w:kern w:val="0"/>
                      <w:sz w:val="21"/>
                      <w:szCs w:val="21"/>
                      <w:lang w:eastAsia="zh-CN"/>
                    </w:rPr>
                    <w:t>颗粒物</w:t>
                  </w:r>
                </w:p>
              </w:tc>
              <w:tc>
                <w:tcPr>
                  <w:tcW w:w="1912" w:type="dxa"/>
                  <w:gridSpan w:val="2"/>
                  <w:vAlign w:val="center"/>
                </w:tcPr>
                <w:p>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color w:val="auto"/>
                      <w:kern w:val="2"/>
                      <w:sz w:val="21"/>
                      <w:szCs w:val="21"/>
                      <w:highlight w:val="none"/>
                      <w:lang w:val="en-US" w:eastAsia="zh-CN" w:bidi="ar"/>
                    </w:rPr>
                  </w:pPr>
                  <w:r>
                    <w:rPr>
                      <w:rFonts w:hint="default" w:ascii="Times New Roman" w:hAnsi="Times New Roman" w:eastAsia="宋体" w:cs="Times New Roman"/>
                      <w:color w:val="auto"/>
                      <w:kern w:val="2"/>
                      <w:sz w:val="21"/>
                      <w:szCs w:val="21"/>
                      <w:highlight w:val="none"/>
                      <w:lang w:val="en-US" w:eastAsia="zh-CN" w:bidi="ar"/>
                    </w:rPr>
                    <w:t>企业厂界边界颗粒物浓度不超过0.5mg/m</w:t>
                  </w:r>
                  <w:r>
                    <w:rPr>
                      <w:rFonts w:hint="default" w:ascii="Times New Roman" w:hAnsi="Times New Roman" w:eastAsia="宋体" w:cs="Times New Roman"/>
                      <w:color w:val="auto"/>
                      <w:kern w:val="2"/>
                      <w:sz w:val="21"/>
                      <w:szCs w:val="21"/>
                      <w:highlight w:val="none"/>
                      <w:vertAlign w:val="superscript"/>
                      <w:lang w:val="en-US" w:eastAsia="zh-CN" w:bidi="ar"/>
                    </w:rPr>
                    <w:t>3</w:t>
                  </w:r>
                  <w:r>
                    <w:rPr>
                      <w:rFonts w:hint="default" w:ascii="Times New Roman" w:hAnsi="Times New Roman" w:eastAsia="宋体" w:cs="Times New Roman"/>
                      <w:color w:val="auto"/>
                      <w:kern w:val="2"/>
                      <w:sz w:val="21"/>
                      <w:szCs w:val="21"/>
                      <w:highlight w:val="none"/>
                      <w:lang w:val="en-US" w:eastAsia="zh-CN" w:bidi="ar"/>
                    </w:rPr>
                    <w:t>，厂房车间内产尘点周边1米处（车间封闭并安装顶吸的为车间门口）颗粒物浓度小于2.0mg/m</w:t>
                  </w:r>
                  <w:r>
                    <w:rPr>
                      <w:rFonts w:hint="default" w:ascii="Times New Roman" w:hAnsi="Times New Roman" w:eastAsia="宋体" w:cs="Times New Roman"/>
                      <w:color w:val="auto"/>
                      <w:kern w:val="2"/>
                      <w:sz w:val="21"/>
                      <w:szCs w:val="21"/>
                      <w:highlight w:val="none"/>
                      <w:vertAlign w:val="superscript"/>
                      <w:lang w:val="en-US" w:eastAsia="zh-CN" w:bidi="ar"/>
                    </w:rPr>
                    <w:t>3</w:t>
                  </w:r>
                  <w:r>
                    <w:rPr>
                      <w:rFonts w:hint="eastAsia" w:ascii="Times New Roman" w:hAnsi="Times New Roman" w:eastAsia="宋体" w:cs="Times New Roman"/>
                      <w:color w:val="auto"/>
                      <w:kern w:val="2"/>
                      <w:sz w:val="21"/>
                      <w:szCs w:val="21"/>
                      <w:highlight w:val="none"/>
                      <w:vertAlign w:val="baseline"/>
                      <w:lang w:val="en-US" w:eastAsia="zh-CN" w:bidi="ar"/>
                    </w:rPr>
                    <w:t>，全厂各车间不能有可见烟粉尘外逸</w:t>
                  </w:r>
                </w:p>
              </w:tc>
              <w:tc>
                <w:tcPr>
                  <w:tcW w:w="1025" w:type="dxa"/>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w:t>
                  </w:r>
                </w:p>
              </w:tc>
              <w:tc>
                <w:tcPr>
                  <w:tcW w:w="1026" w:type="dxa"/>
                  <w:vMerge w:val="continue"/>
                  <w:tcBorders>
                    <w:right w:val="nil"/>
                  </w:tcBorders>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1"/>
                      <w:szCs w:val="21"/>
                      <w:lang w:val="en-US" w:eastAsia="zh-CN" w:bidi="ar"/>
                    </w:rPr>
                  </w:pPr>
                </w:p>
              </w:tc>
            </w:tr>
          </w:tbl>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left"/>
              <w:textAlignment w:val="auto"/>
              <w:rPr>
                <w:rFonts w:hint="eastAsia" w:ascii="Times New Roman" w:hAnsi="Times New Roman" w:eastAsia="宋体" w:cs="Times New Roman"/>
                <w:b/>
                <w:bCs/>
                <w:color w:val="auto"/>
                <w:sz w:val="24"/>
                <w:szCs w:val="24"/>
                <w:lang w:eastAsia="zh-CN"/>
              </w:rPr>
            </w:pPr>
            <w:r>
              <w:rPr>
                <w:rFonts w:hint="eastAsia" w:ascii="Times New Roman" w:hAnsi="Times New Roman" w:cs="Times New Roman"/>
                <w:b/>
                <w:bCs/>
                <w:color w:val="auto"/>
                <w:sz w:val="24"/>
                <w:szCs w:val="24"/>
                <w:lang w:val="en-US" w:eastAsia="zh-CN"/>
              </w:rPr>
              <w:t>2.</w:t>
            </w:r>
            <w:r>
              <w:rPr>
                <w:rFonts w:hint="default" w:ascii="Times New Roman" w:hAnsi="Times New Roman" w:cs="Times New Roman"/>
                <w:b/>
                <w:bCs/>
                <w:color w:val="auto"/>
                <w:sz w:val="24"/>
                <w:szCs w:val="24"/>
              </w:rPr>
              <w:t>废</w:t>
            </w:r>
            <w:r>
              <w:rPr>
                <w:rFonts w:hint="eastAsia" w:ascii="Times New Roman" w:hAnsi="Times New Roman" w:cs="Times New Roman"/>
                <w:b/>
                <w:bCs/>
                <w:color w:val="auto"/>
                <w:sz w:val="24"/>
                <w:szCs w:val="24"/>
                <w:lang w:eastAsia="zh-CN"/>
              </w:rPr>
              <w:t>水</w:t>
            </w:r>
          </w:p>
          <w:p>
            <w:pPr>
              <w:pStyle w:val="1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color w:val="auto"/>
                <w:sz w:val="24"/>
                <w:szCs w:val="24"/>
                <w:lang w:eastAsia="zh-CN"/>
              </w:rPr>
            </w:pPr>
            <w:r>
              <w:rPr>
                <w:rFonts w:hint="eastAsia" w:ascii="Times New Roman" w:hAnsi="Times New Roman" w:cs="Times New Roman"/>
                <w:color w:val="auto"/>
                <w:sz w:val="24"/>
                <w:szCs w:val="24"/>
              </w:rPr>
              <w:t>本项目职工由现有职工调配，不新增职工人数，无新增生活用水；本项目生产</w:t>
            </w:r>
            <w:r>
              <w:rPr>
                <w:rFonts w:hint="eastAsia" w:ascii="Times New Roman" w:hAnsi="Times New Roman" w:cs="Times New Roman"/>
                <w:color w:val="auto"/>
                <w:sz w:val="24"/>
                <w:szCs w:val="24"/>
                <w:lang w:eastAsia="zh-CN"/>
              </w:rPr>
              <w:t>用水为冷灰桶间接冷却水及车间洒扫用水。冷灰桶间接冷却水循环使用，不外排；车间洒扫废水全部蒸发损耗不外排。</w:t>
            </w:r>
          </w:p>
          <w:p>
            <w:pPr>
              <w:pStyle w:val="1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ascii="Times New Roman" w:hAnsi="Times New Roman" w:cs="Times New Roman"/>
                <w:color w:val="auto"/>
                <w:sz w:val="24"/>
                <w:szCs w:val="24"/>
              </w:rPr>
            </w:pPr>
            <w:r>
              <w:rPr>
                <w:rFonts w:hint="default" w:ascii="Times New Roman" w:hAnsi="Times New Roman" w:cs="Times New Roman"/>
                <w:b/>
                <w:bCs/>
                <w:color w:val="auto"/>
                <w:sz w:val="24"/>
                <w:szCs w:val="24"/>
              </w:rPr>
              <w:t>3</w:t>
            </w:r>
            <w:r>
              <w:rPr>
                <w:rFonts w:hint="eastAsia" w:ascii="Times New Roman" w:hAnsi="Times New Roman" w:cs="Times New Roman"/>
                <w:b/>
                <w:bCs/>
                <w:color w:val="auto"/>
                <w:sz w:val="24"/>
                <w:szCs w:val="24"/>
                <w:lang w:val="en-US" w:eastAsia="zh-CN"/>
              </w:rPr>
              <w:t>.</w:t>
            </w:r>
            <w:r>
              <w:rPr>
                <w:rFonts w:hint="default" w:ascii="Times New Roman" w:hAnsi="Times New Roman" w:cs="Times New Roman"/>
                <w:b/>
                <w:bCs/>
                <w:color w:val="auto"/>
                <w:sz w:val="24"/>
                <w:szCs w:val="24"/>
              </w:rPr>
              <w:t>噪声</w:t>
            </w:r>
          </w:p>
          <w:p>
            <w:pPr>
              <w:pStyle w:val="1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运营期项目厂界噪声执行《工业企业厂界环境噪声排放标准》（GB12348-2008）中3类标准，具体标准限值见下表。</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default" w:ascii="Times New Roman" w:hAnsi="Times New Roman" w:eastAsia="宋体" w:cs="Times New Roman"/>
                <w:b/>
                <w:bCs/>
                <w:color w:val="auto"/>
                <w:sz w:val="24"/>
                <w:szCs w:val="24"/>
                <w:highlight w:val="none"/>
                <w:u w:val="none" w:color="auto"/>
                <w:lang w:eastAsia="zh-CN"/>
              </w:rPr>
            </w:pPr>
            <w:r>
              <w:rPr>
                <w:rFonts w:hint="default" w:ascii="Times New Roman" w:hAnsi="Times New Roman" w:eastAsia="宋体" w:cs="Times New Roman"/>
                <w:b/>
                <w:bCs/>
                <w:color w:val="auto"/>
                <w:sz w:val="24"/>
                <w:szCs w:val="24"/>
                <w:highlight w:val="none"/>
                <w:u w:val="none" w:color="auto"/>
                <w:lang w:eastAsia="zh-CN"/>
              </w:rPr>
              <w:t>《工业企业厂界环境噪声排放标准》（GB12348-2008）</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right"/>
              <w:textAlignment w:val="auto"/>
              <w:rPr>
                <w:rFonts w:hint="default" w:ascii="Times New Roman" w:hAnsi="Times New Roman" w:eastAsia="宋体" w:cs="Times New Roman"/>
                <w:b/>
                <w:bCs/>
                <w:color w:val="auto"/>
                <w:sz w:val="24"/>
                <w:szCs w:val="24"/>
                <w:highlight w:val="none"/>
                <w:u w:val="none" w:color="auto"/>
                <w:lang w:eastAsia="zh-CN"/>
              </w:rPr>
            </w:pPr>
            <w:r>
              <w:rPr>
                <w:rFonts w:hint="default" w:ascii="Times New Roman" w:hAnsi="Times New Roman" w:eastAsia="宋体" w:cs="Times New Roman"/>
                <w:b/>
                <w:bCs/>
                <w:color w:val="auto"/>
                <w:sz w:val="24"/>
                <w:szCs w:val="24"/>
                <w:highlight w:val="none"/>
                <w:u w:val="none" w:color="auto"/>
                <w:lang w:eastAsia="zh-CN"/>
              </w:rPr>
              <w:t>单位：dB（A）</w:t>
            </w:r>
          </w:p>
          <w:tbl>
            <w:tblPr>
              <w:tblStyle w:val="27"/>
              <w:tblW w:w="8386" w:type="dxa"/>
              <w:jc w:val="center"/>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126"/>
              <w:gridCol w:w="2533"/>
              <w:gridCol w:w="272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126" w:type="dxa"/>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厂界外声环境功能区类别</w:t>
                  </w:r>
                </w:p>
              </w:tc>
              <w:tc>
                <w:tcPr>
                  <w:tcW w:w="2533" w:type="dxa"/>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昼间</w:t>
                  </w:r>
                </w:p>
              </w:tc>
              <w:tc>
                <w:tcPr>
                  <w:tcW w:w="2727" w:type="dxa"/>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夜间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126" w:type="dxa"/>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3类</w:t>
                  </w:r>
                </w:p>
              </w:tc>
              <w:tc>
                <w:tcPr>
                  <w:tcW w:w="2533" w:type="dxa"/>
                  <w:vAlign w:val="center"/>
                </w:tcPr>
                <w:p>
                  <w:pPr>
                    <w:pStyle w:val="17"/>
                    <w:keepNext w:val="0"/>
                    <w:keepLines w:val="0"/>
                    <w:suppressLineNumbers w:val="0"/>
                    <w:snapToGrid w:val="0"/>
                    <w:spacing w:before="0" w:beforeAutospacing="0" w:after="0" w:afterAutospacing="0"/>
                    <w:ind w:left="0" w:leftChars="0" w:right="0"/>
                    <w:jc w:val="center"/>
                    <w:rPr>
                      <w:rFonts w:hint="default" w:ascii="Times New Roman" w:hAnsi="Times New Roman" w:cs="Times New Roman"/>
                      <w:color w:val="auto"/>
                      <w:kern w:val="2"/>
                      <w:sz w:val="21"/>
                      <w:szCs w:val="21"/>
                      <w:lang w:val="en-US" w:eastAsia="zh-CN"/>
                    </w:rPr>
                  </w:pPr>
                  <w:r>
                    <w:rPr>
                      <w:rFonts w:hint="default" w:ascii="Times New Roman" w:hAnsi="Times New Roman" w:cs="Times New Roman"/>
                      <w:color w:val="auto"/>
                      <w:kern w:val="2"/>
                      <w:sz w:val="21"/>
                      <w:szCs w:val="21"/>
                      <w:lang w:val="en-US" w:eastAsia="zh-CN"/>
                    </w:rPr>
                    <w:t>65</w:t>
                  </w:r>
                </w:p>
              </w:tc>
              <w:tc>
                <w:tcPr>
                  <w:tcW w:w="2727" w:type="dxa"/>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55</w:t>
                  </w:r>
                </w:p>
              </w:tc>
            </w:tr>
          </w:tbl>
          <w:p>
            <w:pPr>
              <w:pStyle w:val="15"/>
              <w:keepNext w:val="0"/>
              <w:keepLines w:val="0"/>
              <w:suppressLineNumbers w:val="0"/>
              <w:spacing w:before="0" w:beforeAutospacing="0" w:after="0" w:afterAutospacing="0" w:line="360" w:lineRule="auto"/>
              <w:ind w:left="0" w:right="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4</w:t>
            </w:r>
            <w:r>
              <w:rPr>
                <w:rFonts w:hint="eastAsia" w:ascii="Times New Roman" w:hAnsi="Times New Roman" w:cs="Times New Roman"/>
                <w:b/>
                <w:bCs/>
                <w:color w:val="auto"/>
                <w:sz w:val="24"/>
                <w:szCs w:val="24"/>
                <w:lang w:val="en-US" w:eastAsia="zh-CN"/>
              </w:rPr>
              <w:t>.</w:t>
            </w:r>
            <w:r>
              <w:rPr>
                <w:rFonts w:hint="default" w:ascii="Times New Roman" w:hAnsi="Times New Roman" w:cs="Times New Roman"/>
                <w:b/>
                <w:bCs/>
                <w:color w:val="auto"/>
                <w:sz w:val="24"/>
                <w:szCs w:val="24"/>
              </w:rPr>
              <w:t>固体废物</w:t>
            </w:r>
          </w:p>
          <w:p>
            <w:pPr>
              <w:pStyle w:val="15"/>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szCs w:val="24"/>
                <w:u w:val="none" w:color="auto"/>
                <w:lang w:val="en-US"/>
              </w:rPr>
            </w:pPr>
            <w:r>
              <w:rPr>
                <w:rFonts w:hint="eastAsia" w:ascii="Times New Roman" w:hAnsi="Times New Roman" w:eastAsia="宋体" w:cs="Times New Roman"/>
                <w:color w:val="auto"/>
                <w:sz w:val="24"/>
                <w:szCs w:val="24"/>
                <w:lang w:eastAsia="zh-CN"/>
              </w:rPr>
              <w:t>本项目一般固体废物</w:t>
            </w:r>
            <w:r>
              <w:rPr>
                <w:rFonts w:hint="eastAsia" w:ascii="Times New Roman" w:hAnsi="Times New Roman" w:cs="Times New Roman"/>
                <w:color w:val="auto"/>
                <w:sz w:val="24"/>
                <w:szCs w:val="24"/>
                <w:lang w:eastAsia="zh-CN"/>
              </w:rPr>
              <w:t>执行《一般工业固体废物贮存和填埋污染控制标准》（GB18599-2020）要求</w:t>
            </w:r>
            <w:r>
              <w:rPr>
                <w:rFonts w:hint="eastAsia" w:ascii="Times New Roman" w:hAnsi="Times New Roman" w:eastAsia="宋体" w:cs="Times New Roman"/>
                <w:color w:val="auto"/>
                <w:sz w:val="24"/>
                <w:szCs w:val="24"/>
                <w:lang w:eastAsia="zh-CN"/>
              </w:rPr>
              <w:t>，危险废物执行《危险废物贮存污染控制标准》（GB18597-2023）要求。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56" w:type="dxa"/>
            <w:tcMar>
              <w:left w:w="28" w:type="dxa"/>
              <w:right w:w="28"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4"/>
                <w:szCs w:val="24"/>
                <w:u w:val="none" w:color="auto"/>
              </w:rPr>
            </w:pPr>
            <w:r>
              <w:rPr>
                <w:rFonts w:hint="default" w:ascii="Times New Roman" w:hAnsi="Times New Roman" w:eastAsia="宋体" w:cs="Times New Roman"/>
                <w:color w:val="auto"/>
                <w:kern w:val="0"/>
                <w:sz w:val="24"/>
                <w:szCs w:val="24"/>
                <w:u w:val="none" w:color="auto"/>
              </w:rPr>
              <w:t>总量</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4"/>
                <w:szCs w:val="24"/>
                <w:u w:val="none" w:color="auto"/>
              </w:rPr>
            </w:pPr>
            <w:r>
              <w:rPr>
                <w:rFonts w:hint="default" w:ascii="Times New Roman" w:hAnsi="Times New Roman" w:eastAsia="宋体" w:cs="Times New Roman"/>
                <w:color w:val="auto"/>
                <w:kern w:val="0"/>
                <w:sz w:val="24"/>
                <w:szCs w:val="24"/>
                <w:u w:val="none" w:color="auto"/>
              </w:rPr>
              <w:t>控制</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4"/>
                <w:szCs w:val="24"/>
                <w:u w:val="none" w:color="auto"/>
              </w:rPr>
            </w:pPr>
            <w:r>
              <w:rPr>
                <w:rFonts w:hint="default" w:ascii="Times New Roman" w:hAnsi="Times New Roman" w:eastAsia="宋体" w:cs="Times New Roman"/>
                <w:color w:val="auto"/>
                <w:kern w:val="0"/>
                <w:sz w:val="24"/>
                <w:szCs w:val="24"/>
                <w:u w:val="none" w:color="auto"/>
              </w:rPr>
              <w:t>指标</w:t>
            </w:r>
          </w:p>
        </w:tc>
        <w:tc>
          <w:tcPr>
            <w:tcW w:w="8605" w:type="dxa"/>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cs="Times New Roman"/>
                <w:color w:val="auto"/>
                <w:sz w:val="24"/>
                <w:szCs w:val="24"/>
              </w:rPr>
              <w:t>现有工程</w:t>
            </w:r>
            <w:r>
              <w:rPr>
                <w:rFonts w:hint="eastAsia" w:ascii="Times New Roman" w:hAnsi="Times New Roman" w:cs="Times New Roman"/>
                <w:color w:val="auto"/>
                <w:sz w:val="24"/>
                <w:szCs w:val="24"/>
                <w:lang w:val="en-US" w:eastAsia="zh-CN"/>
              </w:rPr>
              <w:t>污染物实际排放量</w:t>
            </w:r>
            <w:r>
              <w:rPr>
                <w:rFonts w:hint="eastAsia" w:ascii="Times New Roman" w:hAnsi="Times New Roman" w:cs="Times New Roman"/>
                <w:color w:val="auto"/>
                <w:sz w:val="24"/>
                <w:szCs w:val="24"/>
              </w:rPr>
              <w:t>为颗粒物：</w:t>
            </w:r>
            <w:r>
              <w:rPr>
                <w:rFonts w:hint="eastAsia" w:ascii="Times New Roman" w:hAnsi="Times New Roman" w:cs="Times New Roman"/>
                <w:color w:val="auto"/>
                <w:sz w:val="24"/>
                <w:szCs w:val="24"/>
                <w:lang w:val="en-US" w:eastAsia="zh-CN"/>
              </w:rPr>
              <w:t>2.3007</w:t>
            </w:r>
            <w:r>
              <w:rPr>
                <w:rFonts w:hint="eastAsia" w:ascii="Times New Roman" w:hAnsi="Times New Roman" w:cs="Times New Roman"/>
                <w:color w:val="auto"/>
                <w:sz w:val="24"/>
                <w:szCs w:val="24"/>
              </w:rPr>
              <w:t>t/a</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rPr>
              <w:t>SO</w:t>
            </w:r>
            <w:r>
              <w:rPr>
                <w:rFonts w:hint="eastAsia" w:ascii="Times New Roman" w:hAnsi="Times New Roman" w:cs="Times New Roman"/>
                <w:color w:val="auto"/>
                <w:sz w:val="24"/>
                <w:szCs w:val="24"/>
                <w:vertAlign w:val="subscript"/>
              </w:rPr>
              <w:t>2</w:t>
            </w:r>
            <w:r>
              <w:rPr>
                <w:rFonts w:hint="eastAsia"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1.8194</w:t>
            </w:r>
            <w:r>
              <w:rPr>
                <w:rFonts w:hint="eastAsia" w:ascii="Times New Roman" w:hAnsi="Times New Roman" w:cs="Times New Roman"/>
                <w:color w:val="auto"/>
                <w:sz w:val="24"/>
                <w:szCs w:val="24"/>
              </w:rPr>
              <w:t>t/a</w:t>
            </w:r>
            <w:r>
              <w:rPr>
                <w:rFonts w:hint="eastAsia" w:ascii="Times New Roman" w:hAnsi="Times New Roman" w:cs="Times New Roman"/>
                <w:color w:val="auto"/>
                <w:sz w:val="24"/>
                <w:szCs w:val="24"/>
                <w:highlight w:val="none"/>
              </w:rPr>
              <w:t>、NOx：</w:t>
            </w:r>
            <w:r>
              <w:rPr>
                <w:rFonts w:hint="eastAsia" w:ascii="Times New Roman" w:hAnsi="Times New Roman" w:cs="Times New Roman"/>
                <w:color w:val="auto"/>
                <w:sz w:val="24"/>
                <w:szCs w:val="24"/>
                <w:highlight w:val="none"/>
                <w:lang w:val="en-US" w:eastAsia="zh-CN"/>
              </w:rPr>
              <w:t>16.7422</w:t>
            </w:r>
            <w:r>
              <w:rPr>
                <w:rFonts w:hint="eastAsia" w:ascii="Times New Roman" w:hAnsi="Times New Roman" w:cs="Times New Roman"/>
                <w:color w:val="auto"/>
                <w:sz w:val="24"/>
                <w:szCs w:val="24"/>
                <w:highlight w:val="none"/>
              </w:rPr>
              <w:t>t/a</w:t>
            </w:r>
            <w:r>
              <w:rPr>
                <w:rFonts w:hint="eastAsia" w:ascii="Times New Roman" w:hAnsi="Times New Roman" w:cs="Times New Roman"/>
                <w:color w:val="auto"/>
                <w:sz w:val="24"/>
                <w:szCs w:val="24"/>
                <w:highlight w:val="none"/>
                <w:lang w:eastAsia="zh-CN"/>
              </w:rPr>
              <w:t>、</w:t>
            </w:r>
            <w:r>
              <w:rPr>
                <w:rFonts w:hint="eastAsia" w:cs="Times New Roman"/>
                <w:color w:val="auto"/>
                <w:sz w:val="24"/>
                <w:szCs w:val="24"/>
                <w:highlight w:val="none"/>
                <w:lang w:val="en-US" w:eastAsia="zh-CN"/>
              </w:rPr>
              <w:t>VOCs：12.59t/a、</w:t>
            </w:r>
            <w:r>
              <w:rPr>
                <w:rFonts w:hint="eastAsia" w:ascii="Times New Roman" w:hAnsi="Times New Roman" w:cs="Times New Roman"/>
                <w:color w:val="auto"/>
                <w:sz w:val="24"/>
                <w:szCs w:val="24"/>
                <w:highlight w:val="none"/>
                <w:lang w:val="en-US" w:eastAsia="zh-CN"/>
              </w:rPr>
              <w:t>COD：1.8489t/a、NH</w:t>
            </w:r>
            <w:r>
              <w:rPr>
                <w:rFonts w:hint="eastAsia" w:ascii="Times New Roman" w:hAnsi="Times New Roman" w:cs="Times New Roman"/>
                <w:color w:val="auto"/>
                <w:sz w:val="24"/>
                <w:szCs w:val="24"/>
                <w:highlight w:val="none"/>
                <w:vertAlign w:val="subscript"/>
                <w:lang w:val="en-US" w:eastAsia="zh-CN"/>
              </w:rPr>
              <w:t>3</w:t>
            </w:r>
            <w:r>
              <w:rPr>
                <w:rFonts w:hint="eastAsia" w:ascii="Times New Roman" w:hAnsi="Times New Roman" w:cs="Times New Roman"/>
                <w:color w:val="auto"/>
                <w:sz w:val="24"/>
                <w:szCs w:val="24"/>
                <w:highlight w:val="none"/>
                <w:lang w:val="en-US" w:eastAsia="zh-CN"/>
              </w:rPr>
              <w:t>-N：0.2246t/a。</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cs="Times New Roman"/>
                <w:color w:val="auto"/>
                <w:sz w:val="24"/>
                <w:szCs w:val="24"/>
                <w:highlight w:val="none"/>
                <w:lang w:eastAsia="zh-CN"/>
              </w:rPr>
              <w:t>在建工程污染物总量指标为</w:t>
            </w:r>
            <w:r>
              <w:rPr>
                <w:rFonts w:hint="eastAsia" w:ascii="Times New Roman" w:hAnsi="Times New Roman" w:cs="Times New Roman"/>
                <w:color w:val="auto"/>
                <w:sz w:val="24"/>
                <w:szCs w:val="24"/>
                <w:highlight w:val="none"/>
              </w:rPr>
              <w:t>颗粒物：</w:t>
            </w:r>
            <w:r>
              <w:rPr>
                <w:rFonts w:hint="eastAsia" w:ascii="Times New Roman" w:hAnsi="Times New Roman" w:cs="Times New Roman"/>
                <w:color w:val="auto"/>
                <w:sz w:val="24"/>
                <w:szCs w:val="24"/>
                <w:highlight w:val="none"/>
                <w:lang w:val="en-US" w:eastAsia="zh-CN"/>
              </w:rPr>
              <w:t>19.9226</w:t>
            </w:r>
            <w:r>
              <w:rPr>
                <w:rFonts w:hint="eastAsia" w:ascii="Times New Roman" w:hAnsi="Times New Roman" w:cs="Times New Roman"/>
                <w:color w:val="auto"/>
                <w:sz w:val="24"/>
                <w:szCs w:val="24"/>
                <w:highlight w:val="none"/>
              </w:rPr>
              <w:t>t/a</w:t>
            </w: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rPr>
              <w:t>SO</w:t>
            </w:r>
            <w:r>
              <w:rPr>
                <w:rFonts w:hint="eastAsia" w:ascii="Times New Roman" w:hAnsi="Times New Roman" w:cs="Times New Roman"/>
                <w:color w:val="auto"/>
                <w:sz w:val="24"/>
                <w:szCs w:val="24"/>
                <w:highlight w:val="none"/>
                <w:vertAlign w:val="subscript"/>
              </w:rPr>
              <w:t>2</w:t>
            </w:r>
            <w:r>
              <w:rPr>
                <w:rFonts w:hint="eastAsia" w:ascii="Times New Roman" w:hAnsi="Times New Roman" w:cs="Times New Roman"/>
                <w:color w:val="auto"/>
                <w:sz w:val="24"/>
                <w:szCs w:val="24"/>
                <w:highlight w:val="none"/>
              </w:rPr>
              <w:t>：</w:t>
            </w:r>
            <w:r>
              <w:rPr>
                <w:rFonts w:hint="eastAsia" w:ascii="Times New Roman" w:hAnsi="Times New Roman" w:cs="Times New Roman"/>
                <w:color w:val="auto"/>
                <w:sz w:val="24"/>
                <w:szCs w:val="24"/>
                <w:highlight w:val="none"/>
                <w:lang w:val="en-US" w:eastAsia="zh-CN"/>
              </w:rPr>
              <w:t>5.3023</w:t>
            </w:r>
            <w:r>
              <w:rPr>
                <w:rFonts w:hint="eastAsia" w:ascii="Times New Roman" w:hAnsi="Times New Roman" w:cs="Times New Roman"/>
                <w:color w:val="auto"/>
                <w:sz w:val="24"/>
                <w:szCs w:val="24"/>
                <w:highlight w:val="none"/>
              </w:rPr>
              <w:t>t/a、NOx：</w:t>
            </w:r>
            <w:r>
              <w:rPr>
                <w:rFonts w:hint="eastAsia" w:ascii="Times New Roman" w:hAnsi="Times New Roman" w:cs="Times New Roman"/>
                <w:color w:val="auto"/>
                <w:sz w:val="24"/>
                <w:szCs w:val="24"/>
                <w:highlight w:val="none"/>
                <w:lang w:val="en-US" w:eastAsia="zh-CN"/>
              </w:rPr>
              <w:t>72.8463</w:t>
            </w:r>
            <w:r>
              <w:rPr>
                <w:rFonts w:hint="eastAsia" w:ascii="Times New Roman" w:hAnsi="Times New Roman" w:cs="Times New Roman"/>
                <w:color w:val="auto"/>
                <w:sz w:val="24"/>
                <w:szCs w:val="24"/>
                <w:highlight w:val="none"/>
              </w:rPr>
              <w:t>t/a、</w:t>
            </w:r>
            <w:r>
              <w:rPr>
                <w:rFonts w:hint="eastAsia" w:ascii="Times New Roman" w:hAnsi="Times New Roman" w:cs="Times New Roman"/>
                <w:color w:val="auto"/>
                <w:sz w:val="24"/>
                <w:szCs w:val="24"/>
                <w:highlight w:val="none"/>
                <w:lang w:val="en-US" w:eastAsia="zh-CN"/>
              </w:rPr>
              <w:t>VOCs：84.6</w:t>
            </w:r>
            <w:r>
              <w:rPr>
                <w:rFonts w:hint="eastAsia" w:ascii="Times New Roman" w:hAnsi="Times New Roman" w:cs="Times New Roman"/>
                <w:color w:val="auto"/>
                <w:sz w:val="24"/>
                <w:szCs w:val="24"/>
                <w:highlight w:val="none"/>
              </w:rPr>
              <w:t>t/a</w:t>
            </w: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COD：8.091t/a、NH</w:t>
            </w:r>
            <w:r>
              <w:rPr>
                <w:rFonts w:hint="eastAsia" w:ascii="Times New Roman" w:hAnsi="Times New Roman" w:cs="Times New Roman"/>
                <w:color w:val="auto"/>
                <w:sz w:val="24"/>
                <w:szCs w:val="24"/>
                <w:highlight w:val="none"/>
                <w:vertAlign w:val="subscript"/>
                <w:lang w:val="en-US" w:eastAsia="zh-CN"/>
              </w:rPr>
              <w:t>3</w:t>
            </w:r>
            <w:r>
              <w:rPr>
                <w:rFonts w:hint="eastAsia" w:ascii="Times New Roman" w:hAnsi="Times New Roman" w:cs="Times New Roman"/>
                <w:color w:val="auto"/>
                <w:sz w:val="24"/>
                <w:szCs w:val="24"/>
                <w:highlight w:val="none"/>
                <w:lang w:val="en-US" w:eastAsia="zh-CN"/>
              </w:rPr>
              <w:t>-N：0.809t/a。</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本项目</w:t>
            </w:r>
            <w:r>
              <w:rPr>
                <w:rFonts w:hint="eastAsia" w:ascii="Times New Roman" w:hAnsi="Times New Roman" w:cs="Times New Roman"/>
                <w:color w:val="auto"/>
                <w:sz w:val="24"/>
                <w:szCs w:val="24"/>
                <w:highlight w:val="none"/>
              </w:rPr>
              <w:t>总量控制指标建议为颗粒物：</w:t>
            </w:r>
            <w:r>
              <w:rPr>
                <w:rFonts w:hint="eastAsia" w:cs="Times New Roman"/>
                <w:color w:val="auto"/>
                <w:sz w:val="24"/>
                <w:szCs w:val="24"/>
                <w:highlight w:val="none"/>
                <w:lang w:val="en-US" w:eastAsia="zh-CN"/>
              </w:rPr>
              <w:t>0.0067</w:t>
            </w:r>
            <w:r>
              <w:rPr>
                <w:rFonts w:hint="eastAsia" w:ascii="Times New Roman" w:hAnsi="Times New Roman" w:cs="Times New Roman"/>
                <w:color w:val="auto"/>
                <w:sz w:val="24"/>
                <w:szCs w:val="24"/>
                <w:highlight w:val="none"/>
              </w:rPr>
              <w:t>t/a</w:t>
            </w:r>
            <w:r>
              <w:rPr>
                <w:rFonts w:hint="eastAsia" w:ascii="Times New Roman" w:hAnsi="Times New Roman" w:cs="Times New Roman"/>
                <w:color w:val="auto"/>
                <w:sz w:val="24"/>
                <w:szCs w:val="24"/>
                <w:highlight w:val="none"/>
                <w:lang w:val="en-US" w:eastAsia="zh-CN"/>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b/>
                <w:bCs/>
                <w:color w:val="auto"/>
                <w:sz w:val="24"/>
                <w:szCs w:val="24"/>
                <w:highlight w:val="none"/>
                <w:lang w:val="en-US" w:eastAsia="zh-CN"/>
              </w:rPr>
            </w:pPr>
            <w:r>
              <w:rPr>
                <w:rFonts w:hint="eastAsia" w:ascii="Times New Roman" w:hAnsi="Times New Roman" w:cs="Times New Roman"/>
                <w:color w:val="auto"/>
                <w:sz w:val="24"/>
                <w:szCs w:val="24"/>
                <w:lang w:eastAsia="zh-CN"/>
              </w:rPr>
              <w:t>本</w:t>
            </w:r>
            <w:r>
              <w:rPr>
                <w:rFonts w:hint="eastAsia" w:ascii="Times New Roman" w:hAnsi="Times New Roman" w:cs="Times New Roman"/>
                <w:color w:val="auto"/>
                <w:sz w:val="24"/>
                <w:szCs w:val="24"/>
                <w:lang w:val="en-US" w:eastAsia="zh-CN"/>
              </w:rPr>
              <w:t>项目全部建</w:t>
            </w:r>
            <w:r>
              <w:rPr>
                <w:rFonts w:hint="eastAsia" w:ascii="Times New Roman" w:hAnsi="Times New Roman" w:cs="Times New Roman"/>
                <w:color w:val="auto"/>
                <w:sz w:val="24"/>
                <w:szCs w:val="24"/>
                <w:lang w:eastAsia="zh-CN"/>
              </w:rPr>
              <w:t>成后全厂污染物</w:t>
            </w:r>
            <w:r>
              <w:rPr>
                <w:rFonts w:hint="eastAsia" w:ascii="Times New Roman" w:hAnsi="Times New Roman" w:cs="Times New Roman"/>
                <w:color w:val="auto"/>
                <w:sz w:val="24"/>
                <w:szCs w:val="24"/>
                <w:lang w:val="en-US" w:eastAsia="zh-CN"/>
              </w:rPr>
              <w:t>建议指标为</w:t>
            </w:r>
            <w:r>
              <w:rPr>
                <w:rFonts w:hint="eastAsia" w:ascii="Times New Roman" w:hAnsi="Times New Roman" w:cs="Times New Roman"/>
                <w:color w:val="auto"/>
                <w:sz w:val="24"/>
                <w:szCs w:val="24"/>
              </w:rPr>
              <w:t>颗粒物：</w:t>
            </w:r>
            <w:r>
              <w:rPr>
                <w:rFonts w:hint="eastAsia" w:cs="Times New Roman"/>
                <w:color w:val="auto"/>
                <w:sz w:val="24"/>
                <w:szCs w:val="24"/>
                <w:lang w:val="en-US" w:eastAsia="zh-CN"/>
              </w:rPr>
              <w:t>22.2314</w:t>
            </w:r>
            <w:r>
              <w:rPr>
                <w:rFonts w:hint="eastAsia" w:ascii="Times New Roman" w:hAnsi="Times New Roman" w:cs="Times New Roman"/>
                <w:color w:val="auto"/>
                <w:sz w:val="24"/>
                <w:szCs w:val="24"/>
              </w:rPr>
              <w:t>t/a</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rPr>
              <w:t>SO</w:t>
            </w:r>
            <w:r>
              <w:rPr>
                <w:rFonts w:hint="eastAsia" w:ascii="Times New Roman" w:hAnsi="Times New Roman" w:cs="Times New Roman"/>
                <w:color w:val="auto"/>
                <w:sz w:val="24"/>
                <w:szCs w:val="24"/>
                <w:vertAlign w:val="subscript"/>
              </w:rPr>
              <w:t>2</w:t>
            </w:r>
            <w:r>
              <w:rPr>
                <w:rFonts w:hint="eastAsia"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7.1217</w:t>
            </w:r>
            <w:r>
              <w:rPr>
                <w:rFonts w:hint="eastAsia" w:ascii="Times New Roman" w:hAnsi="Times New Roman" w:cs="Times New Roman"/>
                <w:color w:val="auto"/>
                <w:sz w:val="24"/>
                <w:szCs w:val="24"/>
              </w:rPr>
              <w:t>t/a、NOx：</w:t>
            </w:r>
            <w:r>
              <w:rPr>
                <w:rFonts w:hint="eastAsia" w:ascii="Times New Roman" w:hAnsi="Times New Roman" w:cs="Times New Roman"/>
                <w:color w:val="auto"/>
                <w:sz w:val="24"/>
                <w:szCs w:val="24"/>
                <w:lang w:val="en-US" w:eastAsia="zh-CN"/>
              </w:rPr>
              <w:t>89.5885</w:t>
            </w:r>
            <w:r>
              <w:rPr>
                <w:rFonts w:hint="eastAsia" w:ascii="Times New Roman" w:hAnsi="Times New Roman" w:cs="Times New Roman"/>
                <w:color w:val="auto"/>
                <w:sz w:val="24"/>
                <w:szCs w:val="24"/>
              </w:rPr>
              <w:t>t/a、</w:t>
            </w:r>
            <w:r>
              <w:rPr>
                <w:rFonts w:hint="eastAsia" w:ascii="Times New Roman" w:hAnsi="Times New Roman" w:cs="Times New Roman"/>
                <w:color w:val="auto"/>
                <w:sz w:val="24"/>
                <w:szCs w:val="24"/>
                <w:lang w:val="en-US" w:eastAsia="zh-CN"/>
              </w:rPr>
              <w:t>VOCs：97.19</w:t>
            </w:r>
            <w:r>
              <w:rPr>
                <w:rFonts w:hint="eastAsia" w:ascii="Times New Roman" w:hAnsi="Times New Roman" w:cs="Times New Roman"/>
                <w:color w:val="auto"/>
                <w:sz w:val="24"/>
                <w:szCs w:val="24"/>
              </w:rPr>
              <w:t>t/a</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COD：</w:t>
            </w:r>
            <w:r>
              <w:rPr>
                <w:rFonts w:hint="eastAsia" w:cs="Times New Roman"/>
                <w:color w:val="auto"/>
                <w:sz w:val="24"/>
                <w:szCs w:val="24"/>
                <w:lang w:val="en-US" w:eastAsia="zh-CN"/>
              </w:rPr>
              <w:t>9.9399</w:t>
            </w:r>
            <w:r>
              <w:rPr>
                <w:rFonts w:hint="eastAsia" w:ascii="Times New Roman" w:hAnsi="Times New Roman" w:cs="Times New Roman"/>
                <w:color w:val="auto"/>
                <w:sz w:val="24"/>
                <w:szCs w:val="24"/>
                <w:lang w:val="en-US" w:eastAsia="zh-CN"/>
              </w:rPr>
              <w:t>t/a、NH</w:t>
            </w:r>
            <w:r>
              <w:rPr>
                <w:rFonts w:hint="eastAsia" w:ascii="Times New Roman" w:hAnsi="Times New Roman" w:cs="Times New Roman"/>
                <w:color w:val="auto"/>
                <w:sz w:val="24"/>
                <w:szCs w:val="24"/>
                <w:vertAlign w:val="subscript"/>
                <w:lang w:val="en-US" w:eastAsia="zh-CN"/>
              </w:rPr>
              <w:t>3</w:t>
            </w:r>
            <w:r>
              <w:rPr>
                <w:rFonts w:hint="eastAsia" w:ascii="Times New Roman" w:hAnsi="Times New Roman" w:cs="Times New Roman"/>
                <w:color w:val="auto"/>
                <w:sz w:val="24"/>
                <w:szCs w:val="24"/>
                <w:lang w:val="en-US" w:eastAsia="zh-CN"/>
              </w:rPr>
              <w:t>-N：</w:t>
            </w:r>
            <w:r>
              <w:rPr>
                <w:rFonts w:hint="eastAsia" w:cs="Times New Roman"/>
                <w:color w:val="auto"/>
                <w:sz w:val="24"/>
                <w:szCs w:val="24"/>
                <w:lang w:val="en-US" w:eastAsia="zh-CN"/>
              </w:rPr>
              <w:t>1.0336</w:t>
            </w:r>
            <w:r>
              <w:rPr>
                <w:rFonts w:hint="eastAsia" w:ascii="Times New Roman" w:hAnsi="Times New Roman" w:cs="Times New Roman"/>
                <w:color w:val="auto"/>
                <w:sz w:val="24"/>
                <w:szCs w:val="24"/>
                <w:lang w:val="en-US" w:eastAsia="zh-CN"/>
              </w:rPr>
              <w:t>t/a。</w:t>
            </w:r>
          </w:p>
          <w:p>
            <w:pPr>
              <w:pStyle w:val="8"/>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b/>
                <w:bCs/>
                <w:color w:val="auto"/>
                <w:sz w:val="24"/>
                <w:szCs w:val="24"/>
                <w:highlight w:val="none"/>
                <w:lang w:val="en-US" w:eastAsia="zh-CN"/>
              </w:rPr>
              <w:t>本项目建成后全厂主要污染物</w:t>
            </w:r>
            <w:r>
              <w:rPr>
                <w:rFonts w:hint="eastAsia" w:ascii="Times New Roman" w:hAnsi="Times New Roman" w:eastAsia="宋体" w:cs="Times New Roman"/>
                <w:b/>
                <w:bCs/>
                <w:color w:val="auto"/>
                <w:sz w:val="24"/>
                <w:szCs w:val="24"/>
                <w:highlight w:val="none"/>
                <w:lang w:eastAsia="zh-CN"/>
              </w:rPr>
              <w:t>“</w:t>
            </w:r>
            <w:r>
              <w:rPr>
                <w:rFonts w:hint="default" w:ascii="Times New Roman" w:hAnsi="Times New Roman" w:eastAsia="宋体" w:cs="Times New Roman"/>
                <w:b/>
                <w:bCs/>
                <w:color w:val="auto"/>
                <w:sz w:val="24"/>
                <w:szCs w:val="24"/>
                <w:highlight w:val="none"/>
              </w:rPr>
              <w:t>三本帐</w:t>
            </w:r>
            <w:r>
              <w:rPr>
                <w:rFonts w:hint="eastAsia" w:ascii="Times New Roman" w:hAnsi="Times New Roman" w:eastAsia="宋体" w:cs="Times New Roman"/>
                <w:b/>
                <w:bCs/>
                <w:color w:val="auto"/>
                <w:sz w:val="24"/>
                <w:szCs w:val="24"/>
                <w:highlight w:val="none"/>
                <w:lang w:eastAsia="zh-CN"/>
              </w:rPr>
              <w:t>”</w:t>
            </w:r>
            <w:r>
              <w:rPr>
                <w:rFonts w:hint="eastAsia" w:ascii="Times New Roman" w:hAnsi="Times New Roman" w:eastAsia="宋体" w:cs="Times New Roman"/>
                <w:b/>
                <w:bCs/>
                <w:color w:val="auto"/>
                <w:sz w:val="24"/>
                <w:szCs w:val="24"/>
                <w:highlight w:val="none"/>
                <w:lang w:val="en-US" w:eastAsia="zh-CN"/>
              </w:rPr>
              <w:t>一栏</w:t>
            </w:r>
            <w:r>
              <w:rPr>
                <w:rFonts w:hint="default" w:ascii="Times New Roman" w:hAnsi="Times New Roman" w:eastAsia="宋体" w:cs="Times New Roman"/>
                <w:b/>
                <w:bCs/>
                <w:color w:val="auto"/>
                <w:sz w:val="24"/>
                <w:szCs w:val="24"/>
                <w:highlight w:val="none"/>
              </w:rPr>
              <w:t>表  单位：t/a</w:t>
            </w:r>
          </w:p>
          <w:tbl>
            <w:tblPr>
              <w:tblStyle w:val="27"/>
              <w:tblW w:w="8384" w:type="dxa"/>
              <w:jc w:val="center"/>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30"/>
              <w:gridCol w:w="1370"/>
              <w:gridCol w:w="1028"/>
              <w:gridCol w:w="1028"/>
              <w:gridCol w:w="1012"/>
              <w:gridCol w:w="1091"/>
              <w:gridCol w:w="1012"/>
              <w:gridCol w:w="91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30" w:type="dxa"/>
                  <w:tcBorders>
                    <w:tl2br w:val="nil"/>
                    <w:tr2bl w:val="nil"/>
                  </w:tcBorders>
                  <w:vAlign w:val="center"/>
                </w:tcPr>
                <w:p>
                  <w:pPr>
                    <w:pStyle w:val="8"/>
                    <w:keepNext w:val="0"/>
                    <w:keepLines w:val="0"/>
                    <w:suppressLineNumbers w:val="0"/>
                    <w:spacing w:beforeAutospacing="0" w:after="0" w:afterAutospacing="0"/>
                    <w:ind w:left="0" w:right="0" w:firstLine="0" w:firstLineChars="0"/>
                    <w:jc w:val="center"/>
                    <w:rPr>
                      <w:rFonts w:hint="default" w:ascii="Times New Roman" w:hAnsi="Times New Roman" w:eastAsia="宋体" w:cs="Times New Roman"/>
                      <w:b/>
                      <w:bCs/>
                      <w:color w:val="auto"/>
                      <w:sz w:val="21"/>
                      <w:szCs w:val="21"/>
                      <w:highlight w:val="none"/>
                      <w:u w:val="none" w:color="auto"/>
                    </w:rPr>
                  </w:pPr>
                  <w:r>
                    <w:rPr>
                      <w:rFonts w:hint="default" w:ascii="Times New Roman" w:hAnsi="Times New Roman" w:eastAsia="宋体" w:cs="Times New Roman"/>
                      <w:b/>
                      <w:bCs/>
                      <w:color w:val="auto"/>
                      <w:sz w:val="21"/>
                      <w:szCs w:val="21"/>
                      <w:highlight w:val="none"/>
                      <w:u w:val="none" w:color="auto"/>
                    </w:rPr>
                    <w:t>污染物</w:t>
                  </w:r>
                </w:p>
              </w:tc>
              <w:tc>
                <w:tcPr>
                  <w:tcW w:w="1370" w:type="dxa"/>
                  <w:tcBorders>
                    <w:right w:val="single" w:color="000000" w:sz="4" w:space="0"/>
                    <w:tl2br w:val="nil"/>
                    <w:tr2bl w:val="nil"/>
                  </w:tcBorders>
                  <w:vAlign w:val="center"/>
                </w:tcPr>
                <w:p>
                  <w:pPr>
                    <w:pStyle w:val="8"/>
                    <w:keepNext w:val="0"/>
                    <w:keepLines w:val="0"/>
                    <w:suppressLineNumbers w:val="0"/>
                    <w:spacing w:beforeAutospacing="0" w:after="0" w:afterAutospacing="0"/>
                    <w:ind w:left="0" w:right="0" w:firstLine="0" w:firstLineChars="0"/>
                    <w:jc w:val="center"/>
                    <w:rPr>
                      <w:rFonts w:hint="default" w:ascii="Times New Roman" w:hAnsi="Times New Roman" w:eastAsia="宋体" w:cs="Times New Roman"/>
                      <w:b/>
                      <w:bCs/>
                      <w:color w:val="auto"/>
                      <w:sz w:val="21"/>
                      <w:szCs w:val="21"/>
                      <w:highlight w:val="none"/>
                      <w:u w:val="none" w:color="auto"/>
                      <w:lang w:val="en-US" w:eastAsia="zh-CN"/>
                    </w:rPr>
                  </w:pPr>
                  <w:r>
                    <w:rPr>
                      <w:rFonts w:hint="default" w:ascii="Times New Roman" w:hAnsi="Times New Roman" w:eastAsia="宋体" w:cs="Times New Roman"/>
                      <w:b/>
                      <w:bCs/>
                      <w:color w:val="auto"/>
                      <w:sz w:val="21"/>
                      <w:szCs w:val="21"/>
                      <w:highlight w:val="none"/>
                      <w:u w:val="none" w:color="auto"/>
                      <w:lang w:eastAsia="zh-CN"/>
                    </w:rPr>
                    <w:t>现有</w:t>
                  </w:r>
                  <w:r>
                    <w:rPr>
                      <w:rFonts w:hint="eastAsia" w:ascii="Times New Roman" w:hAnsi="Times New Roman" w:eastAsia="宋体" w:cs="Times New Roman"/>
                      <w:b/>
                      <w:bCs/>
                      <w:color w:val="auto"/>
                      <w:sz w:val="21"/>
                      <w:szCs w:val="21"/>
                      <w:highlight w:val="none"/>
                      <w:u w:val="none" w:color="auto"/>
                      <w:lang w:val="en-US" w:eastAsia="zh-CN"/>
                    </w:rPr>
                    <w:t>已建</w:t>
                  </w:r>
                  <w:r>
                    <w:rPr>
                      <w:rFonts w:hint="default" w:ascii="Times New Roman" w:hAnsi="Times New Roman" w:eastAsia="宋体" w:cs="Times New Roman"/>
                      <w:b/>
                      <w:bCs/>
                      <w:color w:val="auto"/>
                      <w:sz w:val="21"/>
                      <w:szCs w:val="21"/>
                      <w:highlight w:val="none"/>
                      <w:u w:val="none" w:color="auto"/>
                      <w:lang w:eastAsia="zh-CN"/>
                    </w:rPr>
                    <w:t>工程</w:t>
                  </w:r>
                  <w:r>
                    <w:rPr>
                      <w:rFonts w:hint="eastAsia" w:ascii="Times New Roman" w:hAnsi="Times New Roman" w:eastAsia="宋体" w:cs="Times New Roman"/>
                      <w:b/>
                      <w:bCs/>
                      <w:color w:val="auto"/>
                      <w:sz w:val="21"/>
                      <w:szCs w:val="21"/>
                      <w:highlight w:val="none"/>
                      <w:u w:val="none" w:color="auto"/>
                      <w:lang w:val="en-US" w:eastAsia="zh-CN"/>
                    </w:rPr>
                    <w:t>实际</w:t>
                  </w:r>
                  <w:r>
                    <w:rPr>
                      <w:rFonts w:hint="default" w:ascii="Times New Roman" w:hAnsi="Times New Roman" w:eastAsia="宋体" w:cs="Times New Roman"/>
                      <w:b/>
                      <w:bCs/>
                      <w:color w:val="auto"/>
                      <w:sz w:val="21"/>
                      <w:szCs w:val="21"/>
                      <w:highlight w:val="none"/>
                      <w:u w:val="none" w:color="auto"/>
                      <w:lang w:eastAsia="zh-CN"/>
                    </w:rPr>
                    <w:t>排放量</w:t>
                  </w:r>
                </w:p>
              </w:tc>
              <w:tc>
                <w:tcPr>
                  <w:tcW w:w="1028" w:type="dxa"/>
                  <w:tcBorders>
                    <w:left w:val="single" w:color="000000" w:sz="4" w:space="0"/>
                    <w:tl2br w:val="nil"/>
                    <w:tr2bl w:val="nil"/>
                  </w:tcBorders>
                  <w:vAlign w:val="center"/>
                </w:tcPr>
                <w:p>
                  <w:pPr>
                    <w:pStyle w:val="8"/>
                    <w:keepNext w:val="0"/>
                    <w:keepLines w:val="0"/>
                    <w:suppressLineNumbers w:val="0"/>
                    <w:spacing w:beforeAutospacing="0" w:after="0" w:afterAutospacing="0"/>
                    <w:ind w:left="0" w:right="0" w:firstLine="0" w:firstLineChars="0"/>
                    <w:jc w:val="center"/>
                    <w:rPr>
                      <w:rFonts w:hint="default" w:ascii="Times New Roman" w:hAnsi="Times New Roman" w:eastAsia="宋体" w:cs="Times New Roman"/>
                      <w:b/>
                      <w:bCs/>
                      <w:color w:val="auto"/>
                      <w:sz w:val="21"/>
                      <w:szCs w:val="21"/>
                      <w:highlight w:val="none"/>
                      <w:u w:val="none" w:color="auto"/>
                      <w:lang w:eastAsia="zh-CN"/>
                    </w:rPr>
                  </w:pPr>
                  <w:r>
                    <w:rPr>
                      <w:rFonts w:hint="eastAsia" w:ascii="Times New Roman" w:hAnsi="Times New Roman" w:eastAsia="宋体" w:cs="Times New Roman"/>
                      <w:b/>
                      <w:bCs/>
                      <w:color w:val="auto"/>
                      <w:sz w:val="21"/>
                      <w:szCs w:val="21"/>
                      <w:highlight w:val="none"/>
                      <w:u w:val="none" w:color="auto"/>
                      <w:lang w:eastAsia="zh-CN"/>
                    </w:rPr>
                    <w:t>现有工程许可排放量</w:t>
                  </w:r>
                </w:p>
              </w:tc>
              <w:tc>
                <w:tcPr>
                  <w:tcW w:w="1028" w:type="dxa"/>
                  <w:tcBorders>
                    <w:left w:val="single" w:color="000000" w:sz="4" w:space="0"/>
                    <w:tl2br w:val="nil"/>
                    <w:tr2bl w:val="nil"/>
                  </w:tcBorders>
                  <w:vAlign w:val="center"/>
                </w:tcPr>
                <w:p>
                  <w:pPr>
                    <w:pStyle w:val="8"/>
                    <w:keepNext w:val="0"/>
                    <w:keepLines w:val="0"/>
                    <w:suppressLineNumbers w:val="0"/>
                    <w:spacing w:beforeAutospacing="0" w:after="0" w:afterAutospacing="0"/>
                    <w:ind w:left="0" w:right="0" w:firstLine="0" w:firstLineChars="0"/>
                    <w:jc w:val="center"/>
                    <w:rPr>
                      <w:rFonts w:hint="default" w:ascii="Times New Roman" w:hAnsi="Times New Roman" w:eastAsia="宋体" w:cs="Times New Roman"/>
                      <w:b/>
                      <w:bCs/>
                      <w:color w:val="auto"/>
                      <w:sz w:val="21"/>
                      <w:szCs w:val="21"/>
                      <w:highlight w:val="none"/>
                      <w:u w:val="none" w:color="auto"/>
                      <w:lang w:val="en-US" w:eastAsia="zh-CN"/>
                    </w:rPr>
                  </w:pPr>
                  <w:r>
                    <w:rPr>
                      <w:rFonts w:hint="eastAsia" w:ascii="Times New Roman" w:hAnsi="Times New Roman" w:eastAsia="宋体" w:cs="Times New Roman"/>
                      <w:b/>
                      <w:bCs/>
                      <w:color w:val="auto"/>
                      <w:sz w:val="21"/>
                      <w:szCs w:val="21"/>
                      <w:highlight w:val="none"/>
                      <w:u w:val="none" w:color="auto"/>
                      <w:lang w:val="en-US" w:eastAsia="zh-CN"/>
                    </w:rPr>
                    <w:t>在建工程排放量</w:t>
                  </w:r>
                </w:p>
              </w:tc>
              <w:tc>
                <w:tcPr>
                  <w:tcW w:w="1012" w:type="dxa"/>
                  <w:tcBorders>
                    <w:tl2br w:val="nil"/>
                    <w:tr2bl w:val="nil"/>
                  </w:tcBorders>
                  <w:vAlign w:val="center"/>
                </w:tcPr>
                <w:p>
                  <w:pPr>
                    <w:pStyle w:val="8"/>
                    <w:keepNext w:val="0"/>
                    <w:keepLines w:val="0"/>
                    <w:suppressLineNumbers w:val="0"/>
                    <w:spacing w:beforeAutospacing="0" w:after="0" w:afterAutospacing="0"/>
                    <w:ind w:left="0" w:right="0" w:firstLine="0" w:firstLineChars="0"/>
                    <w:jc w:val="center"/>
                    <w:rPr>
                      <w:rFonts w:hint="default" w:ascii="Times New Roman" w:hAnsi="Times New Roman" w:eastAsia="宋体" w:cs="Times New Roman"/>
                      <w:b/>
                      <w:bCs/>
                      <w:color w:val="auto"/>
                      <w:sz w:val="21"/>
                      <w:szCs w:val="21"/>
                      <w:highlight w:val="none"/>
                      <w:u w:val="none" w:color="auto"/>
                      <w:lang w:val="en-US" w:eastAsia="zh-CN"/>
                    </w:rPr>
                  </w:pPr>
                  <w:r>
                    <w:rPr>
                      <w:rFonts w:hint="default" w:ascii="Times New Roman" w:hAnsi="Times New Roman" w:eastAsia="宋体" w:cs="Times New Roman"/>
                      <w:b/>
                      <w:bCs/>
                      <w:color w:val="auto"/>
                      <w:sz w:val="21"/>
                      <w:szCs w:val="21"/>
                      <w:highlight w:val="none"/>
                      <w:u w:val="none" w:color="auto"/>
                      <w:lang w:eastAsia="zh-CN"/>
                    </w:rPr>
                    <w:t>本项目</w:t>
                  </w:r>
                  <w:r>
                    <w:rPr>
                      <w:rFonts w:hint="default" w:ascii="Times New Roman" w:hAnsi="Times New Roman" w:eastAsia="宋体" w:cs="Times New Roman"/>
                      <w:b/>
                      <w:bCs/>
                      <w:color w:val="auto"/>
                      <w:sz w:val="21"/>
                      <w:szCs w:val="21"/>
                      <w:highlight w:val="none"/>
                      <w:u w:val="none" w:color="auto"/>
                      <w:lang w:val="en-US" w:eastAsia="zh-CN"/>
                    </w:rPr>
                    <w:t>建成后</w:t>
                  </w:r>
                </w:p>
              </w:tc>
              <w:tc>
                <w:tcPr>
                  <w:tcW w:w="1091" w:type="dxa"/>
                  <w:tcBorders>
                    <w:tl2br w:val="nil"/>
                    <w:tr2bl w:val="nil"/>
                  </w:tcBorders>
                  <w:vAlign w:val="center"/>
                </w:tcPr>
                <w:p>
                  <w:pPr>
                    <w:pStyle w:val="8"/>
                    <w:keepNext w:val="0"/>
                    <w:keepLines w:val="0"/>
                    <w:suppressLineNumbers w:val="0"/>
                    <w:spacing w:beforeAutospacing="0" w:after="0" w:afterAutospacing="0"/>
                    <w:ind w:left="0" w:right="0" w:firstLine="0" w:firstLineChars="0"/>
                    <w:jc w:val="center"/>
                    <w:rPr>
                      <w:rFonts w:hint="default" w:ascii="Times New Roman" w:hAnsi="Times New Roman" w:eastAsia="宋体" w:cs="Times New Roman"/>
                      <w:b/>
                      <w:bCs/>
                      <w:color w:val="auto"/>
                      <w:sz w:val="21"/>
                      <w:szCs w:val="21"/>
                      <w:highlight w:val="none"/>
                      <w:u w:val="none" w:color="auto"/>
                    </w:rPr>
                  </w:pPr>
                  <w:r>
                    <w:rPr>
                      <w:rFonts w:hint="eastAsia" w:ascii="Times New Roman" w:hAnsi="Times New Roman" w:eastAsia="宋体" w:cs="Times New Roman"/>
                      <w:b/>
                      <w:bCs/>
                      <w:color w:val="auto"/>
                      <w:sz w:val="21"/>
                      <w:szCs w:val="21"/>
                      <w:highlight w:val="none"/>
                      <w:u w:val="none" w:color="auto"/>
                      <w:lang w:eastAsia="zh-CN"/>
                    </w:rPr>
                    <w:t>“</w:t>
                  </w:r>
                  <w:r>
                    <w:rPr>
                      <w:rFonts w:hint="default" w:ascii="Times New Roman" w:hAnsi="Times New Roman" w:eastAsia="宋体" w:cs="Times New Roman"/>
                      <w:b/>
                      <w:bCs/>
                      <w:color w:val="auto"/>
                      <w:sz w:val="21"/>
                      <w:szCs w:val="21"/>
                      <w:highlight w:val="none"/>
                      <w:u w:val="none" w:color="auto"/>
                    </w:rPr>
                    <w:t>以新带老</w:t>
                  </w:r>
                  <w:r>
                    <w:rPr>
                      <w:rFonts w:hint="eastAsia" w:ascii="Times New Roman" w:hAnsi="Times New Roman" w:eastAsia="宋体" w:cs="Times New Roman"/>
                      <w:b/>
                      <w:bCs/>
                      <w:color w:val="auto"/>
                      <w:sz w:val="21"/>
                      <w:szCs w:val="21"/>
                      <w:highlight w:val="none"/>
                      <w:u w:val="none" w:color="auto"/>
                      <w:lang w:eastAsia="zh-CN"/>
                    </w:rPr>
                    <w:t>”</w:t>
                  </w:r>
                  <w:r>
                    <w:rPr>
                      <w:rFonts w:hint="default" w:ascii="Times New Roman" w:hAnsi="Times New Roman" w:eastAsia="宋体" w:cs="Times New Roman"/>
                      <w:b/>
                      <w:bCs/>
                      <w:color w:val="auto"/>
                      <w:sz w:val="21"/>
                      <w:szCs w:val="21"/>
                      <w:highlight w:val="none"/>
                      <w:u w:val="none" w:color="auto"/>
                    </w:rPr>
                    <w:t>削减量</w:t>
                  </w:r>
                </w:p>
              </w:tc>
              <w:tc>
                <w:tcPr>
                  <w:tcW w:w="1012" w:type="dxa"/>
                  <w:tcBorders>
                    <w:tl2br w:val="nil"/>
                    <w:tr2bl w:val="nil"/>
                  </w:tcBorders>
                  <w:vAlign w:val="center"/>
                </w:tcPr>
                <w:p>
                  <w:pPr>
                    <w:pStyle w:val="8"/>
                    <w:keepNext w:val="0"/>
                    <w:keepLines w:val="0"/>
                    <w:suppressLineNumbers w:val="0"/>
                    <w:spacing w:beforeAutospacing="0" w:after="0" w:afterAutospacing="0"/>
                    <w:ind w:left="0" w:right="0" w:firstLine="0" w:firstLineChars="0"/>
                    <w:jc w:val="center"/>
                    <w:rPr>
                      <w:rFonts w:hint="default" w:ascii="Times New Roman" w:hAnsi="Times New Roman" w:eastAsia="宋体" w:cs="Times New Roman"/>
                      <w:b/>
                      <w:bCs/>
                      <w:color w:val="auto"/>
                      <w:sz w:val="21"/>
                      <w:szCs w:val="21"/>
                      <w:highlight w:val="none"/>
                      <w:u w:val="none" w:color="auto"/>
                    </w:rPr>
                  </w:pPr>
                  <w:r>
                    <w:rPr>
                      <w:rFonts w:hint="default" w:ascii="Times New Roman" w:hAnsi="Times New Roman" w:eastAsia="宋体" w:cs="Times New Roman"/>
                      <w:b/>
                      <w:bCs/>
                      <w:color w:val="auto"/>
                      <w:sz w:val="21"/>
                      <w:szCs w:val="21"/>
                      <w:highlight w:val="none"/>
                      <w:u w:val="none" w:color="auto"/>
                    </w:rPr>
                    <w:t>完成后全厂排放量</w:t>
                  </w:r>
                </w:p>
              </w:tc>
              <w:tc>
                <w:tcPr>
                  <w:tcW w:w="913" w:type="dxa"/>
                  <w:tcBorders>
                    <w:tl2br w:val="nil"/>
                    <w:tr2bl w:val="nil"/>
                  </w:tcBorders>
                  <w:vAlign w:val="center"/>
                </w:tcPr>
                <w:p>
                  <w:pPr>
                    <w:pStyle w:val="8"/>
                    <w:keepNext w:val="0"/>
                    <w:keepLines w:val="0"/>
                    <w:suppressLineNumbers w:val="0"/>
                    <w:spacing w:beforeAutospacing="0" w:after="0" w:afterAutospacing="0"/>
                    <w:ind w:left="0" w:right="0" w:firstLine="0" w:firstLineChars="0"/>
                    <w:jc w:val="center"/>
                    <w:rPr>
                      <w:rFonts w:hint="default" w:ascii="Times New Roman" w:hAnsi="Times New Roman" w:eastAsia="宋体" w:cs="Times New Roman"/>
                      <w:b/>
                      <w:bCs/>
                      <w:color w:val="auto"/>
                      <w:sz w:val="21"/>
                      <w:szCs w:val="21"/>
                      <w:highlight w:val="none"/>
                      <w:u w:val="none" w:color="auto"/>
                      <w:lang w:eastAsia="zh-CN"/>
                    </w:rPr>
                  </w:pPr>
                  <w:r>
                    <w:rPr>
                      <w:rFonts w:hint="default" w:ascii="Times New Roman" w:hAnsi="Times New Roman" w:eastAsia="宋体" w:cs="Times New Roman"/>
                      <w:b/>
                      <w:bCs/>
                      <w:color w:val="auto"/>
                      <w:sz w:val="21"/>
                      <w:szCs w:val="21"/>
                      <w:highlight w:val="none"/>
                      <w:u w:val="none" w:color="auto"/>
                    </w:rPr>
                    <w:t>增减</w:t>
                  </w:r>
                  <w:r>
                    <w:rPr>
                      <w:rFonts w:hint="default" w:ascii="Times New Roman" w:hAnsi="Times New Roman" w:eastAsia="宋体" w:cs="Times New Roman"/>
                      <w:b/>
                      <w:bCs/>
                      <w:color w:val="auto"/>
                      <w:sz w:val="21"/>
                      <w:szCs w:val="21"/>
                      <w:highlight w:val="none"/>
                      <w:u w:val="none" w:color="auto"/>
                      <w:lang w:eastAsia="zh-CN"/>
                    </w:rPr>
                    <w:t>量</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29" w:hRule="atLeast"/>
                <w:jc w:val="center"/>
              </w:trPr>
              <w:tc>
                <w:tcPr>
                  <w:tcW w:w="930" w:type="dxa"/>
                  <w:tcBorders>
                    <w:tl2br w:val="nil"/>
                    <w:tr2bl w:val="nil"/>
                  </w:tcBorders>
                  <w:vAlign w:val="center"/>
                </w:tcPr>
                <w:p>
                  <w:pPr>
                    <w:pStyle w:val="8"/>
                    <w:keepNext w:val="0"/>
                    <w:keepLines w:val="0"/>
                    <w:suppressLineNumbers w:val="0"/>
                    <w:spacing w:beforeAutospacing="0" w:after="0" w:afterAutospacing="0"/>
                    <w:ind w:left="0" w:right="0" w:firstLine="0" w:firstLineChars="0"/>
                    <w:jc w:val="center"/>
                    <w:rPr>
                      <w:rFonts w:hint="default" w:ascii="Times New Roman" w:hAnsi="Times New Roman" w:eastAsia="宋体" w:cs="Times New Roman"/>
                      <w:b w:val="0"/>
                      <w:bCs w:val="0"/>
                      <w:snapToGrid/>
                      <w:color w:val="auto"/>
                      <w:kern w:val="2"/>
                      <w:sz w:val="21"/>
                      <w:szCs w:val="21"/>
                      <w:highlight w:val="none"/>
                      <w:u w:val="none" w:color="auto"/>
                      <w:lang w:val="en-US" w:eastAsia="zh-CN" w:bidi="ar-SA"/>
                    </w:rPr>
                  </w:pPr>
                  <w:r>
                    <w:rPr>
                      <w:rFonts w:hint="default" w:ascii="Times New Roman" w:hAnsi="Times New Roman" w:eastAsia="宋体" w:cs="Times New Roman"/>
                      <w:b w:val="0"/>
                      <w:bCs w:val="0"/>
                      <w:color w:val="auto"/>
                      <w:sz w:val="21"/>
                      <w:szCs w:val="21"/>
                      <w:highlight w:val="none"/>
                      <w:u w:val="none" w:color="auto"/>
                      <w:lang w:eastAsia="zh-CN"/>
                    </w:rPr>
                    <w:t>颗粒物</w:t>
                  </w:r>
                </w:p>
              </w:tc>
              <w:tc>
                <w:tcPr>
                  <w:tcW w:w="1370" w:type="dxa"/>
                  <w:tcBorders>
                    <w:right w:val="single" w:color="000000" w:sz="4" w:space="0"/>
                    <w:tl2br w:val="nil"/>
                    <w:tr2bl w:val="nil"/>
                  </w:tcBorders>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val="0"/>
                      <w:bCs w:val="0"/>
                      <w:color w:val="auto"/>
                      <w:kern w:val="2"/>
                      <w:sz w:val="21"/>
                      <w:szCs w:val="21"/>
                      <w:highlight w:val="none"/>
                      <w:u w:val="none" w:color="auto"/>
                      <w:lang w:val="en-US" w:eastAsia="zh-CN" w:bidi="ar-SA"/>
                    </w:rPr>
                  </w:pPr>
                  <w:r>
                    <w:rPr>
                      <w:rFonts w:hint="eastAsia" w:ascii="Times New Roman" w:hAnsi="Times New Roman" w:eastAsia="宋体" w:cs="Times New Roman"/>
                      <w:b w:val="0"/>
                      <w:bCs w:val="0"/>
                      <w:color w:val="auto"/>
                      <w:sz w:val="21"/>
                      <w:szCs w:val="21"/>
                      <w:highlight w:val="none"/>
                      <w:u w:val="none" w:color="auto"/>
                      <w:lang w:val="en-US" w:eastAsia="zh-CN"/>
                    </w:rPr>
                    <w:t>2.3007</w:t>
                  </w:r>
                </w:p>
              </w:tc>
              <w:tc>
                <w:tcPr>
                  <w:tcW w:w="1028" w:type="dxa"/>
                  <w:tcBorders>
                    <w:left w:val="single" w:color="000000" w:sz="4" w:space="0"/>
                    <w:tl2br w:val="nil"/>
                    <w:tr2bl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auto"/>
                      <w:sz w:val="21"/>
                      <w:szCs w:val="21"/>
                      <w:highlight w:val="none"/>
                      <w:u w:val="none" w:color="auto"/>
                      <w:lang w:val="en-US" w:eastAsia="zh-CN"/>
                    </w:rPr>
                  </w:pPr>
                  <w:r>
                    <w:rPr>
                      <w:rFonts w:hint="eastAsia" w:ascii="Times New Roman" w:hAnsi="Times New Roman" w:eastAsia="宋体" w:cs="Times New Roman"/>
                      <w:b w:val="0"/>
                      <w:bCs w:val="0"/>
                      <w:color w:val="auto"/>
                      <w:sz w:val="21"/>
                      <w:szCs w:val="21"/>
                      <w:highlight w:val="none"/>
                      <w:u w:val="none" w:color="auto"/>
                      <w:lang w:val="en-US" w:eastAsia="zh-CN"/>
                    </w:rPr>
                    <w:t>9.165</w:t>
                  </w:r>
                </w:p>
              </w:tc>
              <w:tc>
                <w:tcPr>
                  <w:tcW w:w="1028" w:type="dxa"/>
                  <w:tcBorders>
                    <w:left w:val="single" w:color="000000" w:sz="4" w:space="0"/>
                    <w:tl2br w:val="nil"/>
                    <w:tr2bl w:val="nil"/>
                  </w:tcBorders>
                  <w:vAlign w:val="center"/>
                </w:tcPr>
                <w:p>
                  <w:pPr>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b w:val="0"/>
                      <w:bCs w:val="0"/>
                      <w:color w:val="auto"/>
                      <w:kern w:val="2"/>
                      <w:sz w:val="21"/>
                      <w:szCs w:val="21"/>
                      <w:highlight w:val="none"/>
                      <w:u w:val="none" w:color="auto"/>
                      <w:lang w:val="en-US" w:eastAsia="zh-CN" w:bidi="ar-SA"/>
                    </w:rPr>
                  </w:pPr>
                  <w:r>
                    <w:rPr>
                      <w:rFonts w:hint="eastAsia" w:ascii="Times New Roman" w:hAnsi="Times New Roman" w:eastAsia="宋体" w:cs="Times New Roman"/>
                      <w:snapToGrid w:val="0"/>
                      <w:color w:val="auto"/>
                      <w:kern w:val="21"/>
                      <w:sz w:val="21"/>
                      <w:szCs w:val="21"/>
                      <w:u w:val="none" w:color="auto"/>
                      <w:lang w:val="en-US" w:eastAsia="zh-CN"/>
                    </w:rPr>
                    <w:t>19.9226</w:t>
                  </w:r>
                </w:p>
              </w:tc>
              <w:tc>
                <w:tcPr>
                  <w:tcW w:w="1012" w:type="dxa"/>
                  <w:tcBorders>
                    <w:tl2br w:val="nil"/>
                    <w:tr2bl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auto"/>
                      <w:kern w:val="2"/>
                      <w:sz w:val="21"/>
                      <w:szCs w:val="21"/>
                      <w:highlight w:val="none"/>
                      <w:u w:val="none" w:color="auto"/>
                      <w:lang w:val="en-US" w:eastAsia="zh-CN" w:bidi="ar-SA"/>
                    </w:rPr>
                  </w:pPr>
                  <w:r>
                    <w:rPr>
                      <w:rFonts w:hint="eastAsia" w:cs="Times New Roman"/>
                      <w:b w:val="0"/>
                      <w:bCs w:val="0"/>
                      <w:color w:val="auto"/>
                      <w:sz w:val="21"/>
                      <w:szCs w:val="21"/>
                      <w:highlight w:val="none"/>
                      <w:u w:val="none" w:color="auto"/>
                      <w:lang w:val="en-US" w:eastAsia="zh-CN"/>
                    </w:rPr>
                    <w:t>0.0067</w:t>
                  </w:r>
                </w:p>
              </w:tc>
              <w:tc>
                <w:tcPr>
                  <w:tcW w:w="1091" w:type="dxa"/>
                  <w:tcBorders>
                    <w:tl2br w:val="nil"/>
                    <w:tr2bl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auto"/>
                      <w:kern w:val="2"/>
                      <w:sz w:val="21"/>
                      <w:szCs w:val="21"/>
                      <w:highlight w:val="none"/>
                      <w:u w:val="none" w:color="auto"/>
                      <w:lang w:val="en-US" w:eastAsia="zh-CN" w:bidi="ar-SA"/>
                    </w:rPr>
                  </w:pPr>
                  <w:r>
                    <w:rPr>
                      <w:rFonts w:hint="default" w:ascii="Times New Roman" w:hAnsi="Times New Roman" w:eastAsia="宋体" w:cs="Times New Roman"/>
                      <w:b w:val="0"/>
                      <w:bCs w:val="0"/>
                      <w:color w:val="auto"/>
                      <w:sz w:val="21"/>
                      <w:szCs w:val="21"/>
                      <w:highlight w:val="none"/>
                      <w:u w:val="none" w:color="auto"/>
                      <w:lang w:val="en-US" w:eastAsia="zh-CN"/>
                    </w:rPr>
                    <w:t>0</w:t>
                  </w:r>
                </w:p>
              </w:tc>
              <w:tc>
                <w:tcPr>
                  <w:tcW w:w="1012" w:type="dxa"/>
                  <w:tcBorders>
                    <w:tl2br w:val="nil"/>
                    <w:tr2bl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auto"/>
                      <w:kern w:val="2"/>
                      <w:sz w:val="21"/>
                      <w:szCs w:val="21"/>
                      <w:highlight w:val="none"/>
                      <w:u w:val="none" w:color="auto"/>
                      <w:lang w:val="en-US" w:eastAsia="zh-CN" w:bidi="ar-SA"/>
                    </w:rPr>
                  </w:pPr>
                  <w:r>
                    <w:rPr>
                      <w:rFonts w:hint="eastAsia" w:ascii="Times New Roman" w:hAnsi="Times New Roman" w:eastAsia="宋体" w:cs="Times New Roman"/>
                      <w:i w:val="0"/>
                      <w:iCs w:val="0"/>
                      <w:color w:val="auto"/>
                      <w:kern w:val="0"/>
                      <w:sz w:val="21"/>
                      <w:szCs w:val="21"/>
                      <w:u w:val="none" w:color="auto"/>
                      <w:lang w:val="en-US" w:eastAsia="zh-CN" w:bidi="ar"/>
                    </w:rPr>
                    <w:t>22.23</w:t>
                  </w:r>
                </w:p>
              </w:tc>
              <w:tc>
                <w:tcPr>
                  <w:tcW w:w="913" w:type="dxa"/>
                  <w:tcBorders>
                    <w:tl2br w:val="nil"/>
                    <w:tr2bl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auto"/>
                      <w:kern w:val="2"/>
                      <w:sz w:val="21"/>
                      <w:szCs w:val="21"/>
                      <w:highlight w:val="none"/>
                      <w:u w:val="none" w:color="auto"/>
                      <w:lang w:val="en-US" w:eastAsia="zh-CN" w:bidi="ar-SA"/>
                    </w:rPr>
                  </w:pPr>
                  <w:r>
                    <w:rPr>
                      <w:rFonts w:hint="eastAsia" w:ascii="Times New Roman" w:hAnsi="Times New Roman" w:eastAsia="宋体" w:cs="Times New Roman"/>
                      <w:i w:val="0"/>
                      <w:iCs w:val="0"/>
                      <w:color w:val="auto"/>
                      <w:kern w:val="0"/>
                      <w:sz w:val="21"/>
                      <w:szCs w:val="21"/>
                      <w:u w:val="none" w:color="auto"/>
                      <w:lang w:val="en-US" w:eastAsia="zh-CN" w:bidi="ar"/>
                    </w:rPr>
                    <w:t>+</w:t>
                  </w:r>
                  <w:r>
                    <w:rPr>
                      <w:rFonts w:hint="eastAsia" w:cs="Times New Roman"/>
                      <w:i w:val="0"/>
                      <w:iCs w:val="0"/>
                      <w:color w:val="auto"/>
                      <w:kern w:val="0"/>
                      <w:sz w:val="21"/>
                      <w:szCs w:val="21"/>
                      <w:u w:val="none" w:color="auto"/>
                      <w:lang w:val="en-US" w:eastAsia="zh-CN" w:bidi="ar"/>
                    </w:rPr>
                    <w:t>0.0067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30" w:type="dxa"/>
                  <w:tcBorders>
                    <w:tl2br w:val="nil"/>
                    <w:tr2bl w:val="nil"/>
                  </w:tcBorders>
                  <w:vAlign w:val="center"/>
                </w:tcPr>
                <w:p>
                  <w:pPr>
                    <w:pStyle w:val="8"/>
                    <w:keepNext w:val="0"/>
                    <w:keepLines w:val="0"/>
                    <w:suppressLineNumbers w:val="0"/>
                    <w:spacing w:beforeAutospacing="0" w:after="0" w:afterAutospacing="0"/>
                    <w:ind w:left="0" w:right="0" w:firstLine="0" w:firstLineChars="0"/>
                    <w:jc w:val="center"/>
                    <w:rPr>
                      <w:rFonts w:hint="default" w:ascii="Times New Roman" w:hAnsi="Times New Roman" w:eastAsia="宋体" w:cs="Times New Roman"/>
                      <w:b w:val="0"/>
                      <w:bCs w:val="0"/>
                      <w:snapToGrid/>
                      <w:color w:val="auto"/>
                      <w:kern w:val="2"/>
                      <w:sz w:val="21"/>
                      <w:szCs w:val="21"/>
                      <w:highlight w:val="none"/>
                      <w:u w:val="none" w:color="auto"/>
                      <w:lang w:val="en-US" w:eastAsia="zh-CN" w:bidi="ar-SA"/>
                    </w:rPr>
                  </w:pPr>
                  <w:r>
                    <w:rPr>
                      <w:rFonts w:hint="default" w:ascii="Times New Roman" w:hAnsi="Times New Roman" w:eastAsia="宋体" w:cs="Times New Roman"/>
                      <w:b w:val="0"/>
                      <w:bCs w:val="0"/>
                      <w:color w:val="auto"/>
                      <w:sz w:val="21"/>
                      <w:szCs w:val="21"/>
                      <w:highlight w:val="none"/>
                      <w:u w:val="none" w:color="auto"/>
                      <w:lang w:val="en-US" w:eastAsia="zh-CN"/>
                    </w:rPr>
                    <w:t>SO</w:t>
                  </w:r>
                  <w:r>
                    <w:rPr>
                      <w:rFonts w:hint="default" w:ascii="Times New Roman" w:hAnsi="Times New Roman" w:eastAsia="宋体" w:cs="Times New Roman"/>
                      <w:b w:val="0"/>
                      <w:bCs w:val="0"/>
                      <w:color w:val="auto"/>
                      <w:sz w:val="21"/>
                      <w:szCs w:val="21"/>
                      <w:highlight w:val="none"/>
                      <w:u w:val="none" w:color="auto"/>
                      <w:vertAlign w:val="subscript"/>
                      <w:lang w:val="en-US" w:eastAsia="zh-CN"/>
                    </w:rPr>
                    <w:t>2</w:t>
                  </w:r>
                </w:p>
              </w:tc>
              <w:tc>
                <w:tcPr>
                  <w:tcW w:w="1370" w:type="dxa"/>
                  <w:tcBorders>
                    <w:right w:val="single" w:color="000000" w:sz="4" w:space="0"/>
                    <w:tl2br w:val="nil"/>
                    <w:tr2bl w:val="nil"/>
                  </w:tcBorders>
                  <w:vAlign w:val="center"/>
                </w:tcPr>
                <w:p>
                  <w:pPr>
                    <w:pStyle w:val="46"/>
                    <w:keepNext w:val="0"/>
                    <w:keepLines w:val="0"/>
                    <w:pageBreakBefore w:val="0"/>
                    <w:suppressLineNumbers w:val="0"/>
                    <w:kinsoku/>
                    <w:wordWrap/>
                    <w:overflowPunct/>
                    <w:topLinePunct w:val="0"/>
                    <w:bidi w:val="0"/>
                    <w:spacing w:before="0" w:beforeLines="0" w:beforeAutospacing="0" w:after="0" w:afterLines="0" w:afterAutospacing="0" w:line="240" w:lineRule="auto"/>
                    <w:ind w:left="0" w:right="0" w:firstLine="0" w:firstLineChars="0"/>
                    <w:rPr>
                      <w:rFonts w:hint="eastAsia" w:ascii="Times New Roman" w:hAnsi="Times New Roman" w:eastAsia="宋体" w:cs="Times New Roman"/>
                      <w:b w:val="0"/>
                      <w:bCs w:val="0"/>
                      <w:snapToGrid/>
                      <w:color w:val="auto"/>
                      <w:kern w:val="0"/>
                      <w:sz w:val="21"/>
                      <w:szCs w:val="21"/>
                      <w:highlight w:val="none"/>
                      <w:u w:val="none" w:color="auto"/>
                      <w:lang w:val="en-US" w:eastAsia="zh-CN" w:bidi="ar-SA"/>
                    </w:rPr>
                  </w:pPr>
                  <w:r>
                    <w:rPr>
                      <w:rFonts w:hint="eastAsia" w:ascii="Times New Roman" w:hAnsi="Times New Roman" w:eastAsia="宋体" w:cs="Times New Roman"/>
                      <w:snapToGrid w:val="0"/>
                      <w:color w:val="auto"/>
                      <w:kern w:val="21"/>
                      <w:sz w:val="21"/>
                      <w:szCs w:val="21"/>
                      <w:u w:val="none" w:color="auto"/>
                      <w:lang w:val="en-US" w:eastAsia="zh-CN"/>
                    </w:rPr>
                    <w:t>1.8194</w:t>
                  </w:r>
                </w:p>
              </w:tc>
              <w:tc>
                <w:tcPr>
                  <w:tcW w:w="1028" w:type="dxa"/>
                  <w:tcBorders>
                    <w:left w:val="single" w:color="000000" w:sz="4" w:space="0"/>
                    <w:tl2br w:val="nil"/>
                    <w:tr2bl w:val="nil"/>
                  </w:tcBorders>
                  <w:vAlign w:val="center"/>
                </w:tcPr>
                <w:p>
                  <w:pPr>
                    <w:pStyle w:val="46"/>
                    <w:keepNext w:val="0"/>
                    <w:keepLines w:val="0"/>
                    <w:pageBreakBefore w:val="0"/>
                    <w:suppressLineNumbers w:val="0"/>
                    <w:kinsoku/>
                    <w:wordWrap/>
                    <w:overflowPunct/>
                    <w:topLinePunct w:val="0"/>
                    <w:bidi w:val="0"/>
                    <w:spacing w:before="0" w:beforeLines="0" w:beforeAutospacing="0" w:after="0" w:afterLines="0" w:afterAutospacing="0" w:line="240" w:lineRule="auto"/>
                    <w:ind w:left="0" w:right="0" w:firstLine="0" w:firstLineChars="0"/>
                    <w:rPr>
                      <w:rFonts w:hint="default" w:ascii="Times New Roman" w:hAnsi="Times New Roman" w:eastAsia="宋体" w:cs="Times New Roman"/>
                      <w:snapToGrid w:val="0"/>
                      <w:color w:val="auto"/>
                      <w:kern w:val="21"/>
                      <w:sz w:val="21"/>
                      <w:szCs w:val="21"/>
                      <w:u w:val="none" w:color="auto"/>
                      <w:lang w:val="en-US" w:eastAsia="zh-CN"/>
                    </w:rPr>
                  </w:pPr>
                  <w:r>
                    <w:rPr>
                      <w:rFonts w:hint="eastAsia" w:ascii="Times New Roman" w:hAnsi="Times New Roman" w:eastAsia="宋体" w:cs="Times New Roman"/>
                      <w:snapToGrid w:val="0"/>
                      <w:color w:val="auto"/>
                      <w:kern w:val="21"/>
                      <w:sz w:val="21"/>
                      <w:szCs w:val="21"/>
                      <w:u w:val="none" w:color="auto"/>
                      <w:lang w:val="en-US" w:eastAsia="zh-CN"/>
                    </w:rPr>
                    <w:t>5.14</w:t>
                  </w:r>
                </w:p>
              </w:tc>
              <w:tc>
                <w:tcPr>
                  <w:tcW w:w="1028" w:type="dxa"/>
                  <w:tcBorders>
                    <w:left w:val="single" w:color="000000" w:sz="4" w:space="0"/>
                    <w:tl2br w:val="nil"/>
                    <w:tr2bl w:val="nil"/>
                  </w:tcBorders>
                  <w:vAlign w:val="center"/>
                </w:tcPr>
                <w:p>
                  <w:pPr>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eastAsia" w:ascii="Times New Roman" w:hAnsi="Times New Roman" w:eastAsia="宋体" w:cs="Times New Roman"/>
                      <w:snapToGrid w:val="0"/>
                      <w:color w:val="auto"/>
                      <w:kern w:val="21"/>
                      <w:sz w:val="21"/>
                      <w:szCs w:val="21"/>
                      <w:u w:val="none" w:color="auto"/>
                      <w:lang w:val="en-US" w:eastAsia="zh-CN"/>
                    </w:rPr>
                    <w:t>5.3023</w:t>
                  </w:r>
                </w:p>
              </w:tc>
              <w:tc>
                <w:tcPr>
                  <w:tcW w:w="1012" w:type="dxa"/>
                  <w:tcBorders>
                    <w:tl2br w:val="nil"/>
                    <w:tr2bl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auto"/>
                      <w:kern w:val="2"/>
                      <w:sz w:val="21"/>
                      <w:szCs w:val="21"/>
                      <w:highlight w:val="none"/>
                      <w:u w:val="none" w:color="auto"/>
                      <w:lang w:val="en-US" w:eastAsia="zh-CN" w:bidi="ar-SA"/>
                    </w:rPr>
                  </w:pPr>
                  <w:r>
                    <w:rPr>
                      <w:rFonts w:hint="eastAsia" w:ascii="Times New Roman" w:hAnsi="Times New Roman" w:eastAsia="宋体" w:cs="Times New Roman"/>
                      <w:b w:val="0"/>
                      <w:bCs w:val="0"/>
                      <w:color w:val="auto"/>
                      <w:kern w:val="2"/>
                      <w:sz w:val="21"/>
                      <w:szCs w:val="21"/>
                      <w:highlight w:val="none"/>
                      <w:u w:val="none" w:color="auto"/>
                      <w:lang w:val="en-US" w:eastAsia="zh-CN" w:bidi="ar-SA"/>
                    </w:rPr>
                    <w:t>0</w:t>
                  </w:r>
                </w:p>
              </w:tc>
              <w:tc>
                <w:tcPr>
                  <w:tcW w:w="1091" w:type="dxa"/>
                  <w:tcBorders>
                    <w:tl2br w:val="nil"/>
                    <w:tr2bl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auto"/>
                      <w:kern w:val="2"/>
                      <w:sz w:val="21"/>
                      <w:szCs w:val="21"/>
                      <w:highlight w:val="none"/>
                      <w:u w:val="none" w:color="auto"/>
                      <w:lang w:val="en-US" w:eastAsia="zh-CN" w:bidi="ar-SA"/>
                    </w:rPr>
                  </w:pPr>
                  <w:r>
                    <w:rPr>
                      <w:rFonts w:hint="default" w:ascii="Times New Roman" w:hAnsi="Times New Roman" w:eastAsia="宋体" w:cs="Times New Roman"/>
                      <w:b w:val="0"/>
                      <w:bCs w:val="0"/>
                      <w:color w:val="auto"/>
                      <w:sz w:val="21"/>
                      <w:szCs w:val="21"/>
                      <w:highlight w:val="none"/>
                      <w:u w:val="none" w:color="auto"/>
                      <w:lang w:val="en-US" w:eastAsia="zh-CN"/>
                    </w:rPr>
                    <w:t>0</w:t>
                  </w:r>
                </w:p>
              </w:tc>
              <w:tc>
                <w:tcPr>
                  <w:tcW w:w="1012" w:type="dxa"/>
                  <w:tcBorders>
                    <w:tl2br w:val="nil"/>
                    <w:tr2bl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auto"/>
                      <w:kern w:val="2"/>
                      <w:sz w:val="21"/>
                      <w:szCs w:val="21"/>
                      <w:highlight w:val="none"/>
                      <w:u w:val="none" w:color="auto"/>
                      <w:lang w:val="en-US" w:eastAsia="zh-CN" w:bidi="ar-SA"/>
                    </w:rPr>
                  </w:pPr>
                  <w:r>
                    <w:rPr>
                      <w:rFonts w:hint="eastAsia" w:ascii="Times New Roman" w:hAnsi="Times New Roman" w:eastAsia="宋体" w:cs="Times New Roman"/>
                      <w:i w:val="0"/>
                      <w:iCs w:val="0"/>
                      <w:color w:val="auto"/>
                      <w:kern w:val="0"/>
                      <w:sz w:val="21"/>
                      <w:szCs w:val="21"/>
                      <w:u w:val="none" w:color="auto"/>
                      <w:lang w:val="en-US" w:eastAsia="zh-CN" w:bidi="ar"/>
                    </w:rPr>
                    <w:t>7.1217</w:t>
                  </w:r>
                </w:p>
              </w:tc>
              <w:tc>
                <w:tcPr>
                  <w:tcW w:w="913" w:type="dxa"/>
                  <w:tcBorders>
                    <w:tl2br w:val="nil"/>
                    <w:tr2bl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auto"/>
                      <w:kern w:val="2"/>
                      <w:sz w:val="21"/>
                      <w:szCs w:val="21"/>
                      <w:highlight w:val="none"/>
                      <w:u w:val="none" w:color="auto"/>
                      <w:lang w:val="en-US" w:eastAsia="zh-CN" w:bidi="ar-SA"/>
                    </w:rPr>
                  </w:pPr>
                  <w:r>
                    <w:rPr>
                      <w:rFonts w:hint="eastAsia" w:ascii="Times New Roman" w:hAnsi="Times New Roman" w:eastAsia="宋体" w:cs="Times New Roman"/>
                      <w:b w:val="0"/>
                      <w:bCs w:val="0"/>
                      <w:color w:val="auto"/>
                      <w:kern w:val="2"/>
                      <w:sz w:val="21"/>
                      <w:szCs w:val="21"/>
                      <w:highlight w:val="none"/>
                      <w:u w:val="none" w:color="auto"/>
                      <w:lang w:val="en-US" w:eastAsia="zh-CN" w:bidi="ar-SA"/>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30" w:type="dxa"/>
                  <w:tcBorders>
                    <w:tl2br w:val="nil"/>
                    <w:tr2bl w:val="nil"/>
                  </w:tcBorders>
                  <w:vAlign w:val="center"/>
                </w:tcPr>
                <w:p>
                  <w:pPr>
                    <w:pStyle w:val="8"/>
                    <w:keepNext w:val="0"/>
                    <w:keepLines w:val="0"/>
                    <w:suppressLineNumbers w:val="0"/>
                    <w:spacing w:beforeAutospacing="0" w:after="0" w:afterAutospacing="0"/>
                    <w:ind w:left="0" w:right="0" w:firstLine="0" w:firstLineChars="0"/>
                    <w:jc w:val="center"/>
                    <w:rPr>
                      <w:rFonts w:hint="default" w:ascii="Times New Roman" w:hAnsi="Times New Roman" w:eastAsia="宋体" w:cs="Times New Roman"/>
                      <w:b w:val="0"/>
                      <w:bCs w:val="0"/>
                      <w:snapToGrid/>
                      <w:color w:val="auto"/>
                      <w:kern w:val="2"/>
                      <w:sz w:val="21"/>
                      <w:szCs w:val="21"/>
                      <w:highlight w:val="none"/>
                      <w:u w:val="none" w:color="auto"/>
                      <w:lang w:val="en-US" w:eastAsia="zh-CN" w:bidi="ar-SA"/>
                    </w:rPr>
                  </w:pPr>
                  <w:r>
                    <w:rPr>
                      <w:rFonts w:hint="default" w:ascii="Times New Roman" w:hAnsi="Times New Roman" w:eastAsia="宋体" w:cs="Times New Roman"/>
                      <w:b w:val="0"/>
                      <w:bCs w:val="0"/>
                      <w:color w:val="auto"/>
                      <w:sz w:val="21"/>
                      <w:szCs w:val="21"/>
                      <w:highlight w:val="none"/>
                      <w:u w:val="none" w:color="auto"/>
                      <w:lang w:val="en-US" w:eastAsia="zh-CN"/>
                    </w:rPr>
                    <w:t>NOx</w:t>
                  </w:r>
                </w:p>
              </w:tc>
              <w:tc>
                <w:tcPr>
                  <w:tcW w:w="1370" w:type="dxa"/>
                  <w:tcBorders>
                    <w:right w:val="single" w:color="000000" w:sz="4" w:space="0"/>
                    <w:tl2br w:val="nil"/>
                    <w:tr2bl w:val="nil"/>
                  </w:tcBorders>
                  <w:vAlign w:val="center"/>
                </w:tcPr>
                <w:p>
                  <w:pPr>
                    <w:pStyle w:val="46"/>
                    <w:keepNext w:val="0"/>
                    <w:keepLines w:val="0"/>
                    <w:pageBreakBefore w:val="0"/>
                    <w:suppressLineNumbers w:val="0"/>
                    <w:kinsoku/>
                    <w:wordWrap/>
                    <w:overflowPunct/>
                    <w:topLinePunct w:val="0"/>
                    <w:bidi w:val="0"/>
                    <w:spacing w:before="0" w:beforeLines="0" w:beforeAutospacing="0" w:after="0" w:afterLines="0" w:afterAutospacing="0" w:line="240" w:lineRule="auto"/>
                    <w:ind w:left="0" w:right="0" w:firstLine="0" w:firstLineChars="0"/>
                    <w:rPr>
                      <w:rFonts w:hint="eastAsia" w:ascii="Times New Roman" w:hAnsi="Times New Roman" w:eastAsia="宋体" w:cs="Times New Roman"/>
                      <w:b w:val="0"/>
                      <w:bCs w:val="0"/>
                      <w:i w:val="0"/>
                      <w:iCs w:val="0"/>
                      <w:snapToGrid/>
                      <w:color w:val="auto"/>
                      <w:kern w:val="0"/>
                      <w:sz w:val="21"/>
                      <w:szCs w:val="21"/>
                      <w:u w:val="none" w:color="auto"/>
                      <w:lang w:val="en-US" w:eastAsia="zh-CN" w:bidi="ar"/>
                    </w:rPr>
                  </w:pPr>
                  <w:r>
                    <w:rPr>
                      <w:rFonts w:hint="eastAsia" w:ascii="Times New Roman" w:hAnsi="Times New Roman" w:eastAsia="宋体" w:cs="Times New Roman"/>
                      <w:snapToGrid w:val="0"/>
                      <w:color w:val="auto"/>
                      <w:kern w:val="21"/>
                      <w:sz w:val="21"/>
                      <w:szCs w:val="21"/>
                      <w:u w:val="none" w:color="auto"/>
                      <w:lang w:val="en-US" w:eastAsia="zh-CN"/>
                    </w:rPr>
                    <w:t>16.7422</w:t>
                  </w:r>
                </w:p>
              </w:tc>
              <w:tc>
                <w:tcPr>
                  <w:tcW w:w="1028" w:type="dxa"/>
                  <w:tcBorders>
                    <w:left w:val="single" w:color="000000" w:sz="4" w:space="0"/>
                    <w:tl2br w:val="nil"/>
                    <w:tr2bl w:val="nil"/>
                  </w:tcBorders>
                  <w:vAlign w:val="center"/>
                </w:tcPr>
                <w:p>
                  <w:pPr>
                    <w:pStyle w:val="46"/>
                    <w:keepNext w:val="0"/>
                    <w:keepLines w:val="0"/>
                    <w:pageBreakBefore w:val="0"/>
                    <w:suppressLineNumbers w:val="0"/>
                    <w:kinsoku/>
                    <w:wordWrap/>
                    <w:overflowPunct/>
                    <w:topLinePunct w:val="0"/>
                    <w:bidi w:val="0"/>
                    <w:spacing w:before="0" w:beforeLines="0" w:beforeAutospacing="0" w:after="0" w:afterLines="0" w:afterAutospacing="0" w:line="240" w:lineRule="auto"/>
                    <w:ind w:left="0" w:right="0" w:firstLine="0" w:firstLineChars="0"/>
                    <w:rPr>
                      <w:rFonts w:hint="default" w:ascii="Times New Roman" w:hAnsi="Times New Roman" w:eastAsia="宋体" w:cs="Times New Roman"/>
                      <w:snapToGrid w:val="0"/>
                      <w:color w:val="auto"/>
                      <w:kern w:val="21"/>
                      <w:sz w:val="21"/>
                      <w:szCs w:val="21"/>
                      <w:u w:val="none" w:color="auto"/>
                      <w:lang w:val="en-US" w:eastAsia="zh-CN"/>
                    </w:rPr>
                  </w:pPr>
                  <w:r>
                    <w:rPr>
                      <w:rFonts w:hint="eastAsia" w:ascii="Times New Roman" w:hAnsi="Times New Roman" w:eastAsia="宋体" w:cs="Times New Roman"/>
                      <w:snapToGrid w:val="0"/>
                      <w:color w:val="auto"/>
                      <w:kern w:val="21"/>
                      <w:sz w:val="21"/>
                      <w:szCs w:val="21"/>
                      <w:u w:val="none" w:color="auto"/>
                      <w:lang w:val="en-US" w:eastAsia="zh-CN"/>
                    </w:rPr>
                    <w:t>64.26</w:t>
                  </w:r>
                </w:p>
              </w:tc>
              <w:tc>
                <w:tcPr>
                  <w:tcW w:w="1028" w:type="dxa"/>
                  <w:tcBorders>
                    <w:left w:val="single" w:color="000000" w:sz="4" w:space="0"/>
                    <w:tl2br w:val="nil"/>
                    <w:tr2bl w:val="nil"/>
                  </w:tcBorders>
                  <w:vAlign w:val="center"/>
                </w:tcPr>
                <w:p>
                  <w:pPr>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eastAsia" w:ascii="Times New Roman" w:hAnsi="Times New Roman" w:eastAsia="宋体" w:cs="Times New Roman"/>
                      <w:snapToGrid w:val="0"/>
                      <w:color w:val="auto"/>
                      <w:kern w:val="21"/>
                      <w:sz w:val="21"/>
                      <w:szCs w:val="21"/>
                      <w:u w:val="none" w:color="auto"/>
                      <w:lang w:val="en-US" w:eastAsia="zh-CN"/>
                    </w:rPr>
                    <w:t>72.8463</w:t>
                  </w:r>
                </w:p>
              </w:tc>
              <w:tc>
                <w:tcPr>
                  <w:tcW w:w="1012" w:type="dxa"/>
                  <w:tcBorders>
                    <w:tl2br w:val="nil"/>
                    <w:tr2bl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iCs w:val="0"/>
                      <w:color w:val="auto"/>
                      <w:kern w:val="0"/>
                      <w:sz w:val="21"/>
                      <w:szCs w:val="21"/>
                      <w:u w:val="none" w:color="auto"/>
                      <w:lang w:val="en-US" w:eastAsia="zh-CN" w:bidi="ar"/>
                    </w:rPr>
                  </w:pPr>
                  <w:r>
                    <w:rPr>
                      <w:rFonts w:hint="eastAsia" w:ascii="Times New Roman" w:hAnsi="Times New Roman" w:eastAsia="宋体" w:cs="Times New Roman"/>
                      <w:b w:val="0"/>
                      <w:bCs w:val="0"/>
                      <w:i w:val="0"/>
                      <w:iCs w:val="0"/>
                      <w:color w:val="auto"/>
                      <w:kern w:val="0"/>
                      <w:sz w:val="21"/>
                      <w:szCs w:val="21"/>
                      <w:u w:val="none" w:color="auto"/>
                      <w:lang w:val="en-US" w:eastAsia="zh-CN" w:bidi="ar"/>
                    </w:rPr>
                    <w:t>0</w:t>
                  </w:r>
                </w:p>
              </w:tc>
              <w:tc>
                <w:tcPr>
                  <w:tcW w:w="1091" w:type="dxa"/>
                  <w:tcBorders>
                    <w:tl2br w:val="nil"/>
                    <w:tr2bl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iCs w:val="0"/>
                      <w:color w:val="auto"/>
                      <w:kern w:val="0"/>
                      <w:sz w:val="21"/>
                      <w:szCs w:val="21"/>
                      <w:u w:val="none" w:color="auto"/>
                      <w:lang w:val="en-US" w:eastAsia="zh-CN" w:bidi="ar"/>
                    </w:rPr>
                  </w:pPr>
                  <w:r>
                    <w:rPr>
                      <w:rFonts w:hint="default" w:ascii="Times New Roman" w:hAnsi="Times New Roman" w:eastAsia="宋体" w:cs="Times New Roman"/>
                      <w:b w:val="0"/>
                      <w:bCs w:val="0"/>
                      <w:color w:val="auto"/>
                      <w:sz w:val="21"/>
                      <w:szCs w:val="21"/>
                      <w:highlight w:val="none"/>
                      <w:u w:val="none" w:color="auto"/>
                      <w:lang w:val="en-US" w:eastAsia="zh-CN"/>
                    </w:rPr>
                    <w:t>0</w:t>
                  </w:r>
                </w:p>
              </w:tc>
              <w:tc>
                <w:tcPr>
                  <w:tcW w:w="1012" w:type="dxa"/>
                  <w:tcBorders>
                    <w:tl2br w:val="nil"/>
                    <w:tr2bl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iCs w:val="0"/>
                      <w:color w:val="auto"/>
                      <w:kern w:val="0"/>
                      <w:sz w:val="21"/>
                      <w:szCs w:val="21"/>
                      <w:u w:val="none" w:color="auto"/>
                      <w:lang w:val="en-US" w:eastAsia="zh-CN" w:bidi="ar"/>
                    </w:rPr>
                  </w:pPr>
                  <w:r>
                    <w:rPr>
                      <w:rFonts w:hint="eastAsia" w:ascii="Times New Roman" w:hAnsi="Times New Roman" w:eastAsia="宋体" w:cs="Times New Roman"/>
                      <w:i w:val="0"/>
                      <w:iCs w:val="0"/>
                      <w:color w:val="auto"/>
                      <w:kern w:val="0"/>
                      <w:sz w:val="21"/>
                      <w:szCs w:val="21"/>
                      <w:u w:val="none" w:color="auto"/>
                      <w:lang w:val="en-US" w:eastAsia="zh-CN" w:bidi="ar"/>
                    </w:rPr>
                    <w:t>89.5885</w:t>
                  </w:r>
                </w:p>
              </w:tc>
              <w:tc>
                <w:tcPr>
                  <w:tcW w:w="913" w:type="dxa"/>
                  <w:tcBorders>
                    <w:tl2br w:val="nil"/>
                    <w:tr2bl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iCs w:val="0"/>
                      <w:color w:val="auto"/>
                      <w:kern w:val="0"/>
                      <w:sz w:val="21"/>
                      <w:szCs w:val="21"/>
                      <w:u w:val="none" w:color="auto"/>
                      <w:lang w:val="en-US" w:eastAsia="zh-CN" w:bidi="ar"/>
                    </w:rPr>
                  </w:pPr>
                  <w:r>
                    <w:rPr>
                      <w:rFonts w:hint="eastAsia" w:ascii="Times New Roman" w:hAnsi="Times New Roman" w:eastAsia="宋体" w:cs="Times New Roman"/>
                      <w:b w:val="0"/>
                      <w:bCs w:val="0"/>
                      <w:i w:val="0"/>
                      <w:iCs w:val="0"/>
                      <w:color w:val="auto"/>
                      <w:kern w:val="0"/>
                      <w:sz w:val="21"/>
                      <w:szCs w:val="21"/>
                      <w:u w:val="none" w:color="auto"/>
                      <w:lang w:val="en-US" w:eastAsia="zh-CN" w:bidi="ar"/>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30" w:type="dxa"/>
                  <w:tcBorders>
                    <w:tl2br w:val="nil"/>
                    <w:tr2bl w:val="nil"/>
                  </w:tcBorders>
                  <w:vAlign w:val="center"/>
                </w:tcPr>
                <w:p>
                  <w:pPr>
                    <w:pStyle w:val="8"/>
                    <w:keepNext w:val="0"/>
                    <w:keepLines w:val="0"/>
                    <w:suppressLineNumbers w:val="0"/>
                    <w:spacing w:beforeAutospacing="0" w:after="0" w:afterAutospacing="0"/>
                    <w:ind w:left="0" w:right="0" w:firstLine="0" w:firstLineChars="0"/>
                    <w:jc w:val="center"/>
                    <w:rPr>
                      <w:rFonts w:hint="default" w:ascii="Times New Roman" w:hAnsi="Times New Roman" w:eastAsia="宋体" w:cs="Times New Roman"/>
                      <w:b w:val="0"/>
                      <w:bCs w:val="0"/>
                      <w:snapToGrid/>
                      <w:color w:val="auto"/>
                      <w:kern w:val="2"/>
                      <w:sz w:val="21"/>
                      <w:szCs w:val="21"/>
                      <w:highlight w:val="none"/>
                      <w:u w:val="none" w:color="auto"/>
                      <w:lang w:val="en-US" w:eastAsia="zh-CN" w:bidi="ar-SA"/>
                    </w:rPr>
                  </w:pPr>
                  <w:r>
                    <w:rPr>
                      <w:rFonts w:hint="default" w:ascii="Times New Roman" w:hAnsi="Times New Roman" w:eastAsia="宋体" w:cs="Times New Roman"/>
                      <w:b w:val="0"/>
                      <w:bCs w:val="0"/>
                      <w:color w:val="auto"/>
                      <w:sz w:val="21"/>
                      <w:szCs w:val="21"/>
                      <w:highlight w:val="none"/>
                      <w:u w:val="none" w:color="auto"/>
                      <w:lang w:val="en-US" w:eastAsia="zh-CN"/>
                    </w:rPr>
                    <w:t>VOCs</w:t>
                  </w:r>
                </w:p>
              </w:tc>
              <w:tc>
                <w:tcPr>
                  <w:tcW w:w="1370" w:type="dxa"/>
                  <w:tcBorders>
                    <w:right w:val="single" w:color="000000" w:sz="4" w:space="0"/>
                    <w:tl2br w:val="nil"/>
                    <w:tr2bl w:val="nil"/>
                  </w:tcBorders>
                  <w:vAlign w:val="center"/>
                </w:tcPr>
                <w:p>
                  <w:pPr>
                    <w:pStyle w:val="46"/>
                    <w:keepNext w:val="0"/>
                    <w:keepLines w:val="0"/>
                    <w:pageBreakBefore w:val="0"/>
                    <w:suppressLineNumbers w:val="0"/>
                    <w:kinsoku/>
                    <w:wordWrap/>
                    <w:overflowPunct/>
                    <w:topLinePunct w:val="0"/>
                    <w:bidi w:val="0"/>
                    <w:spacing w:before="0" w:beforeLines="0" w:beforeAutospacing="0" w:after="0" w:afterLines="0" w:afterAutospacing="0" w:line="240" w:lineRule="auto"/>
                    <w:ind w:left="0" w:right="0" w:firstLine="0" w:firstLineChars="0"/>
                    <w:rPr>
                      <w:rFonts w:hint="eastAsia" w:ascii="Times New Roman" w:hAnsi="Times New Roman" w:eastAsia="宋体" w:cs="Times New Roman"/>
                      <w:b w:val="0"/>
                      <w:bCs w:val="0"/>
                      <w:i w:val="0"/>
                      <w:iCs w:val="0"/>
                      <w:snapToGrid/>
                      <w:color w:val="auto"/>
                      <w:kern w:val="0"/>
                      <w:sz w:val="21"/>
                      <w:szCs w:val="21"/>
                      <w:u w:val="none" w:color="auto"/>
                      <w:lang w:val="en-US" w:eastAsia="zh-CN" w:bidi="ar"/>
                    </w:rPr>
                  </w:pPr>
                  <w:r>
                    <w:rPr>
                      <w:rFonts w:hint="eastAsia" w:ascii="Times New Roman" w:hAnsi="Times New Roman" w:eastAsia="宋体" w:cs="Times New Roman"/>
                      <w:snapToGrid w:val="0"/>
                      <w:color w:val="auto"/>
                      <w:kern w:val="21"/>
                      <w:sz w:val="21"/>
                      <w:szCs w:val="21"/>
                      <w:u w:val="none" w:color="auto"/>
                      <w:lang w:val="en-US" w:eastAsia="zh-CN"/>
                    </w:rPr>
                    <w:t>12.59</w:t>
                  </w:r>
                </w:p>
              </w:tc>
              <w:tc>
                <w:tcPr>
                  <w:tcW w:w="1028" w:type="dxa"/>
                  <w:tcBorders>
                    <w:left w:val="single" w:color="000000" w:sz="4" w:space="0"/>
                    <w:tl2br w:val="nil"/>
                    <w:tr2bl w:val="nil"/>
                  </w:tcBorders>
                  <w:vAlign w:val="center"/>
                </w:tcPr>
                <w:p>
                  <w:pPr>
                    <w:pStyle w:val="46"/>
                    <w:keepNext w:val="0"/>
                    <w:keepLines w:val="0"/>
                    <w:pageBreakBefore w:val="0"/>
                    <w:suppressLineNumbers w:val="0"/>
                    <w:kinsoku/>
                    <w:wordWrap/>
                    <w:overflowPunct/>
                    <w:topLinePunct w:val="0"/>
                    <w:bidi w:val="0"/>
                    <w:spacing w:before="0" w:beforeLines="0" w:beforeAutospacing="0" w:after="0" w:afterLines="0" w:afterAutospacing="0" w:line="240" w:lineRule="auto"/>
                    <w:ind w:left="0" w:right="0" w:firstLine="0" w:firstLineChars="0"/>
                    <w:rPr>
                      <w:rFonts w:hint="default" w:ascii="Times New Roman" w:hAnsi="Times New Roman" w:eastAsia="宋体" w:cs="Times New Roman"/>
                      <w:snapToGrid w:val="0"/>
                      <w:color w:val="auto"/>
                      <w:kern w:val="21"/>
                      <w:sz w:val="21"/>
                      <w:szCs w:val="21"/>
                      <w:u w:val="none" w:color="auto"/>
                      <w:lang w:val="en-US" w:eastAsia="zh-CN"/>
                    </w:rPr>
                  </w:pPr>
                  <w:r>
                    <w:rPr>
                      <w:rFonts w:hint="eastAsia" w:ascii="Times New Roman" w:hAnsi="Times New Roman" w:eastAsia="宋体" w:cs="Times New Roman"/>
                      <w:snapToGrid w:val="0"/>
                      <w:color w:val="auto"/>
                      <w:kern w:val="21"/>
                      <w:sz w:val="21"/>
                      <w:szCs w:val="21"/>
                      <w:u w:val="none" w:color="auto"/>
                      <w:lang w:val="en-US" w:eastAsia="zh-CN"/>
                    </w:rPr>
                    <w:t>84.6</w:t>
                  </w:r>
                </w:p>
              </w:tc>
              <w:tc>
                <w:tcPr>
                  <w:tcW w:w="1028" w:type="dxa"/>
                  <w:tcBorders>
                    <w:left w:val="single" w:color="000000" w:sz="4" w:space="0"/>
                    <w:tl2br w:val="nil"/>
                    <w:tr2bl w:val="nil"/>
                  </w:tcBorders>
                  <w:vAlign w:val="center"/>
                </w:tcPr>
                <w:p>
                  <w:pPr>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default" w:ascii="Times New Roman" w:hAnsi="Times New Roman" w:eastAsia="宋体" w:cs="Times New Roman"/>
                      <w:snapToGrid w:val="0"/>
                      <w:color w:val="auto"/>
                      <w:kern w:val="21"/>
                      <w:sz w:val="21"/>
                      <w:szCs w:val="21"/>
                      <w:u w:val="none" w:color="auto"/>
                      <w:lang w:val="en-US" w:eastAsia="zh-CN"/>
                    </w:rPr>
                    <w:t>84.6</w:t>
                  </w:r>
                </w:p>
              </w:tc>
              <w:tc>
                <w:tcPr>
                  <w:tcW w:w="1012" w:type="dxa"/>
                  <w:tcBorders>
                    <w:tl2br w:val="nil"/>
                    <w:tr2bl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iCs w:val="0"/>
                      <w:color w:val="auto"/>
                      <w:kern w:val="0"/>
                      <w:sz w:val="21"/>
                      <w:szCs w:val="21"/>
                      <w:u w:val="none" w:color="auto"/>
                      <w:lang w:val="en-US" w:eastAsia="zh-CN" w:bidi="ar"/>
                    </w:rPr>
                  </w:pPr>
                  <w:r>
                    <w:rPr>
                      <w:rFonts w:hint="default" w:ascii="Times New Roman" w:hAnsi="Times New Roman" w:eastAsia="宋体" w:cs="Times New Roman"/>
                      <w:b w:val="0"/>
                      <w:bCs w:val="0"/>
                      <w:i w:val="0"/>
                      <w:iCs w:val="0"/>
                      <w:color w:val="auto"/>
                      <w:kern w:val="0"/>
                      <w:sz w:val="21"/>
                      <w:szCs w:val="21"/>
                      <w:u w:val="none" w:color="auto"/>
                      <w:lang w:val="en-US" w:eastAsia="zh-CN" w:bidi="ar"/>
                    </w:rPr>
                    <w:t>0</w:t>
                  </w:r>
                </w:p>
              </w:tc>
              <w:tc>
                <w:tcPr>
                  <w:tcW w:w="1091" w:type="dxa"/>
                  <w:tcBorders>
                    <w:tl2br w:val="nil"/>
                    <w:tr2bl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iCs w:val="0"/>
                      <w:color w:val="auto"/>
                      <w:kern w:val="0"/>
                      <w:sz w:val="21"/>
                      <w:szCs w:val="21"/>
                      <w:u w:val="none" w:color="auto"/>
                      <w:lang w:val="en-US" w:eastAsia="zh-CN" w:bidi="ar"/>
                    </w:rPr>
                  </w:pPr>
                  <w:r>
                    <w:rPr>
                      <w:rFonts w:hint="default" w:ascii="Times New Roman" w:hAnsi="Times New Roman" w:eastAsia="宋体" w:cs="Times New Roman"/>
                      <w:b w:val="0"/>
                      <w:bCs w:val="0"/>
                      <w:color w:val="auto"/>
                      <w:sz w:val="21"/>
                      <w:szCs w:val="21"/>
                      <w:highlight w:val="none"/>
                      <w:u w:val="none" w:color="auto"/>
                      <w:lang w:val="en-US" w:eastAsia="zh-CN"/>
                    </w:rPr>
                    <w:t>0</w:t>
                  </w:r>
                </w:p>
              </w:tc>
              <w:tc>
                <w:tcPr>
                  <w:tcW w:w="1012" w:type="dxa"/>
                  <w:tcBorders>
                    <w:tl2br w:val="nil"/>
                    <w:tr2bl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iCs w:val="0"/>
                      <w:color w:val="auto"/>
                      <w:kern w:val="0"/>
                      <w:sz w:val="21"/>
                      <w:szCs w:val="21"/>
                      <w:u w:val="none" w:color="auto"/>
                      <w:lang w:val="en-US" w:eastAsia="zh-CN" w:bidi="ar"/>
                    </w:rPr>
                  </w:pPr>
                  <w:r>
                    <w:rPr>
                      <w:rFonts w:hint="default" w:ascii="Times New Roman" w:hAnsi="Times New Roman" w:eastAsia="宋体" w:cs="Times New Roman"/>
                      <w:i w:val="0"/>
                      <w:iCs w:val="0"/>
                      <w:color w:val="auto"/>
                      <w:kern w:val="0"/>
                      <w:sz w:val="21"/>
                      <w:szCs w:val="21"/>
                      <w:u w:val="none" w:color="auto"/>
                      <w:lang w:val="en-US" w:eastAsia="zh-CN" w:bidi="ar"/>
                    </w:rPr>
                    <w:t>97.19</w:t>
                  </w:r>
                </w:p>
              </w:tc>
              <w:tc>
                <w:tcPr>
                  <w:tcW w:w="913" w:type="dxa"/>
                  <w:tcBorders>
                    <w:tl2br w:val="nil"/>
                    <w:tr2bl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iCs w:val="0"/>
                      <w:color w:val="auto"/>
                      <w:kern w:val="0"/>
                      <w:sz w:val="21"/>
                      <w:szCs w:val="21"/>
                      <w:u w:val="none" w:color="auto"/>
                      <w:lang w:val="en-US" w:eastAsia="zh-CN" w:bidi="ar"/>
                    </w:rPr>
                  </w:pPr>
                  <w:r>
                    <w:rPr>
                      <w:rFonts w:hint="default" w:ascii="Times New Roman" w:hAnsi="Times New Roman" w:eastAsia="宋体" w:cs="Times New Roman"/>
                      <w:i w:val="0"/>
                      <w:iCs w:val="0"/>
                      <w:color w:val="auto"/>
                      <w:kern w:val="0"/>
                      <w:sz w:val="21"/>
                      <w:szCs w:val="21"/>
                      <w:u w:val="none" w:color="auto"/>
                      <w:lang w:val="en-US" w:eastAsia="zh-CN" w:bidi="ar"/>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30" w:type="dxa"/>
                  <w:tcBorders>
                    <w:tl2br w:val="nil"/>
                    <w:tr2bl w:val="nil"/>
                  </w:tcBorders>
                  <w:vAlign w:val="center"/>
                </w:tcPr>
                <w:p>
                  <w:pPr>
                    <w:pStyle w:val="8"/>
                    <w:keepNext w:val="0"/>
                    <w:keepLines w:val="0"/>
                    <w:suppressLineNumbers w:val="0"/>
                    <w:spacing w:beforeAutospacing="0" w:after="0" w:afterAutospacing="0"/>
                    <w:ind w:left="0" w:right="0" w:firstLine="0" w:firstLineChars="0"/>
                    <w:jc w:val="center"/>
                    <w:rPr>
                      <w:rFonts w:hint="default" w:ascii="Times New Roman" w:hAnsi="Times New Roman" w:eastAsia="宋体" w:cs="Times New Roman"/>
                      <w:b w:val="0"/>
                      <w:bCs w:val="0"/>
                      <w:snapToGrid/>
                      <w:color w:val="auto"/>
                      <w:kern w:val="2"/>
                      <w:sz w:val="21"/>
                      <w:szCs w:val="21"/>
                      <w:highlight w:val="none"/>
                      <w:u w:val="none" w:color="auto"/>
                      <w:lang w:val="en-US" w:eastAsia="zh-CN" w:bidi="ar-SA"/>
                    </w:rPr>
                  </w:pPr>
                  <w:r>
                    <w:rPr>
                      <w:rFonts w:hint="default" w:ascii="Times New Roman" w:hAnsi="Times New Roman" w:eastAsia="宋体" w:cs="Times New Roman"/>
                      <w:b w:val="0"/>
                      <w:bCs w:val="0"/>
                      <w:color w:val="auto"/>
                      <w:sz w:val="21"/>
                      <w:szCs w:val="21"/>
                      <w:highlight w:val="none"/>
                      <w:u w:val="none" w:color="auto"/>
                      <w:lang w:val="en-US" w:eastAsia="zh-CN"/>
                    </w:rPr>
                    <w:t>COD</w:t>
                  </w:r>
                </w:p>
              </w:tc>
              <w:tc>
                <w:tcPr>
                  <w:tcW w:w="1370" w:type="dxa"/>
                  <w:tcBorders>
                    <w:right w:val="single" w:color="000000" w:sz="4" w:space="0"/>
                    <w:tl2br w:val="nil"/>
                    <w:tr2bl w:val="nil"/>
                  </w:tcBorders>
                  <w:vAlign w:val="center"/>
                </w:tcPr>
                <w:p>
                  <w:pPr>
                    <w:pStyle w:val="46"/>
                    <w:keepNext w:val="0"/>
                    <w:keepLines w:val="0"/>
                    <w:pageBreakBefore w:val="0"/>
                    <w:suppressLineNumbers w:val="0"/>
                    <w:kinsoku/>
                    <w:wordWrap/>
                    <w:overflowPunct/>
                    <w:topLinePunct w:val="0"/>
                    <w:bidi w:val="0"/>
                    <w:spacing w:before="0" w:beforeLines="0" w:beforeAutospacing="0" w:after="0" w:afterLines="0" w:afterAutospacing="0" w:line="240" w:lineRule="auto"/>
                    <w:ind w:left="0" w:right="0" w:firstLine="0" w:firstLineChars="0"/>
                    <w:rPr>
                      <w:rFonts w:hint="eastAsia" w:ascii="Times New Roman" w:hAnsi="Times New Roman" w:eastAsia="宋体" w:cs="Times New Roman"/>
                      <w:b w:val="0"/>
                      <w:bCs w:val="0"/>
                      <w:i w:val="0"/>
                      <w:iCs w:val="0"/>
                      <w:snapToGrid/>
                      <w:color w:val="auto"/>
                      <w:kern w:val="0"/>
                      <w:sz w:val="21"/>
                      <w:szCs w:val="21"/>
                      <w:u w:val="none" w:color="auto"/>
                      <w:lang w:val="en-US" w:eastAsia="zh-CN" w:bidi="ar"/>
                    </w:rPr>
                  </w:pPr>
                  <w:r>
                    <w:rPr>
                      <w:rFonts w:hint="eastAsia" w:ascii="Times New Roman" w:hAnsi="Times New Roman" w:eastAsia="宋体" w:cs="Times New Roman"/>
                      <w:snapToGrid w:val="0"/>
                      <w:color w:val="auto"/>
                      <w:kern w:val="21"/>
                      <w:sz w:val="21"/>
                      <w:szCs w:val="21"/>
                      <w:u w:val="none" w:color="auto"/>
                      <w:lang w:val="en-US" w:eastAsia="zh-CN" w:bidi="ar-SA"/>
                    </w:rPr>
                    <w:t>1.8489</w:t>
                  </w:r>
                </w:p>
              </w:tc>
              <w:tc>
                <w:tcPr>
                  <w:tcW w:w="1028" w:type="dxa"/>
                  <w:tcBorders>
                    <w:left w:val="single" w:color="000000" w:sz="4" w:space="0"/>
                    <w:tl2br w:val="nil"/>
                    <w:tr2bl w:val="nil"/>
                  </w:tcBorders>
                  <w:vAlign w:val="center"/>
                </w:tcPr>
                <w:p>
                  <w:pPr>
                    <w:pStyle w:val="46"/>
                    <w:keepNext w:val="0"/>
                    <w:keepLines w:val="0"/>
                    <w:pageBreakBefore w:val="0"/>
                    <w:suppressLineNumbers w:val="0"/>
                    <w:kinsoku/>
                    <w:wordWrap/>
                    <w:overflowPunct/>
                    <w:topLinePunct w:val="0"/>
                    <w:bidi w:val="0"/>
                    <w:spacing w:before="0" w:beforeLines="0" w:beforeAutospacing="0" w:after="0" w:afterLines="0" w:afterAutospacing="0" w:line="240" w:lineRule="auto"/>
                    <w:ind w:left="0" w:right="0" w:firstLine="0" w:firstLineChars="0"/>
                    <w:rPr>
                      <w:rFonts w:hint="default" w:ascii="Times New Roman" w:hAnsi="Times New Roman" w:eastAsia="宋体" w:cs="Times New Roman"/>
                      <w:snapToGrid w:val="0"/>
                      <w:color w:val="auto"/>
                      <w:kern w:val="21"/>
                      <w:sz w:val="21"/>
                      <w:szCs w:val="21"/>
                      <w:u w:val="none" w:color="auto"/>
                      <w:lang w:val="en-US" w:eastAsia="zh-CN" w:bidi="ar-SA"/>
                    </w:rPr>
                  </w:pPr>
                  <w:r>
                    <w:rPr>
                      <w:rFonts w:hint="eastAsia" w:ascii="Times New Roman" w:hAnsi="Times New Roman" w:eastAsia="宋体" w:cs="Times New Roman"/>
                      <w:snapToGrid w:val="0"/>
                      <w:color w:val="auto"/>
                      <w:kern w:val="21"/>
                      <w:sz w:val="21"/>
                      <w:szCs w:val="21"/>
                      <w:u w:val="none" w:color="auto"/>
                      <w:lang w:val="en-US" w:eastAsia="zh-CN" w:bidi="ar-SA"/>
                    </w:rPr>
                    <w:t>5.1</w:t>
                  </w:r>
                </w:p>
              </w:tc>
              <w:tc>
                <w:tcPr>
                  <w:tcW w:w="1028" w:type="dxa"/>
                  <w:tcBorders>
                    <w:left w:val="single" w:color="000000" w:sz="4" w:space="0"/>
                    <w:tl2br w:val="nil"/>
                    <w:tr2bl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default" w:ascii="Times New Roman" w:hAnsi="Times New Roman" w:eastAsia="宋体" w:cs="Times New Roman"/>
                      <w:i w:val="0"/>
                      <w:iCs w:val="0"/>
                      <w:color w:val="auto"/>
                      <w:kern w:val="0"/>
                      <w:sz w:val="21"/>
                      <w:szCs w:val="21"/>
                      <w:u w:val="none" w:color="auto"/>
                      <w:lang w:val="en-US" w:eastAsia="zh-CN" w:bidi="ar"/>
                    </w:rPr>
                    <w:t>8.091</w:t>
                  </w:r>
                </w:p>
              </w:tc>
              <w:tc>
                <w:tcPr>
                  <w:tcW w:w="1012" w:type="dxa"/>
                  <w:tcBorders>
                    <w:tl2br w:val="nil"/>
                    <w:tr2bl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iCs w:val="0"/>
                      <w:color w:val="auto"/>
                      <w:kern w:val="0"/>
                      <w:sz w:val="21"/>
                      <w:szCs w:val="21"/>
                      <w:u w:val="none" w:color="auto"/>
                      <w:lang w:val="en-US" w:eastAsia="zh-CN" w:bidi="ar"/>
                    </w:rPr>
                  </w:pPr>
                  <w:r>
                    <w:rPr>
                      <w:rFonts w:hint="eastAsia" w:cs="Times New Roman"/>
                      <w:b w:val="0"/>
                      <w:bCs w:val="0"/>
                      <w:i w:val="0"/>
                      <w:iCs w:val="0"/>
                      <w:color w:val="auto"/>
                      <w:kern w:val="0"/>
                      <w:sz w:val="21"/>
                      <w:szCs w:val="21"/>
                      <w:u w:val="none" w:color="auto"/>
                      <w:lang w:val="en-US" w:eastAsia="zh-CN" w:bidi="ar"/>
                    </w:rPr>
                    <w:t>0</w:t>
                  </w:r>
                </w:p>
              </w:tc>
              <w:tc>
                <w:tcPr>
                  <w:tcW w:w="1091" w:type="dxa"/>
                  <w:tcBorders>
                    <w:tl2br w:val="nil"/>
                    <w:tr2bl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iCs w:val="0"/>
                      <w:color w:val="auto"/>
                      <w:kern w:val="0"/>
                      <w:sz w:val="21"/>
                      <w:szCs w:val="21"/>
                      <w:u w:val="none" w:color="auto"/>
                      <w:lang w:val="en-US" w:eastAsia="zh-CN" w:bidi="ar"/>
                    </w:rPr>
                  </w:pPr>
                  <w:r>
                    <w:rPr>
                      <w:rFonts w:hint="default" w:ascii="Times New Roman" w:hAnsi="Times New Roman" w:eastAsia="宋体" w:cs="Times New Roman"/>
                      <w:b w:val="0"/>
                      <w:bCs w:val="0"/>
                      <w:color w:val="auto"/>
                      <w:sz w:val="21"/>
                      <w:szCs w:val="21"/>
                      <w:highlight w:val="none"/>
                      <w:u w:val="none" w:color="auto"/>
                      <w:lang w:val="en-US" w:eastAsia="zh-CN"/>
                    </w:rPr>
                    <w:t>0</w:t>
                  </w:r>
                </w:p>
              </w:tc>
              <w:tc>
                <w:tcPr>
                  <w:tcW w:w="1012" w:type="dxa"/>
                  <w:tcBorders>
                    <w:tl2br w:val="nil"/>
                    <w:tr2bl w:val="nil"/>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kern w:val="0"/>
                      <w:sz w:val="21"/>
                      <w:szCs w:val="21"/>
                      <w:u w:val="none" w:color="auto"/>
                      <w:lang w:val="en-US" w:eastAsia="zh-CN" w:bidi="ar"/>
                    </w:rPr>
                  </w:pPr>
                  <w:r>
                    <w:rPr>
                      <w:rFonts w:hint="eastAsia" w:cs="Times New Roman"/>
                      <w:i w:val="0"/>
                      <w:iCs w:val="0"/>
                      <w:color w:val="auto"/>
                      <w:kern w:val="0"/>
                      <w:sz w:val="21"/>
                      <w:szCs w:val="21"/>
                      <w:lang w:val="en-US" w:eastAsia="zh-CN" w:bidi="ar"/>
                    </w:rPr>
                    <w:t>9.9399</w:t>
                  </w:r>
                </w:p>
              </w:tc>
              <w:tc>
                <w:tcPr>
                  <w:tcW w:w="913" w:type="dxa"/>
                  <w:tcBorders>
                    <w:tl2br w:val="nil"/>
                    <w:tr2bl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iCs w:val="0"/>
                      <w:color w:val="auto"/>
                      <w:kern w:val="0"/>
                      <w:sz w:val="21"/>
                      <w:szCs w:val="21"/>
                      <w:u w:val="none" w:color="auto"/>
                      <w:lang w:val="en-US" w:eastAsia="zh-CN" w:bidi="ar"/>
                    </w:rPr>
                  </w:pPr>
                  <w:r>
                    <w:rPr>
                      <w:rFonts w:hint="default" w:ascii="Times New Roman" w:hAnsi="Times New Roman" w:eastAsia="宋体" w:cs="Times New Roman"/>
                      <w:i w:val="0"/>
                      <w:iCs w:val="0"/>
                      <w:color w:val="auto"/>
                      <w:kern w:val="0"/>
                      <w:sz w:val="21"/>
                      <w:szCs w:val="21"/>
                      <w:u w:val="none" w:color="auto"/>
                      <w:lang w:val="en-US" w:eastAsia="zh-CN" w:bidi="ar"/>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30" w:type="dxa"/>
                  <w:tcBorders>
                    <w:tl2br w:val="nil"/>
                    <w:tr2bl w:val="nil"/>
                  </w:tcBorders>
                  <w:vAlign w:val="center"/>
                </w:tcPr>
                <w:p>
                  <w:pPr>
                    <w:pStyle w:val="8"/>
                    <w:keepNext w:val="0"/>
                    <w:keepLines w:val="0"/>
                    <w:suppressLineNumbers w:val="0"/>
                    <w:spacing w:beforeAutospacing="0" w:after="0" w:afterAutospacing="0"/>
                    <w:ind w:left="0" w:right="0" w:firstLine="0" w:firstLineChars="0"/>
                    <w:jc w:val="center"/>
                    <w:rPr>
                      <w:rFonts w:hint="default" w:ascii="Times New Roman" w:hAnsi="Times New Roman" w:eastAsia="宋体" w:cs="Times New Roman"/>
                      <w:b w:val="0"/>
                      <w:bCs w:val="0"/>
                      <w:snapToGrid/>
                      <w:color w:val="auto"/>
                      <w:kern w:val="2"/>
                      <w:sz w:val="21"/>
                      <w:szCs w:val="21"/>
                      <w:highlight w:val="none"/>
                      <w:u w:val="none" w:color="auto"/>
                      <w:lang w:val="en-US" w:eastAsia="zh-CN" w:bidi="ar-SA"/>
                    </w:rPr>
                  </w:pPr>
                  <w:r>
                    <w:rPr>
                      <w:rFonts w:hint="default" w:ascii="Times New Roman" w:hAnsi="Times New Roman" w:eastAsia="宋体" w:cs="Times New Roman"/>
                      <w:b w:val="0"/>
                      <w:bCs w:val="0"/>
                      <w:color w:val="auto"/>
                      <w:sz w:val="21"/>
                      <w:szCs w:val="21"/>
                      <w:highlight w:val="none"/>
                      <w:u w:val="none" w:color="auto"/>
                      <w:lang w:val="en-US" w:eastAsia="zh-CN"/>
                    </w:rPr>
                    <w:t>NH</w:t>
                  </w:r>
                  <w:r>
                    <w:rPr>
                      <w:rFonts w:hint="default" w:ascii="Times New Roman" w:hAnsi="Times New Roman" w:eastAsia="宋体" w:cs="Times New Roman"/>
                      <w:b w:val="0"/>
                      <w:bCs w:val="0"/>
                      <w:color w:val="auto"/>
                      <w:sz w:val="21"/>
                      <w:szCs w:val="21"/>
                      <w:highlight w:val="none"/>
                      <w:u w:val="none" w:color="auto"/>
                      <w:vertAlign w:val="subscript"/>
                      <w:lang w:val="en-US" w:eastAsia="zh-CN"/>
                    </w:rPr>
                    <w:t>3</w:t>
                  </w:r>
                  <w:r>
                    <w:rPr>
                      <w:rFonts w:hint="default" w:ascii="Times New Roman" w:hAnsi="Times New Roman" w:eastAsia="宋体" w:cs="Times New Roman"/>
                      <w:b w:val="0"/>
                      <w:bCs w:val="0"/>
                      <w:color w:val="auto"/>
                      <w:sz w:val="21"/>
                      <w:szCs w:val="21"/>
                      <w:highlight w:val="none"/>
                      <w:u w:val="none" w:color="auto"/>
                      <w:lang w:val="en-US" w:eastAsia="zh-CN"/>
                    </w:rPr>
                    <w:t>-N</w:t>
                  </w:r>
                </w:p>
              </w:tc>
              <w:tc>
                <w:tcPr>
                  <w:tcW w:w="1370" w:type="dxa"/>
                  <w:tcBorders>
                    <w:right w:val="single" w:color="000000" w:sz="4" w:space="0"/>
                    <w:tl2br w:val="nil"/>
                    <w:tr2bl w:val="nil"/>
                  </w:tcBorders>
                  <w:vAlign w:val="center"/>
                </w:tcPr>
                <w:p>
                  <w:pPr>
                    <w:pStyle w:val="46"/>
                    <w:keepNext w:val="0"/>
                    <w:keepLines w:val="0"/>
                    <w:pageBreakBefore w:val="0"/>
                    <w:suppressLineNumbers w:val="0"/>
                    <w:kinsoku/>
                    <w:wordWrap/>
                    <w:overflowPunct/>
                    <w:topLinePunct w:val="0"/>
                    <w:bidi w:val="0"/>
                    <w:spacing w:before="0" w:beforeLines="0" w:beforeAutospacing="0" w:after="0" w:afterLines="0" w:afterAutospacing="0" w:line="240" w:lineRule="auto"/>
                    <w:ind w:left="0" w:right="0" w:firstLine="0" w:firstLineChars="0"/>
                    <w:rPr>
                      <w:rFonts w:hint="eastAsia" w:ascii="Times New Roman" w:hAnsi="Times New Roman" w:eastAsia="宋体" w:cs="Times New Roman"/>
                      <w:b w:val="0"/>
                      <w:bCs w:val="0"/>
                      <w:i w:val="0"/>
                      <w:iCs w:val="0"/>
                      <w:snapToGrid/>
                      <w:color w:val="auto"/>
                      <w:kern w:val="0"/>
                      <w:sz w:val="21"/>
                      <w:szCs w:val="21"/>
                      <w:u w:val="none" w:color="auto"/>
                      <w:lang w:val="en-US" w:eastAsia="zh-CN" w:bidi="ar"/>
                    </w:rPr>
                  </w:pPr>
                  <w:r>
                    <w:rPr>
                      <w:rFonts w:hint="eastAsia" w:ascii="Times New Roman" w:hAnsi="Times New Roman" w:eastAsia="宋体" w:cs="Times New Roman"/>
                      <w:snapToGrid w:val="0"/>
                      <w:color w:val="auto"/>
                      <w:kern w:val="21"/>
                      <w:sz w:val="21"/>
                      <w:szCs w:val="21"/>
                      <w:u w:val="none" w:color="auto"/>
                      <w:lang w:val="en-US" w:eastAsia="zh-CN" w:bidi="ar-SA"/>
                    </w:rPr>
                    <w:t>0.2246</w:t>
                  </w:r>
                </w:p>
              </w:tc>
              <w:tc>
                <w:tcPr>
                  <w:tcW w:w="1028" w:type="dxa"/>
                  <w:tcBorders>
                    <w:left w:val="single" w:color="000000" w:sz="4" w:space="0"/>
                    <w:tl2br w:val="nil"/>
                    <w:tr2bl w:val="nil"/>
                  </w:tcBorders>
                  <w:vAlign w:val="center"/>
                </w:tcPr>
                <w:p>
                  <w:pPr>
                    <w:pStyle w:val="46"/>
                    <w:keepNext w:val="0"/>
                    <w:keepLines w:val="0"/>
                    <w:pageBreakBefore w:val="0"/>
                    <w:suppressLineNumbers w:val="0"/>
                    <w:kinsoku/>
                    <w:wordWrap/>
                    <w:overflowPunct/>
                    <w:topLinePunct w:val="0"/>
                    <w:bidi w:val="0"/>
                    <w:spacing w:before="0" w:beforeLines="0" w:beforeAutospacing="0" w:after="0" w:afterLines="0" w:afterAutospacing="0" w:line="240" w:lineRule="auto"/>
                    <w:ind w:left="0" w:right="0" w:firstLine="0" w:firstLineChars="0"/>
                    <w:rPr>
                      <w:rFonts w:hint="default" w:ascii="Times New Roman" w:hAnsi="Times New Roman" w:eastAsia="宋体" w:cs="Times New Roman"/>
                      <w:snapToGrid w:val="0"/>
                      <w:color w:val="auto"/>
                      <w:kern w:val="21"/>
                      <w:sz w:val="21"/>
                      <w:szCs w:val="21"/>
                      <w:u w:val="none" w:color="auto"/>
                      <w:lang w:val="en-US" w:eastAsia="zh-CN" w:bidi="ar-SA"/>
                    </w:rPr>
                  </w:pPr>
                  <w:r>
                    <w:rPr>
                      <w:rFonts w:hint="eastAsia" w:ascii="Times New Roman" w:hAnsi="Times New Roman" w:eastAsia="宋体" w:cs="Times New Roman"/>
                      <w:snapToGrid w:val="0"/>
                      <w:color w:val="auto"/>
                      <w:kern w:val="21"/>
                      <w:sz w:val="21"/>
                      <w:szCs w:val="21"/>
                      <w:u w:val="none" w:color="auto"/>
                      <w:lang w:val="en-US" w:eastAsia="zh-CN" w:bidi="ar-SA"/>
                    </w:rPr>
                    <w:t>0.51</w:t>
                  </w:r>
                </w:p>
              </w:tc>
              <w:tc>
                <w:tcPr>
                  <w:tcW w:w="1028" w:type="dxa"/>
                  <w:tcBorders>
                    <w:left w:val="single" w:color="000000" w:sz="4" w:space="0"/>
                    <w:tl2br w:val="nil"/>
                    <w:tr2bl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default" w:ascii="Times New Roman" w:hAnsi="Times New Roman" w:eastAsia="宋体" w:cs="Times New Roman"/>
                      <w:i w:val="0"/>
                      <w:iCs w:val="0"/>
                      <w:color w:val="auto"/>
                      <w:kern w:val="0"/>
                      <w:sz w:val="21"/>
                      <w:szCs w:val="21"/>
                      <w:u w:val="none" w:color="auto"/>
                      <w:lang w:val="en-US" w:eastAsia="zh-CN" w:bidi="ar"/>
                    </w:rPr>
                    <w:t>0.809</w:t>
                  </w:r>
                </w:p>
              </w:tc>
              <w:tc>
                <w:tcPr>
                  <w:tcW w:w="1012" w:type="dxa"/>
                  <w:tcBorders>
                    <w:tl2br w:val="nil"/>
                    <w:tr2bl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iCs w:val="0"/>
                      <w:color w:val="auto"/>
                      <w:kern w:val="0"/>
                      <w:sz w:val="21"/>
                      <w:szCs w:val="21"/>
                      <w:u w:val="none" w:color="auto"/>
                      <w:lang w:val="en-US" w:eastAsia="zh-CN" w:bidi="ar"/>
                    </w:rPr>
                  </w:pPr>
                  <w:r>
                    <w:rPr>
                      <w:rFonts w:hint="eastAsia" w:cs="Times New Roman"/>
                      <w:b w:val="0"/>
                      <w:bCs w:val="0"/>
                      <w:i w:val="0"/>
                      <w:iCs w:val="0"/>
                      <w:color w:val="auto"/>
                      <w:kern w:val="0"/>
                      <w:sz w:val="21"/>
                      <w:szCs w:val="21"/>
                      <w:u w:val="none" w:color="auto"/>
                      <w:lang w:val="en-US" w:eastAsia="zh-CN" w:bidi="ar"/>
                    </w:rPr>
                    <w:t>0</w:t>
                  </w:r>
                </w:p>
              </w:tc>
              <w:tc>
                <w:tcPr>
                  <w:tcW w:w="1091" w:type="dxa"/>
                  <w:tcBorders>
                    <w:tl2br w:val="nil"/>
                    <w:tr2bl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iCs w:val="0"/>
                      <w:color w:val="auto"/>
                      <w:kern w:val="0"/>
                      <w:sz w:val="21"/>
                      <w:szCs w:val="21"/>
                      <w:u w:val="none" w:color="auto"/>
                      <w:lang w:val="en-US" w:eastAsia="zh-CN" w:bidi="ar"/>
                    </w:rPr>
                  </w:pPr>
                  <w:r>
                    <w:rPr>
                      <w:rFonts w:hint="default" w:ascii="Times New Roman" w:hAnsi="Times New Roman" w:eastAsia="宋体" w:cs="Times New Roman"/>
                      <w:b w:val="0"/>
                      <w:bCs w:val="0"/>
                      <w:color w:val="auto"/>
                      <w:sz w:val="21"/>
                      <w:szCs w:val="21"/>
                      <w:highlight w:val="none"/>
                      <w:u w:val="none" w:color="auto"/>
                      <w:lang w:val="en-US" w:eastAsia="zh-CN"/>
                    </w:rPr>
                    <w:t>0</w:t>
                  </w:r>
                </w:p>
              </w:tc>
              <w:tc>
                <w:tcPr>
                  <w:tcW w:w="1012" w:type="dxa"/>
                  <w:tcBorders>
                    <w:tl2br w:val="nil"/>
                    <w:tr2bl w:val="nil"/>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kern w:val="0"/>
                      <w:sz w:val="21"/>
                      <w:szCs w:val="21"/>
                      <w:u w:val="none" w:color="auto"/>
                      <w:lang w:val="en-US" w:eastAsia="zh-CN" w:bidi="ar"/>
                    </w:rPr>
                  </w:pPr>
                  <w:r>
                    <w:rPr>
                      <w:rFonts w:hint="default" w:ascii="Times New Roman" w:hAnsi="Times New Roman" w:eastAsia="宋体" w:cs="Times New Roman"/>
                      <w:i w:val="0"/>
                      <w:iCs w:val="0"/>
                      <w:color w:val="auto"/>
                      <w:kern w:val="0"/>
                      <w:sz w:val="21"/>
                      <w:szCs w:val="21"/>
                      <w:lang w:val="en-US" w:eastAsia="zh-CN" w:bidi="ar"/>
                    </w:rPr>
                    <w:t>1.0336</w:t>
                  </w:r>
                </w:p>
              </w:tc>
              <w:tc>
                <w:tcPr>
                  <w:tcW w:w="913" w:type="dxa"/>
                  <w:tcBorders>
                    <w:tl2br w:val="nil"/>
                    <w:tr2bl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iCs w:val="0"/>
                      <w:color w:val="auto"/>
                      <w:kern w:val="0"/>
                      <w:sz w:val="21"/>
                      <w:szCs w:val="21"/>
                      <w:u w:val="none" w:color="auto"/>
                      <w:lang w:val="en-US" w:eastAsia="zh-CN" w:bidi="ar"/>
                    </w:rPr>
                  </w:pPr>
                  <w:r>
                    <w:rPr>
                      <w:rFonts w:hint="default" w:ascii="Times New Roman" w:hAnsi="Times New Roman" w:eastAsia="宋体" w:cs="Times New Roman"/>
                      <w:i w:val="0"/>
                      <w:iCs w:val="0"/>
                      <w:color w:val="auto"/>
                      <w:kern w:val="0"/>
                      <w:sz w:val="21"/>
                      <w:szCs w:val="21"/>
                      <w:u w:val="none" w:color="auto"/>
                      <w:lang w:val="en-US" w:eastAsia="zh-CN" w:bidi="ar"/>
                    </w:rPr>
                    <w:t>0</w:t>
                  </w:r>
                </w:p>
              </w:tc>
            </w:tr>
          </w:tbl>
          <w:p>
            <w:pPr>
              <w:pStyle w:val="15"/>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根据《河南省生态环境厅关于加强建设项目主要污染物排放总量指标管理工作的通知》要求，本项目新增颗粒物均需进行2倍削减替代，颗粒物：</w:t>
            </w:r>
            <w:r>
              <w:rPr>
                <w:rFonts w:hint="eastAsia" w:ascii="Times New Roman" w:hAnsi="Times New Roman" w:cs="Times New Roman"/>
                <w:color w:val="auto"/>
                <w:sz w:val="24"/>
                <w:szCs w:val="24"/>
                <w:lang w:val="en-US" w:eastAsia="zh-CN"/>
              </w:rPr>
              <w:t>0.0134</w:t>
            </w:r>
            <w:r>
              <w:rPr>
                <w:rFonts w:hint="eastAsia" w:ascii="Times New Roman" w:hAnsi="Times New Roman" w:eastAsia="宋体" w:cs="Times New Roman"/>
                <w:color w:val="auto"/>
                <w:sz w:val="24"/>
                <w:szCs w:val="24"/>
                <w:lang w:val="en-US" w:eastAsia="zh-CN"/>
              </w:rPr>
              <w:t>t/a。</w:t>
            </w:r>
          </w:p>
          <w:p>
            <w:pPr>
              <w:pStyle w:val="15"/>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本项目颗粒物、COD、氨氮替代源为*********减排量。</w:t>
            </w:r>
          </w:p>
          <w:p>
            <w:pPr>
              <w:pStyle w:val="15"/>
              <w:keepNext w:val="0"/>
              <w:keepLines w:val="0"/>
              <w:suppressLineNumbers w:val="0"/>
              <w:spacing w:before="0" w:beforeAutospacing="0" w:after="0" w:afterAutospacing="0" w:line="360" w:lineRule="auto"/>
              <w:ind w:left="0" w:right="0"/>
              <w:rPr>
                <w:rFonts w:hint="default" w:ascii="Times New Roman" w:hAnsi="Times New Roman" w:eastAsia="宋体" w:cs="Times New Roman"/>
                <w:color w:val="auto"/>
                <w:sz w:val="24"/>
                <w:szCs w:val="24"/>
                <w:lang w:val="en-US" w:eastAsia="zh-CN"/>
              </w:rPr>
            </w:pPr>
          </w:p>
          <w:p>
            <w:pPr>
              <w:pStyle w:val="15"/>
              <w:keepNext w:val="0"/>
              <w:keepLines w:val="0"/>
              <w:suppressLineNumbers w:val="0"/>
              <w:spacing w:before="0" w:beforeAutospacing="0" w:after="0" w:afterAutospacing="0" w:line="360" w:lineRule="auto"/>
              <w:ind w:left="0" w:right="0"/>
              <w:rPr>
                <w:rFonts w:hint="default" w:ascii="Times New Roman" w:hAnsi="Times New Roman" w:eastAsia="宋体" w:cs="Times New Roman"/>
                <w:color w:val="auto"/>
                <w:sz w:val="24"/>
                <w:szCs w:val="24"/>
                <w:lang w:val="en-US" w:eastAsia="zh-CN"/>
              </w:rPr>
            </w:pPr>
          </w:p>
        </w:tc>
      </w:tr>
    </w:tbl>
    <w:p>
      <w:pPr>
        <w:pStyle w:val="23"/>
        <w:jc w:val="center"/>
        <w:outlineLvl w:val="0"/>
        <w:rPr>
          <w:rFonts w:hint="eastAsia" w:ascii="宋体" w:hAnsi="宋体" w:eastAsia="宋体" w:cs="宋体"/>
          <w:b/>
          <w:bCs/>
          <w:snapToGrid w:val="0"/>
          <w:color w:val="auto"/>
          <w:sz w:val="30"/>
          <w:szCs w:val="30"/>
        </w:rPr>
      </w:pPr>
      <w:r>
        <w:rPr>
          <w:rFonts w:hint="eastAsia" w:ascii="宋体" w:hAnsi="宋体" w:eastAsia="宋体" w:cs="宋体"/>
          <w:snapToGrid w:val="0"/>
          <w:color w:val="auto"/>
          <w:sz w:val="36"/>
          <w:szCs w:val="36"/>
        </w:rPr>
        <w:br w:type="page"/>
      </w:r>
      <w:bookmarkStart w:id="6" w:name="_Toc24437"/>
      <w:r>
        <w:rPr>
          <w:rFonts w:hint="eastAsia" w:ascii="宋体" w:hAnsi="宋体" w:eastAsia="宋体" w:cs="宋体"/>
          <w:b/>
          <w:bCs/>
          <w:snapToGrid w:val="0"/>
          <w:color w:val="auto"/>
          <w:sz w:val="30"/>
          <w:szCs w:val="30"/>
        </w:rPr>
        <w:t>四、主要环境影响和保护措施</w:t>
      </w:r>
      <w:bookmarkEnd w:id="6"/>
    </w:p>
    <w:tbl>
      <w:tblPr>
        <w:tblStyle w:val="27"/>
        <w:tblW w:w="9037"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63"/>
        <w:gridCol w:w="857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701" w:hRule="atLeast"/>
          <w:jc w:val="center"/>
        </w:trPr>
        <w:tc>
          <w:tcPr>
            <w:tcW w:w="463" w:type="dxa"/>
            <w:tcMar>
              <w:left w:w="28" w:type="dxa"/>
              <w:right w:w="28" w:type="dxa"/>
            </w:tcMar>
            <w:vAlign w:val="center"/>
          </w:tcPr>
          <w:p>
            <w:pPr>
              <w:pStyle w:val="23"/>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4"/>
                <w:szCs w:val="24"/>
                <w:u w:val="none" w:color="auto"/>
              </w:rPr>
            </w:pPr>
            <w:r>
              <w:rPr>
                <w:rFonts w:hint="default" w:ascii="Times New Roman" w:hAnsi="Times New Roman" w:eastAsia="宋体" w:cs="Times New Roman"/>
                <w:color w:val="auto"/>
                <w:kern w:val="2"/>
                <w:sz w:val="24"/>
                <w:szCs w:val="24"/>
                <w:u w:val="none" w:color="auto"/>
              </w:rPr>
              <w:t>施工</w:t>
            </w:r>
          </w:p>
          <w:p>
            <w:pPr>
              <w:pStyle w:val="23"/>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4"/>
                <w:szCs w:val="24"/>
                <w:u w:val="none" w:color="auto"/>
              </w:rPr>
            </w:pPr>
            <w:r>
              <w:rPr>
                <w:rFonts w:hint="default" w:ascii="Times New Roman" w:hAnsi="Times New Roman" w:eastAsia="宋体" w:cs="Times New Roman"/>
                <w:color w:val="auto"/>
                <w:kern w:val="2"/>
                <w:sz w:val="24"/>
                <w:szCs w:val="24"/>
                <w:u w:val="none" w:color="auto"/>
              </w:rPr>
              <w:t>期环</w:t>
            </w:r>
          </w:p>
          <w:p>
            <w:pPr>
              <w:pStyle w:val="23"/>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4"/>
                <w:szCs w:val="24"/>
                <w:u w:val="none" w:color="auto"/>
              </w:rPr>
            </w:pPr>
            <w:r>
              <w:rPr>
                <w:rFonts w:hint="default" w:ascii="Times New Roman" w:hAnsi="Times New Roman" w:eastAsia="宋体" w:cs="Times New Roman"/>
                <w:color w:val="auto"/>
                <w:kern w:val="2"/>
                <w:sz w:val="24"/>
                <w:szCs w:val="24"/>
                <w:u w:val="none" w:color="auto"/>
              </w:rPr>
              <w:t>境保</w:t>
            </w:r>
          </w:p>
          <w:p>
            <w:pPr>
              <w:pStyle w:val="23"/>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4"/>
                <w:szCs w:val="24"/>
                <w:u w:val="none" w:color="auto"/>
              </w:rPr>
            </w:pPr>
            <w:r>
              <w:rPr>
                <w:rFonts w:hint="default" w:ascii="Times New Roman" w:hAnsi="Times New Roman" w:eastAsia="宋体" w:cs="Times New Roman"/>
                <w:color w:val="auto"/>
                <w:kern w:val="2"/>
                <w:sz w:val="24"/>
                <w:szCs w:val="24"/>
                <w:u w:val="none" w:color="auto"/>
              </w:rPr>
              <w:t>护措</w:t>
            </w:r>
          </w:p>
          <w:p>
            <w:pPr>
              <w:pStyle w:val="23"/>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kern w:val="2"/>
                <w:sz w:val="24"/>
                <w:szCs w:val="24"/>
                <w:u w:val="none" w:color="auto"/>
              </w:rPr>
            </w:pPr>
            <w:r>
              <w:rPr>
                <w:rFonts w:hint="default" w:ascii="Times New Roman" w:hAnsi="Times New Roman" w:eastAsia="宋体" w:cs="Times New Roman"/>
                <w:color w:val="auto"/>
                <w:kern w:val="2"/>
                <w:sz w:val="24"/>
                <w:szCs w:val="24"/>
                <w:u w:val="none" w:color="auto"/>
              </w:rPr>
              <w:t>施</w:t>
            </w:r>
          </w:p>
        </w:tc>
        <w:tc>
          <w:tcPr>
            <w:tcW w:w="8574"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bCs/>
                <w:color w:val="auto"/>
                <w:spacing w:val="-10"/>
                <w:sz w:val="24"/>
                <w:szCs w:val="24"/>
                <w:u w:val="none" w:color="auto"/>
              </w:rPr>
            </w:pPr>
            <w:r>
              <w:rPr>
                <w:rFonts w:hint="default" w:ascii="Times New Roman" w:hAnsi="Times New Roman" w:eastAsia="宋体" w:cs="Times New Roman"/>
                <w:color w:val="auto"/>
                <w:kern w:val="2"/>
                <w:sz w:val="24"/>
                <w:szCs w:val="24"/>
                <w:u w:val="none" w:color="auto"/>
                <w:lang w:val="en-US" w:eastAsia="zh-CN" w:bidi="ar-SA"/>
              </w:rPr>
              <w:t>本项目</w:t>
            </w:r>
            <w:r>
              <w:rPr>
                <w:rFonts w:hint="eastAsia" w:ascii="Times New Roman" w:hAnsi="Times New Roman" w:eastAsia="宋体" w:cs="Times New Roman"/>
                <w:color w:val="auto"/>
                <w:kern w:val="2"/>
                <w:sz w:val="24"/>
                <w:szCs w:val="24"/>
                <w:u w:val="none" w:color="auto"/>
                <w:lang w:val="en-US" w:eastAsia="zh-CN" w:bidi="ar-SA"/>
              </w:rPr>
              <w:t>建在现有厂房内，</w:t>
            </w:r>
            <w:r>
              <w:rPr>
                <w:rFonts w:hint="default" w:ascii="Times New Roman" w:hAnsi="Times New Roman" w:eastAsia="宋体" w:cs="Times New Roman"/>
                <w:color w:val="auto"/>
                <w:kern w:val="2"/>
                <w:sz w:val="24"/>
                <w:szCs w:val="24"/>
                <w:u w:val="none" w:color="auto"/>
                <w:lang w:val="en-US" w:eastAsia="zh-CN" w:bidi="ar-SA"/>
              </w:rPr>
              <w:t>施工期主要为安装新设备等产生的噪声污染。由于设备安装均在厂房内进行，且时间较短，故施工期对周围声环境影响较小。因此，本次环评对施工期造成的环境影响不作分析。</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63" w:type="dxa"/>
            <w:tcMar>
              <w:left w:w="28" w:type="dxa"/>
              <w:right w:w="28"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szCs w:val="24"/>
                <w:u w:val="none" w:color="auto"/>
              </w:rPr>
            </w:pPr>
            <w:r>
              <w:rPr>
                <w:rFonts w:hint="default" w:ascii="Times New Roman" w:hAnsi="Times New Roman" w:eastAsia="宋体" w:cs="Times New Roman"/>
                <w:bCs/>
                <w:color w:val="auto"/>
                <w:sz w:val="24"/>
                <w:szCs w:val="24"/>
                <w:u w:val="none" w:color="auto"/>
              </w:rPr>
              <w:t>运营期环境影响和保护措施</w:t>
            </w:r>
          </w:p>
        </w:tc>
        <w:tc>
          <w:tcPr>
            <w:tcW w:w="8574" w:type="dxa"/>
            <w:vAlign w:val="center"/>
          </w:tcPr>
          <w:p>
            <w:pPr>
              <w:pStyle w:val="23"/>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b/>
                <w:bCs/>
                <w:color w:val="auto"/>
                <w:kern w:val="0"/>
                <w:sz w:val="24"/>
                <w:szCs w:val="24"/>
                <w:u w:val="none" w:color="auto"/>
                <w:lang w:val="en-US" w:eastAsia="zh-CN" w:bidi="ar-SA"/>
              </w:rPr>
            </w:pPr>
            <w:r>
              <w:rPr>
                <w:rFonts w:hint="eastAsia" w:ascii="Times New Roman" w:hAnsi="Times New Roman" w:eastAsia="宋体" w:cs="Times New Roman"/>
                <w:b w:val="0"/>
                <w:bCs w:val="0"/>
                <w:color w:val="auto"/>
                <w:kern w:val="0"/>
                <w:sz w:val="24"/>
                <w:szCs w:val="24"/>
                <w:u w:val="none" w:color="auto"/>
                <w:lang w:val="en-US" w:eastAsia="zh-CN" w:bidi="ar-SA"/>
              </w:rPr>
              <w:t>本项目运营期的污染源有废气、噪声和固体废物污染。根据本项目的性质及工程概况，本项目运营期环境影响分析如下：</w:t>
            </w:r>
          </w:p>
          <w:p>
            <w:pPr>
              <w:pStyle w:val="23"/>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both"/>
              <w:textAlignment w:val="auto"/>
              <w:rPr>
                <w:rFonts w:hint="default" w:ascii="Times New Roman" w:hAnsi="Times New Roman" w:eastAsia="宋体" w:cs="Times New Roman"/>
                <w:b/>
                <w:bCs/>
                <w:color w:val="auto"/>
                <w:kern w:val="0"/>
                <w:sz w:val="24"/>
                <w:szCs w:val="24"/>
                <w:u w:val="none" w:color="auto"/>
                <w:lang w:val="en-US" w:eastAsia="zh-CN" w:bidi="ar-SA"/>
              </w:rPr>
            </w:pPr>
            <w:r>
              <w:rPr>
                <w:rFonts w:hint="eastAsia" w:ascii="Times New Roman" w:hAnsi="Times New Roman" w:eastAsia="宋体" w:cs="Times New Roman"/>
                <w:b/>
                <w:bCs/>
                <w:color w:val="auto"/>
                <w:kern w:val="0"/>
                <w:sz w:val="24"/>
                <w:szCs w:val="24"/>
                <w:u w:val="none" w:color="auto"/>
                <w:lang w:val="en-US" w:eastAsia="zh-CN" w:bidi="ar-SA"/>
              </w:rPr>
              <w:t>1.大气环境影响分析</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241" w:firstLineChars="100"/>
              <w:textAlignment w:val="auto"/>
              <w:rPr>
                <w:rFonts w:hint="default" w:ascii="Times New Roman" w:hAnsi="Times New Roman" w:eastAsia="宋体" w:cs="Times New Roman"/>
                <w:color w:val="auto"/>
                <w:kern w:val="2"/>
                <w:sz w:val="24"/>
                <w:szCs w:val="24"/>
                <w:u w:val="none" w:color="auto"/>
                <w:lang w:val="en-US" w:eastAsia="zh-CN" w:bidi="ar-SA"/>
              </w:rPr>
            </w:pPr>
            <w:r>
              <w:rPr>
                <w:rFonts w:hint="eastAsia" w:ascii="Times New Roman" w:hAnsi="Times New Roman" w:eastAsia="宋体" w:cs="Times New Roman"/>
                <w:b/>
                <w:bCs/>
                <w:color w:val="auto"/>
                <w:kern w:val="2"/>
                <w:sz w:val="24"/>
                <w:szCs w:val="24"/>
                <w:u w:val="none" w:color="auto"/>
                <w:lang w:val="en-US" w:eastAsia="zh-CN" w:bidi="ar-SA"/>
              </w:rPr>
              <w:t>1.1大气污染物源强核算</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kern w:val="2"/>
                <w:sz w:val="24"/>
                <w:szCs w:val="24"/>
                <w:u w:val="none" w:color="auto"/>
                <w:lang w:val="en-US" w:eastAsia="zh-CN" w:bidi="ar-SA"/>
              </w:rPr>
            </w:pPr>
            <w:r>
              <w:rPr>
                <w:rFonts w:hint="eastAsia" w:cs="Times New Roman"/>
                <w:color w:val="auto"/>
                <w:kern w:val="2"/>
                <w:sz w:val="24"/>
                <w:szCs w:val="24"/>
                <w:u w:val="none" w:color="auto"/>
                <w:lang w:val="en-US" w:eastAsia="zh-CN" w:bidi="ar-SA"/>
              </w:rPr>
              <w:t>本项目营运期正常工况废气污染源为炒灰机上料、炒灰产生的含尘废气及二次铝灰、除尘灰暂存时发生水解反应产生的氨气，根据原料熔炼渣、炒灰剂成分分析结果并结合《工业炉窑大气污染物排放标准》（DB41/1066-2020）中污染控制因子，原料中重金属铅、汞、铍、砷、镉及其化合物均未检出，因此，本次废气污染因子识别不再对重金属类污染因子进行分析。本项目大气污染因子主要为颗粒物、氟化物、氯化物（氯化氢）、氨气等。</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eastAsia"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1.1.1炒灰机上料废气</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val="0"/>
                <w:color w:val="auto"/>
                <w:sz w:val="24"/>
                <w:szCs w:val="24"/>
                <w:highlight w:val="none"/>
                <w:u w:val="none" w:color="auto"/>
                <w:lang w:val="en-US" w:eastAsia="zh-CN"/>
              </w:rPr>
            </w:pPr>
            <w:r>
              <w:rPr>
                <w:rFonts w:hint="eastAsia" w:ascii="Times New Roman" w:hAnsi="Times New Roman" w:eastAsia="宋体" w:cs="Times New Roman"/>
                <w:b w:val="0"/>
                <w:bCs w:val="0"/>
                <w:color w:val="auto"/>
                <w:sz w:val="24"/>
                <w:szCs w:val="24"/>
                <w:highlight w:val="none"/>
                <w:u w:val="none" w:color="auto"/>
                <w:lang w:val="en-US" w:eastAsia="zh-CN"/>
              </w:rPr>
              <w:t>本项目熔炼渣</w:t>
            </w:r>
            <w:r>
              <w:rPr>
                <w:rFonts w:hint="eastAsia" w:cs="Times New Roman"/>
                <w:b w:val="0"/>
                <w:bCs w:val="0"/>
                <w:color w:val="auto"/>
                <w:sz w:val="24"/>
                <w:szCs w:val="24"/>
                <w:highlight w:val="none"/>
                <w:u w:val="none" w:color="auto"/>
                <w:lang w:val="en-US" w:eastAsia="zh-CN"/>
              </w:rPr>
              <w:t>、炒灰剂</w:t>
            </w:r>
            <w:r>
              <w:rPr>
                <w:rFonts w:hint="eastAsia" w:ascii="Times New Roman" w:hAnsi="Times New Roman" w:eastAsia="宋体" w:cs="Times New Roman"/>
                <w:b w:val="0"/>
                <w:bCs w:val="0"/>
                <w:color w:val="auto"/>
                <w:sz w:val="24"/>
                <w:szCs w:val="24"/>
                <w:highlight w:val="none"/>
                <w:u w:val="none" w:color="auto"/>
                <w:lang w:val="en-US" w:eastAsia="zh-CN"/>
              </w:rPr>
              <w:t>上料过程会产生粉尘，本项目年投料量为700</w:t>
            </w:r>
            <w:r>
              <w:rPr>
                <w:rFonts w:hint="eastAsia" w:cs="Times New Roman"/>
                <w:b w:val="0"/>
                <w:bCs w:val="0"/>
                <w:color w:val="auto"/>
                <w:sz w:val="24"/>
                <w:szCs w:val="24"/>
                <w:highlight w:val="none"/>
                <w:u w:val="none" w:color="auto"/>
                <w:lang w:val="en-US" w:eastAsia="zh-CN"/>
              </w:rPr>
              <w:t>.5</w:t>
            </w:r>
            <w:r>
              <w:rPr>
                <w:rFonts w:hint="eastAsia" w:ascii="Times New Roman" w:hAnsi="Times New Roman" w:eastAsia="宋体" w:cs="Times New Roman"/>
                <w:b w:val="0"/>
                <w:bCs w:val="0"/>
                <w:color w:val="auto"/>
                <w:sz w:val="24"/>
                <w:szCs w:val="24"/>
                <w:highlight w:val="none"/>
                <w:u w:val="none" w:color="auto"/>
                <w:lang w:val="en-US" w:eastAsia="zh-CN"/>
              </w:rPr>
              <w:t>t，粉尘产生量参考《逸散性工业颗粒物控制技术》（中国环境科学出版社）第十一章铝精炼厂表18-1，内热浮渣处理和冷却逸散尘排放因子，本项目炒灰机上料工序逸散尘产污系数取0.11kg/t，本项目熔炼渣使用量为700t/a，</w:t>
            </w:r>
            <w:r>
              <w:rPr>
                <w:rFonts w:hint="eastAsia" w:cs="Times New Roman"/>
                <w:b w:val="0"/>
                <w:bCs w:val="0"/>
                <w:color w:val="auto"/>
                <w:sz w:val="24"/>
                <w:szCs w:val="24"/>
                <w:highlight w:val="none"/>
                <w:u w:val="none" w:color="auto"/>
                <w:lang w:val="en-US" w:eastAsia="zh-CN"/>
              </w:rPr>
              <w:t>炒灰机使用量为0.5t/a，合计700.5t，</w:t>
            </w:r>
            <w:r>
              <w:rPr>
                <w:rFonts w:hint="eastAsia" w:ascii="Times New Roman" w:hAnsi="Times New Roman" w:eastAsia="宋体" w:cs="Times New Roman"/>
                <w:b w:val="0"/>
                <w:bCs w:val="0"/>
                <w:color w:val="auto"/>
                <w:sz w:val="24"/>
                <w:szCs w:val="24"/>
                <w:highlight w:val="none"/>
                <w:u w:val="none" w:color="auto"/>
                <w:lang w:val="en-US" w:eastAsia="zh-CN"/>
              </w:rPr>
              <w:t>则炒灰机上料废气颗粒物产生量</w:t>
            </w:r>
            <w:r>
              <w:rPr>
                <w:rFonts w:hint="eastAsia" w:cs="Times New Roman"/>
                <w:b w:val="0"/>
                <w:bCs w:val="0"/>
                <w:color w:val="auto"/>
                <w:sz w:val="24"/>
                <w:szCs w:val="24"/>
                <w:highlight w:val="none"/>
                <w:u w:val="none" w:color="auto"/>
                <w:lang w:val="en-US" w:eastAsia="zh-CN"/>
              </w:rPr>
              <w:t>约</w:t>
            </w:r>
            <w:r>
              <w:rPr>
                <w:rFonts w:hint="eastAsia" w:ascii="Times New Roman" w:hAnsi="Times New Roman" w:eastAsia="宋体" w:cs="Times New Roman"/>
                <w:b w:val="0"/>
                <w:bCs w:val="0"/>
                <w:color w:val="auto"/>
                <w:sz w:val="24"/>
                <w:szCs w:val="24"/>
                <w:highlight w:val="none"/>
                <w:u w:val="none" w:color="auto"/>
                <w:lang w:val="en-US" w:eastAsia="zh-CN"/>
              </w:rPr>
              <w:t>为0.077t/a。根据物料平衡分析，氟化物产生量为0.0</w:t>
            </w:r>
            <w:r>
              <w:rPr>
                <w:rFonts w:hint="eastAsia" w:cs="Times New Roman"/>
                <w:b w:val="0"/>
                <w:bCs w:val="0"/>
                <w:color w:val="auto"/>
                <w:sz w:val="24"/>
                <w:szCs w:val="24"/>
                <w:highlight w:val="none"/>
                <w:u w:val="none" w:color="auto"/>
                <w:lang w:val="en-US" w:eastAsia="zh-CN"/>
              </w:rPr>
              <w:t>225</w:t>
            </w:r>
            <w:r>
              <w:rPr>
                <w:rFonts w:hint="eastAsia" w:ascii="Times New Roman" w:hAnsi="Times New Roman" w:eastAsia="宋体" w:cs="Times New Roman"/>
                <w:b w:val="0"/>
                <w:bCs w:val="0"/>
                <w:color w:val="auto"/>
                <w:sz w:val="24"/>
                <w:szCs w:val="24"/>
                <w:highlight w:val="none"/>
                <w:u w:val="none" w:color="auto"/>
                <w:lang w:val="en-US" w:eastAsia="zh-CN"/>
              </w:rPr>
              <w:t>kg/a，氯化物（氯化氢）产生量约为0.</w:t>
            </w:r>
            <w:r>
              <w:rPr>
                <w:rFonts w:hint="eastAsia" w:cs="Times New Roman"/>
                <w:b w:val="0"/>
                <w:bCs w:val="0"/>
                <w:color w:val="auto"/>
                <w:sz w:val="24"/>
                <w:szCs w:val="24"/>
                <w:highlight w:val="none"/>
                <w:u w:val="none" w:color="auto"/>
                <w:lang w:val="en-US" w:eastAsia="zh-CN"/>
              </w:rPr>
              <w:t>45</w:t>
            </w:r>
            <w:r>
              <w:rPr>
                <w:rFonts w:hint="eastAsia" w:ascii="Times New Roman" w:hAnsi="Times New Roman" w:eastAsia="宋体" w:cs="Times New Roman"/>
                <w:b w:val="0"/>
                <w:bCs w:val="0"/>
                <w:color w:val="auto"/>
                <w:sz w:val="24"/>
                <w:szCs w:val="24"/>
                <w:highlight w:val="none"/>
                <w:u w:val="none" w:color="auto"/>
                <w:lang w:val="en-US" w:eastAsia="zh-CN"/>
              </w:rPr>
              <w:t>kg/a</w:t>
            </w:r>
            <w:r>
              <w:rPr>
                <w:rFonts w:hint="eastAsia" w:cs="Times New Roman"/>
                <w:b w:val="0"/>
                <w:bCs w:val="0"/>
                <w:color w:val="auto"/>
                <w:sz w:val="24"/>
                <w:szCs w:val="24"/>
                <w:highlight w:val="none"/>
                <w:u w:val="none" w:color="auto"/>
                <w:lang w:val="en-US" w:eastAsia="zh-CN"/>
              </w:rPr>
              <w:t>。</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default" w:ascii="Times New Roman" w:hAnsi="Times New Roman" w:eastAsia="宋体" w:cs="Times New Roman"/>
                <w:b w:val="0"/>
                <w:bCs w:val="0"/>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治理措施：</w:t>
            </w:r>
            <w:r>
              <w:rPr>
                <w:rFonts w:hint="eastAsia" w:ascii="Times New Roman" w:hAnsi="Times New Roman" w:eastAsia="宋体" w:cs="Times New Roman"/>
                <w:b w:val="0"/>
                <w:bCs w:val="0"/>
                <w:color w:val="auto"/>
                <w:sz w:val="24"/>
                <w:szCs w:val="24"/>
                <w:highlight w:val="none"/>
                <w:u w:val="none" w:color="auto"/>
                <w:lang w:val="en-US" w:eastAsia="zh-CN"/>
              </w:rPr>
              <w:t>项目车间封闭，上料口上方设置1个集气罩，废气收集后经1套“耐高温高效覆膜袋式除尘器”装置处理后通过1根18m高排气筒（DA066）排放。集气效率取90％，</w:t>
            </w:r>
            <w:r>
              <w:rPr>
                <w:rFonts w:hint="eastAsia" w:cs="Times New Roman"/>
                <w:b w:val="0"/>
                <w:bCs w:val="0"/>
                <w:color w:val="auto"/>
                <w:sz w:val="24"/>
                <w:szCs w:val="24"/>
                <w:highlight w:val="none"/>
                <w:u w:val="none" w:color="auto"/>
                <w:lang w:val="en-US" w:eastAsia="zh-CN"/>
              </w:rPr>
              <w:t>颗粒物</w:t>
            </w:r>
            <w:r>
              <w:rPr>
                <w:rFonts w:hint="eastAsia" w:ascii="Times New Roman" w:hAnsi="Times New Roman" w:eastAsia="宋体" w:cs="Times New Roman"/>
                <w:b w:val="0"/>
                <w:bCs w:val="0"/>
                <w:color w:val="auto"/>
                <w:sz w:val="24"/>
                <w:szCs w:val="24"/>
                <w:highlight w:val="none"/>
                <w:u w:val="none" w:color="auto"/>
                <w:lang w:val="en-US" w:eastAsia="zh-CN"/>
              </w:rPr>
              <w:t>处理效率按</w:t>
            </w:r>
            <w:r>
              <w:rPr>
                <w:rFonts w:hint="eastAsia" w:cs="Times New Roman"/>
                <w:b w:val="0"/>
                <w:bCs w:val="0"/>
                <w:color w:val="auto"/>
                <w:sz w:val="24"/>
                <w:szCs w:val="24"/>
                <w:highlight w:val="none"/>
                <w:u w:val="none" w:color="auto"/>
                <w:lang w:val="en-US" w:eastAsia="zh-CN"/>
              </w:rPr>
              <w:t>97</w:t>
            </w:r>
            <w:r>
              <w:rPr>
                <w:rFonts w:hint="eastAsia" w:ascii="Times New Roman" w:hAnsi="Times New Roman" w:eastAsia="宋体" w:cs="Times New Roman"/>
                <w:b w:val="0"/>
                <w:bCs w:val="0"/>
                <w:color w:val="auto"/>
                <w:sz w:val="24"/>
                <w:szCs w:val="24"/>
                <w:highlight w:val="none"/>
                <w:u w:val="none" w:color="auto"/>
                <w:lang w:val="en-US" w:eastAsia="zh-CN"/>
              </w:rPr>
              <w:t>％计</w:t>
            </w:r>
            <w:r>
              <w:rPr>
                <w:rFonts w:hint="eastAsia" w:cs="Times New Roman"/>
                <w:b w:val="0"/>
                <w:bCs w:val="0"/>
                <w:color w:val="auto"/>
                <w:sz w:val="24"/>
                <w:szCs w:val="24"/>
                <w:highlight w:val="none"/>
                <w:u w:val="none" w:color="auto"/>
                <w:lang w:val="en-US" w:eastAsia="zh-CN"/>
              </w:rPr>
              <w:t>；本项目采用的耐高温高效覆膜袋式除尘器对氟化物、氯化物（氯化氢）无有效协同处理效果，且氟化物、氯化物（氯化氢）产生量较小，对环境影响很小，收集后通过一根18m高排气筒（DA066）排放</w:t>
            </w:r>
            <w:r>
              <w:rPr>
                <w:rFonts w:hint="eastAsia" w:ascii="Times New Roman" w:hAnsi="Times New Roman" w:eastAsia="宋体" w:cs="Times New Roman"/>
                <w:b w:val="0"/>
                <w:bCs w:val="0"/>
                <w:color w:val="auto"/>
                <w:sz w:val="24"/>
                <w:szCs w:val="24"/>
                <w:highlight w:val="none"/>
                <w:u w:val="none" w:color="auto"/>
                <w:lang w:val="en-US" w:eastAsia="zh-CN"/>
              </w:rPr>
              <w:t>。上料口集气罩面积约</w:t>
            </w:r>
            <w:r>
              <w:rPr>
                <w:rFonts w:hint="eastAsia" w:ascii="Times New Roman" w:hAnsi="Times New Roman" w:cs="Times New Roman"/>
                <w:color w:val="auto"/>
                <w:lang w:val="en-US" w:eastAsia="zh-CN"/>
              </w:rPr>
              <w:t>1m</w:t>
            </w:r>
            <w:r>
              <w:rPr>
                <w:rFonts w:hint="eastAsia" w:ascii="Times New Roman" w:hAnsi="Times New Roman" w:cs="Times New Roman"/>
                <w:color w:val="auto"/>
                <w:vertAlign w:val="superscript"/>
                <w:lang w:val="en-US" w:eastAsia="zh-CN"/>
              </w:rPr>
              <w:t>2</w:t>
            </w:r>
            <w:r>
              <w:rPr>
                <w:rFonts w:hint="eastAsia" w:ascii="Times New Roman" w:hAnsi="Times New Roman" w:eastAsia="宋体" w:cs="Times New Roman"/>
                <w:b w:val="0"/>
                <w:bCs w:val="0"/>
                <w:color w:val="auto"/>
                <w:sz w:val="24"/>
                <w:szCs w:val="24"/>
                <w:highlight w:val="none"/>
                <w:u w:val="none" w:color="auto"/>
                <w:lang w:val="en-US" w:eastAsia="zh-CN"/>
              </w:rPr>
              <w:t>，控制风速不低于1.5m/s，按1.5m/s计，则配套风机风量应为5400m</w:t>
            </w:r>
            <w:r>
              <w:rPr>
                <w:rFonts w:hint="eastAsia" w:ascii="Times New Roman" w:hAnsi="Times New Roman" w:eastAsia="宋体" w:cs="Times New Roman"/>
                <w:b w:val="0"/>
                <w:bCs w:val="0"/>
                <w:color w:val="auto"/>
                <w:sz w:val="24"/>
                <w:szCs w:val="24"/>
                <w:highlight w:val="none"/>
                <w:u w:val="none" w:color="auto"/>
                <w:vertAlign w:val="superscript"/>
                <w:lang w:val="en-US" w:eastAsia="zh-CN"/>
              </w:rPr>
              <w:t>3</w:t>
            </w:r>
            <w:r>
              <w:rPr>
                <w:rFonts w:hint="eastAsia" w:ascii="Times New Roman" w:hAnsi="Times New Roman" w:eastAsia="宋体" w:cs="Times New Roman"/>
                <w:b w:val="0"/>
                <w:bCs w:val="0"/>
                <w:color w:val="auto"/>
                <w:sz w:val="24"/>
                <w:szCs w:val="24"/>
                <w:highlight w:val="none"/>
                <w:u w:val="none" w:color="auto"/>
                <w:lang w:val="en-US" w:eastAsia="zh-CN"/>
              </w:rPr>
              <w:t>/h，考虑到管道损耗，按6000m</w:t>
            </w:r>
            <w:r>
              <w:rPr>
                <w:rFonts w:hint="eastAsia" w:ascii="Times New Roman" w:hAnsi="Times New Roman" w:eastAsia="宋体" w:cs="Times New Roman"/>
                <w:b w:val="0"/>
                <w:bCs w:val="0"/>
                <w:color w:val="auto"/>
                <w:sz w:val="24"/>
                <w:szCs w:val="24"/>
                <w:highlight w:val="none"/>
                <w:u w:val="none" w:color="auto"/>
                <w:vertAlign w:val="superscript"/>
                <w:lang w:val="en-US" w:eastAsia="zh-CN"/>
              </w:rPr>
              <w:t>3</w:t>
            </w:r>
            <w:r>
              <w:rPr>
                <w:rFonts w:hint="eastAsia" w:ascii="Times New Roman" w:hAnsi="Times New Roman" w:eastAsia="宋体" w:cs="Times New Roman"/>
                <w:b w:val="0"/>
                <w:bCs w:val="0"/>
                <w:color w:val="auto"/>
                <w:sz w:val="24"/>
                <w:szCs w:val="24"/>
                <w:highlight w:val="none"/>
                <w:u w:val="none" w:color="auto"/>
                <w:lang w:val="en-US" w:eastAsia="zh-CN"/>
              </w:rPr>
              <w:t>/h计。项目每天上料约1h/d，年产200d，则年生产时间为200h。</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eastAsia" w:ascii="Times New Roman" w:hAnsi="Times New Roman" w:eastAsia="宋体" w:cs="Times New Roman"/>
                <w:b w:val="0"/>
                <w:bCs w:val="0"/>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可行性分析：</w:t>
            </w:r>
            <w:r>
              <w:rPr>
                <w:rFonts w:hint="eastAsia" w:ascii="Times New Roman" w:hAnsi="Times New Roman" w:eastAsia="宋体" w:cs="Times New Roman"/>
                <w:b w:val="0"/>
                <w:bCs w:val="0"/>
                <w:color w:val="auto"/>
                <w:sz w:val="24"/>
                <w:szCs w:val="24"/>
                <w:highlight w:val="none"/>
                <w:u w:val="none" w:color="auto"/>
                <w:lang w:val="en-US" w:eastAsia="zh-CN"/>
              </w:rPr>
              <w:t>参照《排污许可证申请与核发技术规范 工业炉窑》（HJ1121-2020）附录A“A.1废气可行技术参考表”可知，颗粒物污染防治可行技术中袋式除尘属于可行技术。</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b w:val="0"/>
                <w:bCs w:val="0"/>
                <w:color w:val="auto"/>
                <w:sz w:val="24"/>
                <w:szCs w:val="24"/>
                <w:highlight w:val="none"/>
                <w:u w:val="none" w:color="auto"/>
                <w:lang w:val="en-US" w:eastAsia="zh-CN"/>
              </w:rPr>
            </w:pPr>
            <w:r>
              <w:rPr>
                <w:rFonts w:hint="eastAsia" w:ascii="Times New Roman" w:hAnsi="Times New Roman" w:eastAsia="宋体" w:cs="Times New Roman"/>
                <w:b w:val="0"/>
                <w:bCs w:val="0"/>
                <w:color w:val="auto"/>
                <w:sz w:val="24"/>
                <w:szCs w:val="24"/>
                <w:highlight w:val="none"/>
                <w:u w:val="none" w:color="auto"/>
                <w:lang w:val="en-US" w:eastAsia="zh-CN"/>
              </w:rPr>
              <w:t>本项目使用“集气罩+耐高温高效覆膜袋式除尘器+18m高排气筒（DA066）排放”，属于可行技术。</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default" w:ascii="Times New Roman" w:hAnsi="Times New Roman" w:eastAsia="宋体" w:cs="Times New Roman"/>
                <w:b w:val="0"/>
                <w:bCs w:val="0"/>
                <w:color w:val="auto"/>
                <w:sz w:val="24"/>
                <w:szCs w:val="24"/>
                <w:highlight w:val="none"/>
                <w:u w:val="none" w:color="auto"/>
                <w:lang w:val="en-US" w:eastAsia="zh-CN"/>
              </w:rPr>
            </w:pPr>
            <w:r>
              <w:rPr>
                <w:rFonts w:hint="eastAsia" w:cs="Times New Roman"/>
                <w:b/>
                <w:bCs/>
                <w:color w:val="auto"/>
                <w:sz w:val="24"/>
                <w:szCs w:val="24"/>
                <w:highlight w:val="none"/>
                <w:u w:val="none" w:color="auto"/>
                <w:lang w:val="en-US" w:eastAsia="zh-CN"/>
              </w:rPr>
              <w:t>1.1.2</w:t>
            </w:r>
            <w:r>
              <w:rPr>
                <w:rFonts w:hint="eastAsia" w:ascii="Times New Roman" w:hAnsi="Times New Roman" w:eastAsia="宋体" w:cs="Times New Roman"/>
                <w:b/>
                <w:bCs/>
                <w:color w:val="auto"/>
                <w:sz w:val="24"/>
                <w:szCs w:val="24"/>
                <w:highlight w:val="none"/>
                <w:u w:val="none" w:color="auto"/>
                <w:lang w:val="en-US" w:eastAsia="zh-CN"/>
              </w:rPr>
              <w:t>炒灰废气</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b w:val="0"/>
                <w:bCs w:val="0"/>
                <w:color w:val="auto"/>
                <w:sz w:val="24"/>
                <w:szCs w:val="24"/>
                <w:highlight w:val="none"/>
                <w:u w:val="none" w:color="auto"/>
                <w:lang w:val="en-US" w:eastAsia="zh-CN"/>
              </w:rPr>
            </w:pPr>
            <w:r>
              <w:rPr>
                <w:rFonts w:hint="eastAsia" w:ascii="Times New Roman" w:hAnsi="Times New Roman" w:eastAsia="宋体" w:cs="Times New Roman"/>
                <w:b w:val="0"/>
                <w:bCs w:val="0"/>
                <w:color w:val="auto"/>
                <w:sz w:val="24"/>
                <w:szCs w:val="24"/>
                <w:highlight w:val="none"/>
                <w:u w:val="none" w:color="auto"/>
                <w:lang w:val="en-US" w:eastAsia="zh-CN"/>
              </w:rPr>
              <w:t>本项目设置熔炼渣回收处理系统用于处理扒渣工序产生的熔炼渣，得到合金液。其工作原理主要是利用熔炼渣预热进行机械搅拌，处理过程中产生粉尘；经参照《逸散性工业颗粒物控制技术》（中国环境科学出版社）第十一章铝精炼厂表18-1，内热浮渣处理和冷却逸散尘排放因子，本项目炒灰工序逸散尘产污系数取0.11kg/t，本项目熔炼渣使用量为700t/a</w:t>
            </w:r>
            <w:r>
              <w:rPr>
                <w:rFonts w:hint="eastAsia" w:cs="Times New Roman"/>
                <w:b w:val="0"/>
                <w:bCs w:val="0"/>
                <w:color w:val="auto"/>
                <w:sz w:val="24"/>
                <w:szCs w:val="24"/>
                <w:highlight w:val="none"/>
                <w:u w:val="none" w:color="auto"/>
                <w:lang w:val="en-US" w:eastAsia="zh-CN"/>
              </w:rPr>
              <w:t>，炒灰剂使用量为0.5t/a</w:t>
            </w:r>
            <w:r>
              <w:rPr>
                <w:rFonts w:hint="eastAsia" w:ascii="Times New Roman" w:hAnsi="Times New Roman" w:eastAsia="宋体" w:cs="Times New Roman"/>
                <w:b w:val="0"/>
                <w:bCs w:val="0"/>
                <w:color w:val="auto"/>
                <w:sz w:val="24"/>
                <w:szCs w:val="24"/>
                <w:highlight w:val="none"/>
                <w:u w:val="none" w:color="auto"/>
                <w:lang w:val="en-US" w:eastAsia="zh-CN"/>
              </w:rPr>
              <w:t>，</w:t>
            </w:r>
            <w:r>
              <w:rPr>
                <w:rFonts w:hint="eastAsia" w:cs="Times New Roman"/>
                <w:b w:val="0"/>
                <w:bCs w:val="0"/>
                <w:color w:val="auto"/>
                <w:sz w:val="24"/>
                <w:szCs w:val="24"/>
                <w:highlight w:val="none"/>
                <w:u w:val="none" w:color="auto"/>
                <w:lang w:val="en-US" w:eastAsia="zh-CN"/>
              </w:rPr>
              <w:t>合计700.5t/a，</w:t>
            </w:r>
            <w:r>
              <w:rPr>
                <w:rFonts w:hint="eastAsia" w:ascii="Times New Roman" w:hAnsi="Times New Roman" w:eastAsia="宋体" w:cs="Times New Roman"/>
                <w:b w:val="0"/>
                <w:bCs w:val="0"/>
                <w:color w:val="auto"/>
                <w:sz w:val="24"/>
                <w:szCs w:val="24"/>
                <w:highlight w:val="none"/>
                <w:u w:val="none" w:color="auto"/>
                <w:lang w:val="en-US" w:eastAsia="zh-CN"/>
              </w:rPr>
              <w:t>则炒灰机粉尘产生量约为0.077t/a</w:t>
            </w:r>
            <w:r>
              <w:rPr>
                <w:rFonts w:hint="eastAsia" w:cs="Times New Roman"/>
                <w:b w:val="0"/>
                <w:bCs w:val="0"/>
                <w:color w:val="auto"/>
                <w:sz w:val="24"/>
                <w:szCs w:val="24"/>
                <w:highlight w:val="none"/>
                <w:u w:val="none" w:color="auto"/>
                <w:lang w:val="en-US" w:eastAsia="zh-CN"/>
              </w:rPr>
              <w:t>。</w:t>
            </w:r>
            <w:r>
              <w:rPr>
                <w:rFonts w:hint="eastAsia" w:ascii="Times New Roman" w:hAnsi="Times New Roman" w:eastAsia="宋体" w:cs="Times New Roman"/>
                <w:b w:val="0"/>
                <w:bCs w:val="0"/>
                <w:color w:val="auto"/>
                <w:sz w:val="24"/>
                <w:szCs w:val="24"/>
                <w:highlight w:val="none"/>
                <w:u w:val="none" w:color="auto"/>
                <w:lang w:val="en-US" w:eastAsia="zh-CN"/>
              </w:rPr>
              <w:t>根据物料平衡分析，氟化物产生量为0.0225kg/a，氯化物（氯化氢）产生量约为0.45kg/a</w:t>
            </w:r>
            <w:r>
              <w:rPr>
                <w:rFonts w:hint="eastAsia" w:cs="Times New Roman"/>
                <w:b w:val="0"/>
                <w:bCs w:val="0"/>
                <w:color w:val="auto"/>
                <w:sz w:val="24"/>
                <w:szCs w:val="24"/>
                <w:highlight w:val="none"/>
                <w:u w:val="none" w:color="auto"/>
                <w:lang w:val="en-US" w:eastAsia="zh-CN"/>
              </w:rPr>
              <w:t>。</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default" w:ascii="Times New Roman" w:hAnsi="Times New Roman" w:eastAsia="宋体" w:cs="Times New Roman"/>
                <w:b w:val="0"/>
                <w:bCs w:val="0"/>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治理措施：</w:t>
            </w:r>
            <w:r>
              <w:rPr>
                <w:rFonts w:hint="eastAsia" w:ascii="Times New Roman" w:hAnsi="Times New Roman" w:eastAsia="宋体" w:cs="Times New Roman"/>
                <w:b w:val="0"/>
                <w:bCs w:val="0"/>
                <w:color w:val="auto"/>
                <w:sz w:val="24"/>
                <w:szCs w:val="24"/>
                <w:highlight w:val="none"/>
                <w:u w:val="none" w:color="auto"/>
                <w:lang w:val="en-US" w:eastAsia="zh-CN"/>
              </w:rPr>
              <w:t>项目车间封闭，炒灰机采用密闭管道收集，废气收集后经1套“耐高温高效覆膜袋式除尘器”装置处理后通过1根18m高排气筒（DA066）排放。集气效率为100％，</w:t>
            </w:r>
            <w:r>
              <w:rPr>
                <w:rFonts w:hint="eastAsia" w:cs="Times New Roman"/>
                <w:b w:val="0"/>
                <w:bCs w:val="0"/>
                <w:color w:val="auto"/>
                <w:sz w:val="24"/>
                <w:szCs w:val="24"/>
                <w:highlight w:val="none"/>
                <w:u w:val="none" w:color="auto"/>
                <w:lang w:val="en-US" w:eastAsia="zh-CN"/>
              </w:rPr>
              <w:t>颗粒物</w:t>
            </w:r>
            <w:r>
              <w:rPr>
                <w:rFonts w:hint="eastAsia" w:ascii="Times New Roman" w:hAnsi="Times New Roman" w:eastAsia="宋体" w:cs="Times New Roman"/>
                <w:b w:val="0"/>
                <w:bCs w:val="0"/>
                <w:color w:val="auto"/>
                <w:sz w:val="24"/>
                <w:szCs w:val="24"/>
                <w:highlight w:val="none"/>
                <w:u w:val="none" w:color="auto"/>
                <w:lang w:val="en-US" w:eastAsia="zh-CN"/>
              </w:rPr>
              <w:t>处理效率按</w:t>
            </w:r>
            <w:r>
              <w:rPr>
                <w:rFonts w:hint="eastAsia" w:cs="Times New Roman"/>
                <w:b w:val="0"/>
                <w:bCs w:val="0"/>
                <w:color w:val="auto"/>
                <w:sz w:val="24"/>
                <w:szCs w:val="24"/>
                <w:highlight w:val="none"/>
                <w:u w:val="none" w:color="auto"/>
                <w:lang w:val="en-US" w:eastAsia="zh-CN"/>
              </w:rPr>
              <w:t>97</w:t>
            </w:r>
            <w:r>
              <w:rPr>
                <w:rFonts w:hint="eastAsia" w:ascii="Times New Roman" w:hAnsi="Times New Roman" w:eastAsia="宋体" w:cs="Times New Roman"/>
                <w:b w:val="0"/>
                <w:bCs w:val="0"/>
                <w:color w:val="auto"/>
                <w:sz w:val="24"/>
                <w:szCs w:val="24"/>
                <w:highlight w:val="none"/>
                <w:u w:val="none" w:color="auto"/>
                <w:lang w:val="en-US" w:eastAsia="zh-CN"/>
              </w:rPr>
              <w:t>％计</w:t>
            </w:r>
            <w:r>
              <w:rPr>
                <w:rFonts w:hint="eastAsia" w:cs="Times New Roman"/>
                <w:b w:val="0"/>
                <w:bCs w:val="0"/>
                <w:color w:val="auto"/>
                <w:sz w:val="24"/>
                <w:szCs w:val="24"/>
                <w:highlight w:val="none"/>
                <w:u w:val="none" w:color="auto"/>
                <w:lang w:val="en-US" w:eastAsia="zh-CN"/>
              </w:rPr>
              <w:t>；</w:t>
            </w:r>
            <w:r>
              <w:rPr>
                <w:rFonts w:hint="eastAsia" w:ascii="Times New Roman" w:hAnsi="Times New Roman" w:eastAsia="宋体" w:cs="Times New Roman"/>
                <w:b w:val="0"/>
                <w:bCs w:val="0"/>
                <w:color w:val="auto"/>
                <w:sz w:val="24"/>
                <w:szCs w:val="24"/>
                <w:highlight w:val="none"/>
                <w:u w:val="none" w:color="auto"/>
                <w:lang w:val="en-US" w:eastAsia="zh-CN"/>
              </w:rPr>
              <w:t>本项目采用的耐高温高效覆膜袋式除尘器对氟化物、氯化物（氯化氢）无有效协同处理效果，且氟化物、氯化物（氯化氢）产生量较小，对环境影响很小，收集后通过一根18m高排气筒（DA066）排放。参照《局部排风设施控制风速检测与评估技术规范》（AQ/T4274-2016）中密闭罩粉尘控制风速为0.4m/s，管道内径约0.4m，则所需风量约181m</w:t>
            </w:r>
            <w:r>
              <w:rPr>
                <w:rFonts w:hint="eastAsia" w:ascii="Times New Roman" w:hAnsi="Times New Roman" w:eastAsia="宋体" w:cs="Times New Roman"/>
                <w:b w:val="0"/>
                <w:bCs w:val="0"/>
                <w:color w:val="auto"/>
                <w:sz w:val="24"/>
                <w:szCs w:val="24"/>
                <w:highlight w:val="none"/>
                <w:u w:val="none" w:color="auto"/>
                <w:vertAlign w:val="superscript"/>
                <w:lang w:val="en-US" w:eastAsia="zh-CN"/>
              </w:rPr>
              <w:t>3</w:t>
            </w:r>
            <w:r>
              <w:rPr>
                <w:rFonts w:hint="eastAsia" w:ascii="Times New Roman" w:hAnsi="Times New Roman" w:eastAsia="宋体" w:cs="Times New Roman"/>
                <w:b w:val="0"/>
                <w:bCs w:val="0"/>
                <w:color w:val="auto"/>
                <w:sz w:val="24"/>
                <w:szCs w:val="24"/>
                <w:highlight w:val="none"/>
                <w:u w:val="none" w:color="auto"/>
                <w:lang w:val="en-US" w:eastAsia="zh-CN"/>
              </w:rPr>
              <w:t>/h，考虑到管道损耗取200m</w:t>
            </w:r>
            <w:r>
              <w:rPr>
                <w:rFonts w:hint="eastAsia" w:ascii="Times New Roman" w:hAnsi="Times New Roman" w:eastAsia="宋体" w:cs="Times New Roman"/>
                <w:b w:val="0"/>
                <w:bCs w:val="0"/>
                <w:color w:val="auto"/>
                <w:sz w:val="24"/>
                <w:szCs w:val="24"/>
                <w:highlight w:val="none"/>
                <w:u w:val="none" w:color="auto"/>
                <w:vertAlign w:val="superscript"/>
                <w:lang w:val="en-US" w:eastAsia="zh-CN"/>
              </w:rPr>
              <w:t>3</w:t>
            </w:r>
            <w:r>
              <w:rPr>
                <w:rFonts w:hint="eastAsia" w:ascii="Times New Roman" w:hAnsi="Times New Roman" w:eastAsia="宋体" w:cs="Times New Roman"/>
                <w:b w:val="0"/>
                <w:bCs w:val="0"/>
                <w:color w:val="auto"/>
                <w:sz w:val="24"/>
                <w:szCs w:val="24"/>
                <w:highlight w:val="none"/>
                <w:u w:val="none" w:color="auto"/>
                <w:lang w:val="en-US" w:eastAsia="zh-CN"/>
              </w:rPr>
              <w:t>/h。炒灰机每天工作10h，年生产时间为200d，则年工作时间为2000h。</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eastAsia" w:ascii="Times New Roman" w:hAnsi="Times New Roman" w:eastAsia="宋体" w:cs="Times New Roman"/>
                <w:b w:val="0"/>
                <w:bCs w:val="0"/>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可行性分析：</w:t>
            </w:r>
            <w:r>
              <w:rPr>
                <w:rFonts w:hint="eastAsia" w:ascii="Times New Roman" w:hAnsi="Times New Roman" w:eastAsia="宋体" w:cs="Times New Roman"/>
                <w:b w:val="0"/>
                <w:bCs w:val="0"/>
                <w:color w:val="auto"/>
                <w:sz w:val="24"/>
                <w:szCs w:val="24"/>
                <w:highlight w:val="none"/>
                <w:u w:val="none" w:color="auto"/>
                <w:lang w:val="en-US" w:eastAsia="zh-CN"/>
              </w:rPr>
              <w:t>参照《排污许可证申请与核发技术规范 工业炉窑》（HJ1121-2020）附录A“A.1废气可行技术参考表”可知，颗粒物污染防治可行技术中袋式除尘属于可行技术。</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val="0"/>
                <w:bCs w:val="0"/>
                <w:color w:val="auto"/>
                <w:sz w:val="24"/>
                <w:szCs w:val="24"/>
                <w:highlight w:val="none"/>
                <w:u w:val="none" w:color="auto"/>
                <w:lang w:val="en-US" w:eastAsia="zh-CN"/>
              </w:rPr>
              <w:t>本项目使用“集气罩+耐高温高效覆膜袋式除尘器+18m高排气筒（DA066）排放”，属于可行技术。</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default" w:ascii="Times New Roman" w:hAnsi="Times New Roman" w:eastAsia="宋体" w:cs="Times New Roman"/>
                <w:b w:val="0"/>
                <w:bCs w:val="0"/>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1.1.3</w:t>
            </w:r>
            <w:r>
              <w:rPr>
                <w:rFonts w:hint="eastAsia" w:cs="Times New Roman"/>
                <w:b/>
                <w:bCs/>
                <w:color w:val="auto"/>
                <w:sz w:val="24"/>
                <w:szCs w:val="24"/>
                <w:highlight w:val="none"/>
                <w:u w:val="none" w:color="auto"/>
                <w:lang w:val="en-US" w:eastAsia="zh-CN"/>
              </w:rPr>
              <w:t>危废间废气</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CIDFont" w:cs="Times New Roman"/>
                <w:b w:val="0"/>
                <w:bCs w:val="0"/>
                <w:color w:val="auto"/>
                <w:kern w:val="0"/>
                <w:sz w:val="21"/>
                <w:szCs w:val="21"/>
                <w:lang w:val="en-US" w:eastAsia="zh-CN" w:bidi="ar"/>
              </w:rPr>
            </w:pPr>
            <w:r>
              <w:rPr>
                <w:rFonts w:hint="eastAsia" w:ascii="Times New Roman" w:hAnsi="Times New Roman" w:eastAsia="宋体" w:cs="Times New Roman"/>
                <w:b w:val="0"/>
                <w:bCs w:val="0"/>
                <w:color w:val="auto"/>
                <w:kern w:val="0"/>
                <w:sz w:val="24"/>
                <w:szCs w:val="24"/>
                <w:lang w:val="en-US" w:eastAsia="zh-CN" w:bidi="ar"/>
              </w:rPr>
              <w:t>本项目二次熔炼渣收集后暂存于危险废物暂存间，暂存期间二次熔炼渣中的氮化铝会与空气中水分接触反应产生氨气。</w:t>
            </w:r>
            <w:r>
              <w:rPr>
                <w:rFonts w:hint="default" w:ascii="Times New Roman" w:hAnsi="Times New Roman" w:eastAsia="宋体" w:cs="Times New Roman"/>
                <w:b w:val="0"/>
                <w:bCs w:val="0"/>
                <w:color w:val="auto"/>
                <w:kern w:val="0"/>
                <w:sz w:val="24"/>
                <w:szCs w:val="24"/>
                <w:lang w:val="en-US" w:eastAsia="zh-CN" w:bidi="ar"/>
              </w:rPr>
              <w:t>经查阅《洛阳龙鼎铝业有限公司连铸连轧分厂熔铝炉铝灰资源化回收利用项目》环评验收监测报告（2022年8月4日~8月5日）中</w:t>
            </w:r>
            <w:r>
              <w:rPr>
                <w:rFonts w:hint="default" w:ascii="Times New Roman" w:hAnsi="Times New Roman" w:eastAsia="CIDFont" w:cs="Times New Roman"/>
                <w:b w:val="0"/>
                <w:bCs w:val="0"/>
                <w:color w:val="auto"/>
                <w:kern w:val="0"/>
                <w:sz w:val="24"/>
                <w:szCs w:val="24"/>
                <w:lang w:val="en-US" w:eastAsia="zh-CN" w:bidi="ar"/>
              </w:rPr>
              <w:t>连铸连轧分厂铝灰库氨气废气排放口</w:t>
            </w:r>
            <w:r>
              <w:rPr>
                <w:rFonts w:hint="eastAsia" w:ascii="Times New Roman" w:hAnsi="Times New Roman" w:eastAsia="CIDFont" w:cs="Times New Roman"/>
                <w:b w:val="0"/>
                <w:bCs w:val="0"/>
                <w:color w:val="auto"/>
                <w:kern w:val="0"/>
                <w:sz w:val="24"/>
                <w:szCs w:val="24"/>
                <w:lang w:val="en-US" w:eastAsia="zh-CN" w:bidi="ar"/>
              </w:rPr>
              <w:t>氨气</w:t>
            </w:r>
            <w:r>
              <w:rPr>
                <w:rFonts w:hint="default" w:ascii="Times New Roman" w:hAnsi="Times New Roman" w:eastAsia="CIDFont" w:cs="Times New Roman"/>
                <w:b w:val="0"/>
                <w:bCs w:val="0"/>
                <w:color w:val="auto"/>
                <w:kern w:val="0"/>
                <w:sz w:val="24"/>
                <w:szCs w:val="24"/>
                <w:lang w:val="en-US" w:eastAsia="zh-CN" w:bidi="ar"/>
              </w:rPr>
              <w:t>进口速率均值为0.183kg/h，年运行5250h，年</w:t>
            </w:r>
            <w:r>
              <w:rPr>
                <w:rFonts w:hint="eastAsia" w:ascii="Times New Roman" w:hAnsi="Times New Roman" w:eastAsia="CIDFont" w:cs="Times New Roman"/>
                <w:b w:val="0"/>
                <w:bCs w:val="0"/>
                <w:color w:val="auto"/>
                <w:kern w:val="0"/>
                <w:sz w:val="24"/>
                <w:szCs w:val="24"/>
                <w:lang w:val="en-US" w:eastAsia="zh-CN" w:bidi="ar"/>
              </w:rPr>
              <w:t>收集</w:t>
            </w:r>
            <w:r>
              <w:rPr>
                <w:rFonts w:hint="default" w:ascii="Times New Roman" w:hAnsi="Times New Roman" w:eastAsia="CIDFont" w:cs="Times New Roman"/>
                <w:b w:val="0"/>
                <w:bCs w:val="0"/>
                <w:color w:val="auto"/>
                <w:kern w:val="0"/>
                <w:sz w:val="24"/>
                <w:szCs w:val="24"/>
                <w:lang w:val="en-US" w:eastAsia="zh-CN" w:bidi="ar"/>
              </w:rPr>
              <w:t>暂存二次铝灰</w:t>
            </w:r>
            <w:r>
              <w:rPr>
                <w:rFonts w:hint="eastAsia" w:ascii="Times New Roman" w:hAnsi="Times New Roman" w:eastAsia="CIDFont" w:cs="Times New Roman"/>
                <w:b w:val="0"/>
                <w:bCs w:val="0"/>
                <w:color w:val="auto"/>
                <w:kern w:val="0"/>
                <w:sz w:val="24"/>
                <w:szCs w:val="24"/>
                <w:lang w:val="en-US" w:eastAsia="zh-CN" w:bidi="ar"/>
              </w:rPr>
              <w:t>为</w:t>
            </w:r>
            <w:r>
              <w:rPr>
                <w:rFonts w:hint="default" w:ascii="Times New Roman" w:hAnsi="Times New Roman" w:eastAsia="CIDFont" w:cs="Times New Roman"/>
                <w:b w:val="0"/>
                <w:bCs w:val="0"/>
                <w:color w:val="auto"/>
                <w:kern w:val="0"/>
                <w:sz w:val="24"/>
                <w:szCs w:val="24"/>
                <w:lang w:val="en-US" w:eastAsia="zh-CN" w:bidi="ar"/>
              </w:rPr>
              <w:t>1806t，则推算二次</w:t>
            </w:r>
            <w:r>
              <w:rPr>
                <w:rFonts w:hint="eastAsia" w:ascii="Times New Roman" w:hAnsi="Times New Roman" w:eastAsia="CIDFont" w:cs="Times New Roman"/>
                <w:b w:val="0"/>
                <w:bCs w:val="0"/>
                <w:color w:val="auto"/>
                <w:kern w:val="0"/>
                <w:sz w:val="24"/>
                <w:szCs w:val="24"/>
                <w:lang w:val="en-US" w:eastAsia="zh-CN" w:bidi="ar"/>
              </w:rPr>
              <w:t>熔炼渣</w:t>
            </w:r>
            <w:r>
              <w:rPr>
                <w:rFonts w:hint="default" w:ascii="Times New Roman" w:hAnsi="Times New Roman" w:eastAsia="CIDFont" w:cs="Times New Roman"/>
                <w:b w:val="0"/>
                <w:bCs w:val="0"/>
                <w:color w:val="auto"/>
                <w:kern w:val="0"/>
                <w:sz w:val="24"/>
                <w:szCs w:val="24"/>
                <w:lang w:val="en-US" w:eastAsia="zh-CN" w:bidi="ar"/>
              </w:rPr>
              <w:t>暂存期间氨气产污系数为0.5</w:t>
            </w:r>
            <w:r>
              <w:rPr>
                <w:rFonts w:hint="eastAsia" w:ascii="Times New Roman" w:hAnsi="Times New Roman" w:eastAsia="CIDFont" w:cs="Times New Roman"/>
                <w:b w:val="0"/>
                <w:bCs w:val="0"/>
                <w:color w:val="auto"/>
                <w:kern w:val="0"/>
                <w:sz w:val="24"/>
                <w:szCs w:val="24"/>
                <w:lang w:val="en-US" w:eastAsia="zh-CN" w:bidi="ar"/>
              </w:rPr>
              <w:t>32</w:t>
            </w:r>
            <w:r>
              <w:rPr>
                <w:rFonts w:hint="default" w:ascii="Times New Roman" w:hAnsi="Times New Roman" w:eastAsia="CIDFont" w:cs="Times New Roman"/>
                <w:b w:val="0"/>
                <w:bCs w:val="0"/>
                <w:color w:val="auto"/>
                <w:kern w:val="0"/>
                <w:sz w:val="24"/>
                <w:szCs w:val="24"/>
                <w:lang w:val="en-US" w:eastAsia="zh-CN" w:bidi="ar"/>
              </w:rPr>
              <w:t>kg/t-二次</w:t>
            </w:r>
            <w:r>
              <w:rPr>
                <w:rFonts w:hint="eastAsia" w:ascii="Times New Roman" w:hAnsi="Times New Roman" w:eastAsia="CIDFont" w:cs="Times New Roman"/>
                <w:b w:val="0"/>
                <w:bCs w:val="0"/>
                <w:color w:val="auto"/>
                <w:kern w:val="0"/>
                <w:sz w:val="24"/>
                <w:szCs w:val="24"/>
                <w:lang w:val="en-US" w:eastAsia="zh-CN" w:bidi="ar"/>
              </w:rPr>
              <w:t>熔炼渣</w:t>
            </w:r>
            <w:r>
              <w:rPr>
                <w:rFonts w:hint="default" w:ascii="Times New Roman" w:hAnsi="Times New Roman" w:eastAsia="CIDFont" w:cs="Times New Roman"/>
                <w:b w:val="0"/>
                <w:bCs w:val="0"/>
                <w:color w:val="auto"/>
                <w:kern w:val="0"/>
                <w:sz w:val="24"/>
                <w:szCs w:val="24"/>
                <w:lang w:val="en-US" w:eastAsia="zh-CN" w:bidi="ar"/>
              </w:rPr>
              <w:t>。</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b w:val="0"/>
                <w:bCs w:val="0"/>
                <w:color w:val="auto"/>
                <w:sz w:val="24"/>
                <w:szCs w:val="24"/>
                <w:highlight w:val="none"/>
                <w:u w:val="none" w:color="auto"/>
                <w:lang w:val="en-US" w:eastAsia="zh-CN"/>
              </w:rPr>
            </w:pPr>
            <w:r>
              <w:rPr>
                <w:rFonts w:hint="eastAsia" w:ascii="Times New Roman" w:hAnsi="Times New Roman" w:eastAsia="宋体" w:cs="Times New Roman"/>
                <w:b w:val="0"/>
                <w:bCs w:val="0"/>
                <w:color w:val="auto"/>
                <w:sz w:val="24"/>
                <w:szCs w:val="24"/>
                <w:highlight w:val="none"/>
                <w:u w:val="none" w:color="auto"/>
                <w:lang w:val="en-US" w:eastAsia="zh-CN"/>
              </w:rPr>
              <w:t>本项目</w:t>
            </w:r>
            <w:r>
              <w:rPr>
                <w:rFonts w:hint="eastAsia" w:cs="Times New Roman"/>
                <w:b w:val="0"/>
                <w:bCs w:val="0"/>
                <w:color w:val="auto"/>
                <w:sz w:val="24"/>
                <w:szCs w:val="24"/>
                <w:highlight w:val="none"/>
                <w:u w:val="none" w:color="auto"/>
                <w:lang w:val="en-US" w:eastAsia="zh-CN"/>
              </w:rPr>
              <w:t>危废间中易反应的危险废物主要为二次熔炼渣及除尘灰，均含有氮化铝，会与空气中水分接触反应产生氨气，</w:t>
            </w:r>
            <w:r>
              <w:rPr>
                <w:rFonts w:hint="eastAsia" w:ascii="Times New Roman" w:hAnsi="Times New Roman" w:eastAsia="宋体" w:cs="Times New Roman"/>
                <w:b w:val="0"/>
                <w:bCs w:val="0"/>
                <w:color w:val="auto"/>
                <w:sz w:val="24"/>
                <w:szCs w:val="24"/>
                <w:highlight w:val="none"/>
                <w:u w:val="none" w:color="auto"/>
                <w:lang w:val="en-US" w:eastAsia="zh-CN"/>
              </w:rPr>
              <w:t>最大储存量约为</w:t>
            </w:r>
            <w:r>
              <w:rPr>
                <w:rFonts w:hint="eastAsia" w:cs="Times New Roman"/>
                <w:b w:val="0"/>
                <w:bCs w:val="0"/>
                <w:color w:val="auto"/>
                <w:sz w:val="24"/>
                <w:szCs w:val="24"/>
                <w:highlight w:val="none"/>
                <w:u w:val="none" w:color="auto"/>
                <w:lang w:val="en-US" w:eastAsia="zh-CN"/>
              </w:rPr>
              <w:t>41.0045</w:t>
            </w:r>
            <w:r>
              <w:rPr>
                <w:rFonts w:hint="eastAsia" w:ascii="Times New Roman" w:hAnsi="Times New Roman" w:eastAsia="宋体" w:cs="Times New Roman"/>
                <w:b w:val="0"/>
                <w:bCs w:val="0"/>
                <w:color w:val="auto"/>
                <w:sz w:val="24"/>
                <w:szCs w:val="24"/>
                <w:highlight w:val="none"/>
                <w:u w:val="none" w:color="auto"/>
                <w:lang w:val="en-US" w:eastAsia="zh-CN"/>
              </w:rPr>
              <w:t>t，</w:t>
            </w:r>
            <w:r>
              <w:rPr>
                <w:rFonts w:hint="eastAsia" w:cs="Times New Roman"/>
                <w:b w:val="0"/>
                <w:bCs w:val="0"/>
                <w:color w:val="auto"/>
                <w:sz w:val="24"/>
                <w:szCs w:val="24"/>
                <w:highlight w:val="none"/>
                <w:u w:val="none" w:color="auto"/>
                <w:lang w:val="en-US" w:eastAsia="zh-CN"/>
              </w:rPr>
              <w:t>危废间年运行时间为300d，</w:t>
            </w:r>
            <w:r>
              <w:rPr>
                <w:rFonts w:hint="eastAsia" w:ascii="Times New Roman" w:hAnsi="Times New Roman" w:eastAsia="宋体" w:cs="Times New Roman"/>
                <w:b w:val="0"/>
                <w:bCs w:val="0"/>
                <w:color w:val="auto"/>
                <w:sz w:val="24"/>
                <w:szCs w:val="24"/>
                <w:highlight w:val="none"/>
                <w:u w:val="none" w:color="auto"/>
                <w:lang w:val="en-US" w:eastAsia="zh-CN"/>
              </w:rPr>
              <w:t>按24h/d计，则危险废物暂存间氨气产生量约为0.0</w:t>
            </w:r>
            <w:r>
              <w:rPr>
                <w:rFonts w:hint="eastAsia" w:cs="Times New Roman"/>
                <w:b w:val="0"/>
                <w:bCs w:val="0"/>
                <w:color w:val="auto"/>
                <w:sz w:val="24"/>
                <w:szCs w:val="24"/>
                <w:highlight w:val="none"/>
                <w:u w:val="none" w:color="auto"/>
                <w:lang w:val="en-US" w:eastAsia="zh-CN"/>
              </w:rPr>
              <w:t>218</w:t>
            </w:r>
            <w:r>
              <w:rPr>
                <w:rFonts w:hint="eastAsia" w:ascii="Times New Roman" w:hAnsi="Times New Roman" w:eastAsia="宋体" w:cs="Times New Roman"/>
                <w:b w:val="0"/>
                <w:bCs w:val="0"/>
                <w:color w:val="auto"/>
                <w:sz w:val="24"/>
                <w:szCs w:val="24"/>
                <w:highlight w:val="none"/>
                <w:u w:val="none" w:color="auto"/>
                <w:lang w:val="en-US" w:eastAsia="zh-CN"/>
              </w:rPr>
              <w:t>t/a（0.003kg/h）。</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eastAsia" w:ascii="Times New Roman" w:hAnsi="Times New Roman" w:eastAsia="宋体" w:cs="Times New Roman"/>
                <w:b w:val="0"/>
                <w:bCs w:val="0"/>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治理措施：</w:t>
            </w:r>
            <w:r>
              <w:rPr>
                <w:rFonts w:hint="eastAsia" w:ascii="Times New Roman" w:hAnsi="Times New Roman" w:eastAsia="宋体" w:cs="Times New Roman"/>
                <w:b w:val="0"/>
                <w:bCs w:val="0"/>
                <w:color w:val="auto"/>
                <w:sz w:val="24"/>
                <w:szCs w:val="24"/>
                <w:highlight w:val="none"/>
                <w:u w:val="none" w:color="auto"/>
                <w:lang w:val="en-US" w:eastAsia="zh-CN"/>
              </w:rPr>
              <w:t>危废暂存间暂存二次熔炼渣产生的氨气依托现有的</w:t>
            </w:r>
            <w:r>
              <w:rPr>
                <w:rFonts w:hint="eastAsia" w:cs="Times New Roman"/>
                <w:b w:val="0"/>
                <w:bCs w:val="0"/>
                <w:color w:val="auto"/>
                <w:sz w:val="24"/>
                <w:szCs w:val="24"/>
                <w:highlight w:val="none"/>
                <w:u w:val="none" w:color="auto"/>
                <w:lang w:val="en-US" w:eastAsia="zh-CN"/>
              </w:rPr>
              <w:t>UV光氧+活性炭吸附一体机</w:t>
            </w:r>
            <w:r>
              <w:rPr>
                <w:rFonts w:hint="eastAsia" w:ascii="Times New Roman" w:hAnsi="Times New Roman" w:eastAsia="宋体" w:cs="Times New Roman"/>
                <w:b w:val="0"/>
                <w:bCs w:val="0"/>
                <w:color w:val="auto"/>
                <w:sz w:val="24"/>
                <w:szCs w:val="24"/>
                <w:highlight w:val="none"/>
                <w:u w:val="none" w:color="auto"/>
                <w:lang w:val="en-US" w:eastAsia="zh-CN"/>
              </w:rPr>
              <w:t>，集气效率取90％，处理效率约</w:t>
            </w:r>
            <w:r>
              <w:rPr>
                <w:rFonts w:hint="eastAsia" w:cs="Times New Roman"/>
                <w:b w:val="0"/>
                <w:bCs w:val="0"/>
                <w:color w:val="auto"/>
                <w:sz w:val="24"/>
                <w:szCs w:val="24"/>
                <w:highlight w:val="none"/>
                <w:u w:val="none" w:color="auto"/>
                <w:lang w:val="en-US" w:eastAsia="zh-CN"/>
              </w:rPr>
              <w:t>5</w:t>
            </w:r>
            <w:r>
              <w:rPr>
                <w:rFonts w:hint="eastAsia" w:ascii="Times New Roman" w:hAnsi="Times New Roman" w:eastAsia="宋体" w:cs="Times New Roman"/>
                <w:b w:val="0"/>
                <w:bCs w:val="0"/>
                <w:color w:val="auto"/>
                <w:sz w:val="24"/>
                <w:szCs w:val="24"/>
                <w:highlight w:val="none"/>
                <w:u w:val="none" w:color="auto"/>
                <w:lang w:val="en-US" w:eastAsia="zh-CN"/>
              </w:rPr>
              <w:t>0％，年工作时间约</w:t>
            </w:r>
            <w:r>
              <w:rPr>
                <w:rFonts w:hint="eastAsia" w:cs="Times New Roman"/>
                <w:b w:val="0"/>
                <w:bCs w:val="0"/>
                <w:color w:val="auto"/>
                <w:sz w:val="24"/>
                <w:szCs w:val="24"/>
                <w:highlight w:val="none"/>
                <w:u w:val="none" w:color="auto"/>
                <w:lang w:val="en-US" w:eastAsia="zh-CN"/>
              </w:rPr>
              <w:t>7200</w:t>
            </w:r>
            <w:r>
              <w:rPr>
                <w:rFonts w:hint="eastAsia" w:ascii="Times New Roman" w:hAnsi="Times New Roman" w:eastAsia="宋体" w:cs="Times New Roman"/>
                <w:b w:val="0"/>
                <w:bCs w:val="0"/>
                <w:color w:val="auto"/>
                <w:sz w:val="24"/>
                <w:szCs w:val="24"/>
                <w:highlight w:val="none"/>
                <w:u w:val="none" w:color="auto"/>
                <w:lang w:val="en-US" w:eastAsia="zh-CN"/>
              </w:rPr>
              <w:t>h。</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default" w:ascii="Times New Roman" w:hAnsi="Times New Roman" w:eastAsia="宋体" w:cs="Times New Roman"/>
                <w:b w:val="0"/>
                <w:bCs w:val="0"/>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可行性分析：</w:t>
            </w:r>
            <w:r>
              <w:rPr>
                <w:rFonts w:hint="eastAsia" w:cs="Times New Roman"/>
                <w:b w:val="0"/>
                <w:bCs w:val="0"/>
                <w:color w:val="auto"/>
                <w:sz w:val="24"/>
                <w:szCs w:val="24"/>
                <w:highlight w:val="none"/>
                <w:u w:val="none" w:color="auto"/>
                <w:lang w:val="en-US" w:eastAsia="zh-CN"/>
              </w:rPr>
              <w:t>查阅</w:t>
            </w:r>
            <w:r>
              <w:rPr>
                <w:rFonts w:hint="eastAsia" w:ascii="Times New Roman" w:hAnsi="Times New Roman" w:eastAsia="宋体" w:cs="Times New Roman"/>
                <w:b w:val="0"/>
                <w:bCs w:val="0"/>
                <w:color w:val="auto"/>
                <w:sz w:val="24"/>
                <w:szCs w:val="24"/>
                <w:highlight w:val="none"/>
                <w:u w:val="none" w:color="auto"/>
                <w:lang w:val="en-US" w:eastAsia="zh-CN"/>
              </w:rPr>
              <w:t xml:space="preserve">《排污许可证申请与核发技术规范 </w:t>
            </w:r>
            <w:r>
              <w:rPr>
                <w:rFonts w:hint="eastAsia" w:cs="Times New Roman"/>
                <w:b w:val="0"/>
                <w:bCs w:val="0"/>
                <w:color w:val="auto"/>
                <w:sz w:val="24"/>
                <w:szCs w:val="24"/>
                <w:highlight w:val="none"/>
                <w:u w:val="none" w:color="auto"/>
                <w:lang w:val="en-US" w:eastAsia="zh-CN"/>
              </w:rPr>
              <w:t>总则</w:t>
            </w:r>
            <w:r>
              <w:rPr>
                <w:rFonts w:hint="eastAsia" w:ascii="Times New Roman" w:hAnsi="Times New Roman" w:eastAsia="宋体" w:cs="Times New Roman"/>
                <w:b w:val="0"/>
                <w:bCs w:val="0"/>
                <w:color w:val="auto"/>
                <w:sz w:val="24"/>
                <w:szCs w:val="24"/>
                <w:highlight w:val="none"/>
                <w:u w:val="none" w:color="auto"/>
                <w:lang w:val="en-US" w:eastAsia="zh-CN"/>
              </w:rPr>
              <w:t>》</w:t>
            </w:r>
            <w:r>
              <w:rPr>
                <w:rFonts w:hint="eastAsia" w:cs="Times New Roman"/>
                <w:b w:val="0"/>
                <w:bCs w:val="0"/>
                <w:color w:val="auto"/>
                <w:sz w:val="24"/>
                <w:szCs w:val="24"/>
                <w:highlight w:val="none"/>
                <w:u w:val="none" w:color="auto"/>
                <w:lang w:val="en-US" w:eastAsia="zh-CN"/>
              </w:rPr>
              <w:t>（HJ942-2018）及《排污许可证申请与核发技术规范 工业炉窑》（HJ1121-2020）中均未明确固体废物贮存设施除臭的可行技术，本项目氨气产生量较小，排放浓度较低，根据《臭味治理技术发展概况与展望》（广州正本机电设备有限公司）与《活性炭除臭装置的设计》（潘腊木，周文敏，罗永才摘译自《化学装置》，1977年）中活性炭对臭气</w:t>
            </w:r>
            <w:r>
              <w:rPr>
                <w:rFonts w:hint="default" w:ascii="Times New Roman" w:hAnsi="Times New Roman" w:cs="Times New Roman"/>
                <w:b w:val="0"/>
                <w:bCs w:val="0"/>
                <w:color w:val="auto"/>
                <w:sz w:val="24"/>
                <w:szCs w:val="24"/>
                <w:highlight w:val="none"/>
                <w:u w:val="none" w:color="auto"/>
                <w:lang w:val="en-US" w:eastAsia="zh-CN"/>
              </w:rPr>
              <w:t>——</w:t>
            </w:r>
            <w:r>
              <w:rPr>
                <w:rFonts w:hint="eastAsia" w:cs="Times New Roman"/>
                <w:b w:val="0"/>
                <w:bCs w:val="0"/>
                <w:color w:val="auto"/>
                <w:sz w:val="24"/>
                <w:szCs w:val="24"/>
                <w:highlight w:val="none"/>
                <w:u w:val="none" w:color="auto"/>
                <w:lang w:val="en-US" w:eastAsia="zh-CN"/>
              </w:rPr>
              <w:t>氨具有治理能力，本项目采用UV光氧+活性炭吸附一体机处理氨气，属于可行技术。</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241" w:firstLineChars="100"/>
              <w:textAlignment w:val="auto"/>
              <w:rPr>
                <w:rFonts w:hint="eastAsia" w:ascii="Times New Roman" w:hAnsi="Times New Roman" w:eastAsia="宋体" w:cs="Times New Roman"/>
                <w:b/>
                <w:bCs/>
                <w:color w:val="auto"/>
                <w:sz w:val="24"/>
                <w:szCs w:val="24"/>
                <w:highlight w:val="none"/>
                <w:u w:val="none" w:color="auto"/>
                <w:lang w:val="en-US" w:eastAsia="zh-CN"/>
              </w:rPr>
            </w:pP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241" w:firstLineChars="100"/>
              <w:textAlignment w:val="auto"/>
              <w:rPr>
                <w:rFonts w:hint="eastAsia" w:ascii="Times New Roman" w:hAnsi="Times New Roman" w:eastAsia="宋体" w:cs="Times New Roman"/>
                <w:b/>
                <w:bCs/>
                <w:color w:val="auto"/>
                <w:sz w:val="24"/>
                <w:szCs w:val="24"/>
                <w:highlight w:val="none"/>
                <w:u w:val="none" w:color="auto"/>
                <w:lang w:val="en-US" w:eastAsia="zh-CN"/>
              </w:rPr>
            </w:pP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241" w:firstLineChars="100"/>
              <w:textAlignment w:val="auto"/>
              <w:rPr>
                <w:rFonts w:hint="eastAsia" w:ascii="Times New Roman" w:hAnsi="Times New Roman" w:eastAsia="宋体" w:cs="Times New Roman"/>
                <w:b/>
                <w:bCs/>
                <w:color w:val="auto"/>
                <w:sz w:val="24"/>
                <w:szCs w:val="24"/>
                <w:highlight w:val="none"/>
                <w:u w:val="none" w:color="auto"/>
                <w:lang w:val="en-US" w:eastAsia="zh-CN"/>
              </w:rPr>
            </w:pP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241" w:firstLineChars="100"/>
              <w:textAlignment w:val="auto"/>
              <w:rPr>
                <w:rFonts w:hint="eastAsia"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1.2环保设施及排气筒依托可行性分析</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b w:val="0"/>
                <w:bCs w:val="0"/>
                <w:color w:val="auto"/>
                <w:sz w:val="24"/>
                <w:szCs w:val="24"/>
                <w:highlight w:val="none"/>
                <w:u w:val="none" w:color="auto"/>
                <w:vertAlign w:val="baseline"/>
                <w:lang w:val="en-US" w:eastAsia="zh-CN"/>
              </w:rPr>
            </w:pPr>
            <w:r>
              <w:rPr>
                <w:rFonts w:hint="eastAsia" w:ascii="Times New Roman" w:hAnsi="Times New Roman" w:eastAsia="宋体" w:cs="Times New Roman"/>
                <w:b w:val="0"/>
                <w:bCs w:val="0"/>
                <w:color w:val="auto"/>
                <w:sz w:val="24"/>
                <w:szCs w:val="24"/>
                <w:highlight w:val="none"/>
                <w:u w:val="none" w:color="auto"/>
                <w:lang w:val="en-US" w:eastAsia="zh-CN"/>
              </w:rPr>
              <w:t>本项目炒灰上料废气及炒灰废气与年产6万吨铝锌合金生产线扒渣工序共用一套耐高温高效覆膜袋式除尘器处理，经同一根18m高排气筒（DA066）排放，目前该项目并未进行验收，按该项目环评核算颗粒物有组织排放量共计0.8956t，环评设计扒渣工序风机风量为45000m</w:t>
            </w:r>
            <w:r>
              <w:rPr>
                <w:rFonts w:hint="eastAsia" w:ascii="Times New Roman" w:hAnsi="Times New Roman" w:eastAsia="宋体" w:cs="Times New Roman"/>
                <w:b w:val="0"/>
                <w:bCs w:val="0"/>
                <w:color w:val="auto"/>
                <w:sz w:val="24"/>
                <w:szCs w:val="24"/>
                <w:highlight w:val="none"/>
                <w:u w:val="none" w:color="auto"/>
                <w:vertAlign w:val="superscript"/>
                <w:lang w:val="en-US" w:eastAsia="zh-CN"/>
              </w:rPr>
              <w:t>3</w:t>
            </w:r>
            <w:r>
              <w:rPr>
                <w:rFonts w:hint="eastAsia" w:ascii="Times New Roman" w:hAnsi="Times New Roman" w:eastAsia="宋体" w:cs="Times New Roman"/>
                <w:b w:val="0"/>
                <w:bCs w:val="0"/>
                <w:color w:val="auto"/>
                <w:sz w:val="24"/>
                <w:szCs w:val="24"/>
                <w:highlight w:val="none"/>
                <w:u w:val="none" w:color="auto"/>
                <w:lang w:val="en-US" w:eastAsia="zh-CN"/>
              </w:rPr>
              <w:t>/h，实际购置风机风量最大为60000m</w:t>
            </w:r>
            <w:r>
              <w:rPr>
                <w:rFonts w:hint="eastAsia" w:ascii="Times New Roman" w:hAnsi="Times New Roman" w:eastAsia="宋体" w:cs="Times New Roman"/>
                <w:b w:val="0"/>
                <w:bCs w:val="0"/>
                <w:color w:val="auto"/>
                <w:sz w:val="24"/>
                <w:szCs w:val="24"/>
                <w:highlight w:val="none"/>
                <w:u w:val="none" w:color="auto"/>
                <w:vertAlign w:val="superscript"/>
                <w:lang w:val="en-US" w:eastAsia="zh-CN"/>
              </w:rPr>
              <w:t>3</w:t>
            </w:r>
            <w:r>
              <w:rPr>
                <w:rFonts w:hint="eastAsia" w:ascii="Times New Roman" w:hAnsi="Times New Roman" w:eastAsia="宋体" w:cs="Times New Roman"/>
                <w:b w:val="0"/>
                <w:bCs w:val="0"/>
                <w:color w:val="auto"/>
                <w:sz w:val="24"/>
                <w:szCs w:val="24"/>
                <w:highlight w:val="none"/>
                <w:u w:val="none" w:color="auto"/>
                <w:lang w:val="en-US" w:eastAsia="zh-CN"/>
              </w:rPr>
              <w:t>/h，本项目设计风量约为6200m</w:t>
            </w:r>
            <w:r>
              <w:rPr>
                <w:rFonts w:hint="eastAsia" w:ascii="Times New Roman" w:hAnsi="Times New Roman" w:eastAsia="宋体" w:cs="Times New Roman"/>
                <w:b w:val="0"/>
                <w:bCs w:val="0"/>
                <w:color w:val="auto"/>
                <w:sz w:val="24"/>
                <w:szCs w:val="24"/>
                <w:highlight w:val="none"/>
                <w:u w:val="none" w:color="auto"/>
                <w:vertAlign w:val="superscript"/>
                <w:lang w:val="en-US" w:eastAsia="zh-CN"/>
              </w:rPr>
              <w:t>3</w:t>
            </w:r>
            <w:r>
              <w:rPr>
                <w:rFonts w:hint="eastAsia" w:ascii="Times New Roman" w:hAnsi="Times New Roman" w:eastAsia="宋体" w:cs="Times New Roman"/>
                <w:b w:val="0"/>
                <w:bCs w:val="0"/>
                <w:color w:val="auto"/>
                <w:sz w:val="24"/>
                <w:szCs w:val="24"/>
                <w:highlight w:val="none"/>
                <w:u w:val="none" w:color="auto"/>
                <w:lang w:val="en-US" w:eastAsia="zh-CN"/>
              </w:rPr>
              <w:t>/h，实际购置的风机风量能够满足两个项目共同使用。本项目颗粒物有组织排放量约为</w:t>
            </w:r>
            <w:r>
              <w:rPr>
                <w:rFonts w:hint="eastAsia" w:cs="Times New Roman"/>
                <w:b w:val="0"/>
                <w:bCs w:val="0"/>
                <w:color w:val="auto"/>
                <w:sz w:val="24"/>
                <w:szCs w:val="24"/>
                <w:highlight w:val="none"/>
                <w:u w:val="none" w:color="auto"/>
                <w:lang w:val="en-US" w:eastAsia="zh-CN"/>
              </w:rPr>
              <w:t>0.0044</w:t>
            </w:r>
            <w:r>
              <w:rPr>
                <w:rFonts w:hint="eastAsia" w:ascii="Times New Roman" w:hAnsi="Times New Roman" w:eastAsia="宋体" w:cs="Times New Roman"/>
                <w:b w:val="0"/>
                <w:bCs w:val="0"/>
                <w:color w:val="auto"/>
                <w:sz w:val="24"/>
                <w:szCs w:val="24"/>
                <w:highlight w:val="none"/>
                <w:u w:val="none" w:color="auto"/>
                <w:lang w:val="en-US" w:eastAsia="zh-CN"/>
              </w:rPr>
              <w:t>t/a，合计0.9t/a，则合并后颗粒物排放浓度约为</w:t>
            </w:r>
            <w:r>
              <w:rPr>
                <w:rFonts w:hint="eastAsia" w:cs="Times New Roman"/>
                <w:b w:val="0"/>
                <w:bCs w:val="0"/>
                <w:color w:val="auto"/>
                <w:sz w:val="24"/>
                <w:szCs w:val="24"/>
                <w:highlight w:val="none"/>
                <w:u w:val="none" w:color="auto"/>
                <w:lang w:val="en-US" w:eastAsia="zh-CN"/>
              </w:rPr>
              <w:t>3.6621</w:t>
            </w:r>
            <w:r>
              <w:rPr>
                <w:rFonts w:hint="eastAsia" w:ascii="Times New Roman" w:hAnsi="Times New Roman" w:eastAsia="宋体" w:cs="Times New Roman"/>
                <w:b w:val="0"/>
                <w:bCs w:val="0"/>
                <w:color w:val="auto"/>
                <w:sz w:val="24"/>
                <w:szCs w:val="24"/>
                <w:highlight w:val="none"/>
                <w:u w:val="none" w:color="auto"/>
                <w:lang w:val="en-US" w:eastAsia="zh-CN"/>
              </w:rPr>
              <w:t>mg/m</w:t>
            </w:r>
            <w:r>
              <w:rPr>
                <w:rFonts w:hint="eastAsia" w:ascii="Times New Roman" w:hAnsi="Times New Roman" w:eastAsia="宋体" w:cs="Times New Roman"/>
                <w:b w:val="0"/>
                <w:bCs w:val="0"/>
                <w:color w:val="auto"/>
                <w:sz w:val="24"/>
                <w:szCs w:val="24"/>
                <w:highlight w:val="none"/>
                <w:u w:val="none" w:color="auto"/>
                <w:vertAlign w:val="superscript"/>
                <w:lang w:val="en-US" w:eastAsia="zh-CN"/>
              </w:rPr>
              <w:t>3</w:t>
            </w:r>
            <w:r>
              <w:rPr>
                <w:rFonts w:hint="eastAsia" w:ascii="Times New Roman" w:hAnsi="Times New Roman" w:eastAsia="宋体" w:cs="Times New Roman"/>
                <w:b w:val="0"/>
                <w:bCs w:val="0"/>
                <w:color w:val="auto"/>
                <w:sz w:val="24"/>
                <w:szCs w:val="24"/>
                <w:highlight w:val="none"/>
                <w:u w:val="none" w:color="auto"/>
                <w:vertAlign w:val="baseline"/>
                <w:lang w:val="en-US" w:eastAsia="zh-CN"/>
              </w:rPr>
              <w:t>，排放速率约为0.</w:t>
            </w:r>
            <w:r>
              <w:rPr>
                <w:rFonts w:hint="eastAsia" w:cs="Times New Roman"/>
                <w:b w:val="0"/>
                <w:bCs w:val="0"/>
                <w:color w:val="auto"/>
                <w:sz w:val="24"/>
                <w:szCs w:val="24"/>
                <w:highlight w:val="none"/>
                <w:u w:val="none" w:color="auto"/>
                <w:vertAlign w:val="baseline"/>
                <w:lang w:val="en-US" w:eastAsia="zh-CN"/>
              </w:rPr>
              <w:t>1875</w:t>
            </w:r>
            <w:r>
              <w:rPr>
                <w:rFonts w:hint="eastAsia" w:ascii="Times New Roman" w:hAnsi="Times New Roman" w:eastAsia="宋体" w:cs="Times New Roman"/>
                <w:b w:val="0"/>
                <w:bCs w:val="0"/>
                <w:color w:val="auto"/>
                <w:sz w:val="24"/>
                <w:szCs w:val="24"/>
                <w:highlight w:val="none"/>
                <w:u w:val="none" w:color="auto"/>
                <w:vertAlign w:val="baseline"/>
                <w:lang w:val="en-US" w:eastAsia="zh-CN"/>
              </w:rPr>
              <w:t>kg/h，能够满足颗粒物执行</w:t>
            </w:r>
            <w:r>
              <w:rPr>
                <w:rFonts w:hint="eastAsia" w:cs="Times New Roman"/>
                <w:b w:val="0"/>
                <w:bCs w:val="0"/>
                <w:color w:val="auto"/>
                <w:sz w:val="24"/>
                <w:szCs w:val="24"/>
                <w:highlight w:val="none"/>
                <w:u w:val="none" w:color="auto"/>
                <w:vertAlign w:val="baseline"/>
                <w:lang w:val="en-US" w:eastAsia="zh-CN"/>
              </w:rPr>
              <w:t>排放</w:t>
            </w:r>
            <w:r>
              <w:rPr>
                <w:rFonts w:hint="eastAsia" w:ascii="Times New Roman" w:hAnsi="Times New Roman" w:eastAsia="宋体" w:cs="Times New Roman"/>
                <w:b w:val="0"/>
                <w:bCs w:val="0"/>
                <w:color w:val="auto"/>
                <w:sz w:val="24"/>
                <w:szCs w:val="24"/>
                <w:highlight w:val="none"/>
                <w:u w:val="none" w:color="auto"/>
                <w:vertAlign w:val="baseline"/>
                <w:lang w:val="en-US" w:eastAsia="zh-CN"/>
              </w:rPr>
              <w:t>标准10mg/m</w:t>
            </w:r>
            <w:r>
              <w:rPr>
                <w:rFonts w:hint="eastAsia" w:ascii="Times New Roman" w:hAnsi="Times New Roman" w:eastAsia="宋体" w:cs="Times New Roman"/>
                <w:b w:val="0"/>
                <w:bCs w:val="0"/>
                <w:color w:val="auto"/>
                <w:sz w:val="24"/>
                <w:szCs w:val="24"/>
                <w:highlight w:val="none"/>
                <w:u w:val="none" w:color="auto"/>
                <w:vertAlign w:val="superscript"/>
                <w:lang w:val="en-US" w:eastAsia="zh-CN"/>
              </w:rPr>
              <w:t>3</w:t>
            </w:r>
            <w:r>
              <w:rPr>
                <w:rFonts w:hint="eastAsia" w:ascii="Times New Roman" w:hAnsi="Times New Roman" w:eastAsia="宋体" w:cs="Times New Roman"/>
                <w:b w:val="0"/>
                <w:bCs w:val="0"/>
                <w:color w:val="auto"/>
                <w:sz w:val="24"/>
                <w:szCs w:val="24"/>
                <w:highlight w:val="none"/>
                <w:u w:val="none" w:color="auto"/>
                <w:vertAlign w:val="baseline"/>
                <w:lang w:val="en-US" w:eastAsia="zh-CN"/>
              </w:rPr>
              <w:t>标准限值。</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482" w:firstLineChars="200"/>
              <w:jc w:val="center"/>
              <w:textAlignment w:val="auto"/>
              <w:rPr>
                <w:rFonts w:hint="eastAsia" w:cs="Times New Roman"/>
                <w:b/>
                <w:bCs/>
                <w:color w:val="auto"/>
                <w:sz w:val="24"/>
                <w:szCs w:val="24"/>
                <w:highlight w:val="none"/>
                <w:u w:val="none" w:color="auto"/>
                <w:vertAlign w:val="baseline"/>
                <w:lang w:val="en-US" w:eastAsia="zh-CN"/>
              </w:rPr>
            </w:pPr>
            <w:r>
              <w:rPr>
                <w:rFonts w:hint="eastAsia" w:cs="Times New Roman"/>
                <w:b/>
                <w:bCs/>
                <w:color w:val="auto"/>
                <w:sz w:val="24"/>
                <w:szCs w:val="24"/>
                <w:highlight w:val="none"/>
                <w:u w:val="none" w:color="auto"/>
                <w:vertAlign w:val="baseline"/>
                <w:lang w:val="en-US" w:eastAsia="zh-CN"/>
              </w:rPr>
              <w:t>本项目废气污染物汇总表</w:t>
            </w:r>
          </w:p>
          <w:tbl>
            <w:tblPr>
              <w:tblStyle w:val="27"/>
              <w:tblW w:w="8536" w:type="dxa"/>
              <w:jc w:val="center"/>
              <w:tblInd w:w="0" w:type="dxa"/>
              <w:tblBorders>
                <w:top w:val="single" w:color="auto" w:sz="4" w:space="0"/>
                <w:left w:val="none" w:color="auto" w:sz="6" w:space="0"/>
                <w:bottom w:val="single" w:color="auto" w:sz="4" w:space="0"/>
                <w:right w:val="none" w:color="auto" w:sz="6"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28"/>
              <w:gridCol w:w="390"/>
              <w:gridCol w:w="683"/>
              <w:gridCol w:w="703"/>
              <w:gridCol w:w="564"/>
              <w:gridCol w:w="533"/>
              <w:gridCol w:w="939"/>
              <w:gridCol w:w="811"/>
              <w:gridCol w:w="700"/>
              <w:gridCol w:w="863"/>
              <w:gridCol w:w="850"/>
              <w:gridCol w:w="772"/>
            </w:tblGrid>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75" w:hRule="atLeast"/>
                <w:jc w:val="center"/>
              </w:trPr>
              <w:tc>
                <w:tcPr>
                  <w:tcW w:w="728" w:type="dxa"/>
                  <w:vMerge w:val="restar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排气筒编号</w:t>
                  </w:r>
                </w:p>
              </w:tc>
              <w:tc>
                <w:tcPr>
                  <w:tcW w:w="390" w:type="dxa"/>
                  <w:vMerge w:val="restar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污染物</w:t>
                  </w:r>
                </w:p>
              </w:tc>
              <w:tc>
                <w:tcPr>
                  <w:tcW w:w="683" w:type="dxa"/>
                  <w:vMerge w:val="restar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lang w:val="en-US" w:eastAsia="zh-CN" w:bidi="ar"/>
                    </w:rPr>
                    <w:t>产生环节</w:t>
                  </w:r>
                </w:p>
              </w:tc>
              <w:tc>
                <w:tcPr>
                  <w:tcW w:w="703" w:type="dxa"/>
                  <w:vMerge w:val="restar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产生量</w:t>
                  </w:r>
                  <w:r>
                    <w:rPr>
                      <w:rFonts w:hint="default" w:ascii="Times New Roman" w:hAnsi="Times New Roman" w:eastAsia="宋体" w:cs="Times New Roman"/>
                      <w:b/>
                      <w:bCs/>
                      <w:color w:val="auto"/>
                      <w:kern w:val="0"/>
                      <w:sz w:val="21"/>
                      <w:szCs w:val="21"/>
                      <w:lang w:val="en-US" w:eastAsia="zh-CN" w:bidi="ar"/>
                    </w:rPr>
                    <w:t>t/a</w:t>
                  </w:r>
                </w:p>
              </w:tc>
              <w:tc>
                <w:tcPr>
                  <w:tcW w:w="564" w:type="dxa"/>
                  <w:vMerge w:val="restar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风量</w:t>
                  </w:r>
                  <w:r>
                    <w:rPr>
                      <w:rFonts w:hint="default" w:ascii="Times New Roman" w:hAnsi="Times New Roman" w:eastAsia="宋体" w:cs="Times New Roman"/>
                      <w:b/>
                      <w:bCs/>
                      <w:color w:val="auto"/>
                      <w:kern w:val="0"/>
                      <w:sz w:val="21"/>
                      <w:szCs w:val="21"/>
                      <w:lang w:val="en-US" w:eastAsia="zh-CN" w:bidi="ar"/>
                    </w:rPr>
                    <w:t>m</w:t>
                  </w:r>
                  <w:r>
                    <w:rPr>
                      <w:rFonts w:hint="default" w:ascii="Times New Roman" w:hAnsi="Times New Roman" w:eastAsia="宋体" w:cs="Times New Roman"/>
                      <w:b/>
                      <w:bCs/>
                      <w:color w:val="auto"/>
                      <w:kern w:val="0"/>
                      <w:sz w:val="21"/>
                      <w:szCs w:val="21"/>
                      <w:vertAlign w:val="superscript"/>
                      <w:lang w:val="en-US" w:eastAsia="zh-CN" w:bidi="ar"/>
                    </w:rPr>
                    <w:t>3</w:t>
                  </w:r>
                  <w:r>
                    <w:rPr>
                      <w:rFonts w:hint="default" w:ascii="Times New Roman" w:hAnsi="Times New Roman" w:eastAsia="宋体" w:cs="Times New Roman"/>
                      <w:b/>
                      <w:bCs/>
                      <w:color w:val="auto"/>
                      <w:kern w:val="0"/>
                      <w:sz w:val="21"/>
                      <w:szCs w:val="21"/>
                      <w:lang w:val="en-US" w:eastAsia="zh-CN" w:bidi="ar"/>
                    </w:rPr>
                    <w:t>/h</w:t>
                  </w:r>
                </w:p>
              </w:tc>
              <w:tc>
                <w:tcPr>
                  <w:tcW w:w="533" w:type="dxa"/>
                  <w:vMerge w:val="restar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b/>
                      <w:bCs/>
                      <w:color w:val="auto"/>
                      <w:kern w:val="0"/>
                      <w:sz w:val="21"/>
                      <w:szCs w:val="21"/>
                    </w:rPr>
                  </w:pPr>
                  <w:r>
                    <w:rPr>
                      <w:rFonts w:hint="eastAsia" w:ascii="宋体" w:hAnsi="宋体" w:eastAsia="宋体" w:cs="宋体"/>
                      <w:b/>
                      <w:bCs/>
                      <w:color w:val="auto"/>
                      <w:kern w:val="2"/>
                      <w:sz w:val="21"/>
                      <w:szCs w:val="21"/>
                      <w:lang w:val="en-US" w:eastAsia="zh-CN" w:bidi="ar"/>
                    </w:rPr>
                    <w:t>收集效率</w:t>
                  </w:r>
                </w:p>
              </w:tc>
              <w:tc>
                <w:tcPr>
                  <w:tcW w:w="1750"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有组织收集量</w:t>
                  </w:r>
                </w:p>
              </w:tc>
              <w:tc>
                <w:tcPr>
                  <w:tcW w:w="700" w:type="dxa"/>
                  <w:vMerge w:val="restar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净化效率</w:t>
                  </w:r>
                  <w:r>
                    <w:rPr>
                      <w:rFonts w:hint="default" w:ascii="Times New Roman" w:hAnsi="Times New Roman" w:eastAsia="宋体" w:cs="Times New Roman"/>
                      <w:b/>
                      <w:bCs/>
                      <w:color w:val="auto"/>
                      <w:kern w:val="0"/>
                      <w:sz w:val="21"/>
                      <w:szCs w:val="21"/>
                      <w:lang w:val="en-US" w:eastAsia="zh-CN" w:bidi="ar"/>
                    </w:rPr>
                    <w:t>%</w:t>
                  </w:r>
                </w:p>
              </w:tc>
              <w:tc>
                <w:tcPr>
                  <w:tcW w:w="2485" w:type="dxa"/>
                  <w:gridSpan w:val="3"/>
                  <w:tcBorders>
                    <w:top w:val="single" w:color="auto" w:sz="4" w:space="0"/>
                    <w:left w:val="nil"/>
                    <w:bottom w:val="nil"/>
                    <w:right w:val="nil"/>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有组织排放情况</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667" w:hRule="atLeast"/>
                <w:jc w:val="center"/>
              </w:trPr>
              <w:tc>
                <w:tcPr>
                  <w:tcW w:w="728" w:type="dxa"/>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390" w:type="dxa"/>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683" w:type="dxa"/>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703" w:type="dxa"/>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564" w:type="dxa"/>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533" w:type="dxa"/>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93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产生量</w:t>
                  </w:r>
                  <w:r>
                    <w:rPr>
                      <w:rFonts w:hint="default" w:ascii="Times New Roman" w:hAnsi="Times New Roman" w:eastAsia="宋体" w:cs="Times New Roman"/>
                      <w:b/>
                      <w:bCs/>
                      <w:color w:val="auto"/>
                      <w:kern w:val="0"/>
                      <w:sz w:val="21"/>
                      <w:szCs w:val="21"/>
                      <w:lang w:val="en-US" w:eastAsia="zh-CN" w:bidi="ar"/>
                    </w:rPr>
                    <w:t>t/a</w:t>
                  </w:r>
                </w:p>
              </w:tc>
              <w:tc>
                <w:tcPr>
                  <w:tcW w:w="811"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浓度</w:t>
                  </w:r>
                  <w:r>
                    <w:rPr>
                      <w:rFonts w:hint="default" w:ascii="Times New Roman" w:hAnsi="Times New Roman" w:eastAsia="宋体" w:cs="Times New Roman"/>
                      <w:b/>
                      <w:bCs/>
                      <w:color w:val="auto"/>
                      <w:kern w:val="0"/>
                      <w:sz w:val="21"/>
                      <w:szCs w:val="21"/>
                      <w:lang w:val="en-US" w:eastAsia="zh-CN" w:bidi="ar"/>
                    </w:rPr>
                    <w:t>mg/m</w:t>
                  </w:r>
                  <w:r>
                    <w:rPr>
                      <w:rFonts w:hint="default" w:ascii="Times New Roman" w:hAnsi="Times New Roman" w:eastAsia="宋体" w:cs="Times New Roman"/>
                      <w:b/>
                      <w:bCs/>
                      <w:color w:val="auto"/>
                      <w:kern w:val="0"/>
                      <w:sz w:val="21"/>
                      <w:szCs w:val="21"/>
                      <w:vertAlign w:val="superscript"/>
                      <w:lang w:val="en-US" w:eastAsia="zh-CN" w:bidi="ar"/>
                    </w:rPr>
                    <w:t>3</w:t>
                  </w:r>
                </w:p>
              </w:tc>
              <w:tc>
                <w:tcPr>
                  <w:tcW w:w="700" w:type="dxa"/>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86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 w:val="21"/>
                      <w:szCs w:val="21"/>
                      <w:highlight w:val="yellow"/>
                    </w:rPr>
                  </w:pPr>
                  <w:r>
                    <w:rPr>
                      <w:rFonts w:hint="eastAsia" w:ascii="宋体" w:hAnsi="宋体" w:eastAsia="宋体" w:cs="宋体"/>
                      <w:b/>
                      <w:bCs/>
                      <w:color w:val="auto"/>
                      <w:kern w:val="0"/>
                      <w:sz w:val="21"/>
                      <w:szCs w:val="21"/>
                      <w:lang w:val="en-US" w:eastAsia="zh-CN" w:bidi="ar"/>
                    </w:rPr>
                    <w:t>排放量</w:t>
                  </w:r>
                  <w:r>
                    <w:rPr>
                      <w:rFonts w:hint="default" w:ascii="Times New Roman" w:hAnsi="Times New Roman" w:eastAsia="宋体" w:cs="Times New Roman"/>
                      <w:b/>
                      <w:bCs/>
                      <w:color w:val="auto"/>
                      <w:kern w:val="0"/>
                      <w:sz w:val="21"/>
                      <w:szCs w:val="21"/>
                      <w:lang w:val="en-US" w:eastAsia="zh-CN" w:bidi="ar"/>
                    </w:rPr>
                    <w:t>t/a</w:t>
                  </w:r>
                </w:p>
              </w:tc>
              <w:tc>
                <w:tcPr>
                  <w:tcW w:w="85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浓度</w:t>
                  </w:r>
                  <w:r>
                    <w:rPr>
                      <w:rFonts w:hint="default" w:ascii="Times New Roman" w:hAnsi="Times New Roman" w:eastAsia="宋体" w:cs="Times New Roman"/>
                      <w:b/>
                      <w:bCs/>
                      <w:color w:val="auto"/>
                      <w:kern w:val="0"/>
                      <w:sz w:val="21"/>
                      <w:szCs w:val="21"/>
                      <w:lang w:val="en-US" w:eastAsia="zh-CN" w:bidi="ar"/>
                    </w:rPr>
                    <w:t>mg/m</w:t>
                  </w:r>
                  <w:r>
                    <w:rPr>
                      <w:rFonts w:hint="default" w:ascii="Times New Roman" w:hAnsi="Times New Roman" w:eastAsia="宋体" w:cs="Times New Roman"/>
                      <w:b/>
                      <w:bCs/>
                      <w:color w:val="auto"/>
                      <w:kern w:val="0"/>
                      <w:sz w:val="21"/>
                      <w:szCs w:val="21"/>
                      <w:vertAlign w:val="superscript"/>
                      <w:lang w:val="en-US" w:eastAsia="zh-CN" w:bidi="ar"/>
                    </w:rPr>
                    <w:t>3</w:t>
                  </w:r>
                </w:p>
              </w:tc>
              <w:tc>
                <w:tcPr>
                  <w:tcW w:w="772" w:type="dxa"/>
                  <w:tcBorders>
                    <w:top w:val="single" w:color="auto" w:sz="4" w:space="0"/>
                    <w:left w:val="nil"/>
                    <w:bottom w:val="single" w:color="auto" w:sz="4" w:space="0"/>
                    <w:right w:val="nil"/>
                  </w:tcBorders>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速率</w:t>
                  </w:r>
                  <w:r>
                    <w:rPr>
                      <w:rFonts w:hint="default" w:ascii="Times New Roman" w:hAnsi="Times New Roman" w:eastAsia="宋体" w:cs="Times New Roman"/>
                      <w:b/>
                      <w:bCs/>
                      <w:color w:val="auto"/>
                      <w:kern w:val="0"/>
                      <w:sz w:val="21"/>
                      <w:szCs w:val="21"/>
                      <w:lang w:val="en-US" w:eastAsia="zh-CN" w:bidi="ar"/>
                    </w:rPr>
                    <w:t>kg/h</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817" w:hRule="atLeast"/>
                <w:jc w:val="center"/>
              </w:trPr>
              <w:tc>
                <w:tcPr>
                  <w:tcW w:w="728"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DA066</w:t>
                  </w:r>
                </w:p>
              </w:tc>
              <w:tc>
                <w:tcPr>
                  <w:tcW w:w="390"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auto"/>
                      <w:kern w:val="0"/>
                      <w:sz w:val="21"/>
                      <w:szCs w:val="21"/>
                    </w:rPr>
                  </w:pPr>
                  <w:r>
                    <w:rPr>
                      <w:rFonts w:hint="eastAsia" w:ascii="宋体" w:hAnsi="宋体" w:eastAsia="宋体" w:cs="宋体"/>
                      <w:i w:val="0"/>
                      <w:iCs w:val="0"/>
                      <w:color w:val="auto"/>
                      <w:kern w:val="0"/>
                      <w:sz w:val="21"/>
                      <w:szCs w:val="21"/>
                      <w:lang w:val="en-US" w:eastAsia="zh-CN" w:bidi="ar"/>
                    </w:rPr>
                    <w:t>颗粒物</w:t>
                  </w:r>
                </w:p>
              </w:tc>
              <w:tc>
                <w:tcPr>
                  <w:tcW w:w="6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eastAsia" w:ascii="宋体" w:hAnsi="宋体" w:eastAsia="宋体" w:cs="宋体"/>
                      <w:i w:val="0"/>
                      <w:iCs w:val="0"/>
                      <w:color w:val="auto"/>
                      <w:kern w:val="0"/>
                      <w:sz w:val="21"/>
                      <w:szCs w:val="21"/>
                      <w:lang w:val="en-US" w:eastAsia="zh-CN" w:bidi="ar"/>
                    </w:rPr>
                    <w:t>炒灰机上料废气</w:t>
                  </w:r>
                </w:p>
              </w:tc>
              <w:tc>
                <w:tcPr>
                  <w:tcW w:w="70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0.077</w:t>
                  </w:r>
                </w:p>
              </w:tc>
              <w:tc>
                <w:tcPr>
                  <w:tcW w:w="564"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6000</w:t>
                  </w:r>
                </w:p>
              </w:tc>
              <w:tc>
                <w:tcPr>
                  <w:tcW w:w="53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90</w:t>
                  </w:r>
                </w:p>
              </w:tc>
              <w:tc>
                <w:tcPr>
                  <w:tcW w:w="93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0.0693</w:t>
                  </w:r>
                </w:p>
              </w:tc>
              <w:tc>
                <w:tcPr>
                  <w:tcW w:w="811"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57.75</w:t>
                  </w:r>
                </w:p>
              </w:tc>
              <w:tc>
                <w:tcPr>
                  <w:tcW w:w="700"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97</w:t>
                  </w:r>
                </w:p>
              </w:tc>
              <w:tc>
                <w:tcPr>
                  <w:tcW w:w="86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w:t>
                  </w:r>
                </w:p>
              </w:tc>
              <w:tc>
                <w:tcPr>
                  <w:tcW w:w="85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w:t>
                  </w:r>
                </w:p>
              </w:tc>
              <w:tc>
                <w:tcPr>
                  <w:tcW w:w="772" w:type="dxa"/>
                  <w:tcBorders>
                    <w:top w:val="single" w:color="auto" w:sz="4" w:space="0"/>
                    <w:left w:val="nil"/>
                    <w:bottom w:val="single" w:color="auto"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817" w:hRule="atLeast"/>
                <w:jc w:val="center"/>
              </w:trPr>
              <w:tc>
                <w:tcPr>
                  <w:tcW w:w="728"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390"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6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eastAsia" w:ascii="宋体" w:hAnsi="宋体" w:eastAsia="宋体" w:cs="宋体"/>
                      <w:i w:val="0"/>
                      <w:iCs w:val="0"/>
                      <w:color w:val="auto"/>
                      <w:kern w:val="0"/>
                      <w:sz w:val="21"/>
                      <w:szCs w:val="21"/>
                      <w:lang w:val="en-US" w:eastAsia="zh-CN" w:bidi="ar"/>
                    </w:rPr>
                    <w:t>炒灰废气</w:t>
                  </w:r>
                </w:p>
              </w:tc>
              <w:tc>
                <w:tcPr>
                  <w:tcW w:w="70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0.077</w:t>
                  </w:r>
                </w:p>
              </w:tc>
              <w:tc>
                <w:tcPr>
                  <w:tcW w:w="564"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200</w:t>
                  </w:r>
                </w:p>
              </w:tc>
              <w:tc>
                <w:tcPr>
                  <w:tcW w:w="53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100</w:t>
                  </w:r>
                </w:p>
              </w:tc>
              <w:tc>
                <w:tcPr>
                  <w:tcW w:w="93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0.077</w:t>
                  </w:r>
                </w:p>
              </w:tc>
              <w:tc>
                <w:tcPr>
                  <w:tcW w:w="811" w:type="dxa"/>
                  <w:tcBorders>
                    <w:top w:val="single" w:color="auto" w:sz="4" w:space="0"/>
                    <w:left w:val="nil"/>
                    <w:bottom w:val="nil"/>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192.5</w:t>
                  </w:r>
                </w:p>
              </w:tc>
              <w:tc>
                <w:tcPr>
                  <w:tcW w:w="700"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86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color w:val="auto"/>
                      <w:kern w:val="2"/>
                      <w:sz w:val="21"/>
                      <w:szCs w:val="21"/>
                      <w:lang w:val="en-US" w:eastAsia="zh-CN" w:bidi="ar"/>
                    </w:rPr>
                    <w:t>/</w:t>
                  </w:r>
                </w:p>
              </w:tc>
              <w:tc>
                <w:tcPr>
                  <w:tcW w:w="85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color w:val="auto"/>
                      <w:kern w:val="2"/>
                      <w:sz w:val="21"/>
                      <w:szCs w:val="21"/>
                      <w:lang w:val="en-US" w:eastAsia="zh-CN" w:bidi="ar"/>
                    </w:rPr>
                    <w:t>/</w:t>
                  </w:r>
                </w:p>
              </w:tc>
              <w:tc>
                <w:tcPr>
                  <w:tcW w:w="772" w:type="dxa"/>
                  <w:tcBorders>
                    <w:top w:val="single" w:color="auto" w:sz="4" w:space="0"/>
                    <w:left w:val="nil"/>
                    <w:bottom w:val="single" w:color="auto" w:sz="4" w:space="0"/>
                    <w:right w:val="nil"/>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color w:val="auto"/>
                      <w:kern w:val="2"/>
                      <w:sz w:val="21"/>
                      <w:szCs w:val="21"/>
                      <w:lang w:val="en-US" w:eastAsia="zh-CN" w:bidi="ar"/>
                    </w:rPr>
                    <w:t>/</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28"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107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eastAsia" w:ascii="宋体" w:hAnsi="宋体" w:eastAsia="宋体" w:cs="宋体"/>
                      <w:i w:val="0"/>
                      <w:iCs w:val="0"/>
                      <w:color w:val="auto"/>
                      <w:kern w:val="0"/>
                      <w:sz w:val="21"/>
                      <w:szCs w:val="21"/>
                      <w:lang w:val="en-US" w:eastAsia="zh-CN" w:bidi="ar"/>
                    </w:rPr>
                    <w:t>合并排放</w:t>
                  </w:r>
                </w:p>
              </w:tc>
              <w:tc>
                <w:tcPr>
                  <w:tcW w:w="70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0.154</w:t>
                  </w:r>
                </w:p>
              </w:tc>
              <w:tc>
                <w:tcPr>
                  <w:tcW w:w="564"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0"/>
                      <w:szCs w:val="20"/>
                    </w:rPr>
                  </w:pPr>
                  <w:r>
                    <w:rPr>
                      <w:rFonts w:hint="default" w:ascii="Times New Roman" w:hAnsi="Times New Roman" w:eastAsia="宋体" w:cs="Times New Roman"/>
                      <w:color w:val="auto"/>
                      <w:kern w:val="2"/>
                      <w:sz w:val="20"/>
                      <w:szCs w:val="20"/>
                      <w:lang w:val="en-US" w:eastAsia="zh-CN" w:bidi="ar"/>
                    </w:rPr>
                    <w:t>6200</w:t>
                  </w:r>
                </w:p>
              </w:tc>
              <w:tc>
                <w:tcPr>
                  <w:tcW w:w="53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color w:val="auto"/>
                      <w:kern w:val="2"/>
                      <w:sz w:val="20"/>
                      <w:szCs w:val="20"/>
                    </w:rPr>
                  </w:pPr>
                  <w:r>
                    <w:rPr>
                      <w:rFonts w:hint="default" w:ascii="Times New Roman" w:hAnsi="Times New Roman" w:eastAsia="宋体" w:cs="Times New Roman"/>
                      <w:color w:val="auto"/>
                      <w:kern w:val="2"/>
                      <w:sz w:val="20"/>
                      <w:szCs w:val="20"/>
                      <w:lang w:val="en-US" w:eastAsia="zh-CN" w:bidi="ar"/>
                    </w:rPr>
                    <w:t>/</w:t>
                  </w:r>
                </w:p>
              </w:tc>
              <w:tc>
                <w:tcPr>
                  <w:tcW w:w="93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0.1463</w:t>
                  </w:r>
                </w:p>
              </w:tc>
              <w:tc>
                <w:tcPr>
                  <w:tcW w:w="811"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117.9839</w:t>
                  </w:r>
                </w:p>
              </w:tc>
              <w:tc>
                <w:tcPr>
                  <w:tcW w:w="700"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86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0.0044</w:t>
                  </w:r>
                </w:p>
              </w:tc>
              <w:tc>
                <w:tcPr>
                  <w:tcW w:w="85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3.5484</w:t>
                  </w:r>
                </w:p>
              </w:tc>
              <w:tc>
                <w:tcPr>
                  <w:tcW w:w="772" w:type="dxa"/>
                  <w:tcBorders>
                    <w:top w:val="single" w:color="auto" w:sz="4" w:space="0"/>
                    <w:left w:val="nil"/>
                    <w:bottom w:val="single" w:color="auto"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0.022</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817" w:hRule="atLeast"/>
                <w:jc w:val="center"/>
              </w:trPr>
              <w:tc>
                <w:tcPr>
                  <w:tcW w:w="728"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390"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21"/>
                      <w:szCs w:val="21"/>
                    </w:rPr>
                  </w:pPr>
                  <w:r>
                    <w:rPr>
                      <w:rFonts w:hint="eastAsia" w:ascii="宋体" w:hAnsi="宋体" w:eastAsia="宋体" w:cs="宋体"/>
                      <w:i w:val="0"/>
                      <w:iCs w:val="0"/>
                      <w:color w:val="auto"/>
                      <w:kern w:val="0"/>
                      <w:sz w:val="21"/>
                      <w:szCs w:val="21"/>
                      <w:lang w:val="en-US" w:eastAsia="zh-CN" w:bidi="ar"/>
                    </w:rPr>
                    <w:t>氟化物</w:t>
                  </w:r>
                </w:p>
              </w:tc>
              <w:tc>
                <w:tcPr>
                  <w:tcW w:w="6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eastAsia" w:ascii="宋体" w:hAnsi="宋体" w:eastAsia="宋体" w:cs="宋体"/>
                      <w:i w:val="0"/>
                      <w:iCs w:val="0"/>
                      <w:color w:val="auto"/>
                      <w:kern w:val="0"/>
                      <w:sz w:val="21"/>
                      <w:szCs w:val="21"/>
                      <w:lang w:val="en-US" w:eastAsia="zh-CN" w:bidi="ar"/>
                    </w:rPr>
                    <w:t>炒灰机上料废气</w:t>
                  </w:r>
                </w:p>
              </w:tc>
              <w:tc>
                <w:tcPr>
                  <w:tcW w:w="70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0.0225kg/a</w:t>
                  </w:r>
                </w:p>
              </w:tc>
              <w:tc>
                <w:tcPr>
                  <w:tcW w:w="564"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0"/>
                      <w:szCs w:val="20"/>
                    </w:rPr>
                  </w:pPr>
                  <w:r>
                    <w:rPr>
                      <w:rFonts w:hint="default" w:ascii="Times New Roman" w:hAnsi="Times New Roman" w:eastAsia="宋体" w:cs="Times New Roman"/>
                      <w:color w:val="auto"/>
                      <w:kern w:val="2"/>
                      <w:sz w:val="20"/>
                      <w:szCs w:val="20"/>
                      <w:lang w:val="en-US" w:eastAsia="zh-CN" w:bidi="ar"/>
                    </w:rPr>
                    <w:t>6000</w:t>
                  </w:r>
                </w:p>
              </w:tc>
              <w:tc>
                <w:tcPr>
                  <w:tcW w:w="53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0"/>
                      <w:szCs w:val="20"/>
                    </w:rPr>
                  </w:pPr>
                  <w:r>
                    <w:rPr>
                      <w:rFonts w:hint="default" w:ascii="Times New Roman" w:hAnsi="Times New Roman" w:eastAsia="宋体" w:cs="Times New Roman"/>
                      <w:color w:val="auto"/>
                      <w:kern w:val="2"/>
                      <w:sz w:val="20"/>
                      <w:szCs w:val="20"/>
                      <w:lang w:val="en-US" w:eastAsia="zh-CN" w:bidi="ar"/>
                    </w:rPr>
                    <w:t>90</w:t>
                  </w:r>
                </w:p>
              </w:tc>
              <w:tc>
                <w:tcPr>
                  <w:tcW w:w="93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0.0203</w:t>
                  </w:r>
                </w:p>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kg/a</w:t>
                  </w:r>
                </w:p>
              </w:tc>
              <w:tc>
                <w:tcPr>
                  <w:tcW w:w="811"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0.0169</w:t>
                  </w:r>
                </w:p>
              </w:tc>
              <w:tc>
                <w:tcPr>
                  <w:tcW w:w="700"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w:t>
                  </w:r>
                </w:p>
              </w:tc>
              <w:tc>
                <w:tcPr>
                  <w:tcW w:w="86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color w:val="auto"/>
                      <w:kern w:val="2"/>
                      <w:sz w:val="21"/>
                      <w:szCs w:val="21"/>
                      <w:lang w:val="en-US" w:eastAsia="zh-CN" w:bidi="ar"/>
                    </w:rPr>
                    <w:t>/</w:t>
                  </w:r>
                </w:p>
              </w:tc>
              <w:tc>
                <w:tcPr>
                  <w:tcW w:w="85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color w:val="auto"/>
                      <w:kern w:val="2"/>
                      <w:sz w:val="21"/>
                      <w:szCs w:val="21"/>
                      <w:lang w:val="en-US" w:eastAsia="zh-CN" w:bidi="ar"/>
                    </w:rPr>
                    <w:t>/</w:t>
                  </w:r>
                </w:p>
              </w:tc>
              <w:tc>
                <w:tcPr>
                  <w:tcW w:w="772" w:type="dxa"/>
                  <w:tcBorders>
                    <w:top w:val="single" w:color="auto" w:sz="4" w:space="0"/>
                    <w:left w:val="nil"/>
                    <w:bottom w:val="single" w:color="auto"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color w:val="auto"/>
                      <w:kern w:val="2"/>
                      <w:sz w:val="21"/>
                      <w:szCs w:val="21"/>
                      <w:lang w:val="en-US" w:eastAsia="zh-CN" w:bidi="ar"/>
                    </w:rPr>
                    <w:t>/</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817" w:hRule="atLeast"/>
                <w:jc w:val="center"/>
              </w:trPr>
              <w:tc>
                <w:tcPr>
                  <w:tcW w:w="728"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390"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6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auto"/>
                      <w:kern w:val="0"/>
                      <w:sz w:val="21"/>
                      <w:szCs w:val="21"/>
                    </w:rPr>
                  </w:pPr>
                  <w:r>
                    <w:rPr>
                      <w:rFonts w:hint="eastAsia" w:ascii="宋体" w:hAnsi="宋体" w:eastAsia="宋体" w:cs="宋体"/>
                      <w:i w:val="0"/>
                      <w:iCs w:val="0"/>
                      <w:color w:val="auto"/>
                      <w:kern w:val="0"/>
                      <w:sz w:val="21"/>
                      <w:szCs w:val="21"/>
                      <w:lang w:val="en-US" w:eastAsia="zh-CN" w:bidi="ar"/>
                    </w:rPr>
                    <w:t>炒灰废气</w:t>
                  </w:r>
                </w:p>
              </w:tc>
              <w:tc>
                <w:tcPr>
                  <w:tcW w:w="70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0.0225kg/a</w:t>
                  </w:r>
                </w:p>
              </w:tc>
              <w:tc>
                <w:tcPr>
                  <w:tcW w:w="564"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0"/>
                      <w:szCs w:val="20"/>
                    </w:rPr>
                  </w:pPr>
                  <w:r>
                    <w:rPr>
                      <w:rFonts w:hint="default" w:ascii="Times New Roman" w:hAnsi="Times New Roman" w:eastAsia="宋体" w:cs="Times New Roman"/>
                      <w:color w:val="auto"/>
                      <w:kern w:val="2"/>
                      <w:sz w:val="20"/>
                      <w:szCs w:val="20"/>
                      <w:lang w:val="en-US" w:eastAsia="zh-CN" w:bidi="ar"/>
                    </w:rPr>
                    <w:t>200</w:t>
                  </w:r>
                </w:p>
              </w:tc>
              <w:tc>
                <w:tcPr>
                  <w:tcW w:w="53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0"/>
                      <w:szCs w:val="20"/>
                    </w:rPr>
                  </w:pPr>
                  <w:r>
                    <w:rPr>
                      <w:rFonts w:hint="default" w:ascii="Times New Roman" w:hAnsi="Times New Roman" w:eastAsia="宋体" w:cs="Times New Roman"/>
                      <w:color w:val="auto"/>
                      <w:kern w:val="2"/>
                      <w:sz w:val="20"/>
                      <w:szCs w:val="20"/>
                      <w:lang w:val="en-US" w:eastAsia="zh-CN" w:bidi="ar"/>
                    </w:rPr>
                    <w:t>100</w:t>
                  </w:r>
                </w:p>
              </w:tc>
              <w:tc>
                <w:tcPr>
                  <w:tcW w:w="93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0.0225</w:t>
                  </w:r>
                </w:p>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kg/a</w:t>
                  </w:r>
                </w:p>
              </w:tc>
              <w:tc>
                <w:tcPr>
                  <w:tcW w:w="811" w:type="dxa"/>
                  <w:tcBorders>
                    <w:top w:val="single" w:color="auto" w:sz="4" w:space="0"/>
                    <w:left w:val="nil"/>
                    <w:bottom w:val="nil"/>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0.0563</w:t>
                  </w:r>
                </w:p>
              </w:tc>
              <w:tc>
                <w:tcPr>
                  <w:tcW w:w="700"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86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color w:val="auto"/>
                      <w:kern w:val="2"/>
                      <w:sz w:val="21"/>
                      <w:szCs w:val="21"/>
                      <w:lang w:val="en-US" w:eastAsia="zh-CN" w:bidi="ar"/>
                    </w:rPr>
                    <w:t>/</w:t>
                  </w:r>
                </w:p>
              </w:tc>
              <w:tc>
                <w:tcPr>
                  <w:tcW w:w="85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color w:val="auto"/>
                      <w:kern w:val="2"/>
                      <w:sz w:val="21"/>
                      <w:szCs w:val="21"/>
                      <w:lang w:val="en-US" w:eastAsia="zh-CN" w:bidi="ar"/>
                    </w:rPr>
                    <w:t>/</w:t>
                  </w:r>
                </w:p>
              </w:tc>
              <w:tc>
                <w:tcPr>
                  <w:tcW w:w="772" w:type="dxa"/>
                  <w:tcBorders>
                    <w:top w:val="single" w:color="auto" w:sz="4" w:space="0"/>
                    <w:left w:val="nil"/>
                    <w:bottom w:val="single" w:color="auto"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color w:val="auto"/>
                      <w:kern w:val="2"/>
                      <w:sz w:val="21"/>
                      <w:szCs w:val="21"/>
                      <w:lang w:val="en-US" w:eastAsia="zh-CN" w:bidi="ar"/>
                    </w:rPr>
                    <w:t>/</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566" w:hRule="atLeast"/>
                <w:jc w:val="center"/>
              </w:trPr>
              <w:tc>
                <w:tcPr>
                  <w:tcW w:w="728"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107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auto"/>
                      <w:kern w:val="0"/>
                      <w:sz w:val="21"/>
                      <w:szCs w:val="21"/>
                    </w:rPr>
                  </w:pPr>
                  <w:r>
                    <w:rPr>
                      <w:rFonts w:hint="eastAsia" w:ascii="宋体" w:hAnsi="宋体" w:eastAsia="宋体" w:cs="宋体"/>
                      <w:i w:val="0"/>
                      <w:iCs w:val="0"/>
                      <w:color w:val="auto"/>
                      <w:kern w:val="0"/>
                      <w:sz w:val="21"/>
                      <w:szCs w:val="21"/>
                      <w:lang w:val="en-US" w:eastAsia="zh-CN" w:bidi="ar"/>
                    </w:rPr>
                    <w:t>合并排放</w:t>
                  </w:r>
                </w:p>
              </w:tc>
              <w:tc>
                <w:tcPr>
                  <w:tcW w:w="70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0.045kg/a</w:t>
                  </w:r>
                </w:p>
              </w:tc>
              <w:tc>
                <w:tcPr>
                  <w:tcW w:w="564"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0"/>
                      <w:szCs w:val="20"/>
                    </w:rPr>
                  </w:pPr>
                  <w:r>
                    <w:rPr>
                      <w:rFonts w:hint="default" w:ascii="Times New Roman" w:hAnsi="Times New Roman" w:eastAsia="宋体" w:cs="Times New Roman"/>
                      <w:color w:val="auto"/>
                      <w:kern w:val="2"/>
                      <w:sz w:val="20"/>
                      <w:szCs w:val="20"/>
                      <w:lang w:val="en-US" w:eastAsia="zh-CN" w:bidi="ar"/>
                    </w:rPr>
                    <w:t>6200</w:t>
                  </w:r>
                </w:p>
              </w:tc>
              <w:tc>
                <w:tcPr>
                  <w:tcW w:w="53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color w:val="auto"/>
                      <w:kern w:val="2"/>
                      <w:sz w:val="20"/>
                      <w:szCs w:val="20"/>
                    </w:rPr>
                  </w:pPr>
                  <w:r>
                    <w:rPr>
                      <w:rFonts w:hint="default" w:ascii="Times New Roman" w:hAnsi="Times New Roman" w:eastAsia="宋体" w:cs="Times New Roman"/>
                      <w:color w:val="auto"/>
                      <w:kern w:val="2"/>
                      <w:sz w:val="20"/>
                      <w:szCs w:val="20"/>
                      <w:lang w:val="en-US" w:eastAsia="zh-CN" w:bidi="ar"/>
                    </w:rPr>
                    <w:t>/</w:t>
                  </w:r>
                </w:p>
              </w:tc>
              <w:tc>
                <w:tcPr>
                  <w:tcW w:w="93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0.0428</w:t>
                  </w:r>
                </w:p>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kg/a</w:t>
                  </w:r>
                </w:p>
              </w:tc>
              <w:tc>
                <w:tcPr>
                  <w:tcW w:w="811"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0.0345</w:t>
                  </w:r>
                </w:p>
              </w:tc>
              <w:tc>
                <w:tcPr>
                  <w:tcW w:w="700"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86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0.0428kg/a</w:t>
                  </w:r>
                </w:p>
              </w:tc>
              <w:tc>
                <w:tcPr>
                  <w:tcW w:w="85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0.0345</w:t>
                  </w:r>
                </w:p>
              </w:tc>
              <w:tc>
                <w:tcPr>
                  <w:tcW w:w="772" w:type="dxa"/>
                  <w:tcBorders>
                    <w:top w:val="single" w:color="auto" w:sz="4" w:space="0"/>
                    <w:left w:val="nil"/>
                    <w:bottom w:val="single" w:color="auto"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0.0002</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817" w:hRule="atLeast"/>
                <w:jc w:val="center"/>
              </w:trPr>
              <w:tc>
                <w:tcPr>
                  <w:tcW w:w="728"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390"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21"/>
                      <w:szCs w:val="21"/>
                    </w:rPr>
                  </w:pPr>
                  <w:r>
                    <w:rPr>
                      <w:rFonts w:hint="eastAsia" w:ascii="宋体" w:hAnsi="宋体" w:eastAsia="宋体" w:cs="宋体"/>
                      <w:i w:val="0"/>
                      <w:iCs w:val="0"/>
                      <w:color w:val="auto"/>
                      <w:kern w:val="0"/>
                      <w:sz w:val="21"/>
                      <w:szCs w:val="21"/>
                      <w:lang w:val="en-US" w:eastAsia="zh-CN" w:bidi="ar"/>
                    </w:rPr>
                    <w:t>氯化物</w:t>
                  </w:r>
                </w:p>
              </w:tc>
              <w:tc>
                <w:tcPr>
                  <w:tcW w:w="6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eastAsia" w:ascii="宋体" w:hAnsi="宋体" w:eastAsia="宋体" w:cs="宋体"/>
                      <w:i w:val="0"/>
                      <w:iCs w:val="0"/>
                      <w:color w:val="auto"/>
                      <w:kern w:val="0"/>
                      <w:sz w:val="21"/>
                      <w:szCs w:val="21"/>
                      <w:lang w:val="en-US" w:eastAsia="zh-CN" w:bidi="ar"/>
                    </w:rPr>
                    <w:t>炒灰机上料废气</w:t>
                  </w:r>
                </w:p>
              </w:tc>
              <w:tc>
                <w:tcPr>
                  <w:tcW w:w="70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0.45</w:t>
                  </w:r>
                </w:p>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kg/a</w:t>
                  </w:r>
                </w:p>
              </w:tc>
              <w:tc>
                <w:tcPr>
                  <w:tcW w:w="564"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0"/>
                      <w:szCs w:val="20"/>
                    </w:rPr>
                  </w:pPr>
                  <w:r>
                    <w:rPr>
                      <w:rFonts w:hint="default" w:ascii="Times New Roman" w:hAnsi="Times New Roman" w:eastAsia="宋体" w:cs="Times New Roman"/>
                      <w:color w:val="auto"/>
                      <w:kern w:val="2"/>
                      <w:sz w:val="20"/>
                      <w:szCs w:val="20"/>
                      <w:lang w:val="en-US" w:eastAsia="zh-CN" w:bidi="ar"/>
                    </w:rPr>
                    <w:t>6000</w:t>
                  </w:r>
                </w:p>
              </w:tc>
              <w:tc>
                <w:tcPr>
                  <w:tcW w:w="53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0"/>
                      <w:szCs w:val="20"/>
                    </w:rPr>
                  </w:pPr>
                  <w:r>
                    <w:rPr>
                      <w:rFonts w:hint="default" w:ascii="Times New Roman" w:hAnsi="Times New Roman" w:eastAsia="宋体" w:cs="Times New Roman"/>
                      <w:color w:val="auto"/>
                      <w:kern w:val="2"/>
                      <w:sz w:val="20"/>
                      <w:szCs w:val="20"/>
                      <w:lang w:val="en-US" w:eastAsia="zh-CN" w:bidi="ar"/>
                    </w:rPr>
                    <w:t>90</w:t>
                  </w:r>
                </w:p>
              </w:tc>
              <w:tc>
                <w:tcPr>
                  <w:tcW w:w="93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0.405</w:t>
                  </w:r>
                </w:p>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kg/a</w:t>
                  </w:r>
                </w:p>
              </w:tc>
              <w:tc>
                <w:tcPr>
                  <w:tcW w:w="811"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0.3375</w:t>
                  </w:r>
                </w:p>
              </w:tc>
              <w:tc>
                <w:tcPr>
                  <w:tcW w:w="700"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w:t>
                  </w:r>
                </w:p>
              </w:tc>
              <w:tc>
                <w:tcPr>
                  <w:tcW w:w="86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color w:val="auto"/>
                      <w:kern w:val="2"/>
                      <w:sz w:val="21"/>
                      <w:szCs w:val="21"/>
                      <w:lang w:val="en-US" w:eastAsia="zh-CN" w:bidi="ar"/>
                    </w:rPr>
                    <w:t>/</w:t>
                  </w:r>
                </w:p>
              </w:tc>
              <w:tc>
                <w:tcPr>
                  <w:tcW w:w="85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color w:val="auto"/>
                      <w:kern w:val="2"/>
                      <w:sz w:val="21"/>
                      <w:szCs w:val="21"/>
                      <w:lang w:val="en-US" w:eastAsia="zh-CN" w:bidi="ar"/>
                    </w:rPr>
                    <w:t>/</w:t>
                  </w:r>
                </w:p>
              </w:tc>
              <w:tc>
                <w:tcPr>
                  <w:tcW w:w="772" w:type="dxa"/>
                  <w:tcBorders>
                    <w:top w:val="single" w:color="auto" w:sz="4" w:space="0"/>
                    <w:left w:val="nil"/>
                    <w:bottom w:val="single" w:color="auto"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color w:val="auto"/>
                      <w:kern w:val="2"/>
                      <w:sz w:val="21"/>
                      <w:szCs w:val="21"/>
                      <w:lang w:val="en-US" w:eastAsia="zh-CN" w:bidi="ar"/>
                    </w:rPr>
                    <w:t>/</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817" w:hRule="atLeast"/>
                <w:jc w:val="center"/>
              </w:trPr>
              <w:tc>
                <w:tcPr>
                  <w:tcW w:w="728"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390"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6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eastAsia" w:ascii="宋体" w:hAnsi="宋体" w:eastAsia="宋体" w:cs="宋体"/>
                      <w:i w:val="0"/>
                      <w:iCs w:val="0"/>
                      <w:color w:val="auto"/>
                      <w:kern w:val="0"/>
                      <w:sz w:val="21"/>
                      <w:szCs w:val="21"/>
                      <w:lang w:val="en-US" w:eastAsia="zh-CN" w:bidi="ar"/>
                    </w:rPr>
                    <w:t>炒灰废气</w:t>
                  </w:r>
                </w:p>
              </w:tc>
              <w:tc>
                <w:tcPr>
                  <w:tcW w:w="70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0.45</w:t>
                  </w:r>
                </w:p>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kg/a</w:t>
                  </w:r>
                </w:p>
              </w:tc>
              <w:tc>
                <w:tcPr>
                  <w:tcW w:w="564"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0"/>
                      <w:szCs w:val="20"/>
                    </w:rPr>
                  </w:pPr>
                  <w:r>
                    <w:rPr>
                      <w:rFonts w:hint="default" w:ascii="Times New Roman" w:hAnsi="Times New Roman" w:eastAsia="宋体" w:cs="Times New Roman"/>
                      <w:color w:val="auto"/>
                      <w:kern w:val="2"/>
                      <w:sz w:val="20"/>
                      <w:szCs w:val="20"/>
                      <w:lang w:val="en-US" w:eastAsia="zh-CN" w:bidi="ar"/>
                    </w:rPr>
                    <w:t>200</w:t>
                  </w:r>
                </w:p>
              </w:tc>
              <w:tc>
                <w:tcPr>
                  <w:tcW w:w="53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0"/>
                      <w:szCs w:val="20"/>
                    </w:rPr>
                  </w:pPr>
                  <w:r>
                    <w:rPr>
                      <w:rFonts w:hint="default" w:ascii="Times New Roman" w:hAnsi="Times New Roman" w:eastAsia="宋体" w:cs="Times New Roman"/>
                      <w:color w:val="auto"/>
                      <w:kern w:val="2"/>
                      <w:sz w:val="20"/>
                      <w:szCs w:val="20"/>
                      <w:lang w:val="en-US" w:eastAsia="zh-CN" w:bidi="ar"/>
                    </w:rPr>
                    <w:t>100</w:t>
                  </w:r>
                </w:p>
              </w:tc>
              <w:tc>
                <w:tcPr>
                  <w:tcW w:w="93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0.45</w:t>
                  </w:r>
                </w:p>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kg/a</w:t>
                  </w:r>
                </w:p>
              </w:tc>
              <w:tc>
                <w:tcPr>
                  <w:tcW w:w="811" w:type="dxa"/>
                  <w:tcBorders>
                    <w:top w:val="single" w:color="auto" w:sz="4" w:space="0"/>
                    <w:left w:val="nil"/>
                    <w:bottom w:val="nil"/>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1.125</w:t>
                  </w:r>
                </w:p>
              </w:tc>
              <w:tc>
                <w:tcPr>
                  <w:tcW w:w="700"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86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color w:val="auto"/>
                      <w:kern w:val="2"/>
                      <w:sz w:val="21"/>
                      <w:szCs w:val="21"/>
                      <w:lang w:val="en-US" w:eastAsia="zh-CN" w:bidi="ar"/>
                    </w:rPr>
                    <w:t>/</w:t>
                  </w:r>
                </w:p>
              </w:tc>
              <w:tc>
                <w:tcPr>
                  <w:tcW w:w="85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color w:val="auto"/>
                      <w:kern w:val="2"/>
                      <w:sz w:val="21"/>
                      <w:szCs w:val="21"/>
                      <w:lang w:val="en-US" w:eastAsia="zh-CN" w:bidi="ar"/>
                    </w:rPr>
                    <w:t>/</w:t>
                  </w:r>
                </w:p>
              </w:tc>
              <w:tc>
                <w:tcPr>
                  <w:tcW w:w="772" w:type="dxa"/>
                  <w:tcBorders>
                    <w:top w:val="single" w:color="auto" w:sz="4" w:space="0"/>
                    <w:left w:val="nil"/>
                    <w:bottom w:val="single" w:color="auto"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color w:val="auto"/>
                      <w:kern w:val="2"/>
                      <w:sz w:val="21"/>
                      <w:szCs w:val="21"/>
                      <w:lang w:val="en-US" w:eastAsia="zh-CN" w:bidi="ar"/>
                    </w:rPr>
                    <w:t>/</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609" w:hRule="atLeast"/>
                <w:jc w:val="center"/>
              </w:trPr>
              <w:tc>
                <w:tcPr>
                  <w:tcW w:w="728"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107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eastAsia" w:ascii="宋体" w:hAnsi="宋体" w:eastAsia="宋体" w:cs="宋体"/>
                      <w:i w:val="0"/>
                      <w:iCs w:val="0"/>
                      <w:color w:val="auto"/>
                      <w:kern w:val="0"/>
                      <w:sz w:val="21"/>
                      <w:szCs w:val="21"/>
                      <w:lang w:val="en-US" w:eastAsia="zh-CN" w:bidi="ar"/>
                    </w:rPr>
                    <w:t>合并排放</w:t>
                  </w:r>
                </w:p>
              </w:tc>
              <w:tc>
                <w:tcPr>
                  <w:tcW w:w="70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0.9</w:t>
                  </w:r>
                </w:p>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kg/a</w:t>
                  </w:r>
                </w:p>
              </w:tc>
              <w:tc>
                <w:tcPr>
                  <w:tcW w:w="564"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0"/>
                      <w:szCs w:val="20"/>
                    </w:rPr>
                  </w:pPr>
                  <w:r>
                    <w:rPr>
                      <w:rFonts w:hint="default" w:ascii="Times New Roman" w:hAnsi="Times New Roman" w:eastAsia="宋体" w:cs="Times New Roman"/>
                      <w:color w:val="auto"/>
                      <w:kern w:val="2"/>
                      <w:sz w:val="20"/>
                      <w:szCs w:val="20"/>
                      <w:lang w:val="en-US" w:eastAsia="zh-CN" w:bidi="ar"/>
                    </w:rPr>
                    <w:t>6200</w:t>
                  </w:r>
                </w:p>
              </w:tc>
              <w:tc>
                <w:tcPr>
                  <w:tcW w:w="53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color w:val="auto"/>
                      <w:kern w:val="2"/>
                      <w:sz w:val="20"/>
                      <w:szCs w:val="20"/>
                    </w:rPr>
                  </w:pPr>
                  <w:r>
                    <w:rPr>
                      <w:rFonts w:hint="default" w:ascii="Times New Roman" w:hAnsi="Times New Roman" w:eastAsia="宋体" w:cs="Times New Roman"/>
                      <w:color w:val="auto"/>
                      <w:kern w:val="2"/>
                      <w:sz w:val="20"/>
                      <w:szCs w:val="20"/>
                      <w:lang w:val="en-US" w:eastAsia="zh-CN" w:bidi="ar"/>
                    </w:rPr>
                    <w:t>/</w:t>
                  </w:r>
                </w:p>
              </w:tc>
              <w:tc>
                <w:tcPr>
                  <w:tcW w:w="93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0.855</w:t>
                  </w:r>
                </w:p>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kg/a</w:t>
                  </w:r>
                </w:p>
              </w:tc>
              <w:tc>
                <w:tcPr>
                  <w:tcW w:w="811"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0.6895</w:t>
                  </w:r>
                </w:p>
              </w:tc>
              <w:tc>
                <w:tcPr>
                  <w:tcW w:w="700"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rPr>
                  </w:pPr>
                </w:p>
              </w:tc>
              <w:tc>
                <w:tcPr>
                  <w:tcW w:w="86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0.855</w:t>
                  </w:r>
                </w:p>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kg/a</w:t>
                  </w:r>
                </w:p>
              </w:tc>
              <w:tc>
                <w:tcPr>
                  <w:tcW w:w="85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0.6895</w:t>
                  </w:r>
                </w:p>
              </w:tc>
              <w:tc>
                <w:tcPr>
                  <w:tcW w:w="772" w:type="dxa"/>
                  <w:tcBorders>
                    <w:top w:val="single" w:color="auto" w:sz="4" w:space="0"/>
                    <w:left w:val="nil"/>
                    <w:bottom w:val="single" w:color="auto"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0.0043</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573" w:hRule="atLeast"/>
                <w:jc w:val="center"/>
              </w:trPr>
              <w:tc>
                <w:tcPr>
                  <w:tcW w:w="7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DA063</w:t>
                  </w:r>
                </w:p>
              </w:tc>
              <w:tc>
                <w:tcPr>
                  <w:tcW w:w="39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21"/>
                      <w:szCs w:val="21"/>
                    </w:rPr>
                  </w:pPr>
                  <w:r>
                    <w:rPr>
                      <w:rFonts w:hint="eastAsia" w:ascii="宋体" w:hAnsi="宋体" w:eastAsia="宋体" w:cs="宋体"/>
                      <w:i w:val="0"/>
                      <w:iCs w:val="0"/>
                      <w:color w:val="auto"/>
                      <w:kern w:val="0"/>
                      <w:sz w:val="21"/>
                      <w:szCs w:val="21"/>
                      <w:lang w:val="en-US" w:eastAsia="zh-CN" w:bidi="ar"/>
                    </w:rPr>
                    <w:t>氨气</w:t>
                  </w:r>
                </w:p>
              </w:tc>
              <w:tc>
                <w:tcPr>
                  <w:tcW w:w="6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eastAsia" w:ascii="宋体" w:hAnsi="宋体" w:eastAsia="宋体" w:cs="宋体"/>
                      <w:i w:val="0"/>
                      <w:iCs w:val="0"/>
                      <w:color w:val="auto"/>
                      <w:kern w:val="0"/>
                      <w:sz w:val="21"/>
                      <w:szCs w:val="21"/>
                      <w:lang w:val="en-US" w:eastAsia="zh-CN" w:bidi="ar"/>
                    </w:rPr>
                    <w:t>危废间</w:t>
                  </w:r>
                </w:p>
              </w:tc>
              <w:tc>
                <w:tcPr>
                  <w:tcW w:w="70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eastAsia" w:cs="Times New Roman"/>
                      <w:i w:val="0"/>
                      <w:iCs w:val="0"/>
                      <w:color w:val="auto"/>
                      <w:kern w:val="0"/>
                      <w:sz w:val="21"/>
                      <w:szCs w:val="21"/>
                      <w:lang w:val="en-US" w:eastAsia="zh-CN" w:bidi="ar"/>
                    </w:rPr>
                    <w:t>0.0218</w:t>
                  </w:r>
                </w:p>
              </w:tc>
              <w:tc>
                <w:tcPr>
                  <w:tcW w:w="564"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1300</w:t>
                  </w:r>
                </w:p>
              </w:tc>
              <w:tc>
                <w:tcPr>
                  <w:tcW w:w="53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90</w:t>
                  </w:r>
                </w:p>
              </w:tc>
              <w:tc>
                <w:tcPr>
                  <w:tcW w:w="93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0.019</w:t>
                  </w:r>
                  <w:r>
                    <w:rPr>
                      <w:rFonts w:hint="eastAsia" w:cs="Times New Roman"/>
                      <w:i w:val="0"/>
                      <w:iCs w:val="0"/>
                      <w:color w:val="auto"/>
                      <w:kern w:val="0"/>
                      <w:sz w:val="21"/>
                      <w:szCs w:val="21"/>
                      <w:lang w:val="en-US" w:eastAsia="zh-CN" w:bidi="ar"/>
                    </w:rPr>
                    <w:t>6</w:t>
                  </w:r>
                </w:p>
              </w:tc>
              <w:tc>
                <w:tcPr>
                  <w:tcW w:w="811"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lang w:val="en-US"/>
                    </w:rPr>
                  </w:pPr>
                  <w:r>
                    <w:rPr>
                      <w:rFonts w:hint="default" w:ascii="Times New Roman" w:hAnsi="Times New Roman" w:eastAsia="宋体" w:cs="Times New Roman"/>
                      <w:i w:val="0"/>
                      <w:iCs w:val="0"/>
                      <w:color w:val="auto"/>
                      <w:kern w:val="0"/>
                      <w:sz w:val="21"/>
                      <w:szCs w:val="21"/>
                      <w:lang w:val="en-US" w:eastAsia="zh-CN" w:bidi="ar"/>
                    </w:rPr>
                    <w:t>2.0</w:t>
                  </w:r>
                  <w:r>
                    <w:rPr>
                      <w:rFonts w:hint="eastAsia" w:cs="Times New Roman"/>
                      <w:i w:val="0"/>
                      <w:iCs w:val="0"/>
                      <w:color w:val="auto"/>
                      <w:kern w:val="0"/>
                      <w:sz w:val="21"/>
                      <w:szCs w:val="21"/>
                      <w:lang w:val="en-US" w:eastAsia="zh-CN" w:bidi="ar"/>
                    </w:rPr>
                    <w:t>94</w:t>
                  </w:r>
                </w:p>
              </w:tc>
              <w:tc>
                <w:tcPr>
                  <w:tcW w:w="7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50</w:t>
                  </w:r>
                </w:p>
              </w:tc>
              <w:tc>
                <w:tcPr>
                  <w:tcW w:w="86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0.0098</w:t>
                  </w:r>
                </w:p>
              </w:tc>
              <w:tc>
                <w:tcPr>
                  <w:tcW w:w="85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1.0433</w:t>
                  </w:r>
                </w:p>
              </w:tc>
              <w:tc>
                <w:tcPr>
                  <w:tcW w:w="772" w:type="dxa"/>
                  <w:tcBorders>
                    <w:top w:val="single" w:color="auto" w:sz="4" w:space="0"/>
                    <w:left w:val="nil"/>
                    <w:bottom w:val="single" w:color="auto"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rPr>
                  </w:pPr>
                  <w:r>
                    <w:rPr>
                      <w:rFonts w:hint="default" w:ascii="Times New Roman" w:hAnsi="Times New Roman" w:eastAsia="宋体" w:cs="Times New Roman"/>
                      <w:i w:val="0"/>
                      <w:iCs w:val="0"/>
                      <w:color w:val="auto"/>
                      <w:kern w:val="0"/>
                      <w:sz w:val="21"/>
                      <w:szCs w:val="21"/>
                      <w:lang w:val="en-US" w:eastAsia="zh-CN" w:bidi="ar"/>
                    </w:rPr>
                    <w:t>0.0014</w:t>
                  </w:r>
                </w:p>
              </w:tc>
            </w:tr>
          </w:tbl>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both"/>
              <w:textAlignment w:val="auto"/>
              <w:rPr>
                <w:rFonts w:hint="eastAsia" w:cs="Times New Roman"/>
                <w:b w:val="0"/>
                <w:bCs w:val="0"/>
                <w:color w:val="auto"/>
                <w:sz w:val="24"/>
                <w:szCs w:val="24"/>
                <w:highlight w:val="none"/>
                <w:u w:val="none" w:color="auto"/>
                <w:vertAlign w:val="baseline"/>
                <w:lang w:val="en-US" w:eastAsia="zh-CN"/>
              </w:rPr>
            </w:pPr>
            <w:r>
              <w:rPr>
                <w:rFonts w:hint="eastAsia" w:cs="Times New Roman"/>
                <w:b w:val="0"/>
                <w:bCs w:val="0"/>
                <w:color w:val="auto"/>
                <w:sz w:val="24"/>
                <w:szCs w:val="24"/>
                <w:highlight w:val="none"/>
                <w:u w:val="none" w:color="auto"/>
                <w:vertAlign w:val="baseline"/>
                <w:lang w:val="en-US" w:eastAsia="zh-CN"/>
              </w:rPr>
              <w:t>注：排放浓度按最大浓度计。</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cs="Times New Roman"/>
                <w:b w:val="0"/>
                <w:bCs w:val="0"/>
                <w:color w:val="auto"/>
                <w:sz w:val="24"/>
                <w:szCs w:val="24"/>
                <w:highlight w:val="none"/>
                <w:u w:val="none" w:color="auto"/>
                <w:vertAlign w:val="baseline"/>
                <w:lang w:val="en-US" w:eastAsia="zh-CN"/>
              </w:rPr>
            </w:pPr>
            <w:r>
              <w:rPr>
                <w:rFonts w:hint="eastAsia" w:cs="Times New Roman"/>
                <w:b w:val="0"/>
                <w:bCs w:val="0"/>
                <w:color w:val="auto"/>
                <w:sz w:val="24"/>
                <w:szCs w:val="24"/>
                <w:highlight w:val="none"/>
                <w:u w:val="none" w:color="auto"/>
                <w:vertAlign w:val="baseline"/>
                <w:lang w:val="en-US" w:eastAsia="zh-CN"/>
              </w:rPr>
              <w:t>根据《工业炉窑大气污染物排放标准》（DB41/1066-2020）中表4列举的大气污染物分析测定方法标准，其中颗粒物的检出限为1.0mg/m</w:t>
            </w:r>
            <w:r>
              <w:rPr>
                <w:rFonts w:hint="eastAsia" w:cs="Times New Roman"/>
                <w:b w:val="0"/>
                <w:bCs w:val="0"/>
                <w:color w:val="auto"/>
                <w:sz w:val="24"/>
                <w:szCs w:val="24"/>
                <w:highlight w:val="none"/>
                <w:u w:val="none" w:color="auto"/>
                <w:vertAlign w:val="superscript"/>
                <w:lang w:val="en-US" w:eastAsia="zh-CN"/>
              </w:rPr>
              <w:t>3</w:t>
            </w:r>
            <w:r>
              <w:rPr>
                <w:rFonts w:hint="eastAsia" w:cs="Times New Roman"/>
                <w:b w:val="0"/>
                <w:bCs w:val="0"/>
                <w:color w:val="auto"/>
                <w:sz w:val="24"/>
                <w:szCs w:val="24"/>
                <w:highlight w:val="none"/>
                <w:u w:val="none" w:color="auto"/>
                <w:vertAlign w:val="baseline"/>
                <w:lang w:val="en-US" w:eastAsia="zh-CN"/>
              </w:rPr>
              <w:t>，氟化物的检出限为0.06mg/m</w:t>
            </w:r>
            <w:r>
              <w:rPr>
                <w:rFonts w:hint="eastAsia" w:cs="Times New Roman"/>
                <w:b w:val="0"/>
                <w:bCs w:val="0"/>
                <w:color w:val="auto"/>
                <w:sz w:val="24"/>
                <w:szCs w:val="24"/>
                <w:highlight w:val="none"/>
                <w:u w:val="none" w:color="auto"/>
                <w:vertAlign w:val="superscript"/>
                <w:lang w:val="en-US" w:eastAsia="zh-CN"/>
              </w:rPr>
              <w:t>3</w:t>
            </w:r>
            <w:r>
              <w:rPr>
                <w:rFonts w:hint="eastAsia" w:cs="Times New Roman"/>
                <w:b w:val="0"/>
                <w:bCs w:val="0"/>
                <w:color w:val="auto"/>
                <w:sz w:val="24"/>
                <w:szCs w:val="24"/>
                <w:highlight w:val="none"/>
                <w:u w:val="none" w:color="auto"/>
                <w:vertAlign w:val="baseline"/>
                <w:lang w:val="en-US" w:eastAsia="zh-CN"/>
              </w:rPr>
              <w:t>，氯化物（氯化氢）的检出限最低为0.9mg/m</w:t>
            </w:r>
            <w:r>
              <w:rPr>
                <w:rFonts w:hint="eastAsia" w:cs="Times New Roman"/>
                <w:b w:val="0"/>
                <w:bCs w:val="0"/>
                <w:color w:val="auto"/>
                <w:sz w:val="24"/>
                <w:szCs w:val="24"/>
                <w:highlight w:val="none"/>
                <w:u w:val="none" w:color="auto"/>
                <w:vertAlign w:val="superscript"/>
                <w:lang w:val="en-US" w:eastAsia="zh-CN"/>
              </w:rPr>
              <w:t>3</w:t>
            </w:r>
            <w:r>
              <w:rPr>
                <w:rFonts w:hint="eastAsia" w:cs="Times New Roman"/>
                <w:b w:val="0"/>
                <w:bCs w:val="0"/>
                <w:color w:val="auto"/>
                <w:sz w:val="24"/>
                <w:szCs w:val="24"/>
                <w:highlight w:val="none"/>
                <w:u w:val="none" w:color="auto"/>
                <w:vertAlign w:val="baseline"/>
                <w:lang w:val="en-US" w:eastAsia="zh-CN"/>
              </w:rPr>
              <w:t>。颗粒物的排放浓度位于检出限以上，氟化物、氯化物（氯化氢）的排放浓度均位于检出限以下，故氟化物、氯化物（氯化氢）不再作为污染因子进行评价。</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482" w:firstLineChars="200"/>
              <w:jc w:val="center"/>
              <w:textAlignment w:val="auto"/>
              <w:rPr>
                <w:rFonts w:hint="default" w:ascii="Times New Roman" w:hAnsi="Times New Roman" w:cs="Times New Roman"/>
                <w:b/>
                <w:bCs w:val="0"/>
                <w:color w:val="auto"/>
                <w:kern w:val="2"/>
                <w:sz w:val="24"/>
                <w:szCs w:val="24"/>
              </w:rPr>
            </w:pPr>
            <w:r>
              <w:rPr>
                <w:rFonts w:hint="eastAsia" w:cs="Times New Roman"/>
                <w:b/>
                <w:bCs/>
                <w:color w:val="auto"/>
                <w:sz w:val="24"/>
                <w:szCs w:val="24"/>
                <w:highlight w:val="none"/>
                <w:u w:val="none" w:color="auto"/>
                <w:vertAlign w:val="baseline"/>
                <w:lang w:val="en-US" w:eastAsia="zh-CN"/>
              </w:rPr>
              <w:t>废气污染物产排情况一览表</w:t>
            </w:r>
          </w:p>
          <w:tbl>
            <w:tblPr>
              <w:tblStyle w:val="27"/>
              <w:tblW w:w="8353" w:type="dxa"/>
              <w:jc w:val="center"/>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85"/>
              <w:gridCol w:w="401"/>
              <w:gridCol w:w="686"/>
              <w:gridCol w:w="548"/>
              <w:gridCol w:w="677"/>
              <w:gridCol w:w="758"/>
              <w:gridCol w:w="548"/>
              <w:gridCol w:w="726"/>
              <w:gridCol w:w="732"/>
              <w:gridCol w:w="706"/>
              <w:gridCol w:w="773"/>
              <w:gridCol w:w="530"/>
              <w:gridCol w:w="68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75" w:hRule="atLeast"/>
                <w:jc w:val="center"/>
              </w:trPr>
              <w:tc>
                <w:tcPr>
                  <w:tcW w:w="585" w:type="dxa"/>
                  <w:vMerge w:val="restart"/>
                  <w:tcBorders>
                    <w:top w:val="single" w:color="auto" w:sz="4" w:space="0"/>
                    <w:bottom w:val="single" w:color="auto" w:sz="4" w:space="0"/>
                    <w:right w:val="single" w:color="auto" w:sz="4" w:space="0"/>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排气筒编号</w:t>
                  </w:r>
                </w:p>
              </w:tc>
              <w:tc>
                <w:tcPr>
                  <w:tcW w:w="40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污染物</w:t>
                  </w:r>
                </w:p>
              </w:tc>
              <w:tc>
                <w:tcPr>
                  <w:tcW w:w="686"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产生量</w:t>
                  </w:r>
                  <w:r>
                    <w:rPr>
                      <w:rFonts w:hint="default" w:ascii="Times New Roman" w:hAnsi="Times New Roman" w:eastAsia="宋体" w:cs="Times New Roman"/>
                      <w:b/>
                      <w:bCs/>
                      <w:color w:val="auto"/>
                      <w:kern w:val="0"/>
                      <w:sz w:val="21"/>
                      <w:szCs w:val="21"/>
                      <w:lang w:val="en-US" w:eastAsia="zh-CN" w:bidi="ar"/>
                    </w:rPr>
                    <w:t>t/a</w:t>
                  </w:r>
                </w:p>
              </w:tc>
              <w:tc>
                <w:tcPr>
                  <w:tcW w:w="548"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风量</w:t>
                  </w:r>
                  <w:r>
                    <w:rPr>
                      <w:rFonts w:hint="default" w:ascii="Times New Roman" w:hAnsi="Times New Roman" w:eastAsia="宋体" w:cs="Times New Roman"/>
                      <w:b/>
                      <w:bCs/>
                      <w:color w:val="auto"/>
                      <w:kern w:val="0"/>
                      <w:sz w:val="21"/>
                      <w:szCs w:val="21"/>
                      <w:lang w:val="en-US" w:eastAsia="zh-CN" w:bidi="ar"/>
                    </w:rPr>
                    <w:t>m</w:t>
                  </w:r>
                  <w:r>
                    <w:rPr>
                      <w:rFonts w:hint="default" w:ascii="Times New Roman" w:hAnsi="Times New Roman" w:eastAsia="宋体" w:cs="Times New Roman"/>
                      <w:b/>
                      <w:bCs/>
                      <w:color w:val="auto"/>
                      <w:kern w:val="0"/>
                      <w:sz w:val="21"/>
                      <w:szCs w:val="21"/>
                      <w:vertAlign w:val="superscript"/>
                      <w:lang w:val="en-US" w:eastAsia="zh-CN" w:bidi="ar"/>
                    </w:rPr>
                    <w:t>3</w:t>
                  </w:r>
                  <w:r>
                    <w:rPr>
                      <w:rFonts w:hint="default" w:ascii="Times New Roman" w:hAnsi="Times New Roman" w:eastAsia="宋体" w:cs="Times New Roman"/>
                      <w:b/>
                      <w:bCs/>
                      <w:color w:val="auto"/>
                      <w:kern w:val="0"/>
                      <w:sz w:val="21"/>
                      <w:szCs w:val="21"/>
                      <w:lang w:val="en-US" w:eastAsia="zh-CN" w:bidi="ar"/>
                    </w:rPr>
                    <w:t>/h</w:t>
                  </w:r>
                </w:p>
              </w:tc>
              <w:tc>
                <w:tcPr>
                  <w:tcW w:w="14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有组织收集量</w:t>
                  </w:r>
                </w:p>
              </w:tc>
              <w:tc>
                <w:tcPr>
                  <w:tcW w:w="548"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净化效率</w:t>
                  </w:r>
                  <w:r>
                    <w:rPr>
                      <w:rFonts w:hint="default" w:ascii="Times New Roman" w:hAnsi="Times New Roman" w:eastAsia="宋体" w:cs="Times New Roman"/>
                      <w:b/>
                      <w:bCs/>
                      <w:color w:val="auto"/>
                      <w:kern w:val="0"/>
                      <w:sz w:val="21"/>
                      <w:szCs w:val="21"/>
                      <w:lang w:val="en-US" w:eastAsia="zh-CN" w:bidi="ar"/>
                    </w:rPr>
                    <w:t>%</w:t>
                  </w:r>
                </w:p>
              </w:tc>
              <w:tc>
                <w:tcPr>
                  <w:tcW w:w="2164" w:type="dxa"/>
                  <w:gridSpan w:val="3"/>
                  <w:tcBorders>
                    <w:top w:val="single" w:color="auto" w:sz="4" w:space="0"/>
                    <w:left w:val="single" w:color="auto" w:sz="4" w:space="0"/>
                    <w:bottom w:val="nil"/>
                    <w:right w:val="single" w:color="auto" w:sz="4" w:space="0"/>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有组织排放情况</w:t>
                  </w:r>
                </w:p>
              </w:tc>
              <w:tc>
                <w:tcPr>
                  <w:tcW w:w="773"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无组织产生量</w:t>
                  </w:r>
                  <w:r>
                    <w:rPr>
                      <w:rFonts w:hint="default" w:ascii="Times New Roman" w:hAnsi="Times New Roman" w:eastAsia="宋体" w:cs="Times New Roman"/>
                      <w:b/>
                      <w:bCs/>
                      <w:color w:val="auto"/>
                      <w:kern w:val="0"/>
                      <w:sz w:val="21"/>
                      <w:szCs w:val="21"/>
                      <w:lang w:val="en-US" w:eastAsia="zh-CN" w:bidi="ar"/>
                    </w:rPr>
                    <w:t>t/a</w:t>
                  </w:r>
                </w:p>
              </w:tc>
              <w:tc>
                <w:tcPr>
                  <w:tcW w:w="530"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厂房阻隔</w:t>
                  </w:r>
                </w:p>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w:t>
                  </w:r>
                </w:p>
              </w:tc>
              <w:tc>
                <w:tcPr>
                  <w:tcW w:w="683" w:type="dxa"/>
                  <w:vMerge w:val="restart"/>
                  <w:tcBorders>
                    <w:top w:val="single" w:color="auto" w:sz="4" w:space="0"/>
                    <w:left w:val="single" w:color="auto" w:sz="4" w:space="0"/>
                    <w:bottom w:val="single" w:color="auto" w:sz="4" w:space="0"/>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无组织排放量</w:t>
                  </w:r>
                  <w:r>
                    <w:rPr>
                      <w:rFonts w:hint="default" w:ascii="Times New Roman" w:hAnsi="Times New Roman" w:eastAsia="宋体" w:cs="Times New Roman"/>
                      <w:b/>
                      <w:bCs/>
                      <w:color w:val="auto"/>
                      <w:kern w:val="0"/>
                      <w:sz w:val="21"/>
                      <w:szCs w:val="21"/>
                      <w:lang w:val="en-US" w:eastAsia="zh-CN" w:bidi="ar"/>
                    </w:rPr>
                    <w:t>t/a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67" w:hRule="atLeast"/>
                <w:jc w:val="center"/>
              </w:trPr>
              <w:tc>
                <w:tcPr>
                  <w:tcW w:w="585" w:type="dxa"/>
                  <w:vMerge w:val="continue"/>
                  <w:tcBorders>
                    <w:top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Calibri" w:hAnsi="Calibri" w:eastAsia="宋体" w:cs="Times New Roman"/>
                      <w:color w:val="auto"/>
                      <w:kern w:val="2"/>
                      <w:sz w:val="21"/>
                      <w:szCs w:val="21"/>
                    </w:rPr>
                  </w:pPr>
                </w:p>
              </w:tc>
              <w:tc>
                <w:tcPr>
                  <w:tcW w:w="40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Calibri" w:hAnsi="Calibri" w:eastAsia="宋体" w:cs="Times New Roman"/>
                      <w:color w:val="auto"/>
                      <w:kern w:val="2"/>
                      <w:sz w:val="21"/>
                      <w:szCs w:val="21"/>
                    </w:rPr>
                  </w:pPr>
                </w:p>
              </w:tc>
              <w:tc>
                <w:tcPr>
                  <w:tcW w:w="68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Calibri" w:hAnsi="Calibri" w:eastAsia="宋体" w:cs="Times New Roman"/>
                      <w:color w:val="auto"/>
                      <w:kern w:val="2"/>
                      <w:sz w:val="21"/>
                      <w:szCs w:val="21"/>
                    </w:rPr>
                  </w:pPr>
                </w:p>
              </w:tc>
              <w:tc>
                <w:tcPr>
                  <w:tcW w:w="54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Calibri" w:hAnsi="Calibri" w:eastAsia="宋体" w:cs="Times New Roman"/>
                      <w:color w:val="auto"/>
                      <w:kern w:val="2"/>
                      <w:sz w:val="21"/>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产生量</w:t>
                  </w:r>
                  <w:r>
                    <w:rPr>
                      <w:rFonts w:hint="default" w:ascii="Times New Roman" w:hAnsi="Times New Roman" w:eastAsia="宋体" w:cs="Times New Roman"/>
                      <w:b/>
                      <w:bCs/>
                      <w:color w:val="auto"/>
                      <w:kern w:val="0"/>
                      <w:sz w:val="21"/>
                      <w:szCs w:val="21"/>
                      <w:lang w:val="en-US" w:eastAsia="zh-CN" w:bidi="ar"/>
                    </w:rPr>
                    <w:t>t/a</w:t>
                  </w:r>
                </w:p>
              </w:tc>
              <w:tc>
                <w:tcPr>
                  <w:tcW w:w="75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浓度</w:t>
                  </w:r>
                  <w:r>
                    <w:rPr>
                      <w:rFonts w:hint="default" w:ascii="Times New Roman" w:hAnsi="Times New Roman" w:eastAsia="宋体" w:cs="Times New Roman"/>
                      <w:b/>
                      <w:bCs/>
                      <w:color w:val="auto"/>
                      <w:kern w:val="0"/>
                      <w:sz w:val="21"/>
                      <w:szCs w:val="21"/>
                      <w:lang w:val="en-US" w:eastAsia="zh-CN" w:bidi="ar"/>
                    </w:rPr>
                    <w:t>mg/m</w:t>
                  </w:r>
                  <w:r>
                    <w:rPr>
                      <w:rFonts w:hint="default" w:ascii="Times New Roman" w:hAnsi="Times New Roman" w:eastAsia="宋体" w:cs="Times New Roman"/>
                      <w:b/>
                      <w:bCs/>
                      <w:color w:val="auto"/>
                      <w:kern w:val="0"/>
                      <w:sz w:val="21"/>
                      <w:szCs w:val="21"/>
                      <w:vertAlign w:val="superscript"/>
                      <w:lang w:val="en-US" w:eastAsia="zh-CN" w:bidi="ar"/>
                    </w:rPr>
                    <w:t>3</w:t>
                  </w:r>
                </w:p>
              </w:tc>
              <w:tc>
                <w:tcPr>
                  <w:tcW w:w="54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Calibri" w:hAnsi="Calibri" w:eastAsia="宋体" w:cs="Times New Roman"/>
                      <w:color w:val="auto"/>
                      <w:kern w:val="2"/>
                      <w:sz w:val="21"/>
                      <w:szCs w:val="21"/>
                    </w:rPr>
                  </w:pPr>
                </w:p>
              </w:tc>
              <w:tc>
                <w:tcPr>
                  <w:tcW w:w="72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color w:val="auto"/>
                      <w:kern w:val="0"/>
                      <w:sz w:val="21"/>
                      <w:szCs w:val="21"/>
                      <w:highlight w:val="yellow"/>
                    </w:rPr>
                  </w:pPr>
                  <w:r>
                    <w:rPr>
                      <w:rFonts w:hint="eastAsia" w:ascii="宋体" w:hAnsi="宋体" w:eastAsia="宋体" w:cs="宋体"/>
                      <w:b/>
                      <w:bCs/>
                      <w:color w:val="auto"/>
                      <w:kern w:val="0"/>
                      <w:sz w:val="21"/>
                      <w:szCs w:val="21"/>
                      <w:lang w:val="en-US" w:eastAsia="zh-CN" w:bidi="ar"/>
                    </w:rPr>
                    <w:t>排放量</w:t>
                  </w:r>
                  <w:r>
                    <w:rPr>
                      <w:rFonts w:hint="default" w:ascii="Times New Roman" w:hAnsi="Times New Roman" w:eastAsia="宋体" w:cs="Times New Roman"/>
                      <w:b/>
                      <w:bCs/>
                      <w:color w:val="auto"/>
                      <w:kern w:val="0"/>
                      <w:sz w:val="21"/>
                      <w:szCs w:val="21"/>
                      <w:lang w:val="en-US" w:eastAsia="zh-CN" w:bidi="ar"/>
                    </w:rPr>
                    <w:t>t/a</w:t>
                  </w:r>
                </w:p>
              </w:tc>
              <w:tc>
                <w:tcPr>
                  <w:tcW w:w="73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浓度</w:t>
                  </w:r>
                  <w:r>
                    <w:rPr>
                      <w:rFonts w:hint="default" w:ascii="Times New Roman" w:hAnsi="Times New Roman" w:eastAsia="宋体" w:cs="Times New Roman"/>
                      <w:b/>
                      <w:bCs/>
                      <w:color w:val="auto"/>
                      <w:kern w:val="0"/>
                      <w:sz w:val="21"/>
                      <w:szCs w:val="21"/>
                      <w:lang w:val="en-US" w:eastAsia="zh-CN" w:bidi="ar"/>
                    </w:rPr>
                    <w:t>mg/m</w:t>
                  </w:r>
                  <w:r>
                    <w:rPr>
                      <w:rFonts w:hint="default" w:ascii="Times New Roman" w:hAnsi="Times New Roman" w:eastAsia="宋体" w:cs="Times New Roman"/>
                      <w:b/>
                      <w:bCs/>
                      <w:color w:val="auto"/>
                      <w:kern w:val="0"/>
                      <w:sz w:val="21"/>
                      <w:szCs w:val="21"/>
                      <w:vertAlign w:val="superscript"/>
                      <w:lang w:val="en-US" w:eastAsia="zh-CN" w:bidi="ar"/>
                    </w:rPr>
                    <w:t>3</w:t>
                  </w:r>
                </w:p>
              </w:tc>
              <w:tc>
                <w:tcPr>
                  <w:tcW w:w="70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速率</w:t>
                  </w:r>
                  <w:r>
                    <w:rPr>
                      <w:rFonts w:hint="default" w:ascii="Times New Roman" w:hAnsi="Times New Roman" w:eastAsia="宋体" w:cs="Times New Roman"/>
                      <w:b/>
                      <w:bCs/>
                      <w:color w:val="auto"/>
                      <w:kern w:val="0"/>
                      <w:sz w:val="21"/>
                      <w:szCs w:val="21"/>
                      <w:lang w:val="en-US" w:eastAsia="zh-CN" w:bidi="ar"/>
                    </w:rPr>
                    <w:t>kg/h</w:t>
                  </w:r>
                </w:p>
              </w:tc>
              <w:tc>
                <w:tcPr>
                  <w:tcW w:w="773"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Calibri" w:hAnsi="Calibri" w:eastAsia="宋体" w:cs="Times New Roman"/>
                      <w:color w:val="auto"/>
                      <w:kern w:val="2"/>
                      <w:sz w:val="21"/>
                      <w:szCs w:val="21"/>
                    </w:rPr>
                  </w:pPr>
                </w:p>
              </w:tc>
              <w:tc>
                <w:tcPr>
                  <w:tcW w:w="53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Calibri" w:hAnsi="Calibri" w:eastAsia="宋体" w:cs="Times New Roman"/>
                      <w:color w:val="auto"/>
                      <w:kern w:val="2"/>
                      <w:sz w:val="21"/>
                      <w:szCs w:val="21"/>
                    </w:rPr>
                  </w:pPr>
                </w:p>
              </w:tc>
              <w:tc>
                <w:tcPr>
                  <w:tcW w:w="683" w:type="dxa"/>
                  <w:vMerge w:val="continue"/>
                  <w:tcBorders>
                    <w:top w:val="single" w:color="auto" w:sz="4" w:space="0"/>
                    <w:left w:val="single" w:color="auto" w:sz="4" w:space="0"/>
                    <w:bottom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Calibri" w:hAnsi="Calibri" w:eastAsia="宋体" w:cs="Times New Roman"/>
                      <w:color w:val="auto"/>
                      <w:kern w:val="2"/>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817" w:hRule="atLeast"/>
                <w:jc w:val="center"/>
              </w:trPr>
              <w:tc>
                <w:tcPr>
                  <w:tcW w:w="585" w:type="dxa"/>
                  <w:tcBorders>
                    <w:top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auto"/>
                      <w:kern w:val="0"/>
                      <w:sz w:val="21"/>
                      <w:szCs w:val="21"/>
                      <w:lang w:val="en-US"/>
                    </w:rPr>
                  </w:pPr>
                  <w:r>
                    <w:rPr>
                      <w:rFonts w:hint="default" w:ascii="Times New Roman" w:hAnsi="Times New Roman" w:eastAsia="宋体" w:cs="Times New Roman"/>
                      <w:i w:val="0"/>
                      <w:iCs w:val="0"/>
                      <w:color w:val="auto"/>
                      <w:kern w:val="0"/>
                      <w:sz w:val="21"/>
                      <w:szCs w:val="21"/>
                      <w:u w:val="none"/>
                      <w:lang w:val="en-US" w:eastAsia="zh-CN" w:bidi="ar"/>
                    </w:rPr>
                    <w:t>DA066</w:t>
                  </w:r>
                </w:p>
              </w:tc>
              <w:tc>
                <w:tcPr>
                  <w:tcW w:w="4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auto"/>
                      <w:kern w:val="0"/>
                      <w:sz w:val="21"/>
                      <w:szCs w:val="21"/>
                    </w:rPr>
                  </w:pPr>
                  <w:r>
                    <w:rPr>
                      <w:rFonts w:hint="eastAsia" w:ascii="宋体" w:hAnsi="宋体" w:eastAsia="宋体" w:cs="宋体"/>
                      <w:i w:val="0"/>
                      <w:iCs w:val="0"/>
                      <w:color w:val="auto"/>
                      <w:kern w:val="0"/>
                      <w:sz w:val="21"/>
                      <w:szCs w:val="21"/>
                      <w:u w:val="none"/>
                      <w:lang w:val="en-US" w:eastAsia="zh-CN" w:bidi="ar"/>
                    </w:rPr>
                    <w:t>颗粒物</w:t>
                  </w:r>
                </w:p>
              </w:tc>
              <w:tc>
                <w:tcPr>
                  <w:tcW w:w="68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0.154</w:t>
                  </w:r>
                </w:p>
              </w:tc>
              <w:tc>
                <w:tcPr>
                  <w:tcW w:w="548" w:type="dxa"/>
                  <w:tcBorders>
                    <w:top w:val="single" w:color="auto" w:sz="4" w:space="0"/>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6</w:t>
                  </w:r>
                  <w:r>
                    <w:rPr>
                      <w:rFonts w:hint="eastAsia" w:cs="Times New Roman"/>
                      <w:i w:val="0"/>
                      <w:iCs w:val="0"/>
                      <w:color w:val="auto"/>
                      <w:kern w:val="0"/>
                      <w:sz w:val="21"/>
                      <w:szCs w:val="21"/>
                      <w:u w:val="none"/>
                      <w:lang w:val="en-US" w:eastAsia="zh-CN" w:bidi="ar"/>
                    </w:rPr>
                    <w:t>200</w:t>
                  </w:r>
                </w:p>
              </w:tc>
              <w:tc>
                <w:tcPr>
                  <w:tcW w:w="6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0.1463</w:t>
                  </w:r>
                </w:p>
              </w:tc>
              <w:tc>
                <w:tcPr>
                  <w:tcW w:w="75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117.9839</w:t>
                  </w:r>
                </w:p>
              </w:tc>
              <w:tc>
                <w:tcPr>
                  <w:tcW w:w="54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auto"/>
                      <w:kern w:val="0"/>
                      <w:sz w:val="21"/>
                      <w:szCs w:val="21"/>
                      <w:lang w:val="en-US" w:eastAsia="zh-CN"/>
                    </w:rPr>
                  </w:pPr>
                  <w:r>
                    <w:rPr>
                      <w:rFonts w:hint="eastAsia" w:cs="Times New Roman"/>
                      <w:i w:val="0"/>
                      <w:iCs w:val="0"/>
                      <w:color w:val="auto"/>
                      <w:kern w:val="0"/>
                      <w:sz w:val="21"/>
                      <w:szCs w:val="21"/>
                      <w:u w:val="none"/>
                      <w:lang w:val="en-US" w:eastAsia="zh-CN" w:bidi="ar"/>
                    </w:rPr>
                    <w:t>97</w:t>
                  </w:r>
                </w:p>
              </w:tc>
              <w:tc>
                <w:tcPr>
                  <w:tcW w:w="72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i w:val="0"/>
                      <w:iCs w:val="0"/>
                      <w:color w:val="auto"/>
                      <w:kern w:val="0"/>
                      <w:sz w:val="21"/>
                      <w:szCs w:val="21"/>
                      <w:lang w:val="en-US" w:eastAsia="zh-CN" w:bidi="ar"/>
                    </w:rPr>
                    <w:t>0.0044</w:t>
                  </w:r>
                </w:p>
              </w:tc>
              <w:tc>
                <w:tcPr>
                  <w:tcW w:w="73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i w:val="0"/>
                      <w:iCs w:val="0"/>
                      <w:color w:val="auto"/>
                      <w:kern w:val="0"/>
                      <w:sz w:val="21"/>
                      <w:szCs w:val="21"/>
                      <w:lang w:val="en-US" w:eastAsia="zh-CN" w:bidi="ar"/>
                    </w:rPr>
                    <w:t>3.5484</w:t>
                  </w:r>
                </w:p>
              </w:tc>
              <w:tc>
                <w:tcPr>
                  <w:tcW w:w="70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i w:val="0"/>
                      <w:iCs w:val="0"/>
                      <w:color w:val="auto"/>
                      <w:kern w:val="0"/>
                      <w:sz w:val="21"/>
                      <w:szCs w:val="21"/>
                      <w:lang w:val="en-US" w:eastAsia="zh-CN" w:bidi="ar"/>
                    </w:rPr>
                    <w:t>0.022</w:t>
                  </w:r>
                </w:p>
              </w:tc>
              <w:tc>
                <w:tcPr>
                  <w:tcW w:w="77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0.0077</w:t>
                  </w:r>
                </w:p>
              </w:tc>
              <w:tc>
                <w:tcPr>
                  <w:tcW w:w="53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70</w:t>
                  </w:r>
                </w:p>
              </w:tc>
              <w:tc>
                <w:tcPr>
                  <w:tcW w:w="683"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0.0023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73" w:hRule="atLeast"/>
                <w:jc w:val="center"/>
              </w:trPr>
              <w:tc>
                <w:tcPr>
                  <w:tcW w:w="585"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DA063</w:t>
                  </w:r>
                </w:p>
              </w:tc>
              <w:tc>
                <w:tcPr>
                  <w:tcW w:w="40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氨气</w:t>
                  </w:r>
                </w:p>
              </w:tc>
              <w:tc>
                <w:tcPr>
                  <w:tcW w:w="68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0.0218</w:t>
                  </w:r>
                </w:p>
              </w:tc>
              <w:tc>
                <w:tcPr>
                  <w:tcW w:w="54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1300</w:t>
                  </w:r>
                </w:p>
              </w:tc>
              <w:tc>
                <w:tcPr>
                  <w:tcW w:w="6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0.019</w:t>
                  </w:r>
                  <w:r>
                    <w:rPr>
                      <w:rFonts w:hint="eastAsia" w:cs="Times New Roman"/>
                      <w:i w:val="0"/>
                      <w:iCs w:val="0"/>
                      <w:color w:val="auto"/>
                      <w:kern w:val="0"/>
                      <w:sz w:val="21"/>
                      <w:szCs w:val="21"/>
                      <w:u w:val="none"/>
                      <w:lang w:val="en-US" w:eastAsia="zh-CN" w:bidi="ar"/>
                    </w:rPr>
                    <w:t>6</w:t>
                  </w:r>
                </w:p>
              </w:tc>
              <w:tc>
                <w:tcPr>
                  <w:tcW w:w="75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2.094</w:t>
                  </w:r>
                </w:p>
              </w:tc>
              <w:tc>
                <w:tcPr>
                  <w:tcW w:w="54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50</w:t>
                  </w:r>
                </w:p>
              </w:tc>
              <w:tc>
                <w:tcPr>
                  <w:tcW w:w="72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0.0098</w:t>
                  </w:r>
                </w:p>
              </w:tc>
              <w:tc>
                <w:tcPr>
                  <w:tcW w:w="73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1.0433</w:t>
                  </w:r>
                </w:p>
              </w:tc>
              <w:tc>
                <w:tcPr>
                  <w:tcW w:w="70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0.0014</w:t>
                  </w:r>
                </w:p>
              </w:tc>
              <w:tc>
                <w:tcPr>
                  <w:tcW w:w="77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
                    </w:rPr>
                  </w:pPr>
                  <w:r>
                    <w:rPr>
                      <w:rFonts w:hint="eastAsia" w:ascii="Times New Roman" w:hAnsi="Times New Roman" w:eastAsia="宋体" w:cs="Times New Roman"/>
                      <w:color w:val="auto"/>
                      <w:kern w:val="2"/>
                      <w:sz w:val="21"/>
                      <w:szCs w:val="21"/>
                      <w:lang w:val="en-US" w:eastAsia="zh-CN" w:bidi="ar"/>
                    </w:rPr>
                    <w:t>0.00</w:t>
                  </w:r>
                  <w:r>
                    <w:rPr>
                      <w:rFonts w:hint="eastAsia" w:cs="Times New Roman"/>
                      <w:color w:val="auto"/>
                      <w:kern w:val="2"/>
                      <w:sz w:val="21"/>
                      <w:szCs w:val="21"/>
                      <w:lang w:val="en-US" w:eastAsia="zh-CN" w:bidi="ar"/>
                    </w:rPr>
                    <w:t>22</w:t>
                  </w:r>
                </w:p>
              </w:tc>
              <w:tc>
                <w:tcPr>
                  <w:tcW w:w="53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w:t>
                  </w:r>
                </w:p>
              </w:tc>
              <w:tc>
                <w:tcPr>
                  <w:tcW w:w="683" w:type="dxa"/>
                  <w:tcBorders>
                    <w:top w:val="single" w:color="auto" w:sz="4" w:space="0"/>
                    <w:left w:val="single" w:color="auto" w:sz="4" w:space="0"/>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
                    </w:rPr>
                  </w:pPr>
                  <w:r>
                    <w:rPr>
                      <w:rFonts w:hint="eastAsia" w:ascii="Times New Roman" w:hAnsi="Times New Roman" w:eastAsia="宋体" w:cs="Times New Roman"/>
                      <w:color w:val="auto"/>
                      <w:kern w:val="2"/>
                      <w:sz w:val="21"/>
                      <w:szCs w:val="21"/>
                      <w:lang w:val="en-US" w:eastAsia="zh-CN" w:bidi="ar"/>
                    </w:rPr>
                    <w:t>0.00</w:t>
                  </w:r>
                  <w:r>
                    <w:rPr>
                      <w:rFonts w:hint="eastAsia" w:cs="Times New Roman"/>
                      <w:color w:val="auto"/>
                      <w:kern w:val="2"/>
                      <w:sz w:val="21"/>
                      <w:szCs w:val="21"/>
                      <w:lang w:val="en-US" w:eastAsia="zh-CN" w:bidi="ar"/>
                    </w:rPr>
                    <w:t>22</w:t>
                  </w:r>
                </w:p>
              </w:tc>
            </w:tr>
          </w:tbl>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both"/>
              <w:textAlignment w:val="auto"/>
              <w:rPr>
                <w:rFonts w:hint="default" w:ascii="Times New Roman" w:hAnsi="Times New Roman" w:cs="Times New Roman"/>
                <w:b w:val="0"/>
                <w:bCs/>
                <w:color w:val="auto"/>
                <w:sz w:val="24"/>
                <w:szCs w:val="24"/>
                <w:lang w:val="en-US" w:eastAsia="zh-CN"/>
              </w:rPr>
            </w:pPr>
            <w:r>
              <w:rPr>
                <w:rFonts w:hint="eastAsia" w:cs="Times New Roman"/>
                <w:b w:val="0"/>
                <w:bCs/>
                <w:color w:val="auto"/>
                <w:sz w:val="24"/>
                <w:szCs w:val="24"/>
                <w:lang w:val="en-US" w:eastAsia="zh-CN"/>
              </w:rPr>
              <w:t>注：排放浓度按最大浓度计。</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Times New Roman" w:hAnsi="Times New Roman" w:cs="Times New Roman"/>
                <w:b/>
                <w:bCs w:val="0"/>
                <w:color w:val="auto"/>
                <w:sz w:val="24"/>
                <w:szCs w:val="24"/>
                <w:lang w:val="en-US" w:eastAsia="zh-CN"/>
              </w:rPr>
            </w:pPr>
            <w:r>
              <w:rPr>
                <w:rFonts w:hint="default" w:ascii="Times New Roman" w:hAnsi="Times New Roman" w:cs="Times New Roman"/>
                <w:b w:val="0"/>
                <w:bCs/>
                <w:color w:val="auto"/>
                <w:sz w:val="24"/>
                <w:szCs w:val="24"/>
                <w:lang w:val="en-US" w:eastAsia="zh-CN"/>
              </w:rPr>
              <w:t>由上表可知，颗粒物有组织排放量为</w:t>
            </w:r>
            <w:r>
              <w:rPr>
                <w:rFonts w:hint="eastAsia" w:cs="Times New Roman"/>
                <w:b w:val="0"/>
                <w:bCs/>
                <w:color w:val="auto"/>
                <w:sz w:val="24"/>
                <w:szCs w:val="24"/>
                <w:lang w:val="en-US" w:eastAsia="zh-CN"/>
              </w:rPr>
              <w:t>0.0044</w:t>
            </w:r>
            <w:r>
              <w:rPr>
                <w:rFonts w:hint="default" w:ascii="Times New Roman" w:hAnsi="Times New Roman" w:cs="Times New Roman"/>
                <w:b w:val="0"/>
                <w:bCs/>
                <w:color w:val="auto"/>
                <w:sz w:val="24"/>
                <w:szCs w:val="24"/>
                <w:lang w:val="en-US" w:eastAsia="zh-CN"/>
              </w:rPr>
              <w:t>t/a，颗粒物无组织排放量</w:t>
            </w:r>
            <w:r>
              <w:rPr>
                <w:rFonts w:hint="eastAsia" w:ascii="Times New Roman" w:hAnsi="Times New Roman" w:cs="Times New Roman"/>
                <w:b w:val="0"/>
                <w:bCs/>
                <w:color w:val="auto"/>
                <w:sz w:val="24"/>
                <w:szCs w:val="24"/>
                <w:lang w:val="en-US" w:eastAsia="zh-CN"/>
              </w:rPr>
              <w:t>约</w:t>
            </w:r>
            <w:r>
              <w:rPr>
                <w:rFonts w:hint="default" w:ascii="Times New Roman" w:hAnsi="Times New Roman" w:cs="Times New Roman"/>
                <w:b w:val="0"/>
                <w:bCs/>
                <w:color w:val="auto"/>
                <w:sz w:val="24"/>
                <w:szCs w:val="24"/>
                <w:lang w:val="en-US" w:eastAsia="zh-CN"/>
              </w:rPr>
              <w:t>为</w:t>
            </w:r>
            <w:r>
              <w:rPr>
                <w:rFonts w:hint="eastAsia" w:cs="Times New Roman"/>
                <w:b w:val="0"/>
                <w:bCs/>
                <w:color w:val="auto"/>
                <w:sz w:val="24"/>
                <w:szCs w:val="24"/>
                <w:lang w:val="en-US" w:eastAsia="zh-CN"/>
              </w:rPr>
              <w:t>0.0023</w:t>
            </w:r>
            <w:r>
              <w:rPr>
                <w:rFonts w:hint="default" w:ascii="Times New Roman" w:hAnsi="Times New Roman" w:cs="Times New Roman"/>
                <w:b w:val="0"/>
                <w:bCs/>
                <w:color w:val="auto"/>
                <w:sz w:val="24"/>
                <w:szCs w:val="24"/>
                <w:lang w:val="en-US" w:eastAsia="zh-CN"/>
              </w:rPr>
              <w:t>t/a</w:t>
            </w:r>
            <w:r>
              <w:rPr>
                <w:rFonts w:hint="eastAsia" w:ascii="Times New Roman" w:hAnsi="Times New Roman" w:cs="Times New Roman"/>
                <w:b w:val="0"/>
                <w:bCs/>
                <w:color w:val="auto"/>
                <w:sz w:val="24"/>
                <w:szCs w:val="24"/>
                <w:lang w:val="en-US" w:eastAsia="zh-CN"/>
              </w:rPr>
              <w:t>，则颗粒物排放总量约为</w:t>
            </w:r>
            <w:r>
              <w:rPr>
                <w:rFonts w:hint="eastAsia" w:cs="Times New Roman"/>
                <w:b w:val="0"/>
                <w:bCs/>
                <w:color w:val="auto"/>
                <w:sz w:val="24"/>
                <w:szCs w:val="24"/>
                <w:lang w:val="en-US" w:eastAsia="zh-CN"/>
              </w:rPr>
              <w:t>0.0067</w:t>
            </w:r>
            <w:r>
              <w:rPr>
                <w:rFonts w:hint="eastAsia" w:ascii="Times New Roman" w:hAnsi="Times New Roman" w:cs="Times New Roman"/>
                <w:b w:val="0"/>
                <w:bCs/>
                <w:color w:val="auto"/>
                <w:sz w:val="24"/>
                <w:szCs w:val="24"/>
                <w:lang w:val="en-US" w:eastAsia="zh-CN"/>
              </w:rPr>
              <w:t>t/a</w:t>
            </w:r>
            <w:r>
              <w:rPr>
                <w:rFonts w:hint="eastAsia" w:cs="Times New Roman"/>
                <w:b w:val="0"/>
                <w:bCs/>
                <w:color w:val="auto"/>
                <w:sz w:val="24"/>
                <w:szCs w:val="24"/>
                <w:lang w:val="en-US" w:eastAsia="zh-CN"/>
              </w:rPr>
              <w:t>；氨气有组织排放量为0.0098t/a，无组织排放量0.0022t/a，则氨气排放总量为0.012t/a。</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241" w:firstLineChars="100"/>
              <w:jc w:val="both"/>
              <w:textAlignment w:val="auto"/>
              <w:rPr>
                <w:rFonts w:hint="eastAsia" w:ascii="Times New Roman" w:hAnsi="Times New Roman" w:cs="Times New Roman"/>
                <w:b/>
                <w:bCs w:val="0"/>
                <w:color w:val="auto"/>
                <w:sz w:val="24"/>
                <w:szCs w:val="24"/>
                <w:lang w:val="en-US" w:eastAsia="zh-CN"/>
              </w:rPr>
            </w:pPr>
            <w:r>
              <w:rPr>
                <w:rFonts w:hint="eastAsia" w:ascii="Times New Roman" w:hAnsi="Times New Roman" w:cs="Times New Roman"/>
                <w:b/>
                <w:bCs w:val="0"/>
                <w:color w:val="auto"/>
                <w:sz w:val="24"/>
                <w:szCs w:val="24"/>
                <w:lang w:val="en-US" w:eastAsia="zh-CN"/>
              </w:rPr>
              <w:t>1.2废气达标排放分析</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default" w:ascii="Times New Roman" w:hAnsi="Times New Roman" w:cs="Times New Roman"/>
                <w:b/>
                <w:bCs w:val="0"/>
                <w:color w:val="auto"/>
                <w:sz w:val="24"/>
                <w:szCs w:val="24"/>
                <w:lang w:val="en-US" w:eastAsia="zh-CN"/>
              </w:rPr>
            </w:pPr>
            <w:r>
              <w:rPr>
                <w:rFonts w:hint="eastAsia" w:ascii="Times New Roman" w:hAnsi="Times New Roman" w:cs="Times New Roman"/>
                <w:b/>
                <w:bCs w:val="0"/>
                <w:color w:val="auto"/>
                <w:sz w:val="24"/>
                <w:szCs w:val="24"/>
                <w:lang w:val="en-US" w:eastAsia="zh-CN"/>
              </w:rPr>
              <w:t>1.2.1有组织排放</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cs="Times New Roman"/>
                <w:b/>
                <w:bCs w:val="0"/>
                <w:color w:val="auto"/>
                <w:sz w:val="24"/>
                <w:szCs w:val="24"/>
              </w:rPr>
            </w:pPr>
            <w:r>
              <w:rPr>
                <w:rFonts w:hint="eastAsia" w:ascii="Times New Roman" w:hAnsi="Times New Roman" w:cs="Times New Roman"/>
                <w:b/>
                <w:bCs w:val="0"/>
                <w:color w:val="auto"/>
                <w:sz w:val="24"/>
                <w:szCs w:val="24"/>
                <w:lang w:val="en-US" w:eastAsia="zh-CN"/>
              </w:rPr>
              <w:t>本</w:t>
            </w:r>
            <w:r>
              <w:rPr>
                <w:rFonts w:hint="eastAsia" w:ascii="Times New Roman" w:hAnsi="Times New Roman" w:cs="Times New Roman"/>
                <w:b/>
                <w:bCs w:val="0"/>
                <w:color w:val="auto"/>
                <w:sz w:val="24"/>
                <w:szCs w:val="24"/>
              </w:rPr>
              <w:t>项目废气排放口基本情况表</w:t>
            </w:r>
          </w:p>
          <w:tbl>
            <w:tblPr>
              <w:tblStyle w:val="27"/>
              <w:tblW w:w="8355" w:type="dxa"/>
              <w:jc w:val="center"/>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835"/>
              <w:gridCol w:w="1427"/>
              <w:gridCol w:w="1448"/>
              <w:gridCol w:w="1172"/>
              <w:gridCol w:w="1336"/>
              <w:gridCol w:w="1037"/>
              <w:gridCol w:w="110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trHeight w:val="717" w:hRule="atLeast"/>
                <w:jc w:val="center"/>
              </w:trPr>
              <w:tc>
                <w:tcPr>
                  <w:tcW w:w="835"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bCs/>
                      <w:color w:val="auto"/>
                      <w:sz w:val="21"/>
                      <w:szCs w:val="21"/>
                      <w:lang w:eastAsia="zh-CN"/>
                    </w:rPr>
                  </w:pPr>
                  <w:r>
                    <w:rPr>
                      <w:rFonts w:hint="eastAsia" w:ascii="Times New Roman" w:hAnsi="Times New Roman" w:cs="Times New Roman"/>
                      <w:b/>
                      <w:bCs/>
                      <w:color w:val="auto"/>
                      <w:sz w:val="21"/>
                      <w:szCs w:val="21"/>
                      <w:lang w:eastAsia="zh-CN"/>
                    </w:rPr>
                    <w:t>序号</w:t>
                  </w:r>
                </w:p>
              </w:tc>
              <w:tc>
                <w:tcPr>
                  <w:tcW w:w="2875" w:type="dxa"/>
                  <w:gridSpan w:val="2"/>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b/>
                      <w:bCs/>
                      <w:color w:val="auto"/>
                      <w:sz w:val="21"/>
                      <w:szCs w:val="21"/>
                    </w:rPr>
                  </w:pPr>
                  <w:r>
                    <w:rPr>
                      <w:rFonts w:hint="eastAsia" w:ascii="Times New Roman" w:hAnsi="Times New Roman" w:cs="Times New Roman"/>
                      <w:b/>
                      <w:bCs/>
                      <w:color w:val="auto"/>
                      <w:sz w:val="21"/>
                      <w:szCs w:val="21"/>
                    </w:rPr>
                    <w:t>坐标</w:t>
                  </w:r>
                </w:p>
              </w:tc>
              <w:tc>
                <w:tcPr>
                  <w:tcW w:w="1172"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排气筒高度/m</w:t>
                  </w:r>
                </w:p>
              </w:tc>
              <w:tc>
                <w:tcPr>
                  <w:tcW w:w="1336"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排气筒出口内径/m</w:t>
                  </w:r>
                </w:p>
              </w:tc>
              <w:tc>
                <w:tcPr>
                  <w:tcW w:w="1037"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烟气</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温度/</w:t>
                  </w:r>
                  <w:r>
                    <w:rPr>
                      <w:rFonts w:hint="eastAsia" w:ascii="宋体" w:hAnsi="宋体" w:cs="宋体"/>
                      <w:b/>
                      <w:bCs/>
                      <w:color w:val="auto"/>
                      <w:sz w:val="21"/>
                      <w:szCs w:val="21"/>
                    </w:rPr>
                    <w:t>℃</w:t>
                  </w:r>
                </w:p>
              </w:tc>
              <w:tc>
                <w:tcPr>
                  <w:tcW w:w="110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年排放</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小时数/h</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trHeight w:val="727" w:hRule="atLeast"/>
                <w:jc w:val="center"/>
              </w:trPr>
              <w:tc>
                <w:tcPr>
                  <w:tcW w:w="835" w:type="dxa"/>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eastAsia="zh-CN"/>
                    </w:rPr>
                    <w:t>DA066</w:t>
                  </w:r>
                </w:p>
              </w:tc>
              <w:tc>
                <w:tcPr>
                  <w:tcW w:w="1427"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114</w:t>
                  </w:r>
                  <w:r>
                    <w:rPr>
                      <w:rFonts w:hint="default" w:ascii="Times New Roman" w:hAnsi="Times New Roman" w:eastAsia="宋体" w:cs="Times New Roman"/>
                      <w:b w:val="0"/>
                      <w:bCs w:val="0"/>
                      <w:color w:val="auto"/>
                      <w:kern w:val="0"/>
                      <w:sz w:val="21"/>
                      <w:szCs w:val="21"/>
                      <w:u w:val="none" w:color="auto"/>
                      <w:lang w:val="en-US" w:eastAsia="zh-CN" w:bidi="ar"/>
                    </w:rPr>
                    <w:t>°</w:t>
                  </w:r>
                  <w:r>
                    <w:rPr>
                      <w:rFonts w:hint="default" w:ascii="Times New Roman" w:hAnsi="Times New Roman" w:cs="Times New Roman"/>
                      <w:b w:val="0"/>
                      <w:bCs w:val="0"/>
                      <w:color w:val="auto"/>
                      <w:kern w:val="0"/>
                      <w:sz w:val="21"/>
                      <w:szCs w:val="21"/>
                      <w:u w:val="none" w:color="auto"/>
                      <w:lang w:val="en-US" w:eastAsia="zh-CN" w:bidi="ar"/>
                    </w:rPr>
                    <w:t>20</w:t>
                  </w:r>
                  <w:r>
                    <w:rPr>
                      <w:rFonts w:hint="default" w:ascii="Times New Roman" w:hAnsi="Times New Roman" w:cs="Times New Roman"/>
                      <w:color w:val="auto"/>
                      <w:sz w:val="21"/>
                      <w:szCs w:val="21"/>
                      <w:highlight w:val="none"/>
                    </w:rPr>
                    <w:t>'</w:t>
                  </w:r>
                  <w:r>
                    <w:rPr>
                      <w:rFonts w:hint="default" w:ascii="Times New Roman" w:hAnsi="Times New Roman" w:cs="Times New Roman"/>
                      <w:color w:val="auto"/>
                      <w:sz w:val="21"/>
                      <w:szCs w:val="21"/>
                      <w:highlight w:val="none"/>
                      <w:lang w:val="en-US" w:eastAsia="zh-CN"/>
                    </w:rPr>
                    <w:t>16.22</w:t>
                  </w:r>
                  <w:r>
                    <w:rPr>
                      <w:rFonts w:hint="default" w:ascii="Times New Roman" w:hAnsi="Times New Roman" w:cs="Times New Roman"/>
                      <w:color w:val="auto"/>
                      <w:sz w:val="21"/>
                      <w:szCs w:val="21"/>
                      <w:highlight w:val="none"/>
                    </w:rPr>
                    <w:t>"E</w:t>
                  </w:r>
                </w:p>
              </w:tc>
              <w:tc>
                <w:tcPr>
                  <w:tcW w:w="144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3</w:t>
                  </w:r>
                  <w:r>
                    <w:rPr>
                      <w:rFonts w:hint="eastAsia" w:cs="Times New Roman"/>
                      <w:color w:val="auto"/>
                      <w:sz w:val="21"/>
                      <w:szCs w:val="21"/>
                      <w:highlight w:val="none"/>
                      <w:lang w:val="en-US" w:eastAsia="zh-CN"/>
                    </w:rPr>
                    <w:t>5</w:t>
                  </w:r>
                  <w:r>
                    <w:rPr>
                      <w:rFonts w:hint="default" w:ascii="Times New Roman" w:hAnsi="Times New Roman" w:eastAsia="宋体" w:cs="Times New Roman"/>
                      <w:b w:val="0"/>
                      <w:bCs w:val="0"/>
                      <w:color w:val="auto"/>
                      <w:kern w:val="0"/>
                      <w:sz w:val="21"/>
                      <w:szCs w:val="21"/>
                      <w:u w:val="none" w:color="auto"/>
                      <w:lang w:val="en-US" w:eastAsia="zh-CN" w:bidi="ar"/>
                    </w:rPr>
                    <w:t>°</w:t>
                  </w:r>
                  <w:r>
                    <w:rPr>
                      <w:rFonts w:hint="eastAsia" w:cs="Times New Roman"/>
                      <w:b w:val="0"/>
                      <w:bCs w:val="0"/>
                      <w:color w:val="auto"/>
                      <w:kern w:val="0"/>
                      <w:sz w:val="21"/>
                      <w:szCs w:val="21"/>
                      <w:u w:val="none" w:color="auto"/>
                      <w:lang w:val="en-US" w:eastAsia="zh-CN" w:bidi="ar"/>
                    </w:rPr>
                    <w:t>51</w:t>
                  </w:r>
                  <w:r>
                    <w:rPr>
                      <w:rFonts w:hint="eastAsia" w:ascii="Times New Roman" w:hAnsi="Times New Roman" w:cs="Times New Roman"/>
                      <w:color w:val="auto"/>
                      <w:sz w:val="21"/>
                      <w:szCs w:val="21"/>
                      <w:highlight w:val="none"/>
                    </w:rPr>
                    <w:t>'</w:t>
                  </w:r>
                  <w:r>
                    <w:rPr>
                      <w:rFonts w:hint="eastAsia" w:cs="Times New Roman"/>
                      <w:color w:val="auto"/>
                      <w:sz w:val="21"/>
                      <w:szCs w:val="21"/>
                      <w:highlight w:val="none"/>
                      <w:lang w:val="en-US" w:eastAsia="zh-CN"/>
                    </w:rPr>
                    <w:t>1.76</w:t>
                  </w:r>
                  <w:r>
                    <w:rPr>
                      <w:rFonts w:hint="eastAsia" w:ascii="Times New Roman" w:hAnsi="Times New Roman" w:cs="Times New Roman"/>
                      <w:color w:val="auto"/>
                      <w:sz w:val="21"/>
                      <w:szCs w:val="21"/>
                      <w:highlight w:val="none"/>
                    </w:rPr>
                    <w:t>"N</w:t>
                  </w:r>
                </w:p>
              </w:tc>
              <w:tc>
                <w:tcPr>
                  <w:tcW w:w="1172"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18</w:t>
                  </w:r>
                </w:p>
              </w:tc>
              <w:tc>
                <w:tcPr>
                  <w:tcW w:w="1336"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1.8</w:t>
                  </w:r>
                </w:p>
              </w:tc>
              <w:tc>
                <w:tcPr>
                  <w:tcW w:w="1037"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25</w:t>
                  </w:r>
                </w:p>
              </w:tc>
              <w:tc>
                <w:tcPr>
                  <w:tcW w:w="110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4800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trHeight w:val="727" w:hRule="atLeast"/>
                <w:jc w:val="center"/>
              </w:trPr>
              <w:tc>
                <w:tcPr>
                  <w:tcW w:w="835" w:type="dxa"/>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DA063</w:t>
                  </w:r>
                </w:p>
              </w:tc>
              <w:tc>
                <w:tcPr>
                  <w:tcW w:w="1427"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w:t>
                  </w:r>
                  <w:r>
                    <w:rPr>
                      <w:rFonts w:hint="default" w:ascii="Times New Roman" w:hAnsi="Times New Roman" w:cs="Times New Roman"/>
                      <w:color w:val="auto"/>
                      <w:sz w:val="21"/>
                      <w:szCs w:val="21"/>
                      <w:highlight w:val="none"/>
                    </w:rPr>
                    <w:t>14°20</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40.88"E</w:t>
                  </w:r>
                </w:p>
              </w:tc>
              <w:tc>
                <w:tcPr>
                  <w:tcW w:w="144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35°51′3.92"N</w:t>
                  </w:r>
                </w:p>
              </w:tc>
              <w:tc>
                <w:tcPr>
                  <w:tcW w:w="1172"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15</w:t>
                  </w:r>
                </w:p>
              </w:tc>
              <w:tc>
                <w:tcPr>
                  <w:tcW w:w="1336"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0.5</w:t>
                  </w:r>
                </w:p>
              </w:tc>
              <w:tc>
                <w:tcPr>
                  <w:tcW w:w="1037"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25</w:t>
                  </w:r>
                </w:p>
              </w:tc>
              <w:tc>
                <w:tcPr>
                  <w:tcW w:w="110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7200</w:t>
                  </w:r>
                </w:p>
              </w:tc>
            </w:tr>
          </w:tbl>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本项目排放口排放的颗粒物</w:t>
            </w:r>
            <w:r>
              <w:rPr>
                <w:rFonts w:hint="eastAsia" w:cs="Times New Roman"/>
                <w:color w:val="auto"/>
                <w:sz w:val="24"/>
                <w:szCs w:val="24"/>
                <w:lang w:val="en-US" w:eastAsia="zh-CN"/>
              </w:rPr>
              <w:t>能够</w:t>
            </w:r>
            <w:r>
              <w:rPr>
                <w:rFonts w:hint="eastAsia" w:ascii="Times New Roman" w:hAnsi="Times New Roman" w:cs="Times New Roman"/>
                <w:color w:val="auto"/>
                <w:sz w:val="24"/>
                <w:szCs w:val="24"/>
                <w:lang w:val="en-US" w:eastAsia="zh-CN"/>
              </w:rPr>
              <w:t>满足《工业炉窑大气污染物排放标准》（DB41/ 1066—2020）</w:t>
            </w:r>
            <w:r>
              <w:rPr>
                <w:rFonts w:hint="eastAsia" w:cs="Times New Roman"/>
                <w:color w:val="auto"/>
                <w:sz w:val="24"/>
                <w:szCs w:val="24"/>
                <w:lang w:val="en-US" w:eastAsia="zh-CN"/>
              </w:rPr>
              <w:t>中相关限值要求，颗粒物同时满足</w:t>
            </w:r>
            <w:r>
              <w:rPr>
                <w:rFonts w:hint="eastAsia" w:ascii="Times New Roman" w:hAnsi="Times New Roman" w:cs="Times New Roman"/>
                <w:color w:val="auto"/>
                <w:sz w:val="24"/>
                <w:szCs w:val="24"/>
                <w:lang w:val="en-US" w:eastAsia="zh-CN"/>
              </w:rPr>
              <w:t>《安阳市2019年工业大气污染治理5个专项实施方案》的通知（安环攻坚办〔2019〕196号文）中相关限值要求及《河南省重污染天气通用行业应急减排措施制定技术指南》（2024年修订版）中涉PM企业引领性指标</w:t>
            </w:r>
            <w:r>
              <w:rPr>
                <w:rFonts w:hint="eastAsia" w:cs="Times New Roman"/>
                <w:color w:val="auto"/>
                <w:sz w:val="24"/>
                <w:szCs w:val="24"/>
                <w:lang w:val="en-US" w:eastAsia="zh-CN"/>
              </w:rPr>
              <w:t>；氨气能够满足《恶臭污染物排放标准》（GB14554-93）中相关限值要求</w:t>
            </w:r>
            <w:r>
              <w:rPr>
                <w:rFonts w:hint="eastAsia" w:ascii="Times New Roman" w:hAnsi="Times New Roman" w:cs="Times New Roman"/>
                <w:color w:val="auto"/>
                <w:sz w:val="24"/>
                <w:szCs w:val="24"/>
                <w:lang w:val="en-US" w:eastAsia="zh-CN"/>
              </w:rPr>
              <w:t>。</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2"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b/>
                <w:bCs/>
                <w:color w:val="auto"/>
                <w:sz w:val="24"/>
                <w:szCs w:val="24"/>
                <w:lang w:val="en-US" w:eastAsia="zh-CN"/>
              </w:rPr>
              <w:t>1.2.2无组织排放</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本项目无组织排放主要为炒灰上料未收集粉尘及炒灰机搅拌粉尘，通过厂房能够阻隔70％的颗粒物，则颗粒物无组织排放量为0.00</w:t>
            </w:r>
            <w:r>
              <w:rPr>
                <w:rFonts w:hint="eastAsia" w:cs="Times New Roman"/>
                <w:color w:val="auto"/>
                <w:sz w:val="24"/>
                <w:szCs w:val="24"/>
                <w:lang w:val="en-US" w:eastAsia="zh-CN"/>
              </w:rPr>
              <w:t>23</w:t>
            </w:r>
            <w:r>
              <w:rPr>
                <w:rFonts w:hint="eastAsia" w:ascii="Times New Roman" w:hAnsi="Times New Roman" w:cs="Times New Roman"/>
                <w:color w:val="auto"/>
                <w:sz w:val="24"/>
                <w:szCs w:val="24"/>
                <w:lang w:val="en-US" w:eastAsia="zh-CN"/>
              </w:rPr>
              <w:t>t/a</w:t>
            </w:r>
            <w:r>
              <w:rPr>
                <w:rFonts w:hint="eastAsia" w:cs="Times New Roman"/>
                <w:color w:val="auto"/>
                <w:sz w:val="24"/>
                <w:szCs w:val="24"/>
                <w:lang w:val="en-US" w:eastAsia="zh-CN"/>
              </w:rPr>
              <w:t>；氨气无组织排放量为0.0022t/a</w:t>
            </w:r>
            <w:r>
              <w:rPr>
                <w:rFonts w:hint="eastAsia" w:ascii="Times New Roman" w:hAnsi="Times New Roman" w:cs="Times New Roman"/>
                <w:color w:val="auto"/>
                <w:sz w:val="24"/>
                <w:szCs w:val="24"/>
                <w:lang w:val="en-US" w:eastAsia="zh-CN"/>
              </w:rPr>
              <w:t>。</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《环境影响评价技术导则-大气环境》(HJ2.2-2018)附录A中的预测模式清单，本次估算模式采用AERSCREEN模型。预测出颗粒物最大落地浓度为</w:t>
            </w:r>
            <w:r>
              <w:rPr>
                <w:rFonts w:hint="eastAsia" w:cs="Times New Roman"/>
                <w:color w:val="auto"/>
                <w:sz w:val="24"/>
                <w:szCs w:val="24"/>
                <w:lang w:val="en-US" w:eastAsia="zh-CN"/>
              </w:rPr>
              <w:t>6.29</w:t>
            </w:r>
            <w:r>
              <w:rPr>
                <w:rFonts w:hint="eastAsia" w:ascii="Times New Roman" w:hAnsi="Times New Roman" w:cs="Times New Roman"/>
                <w:color w:val="auto"/>
                <w:sz w:val="24"/>
                <w:szCs w:val="24"/>
                <w:lang w:val="en-US" w:eastAsia="zh-CN"/>
              </w:rPr>
              <w:t>×10</w:t>
            </w:r>
            <w:r>
              <w:rPr>
                <w:rFonts w:hint="eastAsia" w:ascii="Times New Roman" w:hAnsi="Times New Roman" w:cs="Times New Roman"/>
                <w:color w:val="auto"/>
                <w:sz w:val="24"/>
                <w:szCs w:val="24"/>
                <w:vertAlign w:val="superscript"/>
                <w:lang w:val="en-US" w:eastAsia="zh-CN"/>
              </w:rPr>
              <w:t>-5</w:t>
            </w:r>
            <w:r>
              <w:rPr>
                <w:rFonts w:hint="eastAsia" w:ascii="Times New Roman" w:hAnsi="Times New Roman" w:cs="Times New Roman"/>
                <w:color w:val="auto"/>
                <w:sz w:val="24"/>
                <w:szCs w:val="24"/>
                <w:lang w:val="en-US" w:eastAsia="zh-CN"/>
              </w:rPr>
              <w:t>mg/m</w:t>
            </w:r>
            <w:r>
              <w:rPr>
                <w:rFonts w:hint="eastAsia" w:ascii="Times New Roman" w:hAnsi="Times New Roman" w:cs="Times New Roman"/>
                <w:color w:val="auto"/>
                <w:sz w:val="24"/>
                <w:szCs w:val="24"/>
                <w:vertAlign w:val="superscript"/>
                <w:lang w:val="en-US" w:eastAsia="zh-CN"/>
              </w:rPr>
              <w:t>3</w:t>
            </w:r>
            <w:r>
              <w:rPr>
                <w:rFonts w:hint="eastAsia" w:cs="Times New Roman"/>
                <w:color w:val="auto"/>
                <w:sz w:val="24"/>
                <w:szCs w:val="24"/>
                <w:lang w:val="en-US" w:eastAsia="zh-CN"/>
              </w:rPr>
              <w:t>；氨气最大落地浓度为6.01×10</w:t>
            </w:r>
            <w:r>
              <w:rPr>
                <w:rFonts w:hint="eastAsia" w:cs="Times New Roman"/>
                <w:color w:val="auto"/>
                <w:sz w:val="24"/>
                <w:szCs w:val="24"/>
                <w:vertAlign w:val="superscript"/>
                <w:lang w:val="en-US" w:eastAsia="zh-CN"/>
              </w:rPr>
              <w:t>-5</w:t>
            </w:r>
            <w:r>
              <w:rPr>
                <w:rFonts w:hint="eastAsia" w:ascii="Times New Roman" w:hAnsi="Times New Roman" w:cs="Times New Roman"/>
                <w:color w:val="auto"/>
                <w:sz w:val="24"/>
                <w:szCs w:val="24"/>
                <w:lang w:val="en-US" w:eastAsia="zh-CN"/>
              </w:rPr>
              <w:t>mg/m</w:t>
            </w:r>
            <w:r>
              <w:rPr>
                <w:rFonts w:hint="eastAsia" w:ascii="Times New Roman" w:hAnsi="Times New Roman" w:cs="Times New Roman"/>
                <w:color w:val="auto"/>
                <w:sz w:val="24"/>
                <w:szCs w:val="24"/>
                <w:vertAlign w:val="superscript"/>
                <w:lang w:val="en-US" w:eastAsia="zh-CN"/>
              </w:rPr>
              <w:t>3</w:t>
            </w:r>
            <w:r>
              <w:rPr>
                <w:rFonts w:hint="eastAsia" w:cs="Times New Roman"/>
                <w:color w:val="auto"/>
                <w:sz w:val="24"/>
                <w:szCs w:val="24"/>
                <w:lang w:val="en-US" w:eastAsia="zh-CN"/>
              </w:rPr>
              <w:t>。颗粒物无组织排放浓度</w:t>
            </w:r>
            <w:r>
              <w:rPr>
                <w:rFonts w:hint="eastAsia" w:ascii="Times New Roman" w:hAnsi="Times New Roman" w:cs="Times New Roman"/>
                <w:color w:val="auto"/>
                <w:sz w:val="24"/>
                <w:szCs w:val="24"/>
                <w:lang w:val="en-US" w:eastAsia="zh-CN"/>
              </w:rPr>
              <w:t>可以满足《工业炉窑大气污染物排放标准》（DB41/1066-2020）表3中“周界外最高允许浓度1.0mg/m</w:t>
            </w:r>
            <w:r>
              <w:rPr>
                <w:rFonts w:hint="eastAsia" w:ascii="Times New Roman" w:hAnsi="Times New Roman" w:cs="Times New Roman"/>
                <w:color w:val="auto"/>
                <w:sz w:val="24"/>
                <w:szCs w:val="24"/>
                <w:vertAlign w:val="superscript"/>
                <w:lang w:val="en-US" w:eastAsia="zh-CN"/>
              </w:rPr>
              <w:t>3</w:t>
            </w:r>
            <w:r>
              <w:rPr>
                <w:rFonts w:hint="eastAsia" w:ascii="Times New Roman" w:hAnsi="Times New Roman" w:cs="Times New Roman"/>
                <w:color w:val="auto"/>
                <w:sz w:val="24"/>
                <w:szCs w:val="24"/>
                <w:lang w:val="en-US" w:eastAsia="zh-CN"/>
              </w:rPr>
              <w:t>”、《安阳市2019年工业大气污染治理5个专项实施方案》（安环攻坚办〔2019〕196号）中文件要求“企业厂界边界颗粒物浓度不超过0.5mg/m</w:t>
            </w:r>
            <w:r>
              <w:rPr>
                <w:rFonts w:hint="eastAsia" w:ascii="Times New Roman" w:hAnsi="Times New Roman" w:cs="Times New Roman"/>
                <w:color w:val="auto"/>
                <w:sz w:val="24"/>
                <w:szCs w:val="24"/>
                <w:vertAlign w:val="superscript"/>
                <w:lang w:val="en-US" w:eastAsia="zh-CN"/>
              </w:rPr>
              <w:t>3</w:t>
            </w:r>
            <w:r>
              <w:rPr>
                <w:rFonts w:hint="eastAsia" w:ascii="Times New Roman" w:hAnsi="Times New Roman" w:cs="Times New Roman"/>
                <w:color w:val="auto"/>
                <w:sz w:val="24"/>
                <w:szCs w:val="24"/>
                <w:lang w:val="en-US" w:eastAsia="zh-CN"/>
              </w:rPr>
              <w:t>，厂房车间内产尘点周边1米处（车间封闭并安装顶吸的为车间门口）颗粒物浓度小于2.0mg/m</w:t>
            </w:r>
            <w:r>
              <w:rPr>
                <w:rFonts w:hint="eastAsia" w:ascii="Times New Roman" w:hAnsi="Times New Roman" w:cs="Times New Roman"/>
                <w:color w:val="auto"/>
                <w:sz w:val="24"/>
                <w:szCs w:val="24"/>
                <w:vertAlign w:val="superscript"/>
                <w:lang w:val="en-US" w:eastAsia="zh-CN"/>
              </w:rPr>
              <w:t>3</w:t>
            </w:r>
            <w:r>
              <w:rPr>
                <w:rFonts w:hint="eastAsia" w:ascii="Times New Roman" w:hAnsi="Times New Roman" w:cs="Times New Roman"/>
                <w:color w:val="auto"/>
                <w:sz w:val="24"/>
                <w:szCs w:val="24"/>
                <w:lang w:val="en-US" w:eastAsia="zh-CN"/>
              </w:rPr>
              <w:t>，全厂各车间不能有可见烟粉尘外逸”</w:t>
            </w:r>
            <w:r>
              <w:rPr>
                <w:rFonts w:hint="eastAsia" w:cs="Times New Roman"/>
                <w:color w:val="auto"/>
                <w:sz w:val="24"/>
                <w:szCs w:val="24"/>
                <w:lang w:val="en-US" w:eastAsia="zh-CN"/>
              </w:rPr>
              <w:t>；氨气无组织排放浓度能够满足《恶臭污染物排放标准》（GB14554-93）中表1，氨气厂界标准值低于1.5mg/m</w:t>
            </w:r>
            <w:r>
              <w:rPr>
                <w:rFonts w:hint="eastAsia" w:cs="Times New Roman"/>
                <w:color w:val="auto"/>
                <w:sz w:val="24"/>
                <w:szCs w:val="24"/>
                <w:vertAlign w:val="superscript"/>
                <w:lang w:val="en-US" w:eastAsia="zh-CN"/>
              </w:rPr>
              <w:t>3</w:t>
            </w:r>
            <w:r>
              <w:rPr>
                <w:rFonts w:hint="eastAsia" w:cs="Times New Roman"/>
                <w:color w:val="auto"/>
                <w:sz w:val="24"/>
                <w:szCs w:val="24"/>
                <w:lang w:val="en-US" w:eastAsia="zh-CN"/>
              </w:rPr>
              <w:t>。</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2" w:firstLineChars="200"/>
              <w:textAlignment w:val="auto"/>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1.2.3污染源非正常排放情况</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b/>
                <w:bCs/>
                <w:color w:val="auto"/>
                <w:sz w:val="24"/>
                <w:szCs w:val="24"/>
                <w:lang w:val="en-US" w:eastAsia="zh-CN"/>
              </w:rPr>
            </w:pPr>
            <w:r>
              <w:rPr>
                <w:rFonts w:hint="eastAsia" w:cs="Times New Roman"/>
                <w:b w:val="0"/>
                <w:bCs w:val="0"/>
                <w:color w:val="auto"/>
                <w:sz w:val="24"/>
                <w:szCs w:val="24"/>
                <w:lang w:val="en-US" w:eastAsia="zh-CN"/>
              </w:rPr>
              <w:t>本项目废气污染治理设施主要为耐高温高效覆膜袋式除尘器及UV光氧+活性炭吸附一体机，当污染治理设施出现故障的非正常工况下，废气治理效率按0计。则非正常工况下污染物排放情况见下表。</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482" w:firstLineChars="200"/>
              <w:jc w:val="center"/>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b/>
                <w:bCs/>
                <w:color w:val="auto"/>
                <w:sz w:val="24"/>
                <w:szCs w:val="24"/>
                <w:lang w:val="en-US" w:eastAsia="zh-CN"/>
              </w:rPr>
              <w:t>污染源非正常排放情况表</w:t>
            </w:r>
          </w:p>
          <w:tbl>
            <w:tblPr>
              <w:tblStyle w:val="27"/>
              <w:tblW w:w="8350" w:type="dxa"/>
              <w:jc w:val="center"/>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22"/>
              <w:gridCol w:w="831"/>
              <w:gridCol w:w="506"/>
              <w:gridCol w:w="613"/>
              <w:gridCol w:w="1033"/>
              <w:gridCol w:w="1197"/>
              <w:gridCol w:w="1089"/>
              <w:gridCol w:w="797"/>
              <w:gridCol w:w="739"/>
              <w:gridCol w:w="72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09" w:hRule="atLeast"/>
                <w:jc w:val="center"/>
              </w:trPr>
              <w:tc>
                <w:tcPr>
                  <w:tcW w:w="822" w:type="dxa"/>
                  <w:tcBorders>
                    <w:top w:val="single" w:color="auto" w:sz="4" w:space="0"/>
                    <w:bottom w:val="single" w:color="auto" w:sz="4" w:space="0"/>
                    <w:right w:val="single" w:color="auto" w:sz="4" w:space="0"/>
                  </w:tcBorders>
                  <w:vAlign w:val="center"/>
                </w:tcPr>
                <w:p>
                  <w:pPr>
                    <w:keepNext w:val="0"/>
                    <w:keepLines w:val="0"/>
                    <w:widowControl w:val="0"/>
                    <w:suppressLineNumbers w:val="0"/>
                    <w:autoSpaceDE w:val="0"/>
                    <w:autoSpaceDN/>
                    <w:adjustRightInd w:val="0"/>
                    <w:spacing w:before="0" w:beforeAutospacing="0" w:after="0" w:afterAutospacing="0"/>
                    <w:ind w:left="0" w:right="0"/>
                    <w:jc w:val="center"/>
                    <w:rPr>
                      <w:rFonts w:hint="default" w:ascii="Times New Roman" w:hAnsi="Times New Roman" w:eastAsia="宋体" w:cs="Times New Roman"/>
                      <w:b/>
                      <w:bCs/>
                      <w:color w:val="auto"/>
                      <w:kern w:val="2"/>
                      <w:sz w:val="21"/>
                      <w:szCs w:val="21"/>
                    </w:rPr>
                  </w:pPr>
                  <w:r>
                    <w:rPr>
                      <w:rFonts w:hint="eastAsia" w:ascii="宋体" w:hAnsi="宋体" w:eastAsia="宋体" w:cs="宋体"/>
                      <w:b/>
                      <w:bCs/>
                      <w:color w:val="auto"/>
                      <w:kern w:val="2"/>
                      <w:sz w:val="21"/>
                      <w:szCs w:val="21"/>
                      <w:lang w:val="en-US" w:eastAsia="zh-CN" w:bidi="ar"/>
                    </w:rPr>
                    <w:t>非正常排放源</w:t>
                  </w:r>
                </w:p>
              </w:tc>
              <w:tc>
                <w:tcPr>
                  <w:tcW w:w="83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adjustRightInd w:val="0"/>
                    <w:spacing w:before="0" w:beforeAutospacing="0" w:after="0" w:afterAutospacing="0"/>
                    <w:ind w:left="0" w:right="0"/>
                    <w:jc w:val="center"/>
                    <w:rPr>
                      <w:rFonts w:hint="default" w:ascii="Times New Roman" w:hAnsi="Times New Roman" w:eastAsia="宋体" w:cs="Times New Roman"/>
                      <w:b/>
                      <w:bCs/>
                      <w:color w:val="auto"/>
                      <w:kern w:val="2"/>
                      <w:sz w:val="21"/>
                      <w:szCs w:val="21"/>
                    </w:rPr>
                  </w:pPr>
                  <w:r>
                    <w:rPr>
                      <w:rFonts w:hint="eastAsia" w:ascii="宋体" w:hAnsi="宋体" w:eastAsia="宋体" w:cs="宋体"/>
                      <w:b/>
                      <w:bCs/>
                      <w:color w:val="auto"/>
                      <w:kern w:val="2"/>
                      <w:sz w:val="21"/>
                      <w:szCs w:val="21"/>
                      <w:lang w:val="en-US" w:eastAsia="zh-CN" w:bidi="ar"/>
                    </w:rPr>
                    <w:t>非正常排放原因</w:t>
                  </w:r>
                </w:p>
              </w:tc>
              <w:tc>
                <w:tcPr>
                  <w:tcW w:w="50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adjustRightInd w:val="0"/>
                    <w:spacing w:before="0" w:beforeAutospacing="0" w:after="0" w:afterAutospacing="0"/>
                    <w:ind w:left="0" w:right="0"/>
                    <w:jc w:val="center"/>
                    <w:rPr>
                      <w:rFonts w:hint="default" w:ascii="Times New Roman" w:hAnsi="Times New Roman" w:eastAsia="宋体" w:cs="Times New Roman"/>
                      <w:b/>
                      <w:bCs/>
                      <w:color w:val="auto"/>
                      <w:kern w:val="2"/>
                      <w:sz w:val="21"/>
                      <w:szCs w:val="21"/>
                    </w:rPr>
                  </w:pPr>
                  <w:r>
                    <w:rPr>
                      <w:rFonts w:hint="eastAsia" w:ascii="宋体" w:hAnsi="宋体" w:eastAsia="宋体" w:cs="宋体"/>
                      <w:b/>
                      <w:bCs/>
                      <w:color w:val="auto"/>
                      <w:kern w:val="2"/>
                      <w:sz w:val="21"/>
                      <w:szCs w:val="21"/>
                      <w:lang w:val="en-US" w:eastAsia="zh-CN" w:bidi="ar"/>
                    </w:rPr>
                    <w:t>污染物</w:t>
                  </w:r>
                </w:p>
              </w:tc>
              <w:tc>
                <w:tcPr>
                  <w:tcW w:w="6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adjustRightInd w:val="0"/>
                    <w:spacing w:before="0" w:beforeAutospacing="0" w:after="0" w:afterAutospacing="0"/>
                    <w:ind w:left="0" w:right="0"/>
                    <w:jc w:val="center"/>
                    <w:rPr>
                      <w:rFonts w:hint="default" w:ascii="Times New Roman" w:hAnsi="Times New Roman" w:eastAsia="宋体" w:cs="Times New Roman"/>
                      <w:b/>
                      <w:bCs/>
                      <w:color w:val="auto"/>
                      <w:kern w:val="2"/>
                      <w:sz w:val="21"/>
                      <w:szCs w:val="21"/>
                    </w:rPr>
                  </w:pPr>
                  <w:r>
                    <w:rPr>
                      <w:rFonts w:hint="eastAsia" w:ascii="宋体" w:hAnsi="宋体" w:eastAsia="宋体" w:cs="宋体"/>
                      <w:b/>
                      <w:bCs/>
                      <w:color w:val="auto"/>
                      <w:kern w:val="2"/>
                      <w:sz w:val="21"/>
                      <w:szCs w:val="21"/>
                      <w:lang w:val="en-US" w:eastAsia="zh-CN" w:bidi="ar"/>
                    </w:rPr>
                    <w:t>处理效率</w:t>
                  </w:r>
                </w:p>
              </w:tc>
              <w:tc>
                <w:tcPr>
                  <w:tcW w:w="10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adjustRightInd w:val="0"/>
                    <w:spacing w:before="0" w:beforeAutospacing="0" w:after="0" w:afterAutospacing="0"/>
                    <w:ind w:left="0" w:right="0"/>
                    <w:jc w:val="center"/>
                    <w:rPr>
                      <w:rFonts w:hint="eastAsia" w:ascii="Times New Roman" w:hAnsi="Times New Roman" w:eastAsia="宋体" w:cs="Times New Roman"/>
                      <w:b/>
                      <w:bCs/>
                      <w:color w:val="auto"/>
                      <w:kern w:val="2"/>
                      <w:sz w:val="21"/>
                      <w:szCs w:val="21"/>
                    </w:rPr>
                  </w:pPr>
                  <w:r>
                    <w:rPr>
                      <w:rFonts w:hint="eastAsia" w:ascii="宋体" w:hAnsi="宋体" w:eastAsia="宋体" w:cs="宋体"/>
                      <w:b/>
                      <w:bCs/>
                      <w:color w:val="auto"/>
                      <w:kern w:val="2"/>
                      <w:sz w:val="21"/>
                      <w:szCs w:val="21"/>
                      <w:lang w:val="en-US" w:eastAsia="zh-CN" w:bidi="ar"/>
                    </w:rPr>
                    <w:t>产生量（</w:t>
                  </w:r>
                  <w:r>
                    <w:rPr>
                      <w:rFonts w:hint="default" w:ascii="Times New Roman" w:hAnsi="Times New Roman" w:eastAsia="宋体" w:cs="Times New Roman"/>
                      <w:b/>
                      <w:bCs/>
                      <w:color w:val="auto"/>
                      <w:kern w:val="2"/>
                      <w:sz w:val="21"/>
                      <w:szCs w:val="21"/>
                      <w:lang w:val="en-US" w:eastAsia="zh-CN" w:bidi="ar"/>
                    </w:rPr>
                    <w:t>t/a</w:t>
                  </w:r>
                  <w:r>
                    <w:rPr>
                      <w:rFonts w:hint="eastAsia" w:ascii="宋体" w:hAnsi="宋体" w:eastAsia="宋体" w:cs="宋体"/>
                      <w:b/>
                      <w:bCs/>
                      <w:color w:val="auto"/>
                      <w:kern w:val="2"/>
                      <w:sz w:val="21"/>
                      <w:szCs w:val="21"/>
                      <w:lang w:val="en-US" w:eastAsia="zh-CN" w:bidi="ar"/>
                    </w:rPr>
                    <w:t>）</w:t>
                  </w:r>
                </w:p>
              </w:tc>
              <w:tc>
                <w:tcPr>
                  <w:tcW w:w="11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adjustRightInd w:val="0"/>
                    <w:spacing w:before="0" w:beforeAutospacing="0" w:after="0" w:afterAutospacing="0"/>
                    <w:ind w:left="0" w:right="0"/>
                    <w:jc w:val="center"/>
                    <w:rPr>
                      <w:rFonts w:hint="default" w:ascii="Times New Roman" w:hAnsi="Times New Roman" w:eastAsia="宋体" w:cs="Times New Roman"/>
                      <w:b/>
                      <w:bCs/>
                      <w:color w:val="auto"/>
                      <w:kern w:val="2"/>
                      <w:sz w:val="21"/>
                      <w:szCs w:val="21"/>
                    </w:rPr>
                  </w:pPr>
                  <w:r>
                    <w:rPr>
                      <w:rFonts w:hint="eastAsia" w:ascii="宋体" w:hAnsi="宋体" w:eastAsia="宋体" w:cs="宋体"/>
                      <w:b/>
                      <w:bCs/>
                      <w:color w:val="auto"/>
                      <w:kern w:val="2"/>
                      <w:sz w:val="21"/>
                      <w:szCs w:val="21"/>
                      <w:lang w:val="en-US" w:eastAsia="zh-CN" w:bidi="ar"/>
                    </w:rPr>
                    <w:t>非正常排放浓度（</w:t>
                  </w:r>
                  <w:r>
                    <w:rPr>
                      <w:rFonts w:hint="default" w:ascii="Times New Roman" w:hAnsi="Times New Roman" w:eastAsia="宋体" w:cs="Times New Roman"/>
                      <w:b/>
                      <w:bCs/>
                      <w:color w:val="auto"/>
                      <w:kern w:val="2"/>
                      <w:sz w:val="21"/>
                      <w:szCs w:val="21"/>
                      <w:lang w:val="en-US" w:eastAsia="zh-CN" w:bidi="ar"/>
                    </w:rPr>
                    <w:t>mg/m</w:t>
                  </w:r>
                  <w:r>
                    <w:rPr>
                      <w:rFonts w:hint="default" w:ascii="Times New Roman" w:hAnsi="Times New Roman" w:eastAsia="宋体" w:cs="Times New Roman"/>
                      <w:b/>
                      <w:bCs/>
                      <w:color w:val="auto"/>
                      <w:kern w:val="2"/>
                      <w:sz w:val="21"/>
                      <w:szCs w:val="21"/>
                      <w:vertAlign w:val="superscript"/>
                      <w:lang w:val="en-US" w:eastAsia="zh-CN" w:bidi="ar"/>
                    </w:rPr>
                    <w:t>3</w:t>
                  </w:r>
                  <w:r>
                    <w:rPr>
                      <w:rFonts w:hint="eastAsia" w:ascii="宋体" w:hAnsi="宋体" w:eastAsia="宋体" w:cs="宋体"/>
                      <w:b/>
                      <w:bCs/>
                      <w:color w:val="auto"/>
                      <w:kern w:val="2"/>
                      <w:sz w:val="21"/>
                      <w:szCs w:val="21"/>
                      <w:lang w:val="en-US" w:eastAsia="zh-CN" w:bidi="ar"/>
                    </w:rPr>
                    <w:t>）</w:t>
                  </w:r>
                </w:p>
              </w:tc>
              <w:tc>
                <w:tcPr>
                  <w:tcW w:w="10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adjustRightInd w:val="0"/>
                    <w:spacing w:before="0" w:beforeAutospacing="0" w:after="0" w:afterAutospacing="0"/>
                    <w:ind w:left="0" w:right="0"/>
                    <w:jc w:val="center"/>
                    <w:rPr>
                      <w:rFonts w:hint="default" w:ascii="Times New Roman" w:hAnsi="Times New Roman" w:eastAsia="宋体" w:cs="Times New Roman"/>
                      <w:b/>
                      <w:bCs/>
                      <w:color w:val="auto"/>
                      <w:kern w:val="2"/>
                      <w:sz w:val="21"/>
                      <w:szCs w:val="21"/>
                    </w:rPr>
                  </w:pPr>
                  <w:r>
                    <w:rPr>
                      <w:rFonts w:hint="eastAsia" w:ascii="宋体" w:hAnsi="宋体" w:eastAsia="宋体" w:cs="宋体"/>
                      <w:b/>
                      <w:bCs/>
                      <w:color w:val="auto"/>
                      <w:kern w:val="2"/>
                      <w:sz w:val="21"/>
                      <w:szCs w:val="21"/>
                      <w:lang w:val="en-US" w:eastAsia="zh-CN" w:bidi="ar"/>
                    </w:rPr>
                    <w:t>非正常排放速率（</w:t>
                  </w:r>
                  <w:r>
                    <w:rPr>
                      <w:rFonts w:hint="default" w:ascii="Times New Roman" w:hAnsi="Times New Roman" w:eastAsia="宋体" w:cs="Times New Roman"/>
                      <w:b/>
                      <w:bCs/>
                      <w:color w:val="auto"/>
                      <w:kern w:val="2"/>
                      <w:sz w:val="21"/>
                      <w:szCs w:val="21"/>
                      <w:lang w:val="en-US" w:eastAsia="zh-CN" w:bidi="ar"/>
                    </w:rPr>
                    <w:t>kg/h</w:t>
                  </w:r>
                  <w:r>
                    <w:rPr>
                      <w:rFonts w:hint="eastAsia" w:ascii="宋体" w:hAnsi="宋体" w:eastAsia="宋体" w:cs="宋体"/>
                      <w:b/>
                      <w:bCs/>
                      <w:color w:val="auto"/>
                      <w:kern w:val="2"/>
                      <w:sz w:val="21"/>
                      <w:szCs w:val="21"/>
                      <w:lang w:val="en-US" w:eastAsia="zh-CN" w:bidi="ar"/>
                    </w:rPr>
                    <w:t>）</w:t>
                  </w:r>
                </w:p>
              </w:tc>
              <w:tc>
                <w:tcPr>
                  <w:tcW w:w="7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adjustRightInd w:val="0"/>
                    <w:spacing w:before="0" w:beforeAutospacing="0" w:after="0" w:afterAutospacing="0"/>
                    <w:ind w:left="0" w:right="0"/>
                    <w:jc w:val="center"/>
                    <w:rPr>
                      <w:rFonts w:hint="default" w:ascii="Times New Roman" w:hAnsi="Times New Roman" w:eastAsia="宋体" w:cs="Times New Roman"/>
                      <w:b/>
                      <w:bCs/>
                      <w:color w:val="auto"/>
                      <w:kern w:val="2"/>
                      <w:sz w:val="21"/>
                      <w:szCs w:val="21"/>
                    </w:rPr>
                  </w:pPr>
                  <w:r>
                    <w:rPr>
                      <w:rFonts w:hint="eastAsia" w:ascii="宋体" w:hAnsi="宋体" w:eastAsia="宋体" w:cs="宋体"/>
                      <w:b/>
                      <w:bCs/>
                      <w:color w:val="auto"/>
                      <w:kern w:val="2"/>
                      <w:sz w:val="21"/>
                      <w:szCs w:val="21"/>
                      <w:lang w:val="en-US" w:eastAsia="zh-CN" w:bidi="ar"/>
                    </w:rPr>
                    <w:t>单次持续时间</w:t>
                  </w:r>
                  <w:r>
                    <w:rPr>
                      <w:rFonts w:hint="default" w:ascii="Times New Roman" w:hAnsi="Times New Roman" w:eastAsia="宋体" w:cs="Times New Roman"/>
                      <w:b/>
                      <w:bCs/>
                      <w:color w:val="auto"/>
                      <w:kern w:val="2"/>
                      <w:sz w:val="21"/>
                      <w:szCs w:val="21"/>
                      <w:lang w:val="en-US" w:eastAsia="zh-CN" w:bidi="ar"/>
                    </w:rPr>
                    <w:t>/h</w:t>
                  </w:r>
                </w:p>
              </w:tc>
              <w:tc>
                <w:tcPr>
                  <w:tcW w:w="73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adjustRightInd w:val="0"/>
                    <w:spacing w:before="0" w:beforeAutospacing="0" w:after="0" w:afterAutospacing="0"/>
                    <w:ind w:left="0" w:right="0"/>
                    <w:jc w:val="center"/>
                    <w:rPr>
                      <w:rFonts w:hint="default" w:ascii="Times New Roman" w:hAnsi="Times New Roman" w:eastAsia="宋体" w:cs="Times New Roman"/>
                      <w:b/>
                      <w:bCs/>
                      <w:color w:val="auto"/>
                      <w:kern w:val="2"/>
                      <w:sz w:val="21"/>
                      <w:szCs w:val="21"/>
                    </w:rPr>
                  </w:pPr>
                  <w:r>
                    <w:rPr>
                      <w:rFonts w:hint="eastAsia" w:ascii="宋体" w:hAnsi="宋体" w:eastAsia="宋体" w:cs="宋体"/>
                      <w:b/>
                      <w:bCs/>
                      <w:color w:val="auto"/>
                      <w:kern w:val="2"/>
                      <w:sz w:val="21"/>
                      <w:szCs w:val="21"/>
                      <w:lang w:val="en-US" w:eastAsia="zh-CN" w:bidi="ar"/>
                    </w:rPr>
                    <w:t>年发生频次</w:t>
                  </w:r>
                  <w:r>
                    <w:rPr>
                      <w:rFonts w:hint="default" w:ascii="Times New Roman" w:hAnsi="Times New Roman" w:eastAsia="宋体" w:cs="Times New Roman"/>
                      <w:b/>
                      <w:bCs/>
                      <w:color w:val="auto"/>
                      <w:kern w:val="2"/>
                      <w:sz w:val="21"/>
                      <w:szCs w:val="21"/>
                      <w:lang w:val="en-US" w:eastAsia="zh-CN" w:bidi="ar"/>
                    </w:rPr>
                    <w:t>/</w:t>
                  </w:r>
                  <w:r>
                    <w:rPr>
                      <w:rFonts w:hint="eastAsia" w:ascii="宋体" w:hAnsi="宋体" w:eastAsia="宋体" w:cs="宋体"/>
                      <w:b/>
                      <w:bCs/>
                      <w:color w:val="auto"/>
                      <w:kern w:val="2"/>
                      <w:sz w:val="21"/>
                      <w:szCs w:val="21"/>
                      <w:lang w:val="en-US" w:eastAsia="zh-CN" w:bidi="ar"/>
                    </w:rPr>
                    <w:t>次</w:t>
                  </w:r>
                </w:p>
              </w:tc>
              <w:tc>
                <w:tcPr>
                  <w:tcW w:w="723" w:type="dxa"/>
                  <w:tcBorders>
                    <w:top w:val="single" w:color="auto" w:sz="4" w:space="0"/>
                    <w:left w:val="single" w:color="auto" w:sz="4" w:space="0"/>
                    <w:bottom w:val="single" w:color="auto" w:sz="4" w:space="0"/>
                  </w:tcBorders>
                  <w:vAlign w:val="center"/>
                </w:tcPr>
                <w:p>
                  <w:pPr>
                    <w:keepNext w:val="0"/>
                    <w:keepLines w:val="0"/>
                    <w:widowControl w:val="0"/>
                    <w:suppressLineNumbers w:val="0"/>
                    <w:autoSpaceDE w:val="0"/>
                    <w:autoSpaceDN/>
                    <w:adjustRightInd w:val="0"/>
                    <w:spacing w:before="0" w:beforeAutospacing="0" w:after="0" w:afterAutospacing="0"/>
                    <w:ind w:left="0" w:right="0"/>
                    <w:jc w:val="center"/>
                    <w:rPr>
                      <w:rFonts w:hint="default" w:ascii="Times New Roman" w:hAnsi="Times New Roman" w:eastAsia="宋体" w:cs="Times New Roman"/>
                      <w:b/>
                      <w:bCs/>
                      <w:color w:val="auto"/>
                      <w:kern w:val="2"/>
                      <w:sz w:val="21"/>
                      <w:szCs w:val="21"/>
                    </w:rPr>
                  </w:pPr>
                  <w:r>
                    <w:rPr>
                      <w:rFonts w:hint="eastAsia" w:ascii="宋体" w:hAnsi="宋体" w:eastAsia="宋体" w:cs="宋体"/>
                      <w:b/>
                      <w:bCs/>
                      <w:color w:val="auto"/>
                      <w:kern w:val="2"/>
                      <w:sz w:val="21"/>
                      <w:szCs w:val="21"/>
                      <w:lang w:val="en-US" w:eastAsia="zh-CN" w:bidi="ar"/>
                    </w:rPr>
                    <w:t>应对措施</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002" w:hRule="atLeast"/>
                <w:jc w:val="center"/>
              </w:trPr>
              <w:tc>
                <w:tcPr>
                  <w:tcW w:w="822" w:type="dxa"/>
                  <w:tcBorders>
                    <w:top w:val="single" w:color="auto" w:sz="4" w:space="0"/>
                    <w:right w:val="single" w:color="auto" w:sz="4" w:space="0"/>
                  </w:tcBorders>
                  <w:vAlign w:val="center"/>
                </w:tcPr>
                <w:p>
                  <w:pPr>
                    <w:keepNext w:val="0"/>
                    <w:keepLines w:val="0"/>
                    <w:widowControl w:val="0"/>
                    <w:suppressLineNumbers w:val="0"/>
                    <w:autoSpaceDE w:val="0"/>
                    <w:autoSpaceDN/>
                    <w:adjustRightInd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lang w:val="en-US"/>
                    </w:rPr>
                  </w:pPr>
                  <w:r>
                    <w:rPr>
                      <w:rFonts w:hint="eastAsia" w:ascii="Times New Roman" w:hAnsi="Times New Roman" w:eastAsia="宋体" w:cs="Times New Roman"/>
                      <w:b w:val="0"/>
                      <w:bCs w:val="0"/>
                      <w:color w:val="auto"/>
                      <w:kern w:val="2"/>
                      <w:sz w:val="21"/>
                      <w:szCs w:val="21"/>
                      <w:lang w:val="en-US" w:eastAsia="zh-CN" w:bidi="ar"/>
                    </w:rPr>
                    <w:t>DA066</w:t>
                  </w:r>
                </w:p>
              </w:tc>
              <w:tc>
                <w:tcPr>
                  <w:tcW w:w="831" w:type="dxa"/>
                  <w:tcBorders>
                    <w:top w:val="single" w:color="auto" w:sz="4" w:space="0"/>
                    <w:left w:val="single" w:color="auto" w:sz="4" w:space="0"/>
                    <w:right w:val="single" w:color="auto" w:sz="4" w:space="0"/>
                  </w:tcBorders>
                  <w:vAlign w:val="center"/>
                </w:tcPr>
                <w:p>
                  <w:pPr>
                    <w:keepNext w:val="0"/>
                    <w:keepLines w:val="0"/>
                    <w:widowControl w:val="0"/>
                    <w:suppressLineNumbers w:val="0"/>
                    <w:autoSpaceDE w:val="0"/>
                    <w:autoSpaceDN/>
                    <w:adjustRightInd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rPr>
                  </w:pPr>
                  <w:r>
                    <w:rPr>
                      <w:rFonts w:hint="eastAsia" w:ascii="宋体" w:hAnsi="宋体" w:eastAsia="宋体" w:cs="宋体"/>
                      <w:b w:val="0"/>
                      <w:bCs w:val="0"/>
                      <w:color w:val="auto"/>
                      <w:kern w:val="2"/>
                      <w:sz w:val="21"/>
                      <w:szCs w:val="21"/>
                      <w:lang w:val="en-US" w:eastAsia="zh-CN" w:bidi="ar"/>
                    </w:rPr>
                    <w:t>废气治理设施故障</w:t>
                  </w:r>
                </w:p>
              </w:tc>
              <w:tc>
                <w:tcPr>
                  <w:tcW w:w="50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adjustRightInd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rPr>
                  </w:pPr>
                  <w:r>
                    <w:rPr>
                      <w:rFonts w:hint="eastAsia" w:ascii="宋体" w:hAnsi="宋体" w:eastAsia="宋体" w:cs="宋体"/>
                      <w:b w:val="0"/>
                      <w:bCs w:val="0"/>
                      <w:color w:val="auto"/>
                      <w:kern w:val="2"/>
                      <w:sz w:val="21"/>
                      <w:szCs w:val="21"/>
                      <w:lang w:val="en-US" w:eastAsia="zh-CN" w:bidi="ar"/>
                    </w:rPr>
                    <w:t>颗粒物</w:t>
                  </w:r>
                </w:p>
              </w:tc>
              <w:tc>
                <w:tcPr>
                  <w:tcW w:w="613" w:type="dxa"/>
                  <w:tcBorders>
                    <w:top w:val="single" w:color="auto" w:sz="4" w:space="0"/>
                    <w:left w:val="single" w:color="auto" w:sz="4" w:space="0"/>
                    <w:right w:val="single" w:color="auto" w:sz="4" w:space="0"/>
                  </w:tcBorders>
                  <w:vAlign w:val="center"/>
                </w:tcPr>
                <w:p>
                  <w:pPr>
                    <w:keepNext w:val="0"/>
                    <w:keepLines w:val="0"/>
                    <w:widowControl w:val="0"/>
                    <w:suppressLineNumbers w:val="0"/>
                    <w:autoSpaceDE w:val="0"/>
                    <w:autoSpaceDN/>
                    <w:adjustRightInd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lang w:val="en-US" w:eastAsia="zh-CN" w:bidi="ar"/>
                    </w:rPr>
                  </w:pPr>
                  <w:r>
                    <w:rPr>
                      <w:rFonts w:hint="default" w:ascii="Times New Roman" w:hAnsi="Times New Roman" w:eastAsia="宋体" w:cs="Times New Roman"/>
                      <w:b w:val="0"/>
                      <w:bCs w:val="0"/>
                      <w:color w:val="auto"/>
                      <w:kern w:val="2"/>
                      <w:sz w:val="21"/>
                      <w:szCs w:val="21"/>
                      <w:lang w:val="en-US" w:eastAsia="zh-CN" w:bidi="ar"/>
                    </w:rPr>
                    <w:t>0</w:t>
                  </w:r>
                </w:p>
              </w:tc>
              <w:tc>
                <w:tcPr>
                  <w:tcW w:w="10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adjustRightInd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lang w:val="en-US" w:eastAsia="zh-CN"/>
                    </w:rPr>
                  </w:pPr>
                  <w:r>
                    <w:rPr>
                      <w:rFonts w:hint="eastAsia" w:ascii="Times New Roman" w:hAnsi="Times New Roman" w:eastAsia="宋体" w:cs="Times New Roman"/>
                      <w:b w:val="0"/>
                      <w:bCs w:val="0"/>
                      <w:color w:val="auto"/>
                      <w:kern w:val="2"/>
                      <w:sz w:val="21"/>
                      <w:szCs w:val="21"/>
                      <w:lang w:val="en-US" w:eastAsia="zh-CN"/>
                    </w:rPr>
                    <w:t>0.154</w:t>
                  </w:r>
                </w:p>
              </w:tc>
              <w:tc>
                <w:tcPr>
                  <w:tcW w:w="11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adjustRightInd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rPr>
                  </w:pPr>
                  <w:r>
                    <w:rPr>
                      <w:rFonts w:hint="eastAsia" w:cs="Times New Roman"/>
                      <w:color w:val="auto"/>
                      <w:kern w:val="2"/>
                      <w:sz w:val="21"/>
                      <w:szCs w:val="21"/>
                      <w:lang w:val="en-US" w:eastAsia="zh-CN"/>
                    </w:rPr>
                    <w:t>124.1935</w:t>
                  </w:r>
                </w:p>
              </w:tc>
              <w:tc>
                <w:tcPr>
                  <w:tcW w:w="10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adjustRightInd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lang w:val="en-US" w:eastAsia="zh-CN"/>
                    </w:rPr>
                  </w:pPr>
                  <w:r>
                    <w:rPr>
                      <w:rFonts w:hint="eastAsia" w:ascii="Times New Roman" w:hAnsi="Times New Roman" w:eastAsia="宋体" w:cs="Times New Roman"/>
                      <w:b w:val="0"/>
                      <w:bCs w:val="0"/>
                      <w:color w:val="auto"/>
                      <w:kern w:val="2"/>
                      <w:sz w:val="21"/>
                      <w:szCs w:val="21"/>
                      <w:lang w:val="en-US" w:eastAsia="zh-CN"/>
                    </w:rPr>
                    <w:t>0.077</w:t>
                  </w:r>
                </w:p>
              </w:tc>
              <w:tc>
                <w:tcPr>
                  <w:tcW w:w="7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adjustRightInd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bidi="ar"/>
                    </w:rPr>
                    <w:t>1</w:t>
                  </w:r>
                </w:p>
              </w:tc>
              <w:tc>
                <w:tcPr>
                  <w:tcW w:w="73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adjustRightInd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bidi="ar"/>
                    </w:rPr>
                    <w:t>1</w:t>
                  </w:r>
                </w:p>
              </w:tc>
              <w:tc>
                <w:tcPr>
                  <w:tcW w:w="723" w:type="dxa"/>
                  <w:vMerge w:val="restart"/>
                  <w:tcBorders>
                    <w:top w:val="single" w:color="auto" w:sz="4" w:space="0"/>
                    <w:left w:val="single" w:color="auto" w:sz="4" w:space="0"/>
                  </w:tcBorders>
                  <w:vAlign w:val="center"/>
                </w:tcPr>
                <w:p>
                  <w:pPr>
                    <w:keepNext w:val="0"/>
                    <w:keepLines w:val="0"/>
                    <w:widowControl w:val="0"/>
                    <w:suppressLineNumbers w:val="0"/>
                    <w:autoSpaceDE w:val="0"/>
                    <w:autoSpaceDN/>
                    <w:adjustRightInd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rPr>
                  </w:pPr>
                  <w:r>
                    <w:rPr>
                      <w:rFonts w:hint="eastAsia" w:ascii="宋体" w:hAnsi="宋体" w:eastAsia="宋体" w:cs="宋体"/>
                      <w:b w:val="0"/>
                      <w:bCs w:val="0"/>
                      <w:color w:val="auto"/>
                      <w:kern w:val="2"/>
                      <w:sz w:val="21"/>
                      <w:szCs w:val="21"/>
                      <w:lang w:val="en-US" w:eastAsia="zh-CN" w:bidi="ar"/>
                    </w:rPr>
                    <w:t>立即停止生产进行检修</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002" w:hRule="atLeast"/>
                <w:jc w:val="center"/>
              </w:trPr>
              <w:tc>
                <w:tcPr>
                  <w:tcW w:w="822" w:type="dxa"/>
                  <w:tcBorders>
                    <w:top w:val="single" w:color="auto" w:sz="4" w:space="0"/>
                    <w:bottom w:val="single" w:color="auto" w:sz="4" w:space="0"/>
                    <w:right w:val="single" w:color="auto" w:sz="4" w:space="0"/>
                  </w:tcBorders>
                  <w:vAlign w:val="center"/>
                </w:tcPr>
                <w:p>
                  <w:pPr>
                    <w:keepNext w:val="0"/>
                    <w:keepLines w:val="0"/>
                    <w:widowControl w:val="0"/>
                    <w:suppressLineNumbers w:val="0"/>
                    <w:autoSpaceDE w:val="0"/>
                    <w:autoSpaceDN/>
                    <w:adjustRightInd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lang w:val="en-US" w:eastAsia="zh-CN" w:bidi="ar"/>
                    </w:rPr>
                  </w:pPr>
                  <w:r>
                    <w:rPr>
                      <w:rFonts w:hint="eastAsia" w:cs="Times New Roman"/>
                      <w:b w:val="0"/>
                      <w:bCs w:val="0"/>
                      <w:color w:val="auto"/>
                      <w:kern w:val="2"/>
                      <w:sz w:val="21"/>
                      <w:szCs w:val="21"/>
                      <w:lang w:val="en-US" w:eastAsia="zh-CN" w:bidi="ar"/>
                    </w:rPr>
                    <w:t>DA063</w:t>
                  </w:r>
                </w:p>
              </w:tc>
              <w:tc>
                <w:tcPr>
                  <w:tcW w:w="83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adjustRightInd w:val="0"/>
                    <w:spacing w:before="0" w:beforeAutospacing="0" w:after="0" w:afterAutospacing="0"/>
                    <w:ind w:left="0" w:right="0"/>
                    <w:jc w:val="center"/>
                    <w:rPr>
                      <w:rFonts w:hint="eastAsia" w:ascii="宋体" w:hAnsi="宋体" w:eastAsia="宋体" w:cs="宋体"/>
                      <w:b w:val="0"/>
                      <w:bCs w:val="0"/>
                      <w:color w:val="auto"/>
                      <w:kern w:val="2"/>
                      <w:sz w:val="21"/>
                      <w:szCs w:val="21"/>
                      <w:lang w:val="en-US" w:eastAsia="zh-CN" w:bidi="ar"/>
                    </w:rPr>
                  </w:pPr>
                  <w:r>
                    <w:rPr>
                      <w:rFonts w:hint="eastAsia" w:ascii="宋体" w:hAnsi="宋体" w:eastAsia="宋体" w:cs="宋体"/>
                      <w:b w:val="0"/>
                      <w:bCs w:val="0"/>
                      <w:color w:val="auto"/>
                      <w:kern w:val="2"/>
                      <w:sz w:val="21"/>
                      <w:szCs w:val="21"/>
                      <w:lang w:val="en-US" w:eastAsia="zh-CN" w:bidi="ar"/>
                    </w:rPr>
                    <w:t>废气治理设施故障</w:t>
                  </w:r>
                </w:p>
              </w:tc>
              <w:tc>
                <w:tcPr>
                  <w:tcW w:w="50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adjustRightInd w:val="0"/>
                    <w:spacing w:before="0" w:beforeAutospacing="0" w:after="0" w:afterAutospacing="0"/>
                    <w:ind w:left="0" w:right="0"/>
                    <w:jc w:val="center"/>
                    <w:rPr>
                      <w:rFonts w:hint="eastAsia" w:ascii="宋体" w:hAnsi="宋体" w:eastAsia="宋体" w:cs="宋体"/>
                      <w:b w:val="0"/>
                      <w:bCs w:val="0"/>
                      <w:color w:val="auto"/>
                      <w:kern w:val="2"/>
                      <w:sz w:val="21"/>
                      <w:szCs w:val="21"/>
                      <w:lang w:val="en-US" w:eastAsia="zh-CN" w:bidi="ar"/>
                    </w:rPr>
                  </w:pPr>
                  <w:r>
                    <w:rPr>
                      <w:rFonts w:hint="eastAsia" w:ascii="宋体" w:hAnsi="宋体" w:cs="宋体"/>
                      <w:b w:val="0"/>
                      <w:bCs w:val="0"/>
                      <w:color w:val="auto"/>
                      <w:kern w:val="2"/>
                      <w:sz w:val="21"/>
                      <w:szCs w:val="21"/>
                      <w:lang w:val="en-US" w:eastAsia="zh-CN" w:bidi="ar"/>
                    </w:rPr>
                    <w:t>氨气</w:t>
                  </w:r>
                </w:p>
              </w:tc>
              <w:tc>
                <w:tcPr>
                  <w:tcW w:w="6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adjustRightInd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lang w:val="en-US" w:eastAsia="zh-CN" w:bidi="ar"/>
                    </w:rPr>
                  </w:pPr>
                  <w:r>
                    <w:rPr>
                      <w:rFonts w:hint="default" w:ascii="Times New Roman" w:hAnsi="Times New Roman" w:eastAsia="宋体" w:cs="Times New Roman"/>
                      <w:b w:val="0"/>
                      <w:bCs w:val="0"/>
                      <w:color w:val="auto"/>
                      <w:kern w:val="2"/>
                      <w:sz w:val="21"/>
                      <w:szCs w:val="21"/>
                      <w:lang w:val="en-US" w:eastAsia="zh-CN" w:bidi="ar"/>
                    </w:rPr>
                    <w:t>0</w:t>
                  </w:r>
                </w:p>
              </w:tc>
              <w:tc>
                <w:tcPr>
                  <w:tcW w:w="10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adjustRightInd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lang w:val="en-US" w:eastAsia="zh-CN"/>
                    </w:rPr>
                  </w:pPr>
                  <w:r>
                    <w:rPr>
                      <w:rFonts w:hint="eastAsia" w:cs="Times New Roman"/>
                      <w:b w:val="0"/>
                      <w:bCs w:val="0"/>
                      <w:color w:val="auto"/>
                      <w:kern w:val="2"/>
                      <w:sz w:val="21"/>
                      <w:szCs w:val="21"/>
                      <w:lang w:val="en-US" w:eastAsia="zh-CN"/>
                    </w:rPr>
                    <w:t>0.0218</w:t>
                  </w:r>
                </w:p>
              </w:tc>
              <w:tc>
                <w:tcPr>
                  <w:tcW w:w="11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adjustRightInd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rPr>
                  </w:pPr>
                  <w:r>
                    <w:rPr>
                      <w:rFonts w:hint="eastAsia" w:cs="Times New Roman"/>
                      <w:color w:val="auto"/>
                      <w:kern w:val="2"/>
                      <w:sz w:val="21"/>
                      <w:szCs w:val="21"/>
                      <w:lang w:val="en-US" w:eastAsia="zh-CN"/>
                    </w:rPr>
                    <w:t>2.3291</w:t>
                  </w:r>
                </w:p>
              </w:tc>
              <w:tc>
                <w:tcPr>
                  <w:tcW w:w="10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adjustRightInd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lang w:val="en-US" w:eastAsia="zh-CN"/>
                    </w:rPr>
                  </w:pPr>
                  <w:r>
                    <w:rPr>
                      <w:rFonts w:hint="eastAsia" w:cs="Times New Roman"/>
                      <w:b w:val="0"/>
                      <w:bCs w:val="0"/>
                      <w:color w:val="auto"/>
                      <w:kern w:val="2"/>
                      <w:sz w:val="21"/>
                      <w:szCs w:val="21"/>
                      <w:lang w:val="en-US" w:eastAsia="zh-CN"/>
                    </w:rPr>
                    <w:t>0.003</w:t>
                  </w:r>
                </w:p>
              </w:tc>
              <w:tc>
                <w:tcPr>
                  <w:tcW w:w="7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adjustRightInd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lang w:val="en-US" w:eastAsia="zh-CN" w:bidi="ar"/>
                    </w:rPr>
                  </w:pPr>
                  <w:r>
                    <w:rPr>
                      <w:rFonts w:hint="eastAsia" w:cs="Times New Roman"/>
                      <w:b w:val="0"/>
                      <w:bCs w:val="0"/>
                      <w:color w:val="auto"/>
                      <w:kern w:val="2"/>
                      <w:sz w:val="21"/>
                      <w:szCs w:val="21"/>
                      <w:lang w:val="en-US" w:eastAsia="zh-CN" w:bidi="ar"/>
                    </w:rPr>
                    <w:t>1</w:t>
                  </w:r>
                </w:p>
              </w:tc>
              <w:tc>
                <w:tcPr>
                  <w:tcW w:w="73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adjustRightInd w:val="0"/>
                    <w:spacing w:before="0" w:beforeAutospacing="0" w:after="0" w:afterAutospacing="0"/>
                    <w:ind w:left="0" w:right="0"/>
                    <w:jc w:val="center"/>
                    <w:rPr>
                      <w:rFonts w:hint="default" w:ascii="Times New Roman" w:hAnsi="Times New Roman" w:eastAsia="宋体" w:cs="Times New Roman"/>
                      <w:b w:val="0"/>
                      <w:bCs w:val="0"/>
                      <w:color w:val="auto"/>
                      <w:kern w:val="2"/>
                      <w:sz w:val="21"/>
                      <w:szCs w:val="21"/>
                      <w:lang w:val="en-US" w:eastAsia="zh-CN" w:bidi="ar"/>
                    </w:rPr>
                  </w:pPr>
                  <w:r>
                    <w:rPr>
                      <w:rFonts w:hint="eastAsia" w:cs="Times New Roman"/>
                      <w:b w:val="0"/>
                      <w:bCs w:val="0"/>
                      <w:color w:val="auto"/>
                      <w:kern w:val="2"/>
                      <w:sz w:val="21"/>
                      <w:szCs w:val="21"/>
                      <w:lang w:val="en-US" w:eastAsia="zh-CN" w:bidi="ar"/>
                    </w:rPr>
                    <w:t>1</w:t>
                  </w:r>
                </w:p>
              </w:tc>
              <w:tc>
                <w:tcPr>
                  <w:tcW w:w="723" w:type="dxa"/>
                  <w:vMerge w:val="continue"/>
                  <w:tcBorders>
                    <w:left w:val="single" w:color="auto" w:sz="4" w:space="0"/>
                    <w:bottom w:val="single" w:color="auto" w:sz="4" w:space="0"/>
                  </w:tcBorders>
                  <w:vAlign w:val="center"/>
                </w:tcPr>
                <w:p>
                  <w:pPr>
                    <w:keepNext w:val="0"/>
                    <w:keepLines w:val="0"/>
                    <w:widowControl w:val="0"/>
                    <w:suppressLineNumbers w:val="0"/>
                    <w:autoSpaceDE w:val="0"/>
                    <w:autoSpaceDN/>
                    <w:adjustRightInd w:val="0"/>
                    <w:spacing w:before="0" w:beforeAutospacing="0" w:after="0" w:afterAutospacing="0"/>
                    <w:ind w:left="0" w:right="0"/>
                    <w:jc w:val="center"/>
                    <w:rPr>
                      <w:rFonts w:hint="eastAsia" w:ascii="宋体" w:hAnsi="宋体" w:eastAsia="宋体" w:cs="宋体"/>
                      <w:b w:val="0"/>
                      <w:bCs w:val="0"/>
                      <w:color w:val="auto"/>
                      <w:kern w:val="2"/>
                      <w:sz w:val="21"/>
                      <w:szCs w:val="21"/>
                      <w:lang w:val="en-US" w:eastAsia="zh-CN" w:bidi="ar"/>
                    </w:rPr>
                  </w:pPr>
                </w:p>
              </w:tc>
            </w:tr>
          </w:tbl>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2" w:firstLineChars="200"/>
              <w:textAlignment w:val="auto"/>
              <w:rPr>
                <w:rFonts w:hint="default" w:ascii="Times New Roman" w:hAnsi="Times New Roman" w:cs="Times New Roman"/>
                <w:color w:val="auto"/>
                <w:sz w:val="24"/>
                <w:szCs w:val="24"/>
                <w:lang w:val="en-US" w:eastAsia="zh-CN"/>
              </w:rPr>
            </w:pPr>
            <w:r>
              <w:rPr>
                <w:rFonts w:hint="eastAsia" w:ascii="Times New Roman" w:hAnsi="Times New Roman" w:cs="Times New Roman"/>
                <w:b/>
                <w:bCs/>
                <w:color w:val="auto"/>
                <w:sz w:val="24"/>
                <w:szCs w:val="24"/>
                <w:lang w:val="en-US" w:eastAsia="zh-CN"/>
              </w:rPr>
              <w:t>1.2.4自行监测计划</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企业属于重点排污单位，根据</w:t>
            </w:r>
            <w:r>
              <w:rPr>
                <w:rFonts w:hint="eastAsia" w:cs="Times New Roman"/>
                <w:color w:val="auto"/>
                <w:sz w:val="24"/>
                <w:szCs w:val="24"/>
                <w:lang w:val="en-US" w:eastAsia="zh-CN"/>
              </w:rPr>
              <w:t>《排污许可证申请与核发技术规范</w:t>
            </w:r>
            <w:r>
              <w:rPr>
                <w:rFonts w:hint="default" w:ascii="Times New Roman" w:hAnsi="Times New Roman" w:cs="Times New Roman"/>
                <w:color w:val="auto"/>
                <w:sz w:val="24"/>
                <w:szCs w:val="24"/>
                <w:lang w:val="en-US" w:eastAsia="zh-CN"/>
              </w:rPr>
              <w:t>——</w:t>
            </w:r>
            <w:r>
              <w:rPr>
                <w:rFonts w:hint="eastAsia" w:ascii="Times New Roman" w:hAnsi="Times New Roman" w:cs="Times New Roman"/>
                <w:color w:val="auto"/>
                <w:sz w:val="24"/>
                <w:szCs w:val="24"/>
                <w:lang w:val="en-US" w:eastAsia="zh-CN"/>
              </w:rPr>
              <w:t>工业固体废物和危险废物治理</w:t>
            </w:r>
            <w:r>
              <w:rPr>
                <w:rFonts w:hint="eastAsia" w:cs="Times New Roman"/>
                <w:color w:val="auto"/>
                <w:sz w:val="24"/>
                <w:szCs w:val="24"/>
                <w:lang w:val="en-US" w:eastAsia="zh-CN"/>
              </w:rPr>
              <w:t>》（HJ1033-2019）</w:t>
            </w:r>
            <w:r>
              <w:rPr>
                <w:rFonts w:hint="eastAsia" w:ascii="Times New Roman" w:hAnsi="Times New Roman" w:cs="Times New Roman"/>
                <w:color w:val="auto"/>
                <w:sz w:val="24"/>
                <w:szCs w:val="24"/>
                <w:lang w:val="en-US" w:eastAsia="zh-CN"/>
              </w:rPr>
              <w:t>及</w:t>
            </w:r>
            <w:r>
              <w:rPr>
                <w:rFonts w:hint="eastAsia" w:cs="Times New Roman"/>
                <w:color w:val="auto"/>
                <w:sz w:val="24"/>
                <w:szCs w:val="24"/>
                <w:lang w:val="en-US" w:eastAsia="zh-CN"/>
              </w:rPr>
              <w:t>参考</w:t>
            </w:r>
            <w:r>
              <w:rPr>
                <w:rFonts w:hint="eastAsia" w:ascii="Times New Roman" w:hAnsi="Times New Roman" w:cs="Times New Roman"/>
                <w:color w:val="auto"/>
                <w:sz w:val="24"/>
                <w:szCs w:val="24"/>
                <w:lang w:val="en-US" w:eastAsia="zh-CN"/>
              </w:rPr>
              <w:t>《排污许可证申请与核发技术规范</w:t>
            </w:r>
            <w:r>
              <w:rPr>
                <w:rFonts w:hint="default" w:ascii="Times New Roman" w:hAnsi="Times New Roman" w:cs="Times New Roman"/>
                <w:color w:val="auto"/>
                <w:sz w:val="24"/>
                <w:szCs w:val="24"/>
                <w:lang w:val="en-US" w:eastAsia="zh-CN"/>
              </w:rPr>
              <w:t>——</w:t>
            </w:r>
            <w:r>
              <w:rPr>
                <w:rFonts w:hint="eastAsia" w:ascii="Times New Roman" w:hAnsi="Times New Roman" w:cs="Times New Roman"/>
                <w:color w:val="auto"/>
                <w:sz w:val="24"/>
                <w:szCs w:val="24"/>
                <w:lang w:val="en-US" w:eastAsia="zh-CN"/>
              </w:rPr>
              <w:t>工业炉窑》（HJ1121-2020），DA066排放口安装CEMS设施，本工程自行监测计划见下表。</w:t>
            </w:r>
          </w:p>
          <w:p>
            <w:pPr>
              <w:keepNext w:val="0"/>
              <w:keepLines w:val="0"/>
              <w:numPr>
                <w:ilvl w:val="0"/>
                <w:numId w:val="0"/>
              </w:numPr>
              <w:suppressLineNumbers w:val="0"/>
              <w:tabs>
                <w:tab w:val="clear" w:pos="0"/>
                <w:tab w:val="clear" w:pos="2040"/>
              </w:tabs>
              <w:autoSpaceDE w:val="0"/>
              <w:autoSpaceDN w:val="0"/>
              <w:adjustRightInd w:val="0"/>
              <w:snapToGrid w:val="0"/>
              <w:spacing w:before="0" w:beforeAutospacing="0" w:after="0" w:afterAutospacing="0"/>
              <w:ind w:left="0" w:leftChars="0" w:right="0"/>
              <w:jc w:val="center"/>
              <w:rPr>
                <w:rFonts w:hint="default" w:ascii="Times New Roman" w:hAnsi="Times New Roman" w:eastAsia="宋体" w:cs="Times New Roman"/>
                <w:b/>
                <w:bCs/>
                <w:color w:val="auto"/>
                <w:sz w:val="24"/>
                <w:szCs w:val="24"/>
                <w:lang w:val="zh-CN"/>
              </w:rPr>
            </w:pPr>
            <w:r>
              <w:rPr>
                <w:rFonts w:hint="default" w:ascii="Times New Roman" w:hAnsi="Times New Roman" w:eastAsia="宋体" w:cs="Times New Roman"/>
                <w:b/>
                <w:bCs/>
                <w:color w:val="auto"/>
                <w:sz w:val="24"/>
                <w:szCs w:val="24"/>
              </w:rPr>
              <w:t>污染源</w:t>
            </w:r>
            <w:r>
              <w:rPr>
                <w:rFonts w:hint="eastAsia" w:ascii="Times New Roman" w:hAnsi="Times New Roman" w:eastAsia="宋体" w:cs="Times New Roman"/>
                <w:b/>
                <w:bCs/>
                <w:color w:val="auto"/>
                <w:sz w:val="24"/>
                <w:szCs w:val="24"/>
                <w:highlight w:val="none"/>
                <w:lang w:eastAsia="zh-CN"/>
              </w:rPr>
              <w:t>监测</w:t>
            </w:r>
            <w:r>
              <w:rPr>
                <w:rFonts w:hint="default" w:ascii="Times New Roman" w:hAnsi="Times New Roman" w:eastAsia="宋体" w:cs="Times New Roman"/>
                <w:b/>
                <w:bCs/>
                <w:color w:val="auto"/>
                <w:sz w:val="24"/>
                <w:szCs w:val="24"/>
              </w:rPr>
              <w:t>计划</w:t>
            </w:r>
            <w:r>
              <w:rPr>
                <w:rFonts w:hint="eastAsia" w:ascii="Times New Roman" w:hAnsi="Times New Roman" w:eastAsia="宋体" w:cs="Times New Roman"/>
                <w:b/>
                <w:bCs/>
                <w:color w:val="auto"/>
                <w:sz w:val="24"/>
                <w:szCs w:val="24"/>
              </w:rPr>
              <w:t>表</w:t>
            </w:r>
          </w:p>
          <w:tbl>
            <w:tblPr>
              <w:tblStyle w:val="27"/>
              <w:tblW w:w="8355" w:type="dxa"/>
              <w:jc w:val="center"/>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83"/>
              <w:gridCol w:w="928"/>
              <w:gridCol w:w="1179"/>
              <w:gridCol w:w="1192"/>
              <w:gridCol w:w="3361"/>
              <w:gridCol w:w="121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483" w:type="dxa"/>
                  <w:tcBorders>
                    <w:top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color w:val="auto"/>
                      <w:kern w:val="2"/>
                      <w:sz w:val="21"/>
                      <w:szCs w:val="21"/>
                      <w:u w:val="none"/>
                    </w:rPr>
                  </w:pPr>
                  <w:r>
                    <w:rPr>
                      <w:rFonts w:hint="default" w:ascii="Times New Roman" w:hAnsi="Times New Roman" w:eastAsia="宋体" w:cs="Times New Roman"/>
                      <w:b/>
                      <w:bCs/>
                      <w:color w:val="auto"/>
                      <w:kern w:val="2"/>
                      <w:sz w:val="21"/>
                      <w:szCs w:val="21"/>
                      <w:u w:val="none"/>
                      <w:lang w:val="en-US" w:eastAsia="zh-CN" w:bidi="ar"/>
                    </w:rPr>
                    <w:t>序号</w:t>
                  </w:r>
                </w:p>
              </w:tc>
              <w:tc>
                <w:tcPr>
                  <w:tcW w:w="92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kern w:val="2"/>
                      <w:sz w:val="21"/>
                      <w:szCs w:val="21"/>
                      <w:u w:val="none"/>
                    </w:rPr>
                  </w:pPr>
                  <w:r>
                    <w:rPr>
                      <w:rFonts w:hint="default" w:ascii="Times New Roman" w:hAnsi="Times New Roman" w:eastAsia="宋体" w:cs="Times New Roman"/>
                      <w:b/>
                      <w:bCs/>
                      <w:color w:val="auto"/>
                      <w:kern w:val="2"/>
                      <w:sz w:val="21"/>
                      <w:szCs w:val="21"/>
                      <w:u w:val="none"/>
                      <w:lang w:val="en-US" w:eastAsia="zh-CN" w:bidi="ar"/>
                    </w:rPr>
                    <w:t>污染源</w:t>
                  </w:r>
                </w:p>
              </w:tc>
              <w:tc>
                <w:tcPr>
                  <w:tcW w:w="117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kern w:val="2"/>
                      <w:sz w:val="21"/>
                      <w:szCs w:val="21"/>
                      <w:u w:val="none"/>
                    </w:rPr>
                  </w:pPr>
                  <w:r>
                    <w:rPr>
                      <w:rFonts w:hint="default" w:ascii="Times New Roman" w:hAnsi="Times New Roman" w:eastAsia="宋体" w:cs="Times New Roman"/>
                      <w:b/>
                      <w:bCs/>
                      <w:color w:val="auto"/>
                      <w:kern w:val="2"/>
                      <w:sz w:val="21"/>
                      <w:szCs w:val="21"/>
                      <w:u w:val="none"/>
                      <w:lang w:val="en-US" w:eastAsia="zh-CN" w:bidi="ar"/>
                    </w:rPr>
                    <w:t>污染因子</w:t>
                  </w:r>
                </w:p>
              </w:tc>
              <w:tc>
                <w:tcPr>
                  <w:tcW w:w="119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kern w:val="2"/>
                      <w:sz w:val="21"/>
                      <w:szCs w:val="21"/>
                      <w:u w:val="none"/>
                    </w:rPr>
                  </w:pPr>
                  <w:r>
                    <w:rPr>
                      <w:rFonts w:hint="default" w:ascii="Times New Roman" w:hAnsi="Times New Roman" w:eastAsia="宋体" w:cs="Times New Roman"/>
                      <w:b/>
                      <w:bCs/>
                      <w:color w:val="auto"/>
                      <w:kern w:val="2"/>
                      <w:sz w:val="21"/>
                      <w:szCs w:val="21"/>
                      <w:u w:val="none"/>
                      <w:lang w:val="en-US" w:eastAsia="zh-CN" w:bidi="ar"/>
                    </w:rPr>
                    <w:t>监测频次</w:t>
                  </w:r>
                </w:p>
              </w:tc>
              <w:tc>
                <w:tcPr>
                  <w:tcW w:w="33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kern w:val="2"/>
                      <w:sz w:val="21"/>
                      <w:szCs w:val="21"/>
                      <w:u w:val="none"/>
                    </w:rPr>
                  </w:pPr>
                  <w:r>
                    <w:rPr>
                      <w:rFonts w:hint="default" w:ascii="Times New Roman" w:hAnsi="Times New Roman" w:eastAsia="宋体" w:cs="Times New Roman"/>
                      <w:b/>
                      <w:bCs/>
                      <w:color w:val="auto"/>
                      <w:kern w:val="2"/>
                      <w:sz w:val="21"/>
                      <w:szCs w:val="21"/>
                      <w:u w:val="none"/>
                      <w:lang w:val="en-US" w:eastAsia="zh-CN" w:bidi="ar"/>
                    </w:rPr>
                    <w:t>执行排放标准</w:t>
                  </w:r>
                </w:p>
              </w:tc>
              <w:tc>
                <w:tcPr>
                  <w:tcW w:w="1212" w:type="dxa"/>
                  <w:tcBorders>
                    <w:top w:val="single" w:color="auto" w:sz="4" w:space="0"/>
                    <w:left w:val="single" w:color="auto" w:sz="4" w:space="0"/>
                    <w:bottom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color w:val="auto"/>
                      <w:kern w:val="2"/>
                      <w:sz w:val="21"/>
                      <w:szCs w:val="21"/>
                      <w:u w:val="none"/>
                    </w:rPr>
                  </w:pPr>
                  <w:r>
                    <w:rPr>
                      <w:rFonts w:hint="default" w:ascii="Times New Roman" w:hAnsi="Times New Roman" w:eastAsia="宋体" w:cs="Times New Roman"/>
                      <w:b/>
                      <w:bCs/>
                      <w:color w:val="auto"/>
                      <w:kern w:val="2"/>
                      <w:sz w:val="21"/>
                      <w:szCs w:val="21"/>
                      <w:u w:val="none"/>
                      <w:lang w:val="en-US" w:eastAsia="zh-CN" w:bidi="ar"/>
                    </w:rPr>
                    <w:t>备注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483" w:type="dxa"/>
                  <w:tcBorders>
                    <w:top w:val="nil"/>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u w:val="none"/>
                      <w:lang w:val="en-US" w:eastAsia="zh-CN"/>
                    </w:rPr>
                  </w:pPr>
                  <w:r>
                    <w:rPr>
                      <w:rFonts w:hint="default" w:ascii="Times New Roman" w:hAnsi="Times New Roman" w:eastAsia="宋体" w:cs="Times New Roman"/>
                      <w:color w:val="auto"/>
                      <w:kern w:val="2"/>
                      <w:sz w:val="21"/>
                      <w:szCs w:val="21"/>
                      <w:u w:val="none"/>
                      <w:lang w:val="en-US" w:eastAsia="zh-CN"/>
                    </w:rPr>
                    <w:t>1</w:t>
                  </w:r>
                </w:p>
              </w:tc>
              <w:tc>
                <w:tcPr>
                  <w:tcW w:w="928" w:type="dxa"/>
                  <w:tcBorders>
                    <w:top w:val="nil"/>
                    <w:left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u w:val="none"/>
                    </w:rPr>
                  </w:pPr>
                  <w:r>
                    <w:rPr>
                      <w:rFonts w:hint="eastAsia" w:ascii="Times New Roman" w:hAnsi="Times New Roman" w:cs="Times New Roman"/>
                      <w:color w:val="auto"/>
                      <w:kern w:val="2"/>
                      <w:sz w:val="21"/>
                      <w:szCs w:val="21"/>
                      <w:u w:val="none"/>
                      <w:lang w:val="en-US" w:eastAsia="zh-CN" w:bidi="ar"/>
                    </w:rPr>
                    <w:t>DA066</w:t>
                  </w:r>
                </w:p>
              </w:tc>
              <w:tc>
                <w:tcPr>
                  <w:tcW w:w="117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颗粒物</w:t>
                  </w:r>
                </w:p>
              </w:tc>
              <w:tc>
                <w:tcPr>
                  <w:tcW w:w="1192" w:type="dxa"/>
                  <w:tcBorders>
                    <w:top w:val="nil"/>
                    <w:left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u w:val="none"/>
                    </w:rPr>
                  </w:pPr>
                  <w:r>
                    <w:rPr>
                      <w:rFonts w:hint="default" w:ascii="Times New Roman" w:hAnsi="Times New Roman" w:eastAsia="宋体" w:cs="Times New Roman"/>
                      <w:color w:val="auto"/>
                      <w:kern w:val="2"/>
                      <w:sz w:val="21"/>
                      <w:szCs w:val="21"/>
                      <w:u w:val="none"/>
                      <w:lang w:val="en-US" w:eastAsia="zh-CN" w:bidi="ar"/>
                    </w:rPr>
                    <w:t>自动监测</w:t>
                  </w:r>
                </w:p>
              </w:tc>
              <w:tc>
                <w:tcPr>
                  <w:tcW w:w="3361" w:type="dxa"/>
                  <w:tcBorders>
                    <w:top w:val="nil"/>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eastAsia="宋体" w:cs="Times New Roman"/>
                      <w:color w:val="auto"/>
                      <w:kern w:val="2"/>
                      <w:sz w:val="21"/>
                      <w:szCs w:val="21"/>
                      <w:u w:val="none"/>
                    </w:rPr>
                  </w:pPr>
                  <w:r>
                    <w:rPr>
                      <w:rFonts w:hint="default" w:ascii="Times New Roman" w:hAnsi="Times New Roman" w:eastAsia="宋体" w:cs="Times New Roman"/>
                      <w:color w:val="auto"/>
                      <w:kern w:val="2"/>
                      <w:sz w:val="21"/>
                      <w:szCs w:val="21"/>
                      <w:u w:val="none"/>
                      <w:lang w:val="en-US" w:eastAsia="zh-CN" w:bidi="ar"/>
                    </w:rPr>
                    <w:t>《工业炉窑大气污染物排放标准》（DB41/1066-2020）</w:t>
                  </w:r>
                  <w:r>
                    <w:rPr>
                      <w:rFonts w:hint="eastAsia" w:ascii="Times New Roman" w:hAnsi="Times New Roman" w:eastAsia="宋体" w:cs="Times New Roman"/>
                      <w:color w:val="auto"/>
                      <w:kern w:val="2"/>
                      <w:sz w:val="21"/>
                      <w:szCs w:val="21"/>
                      <w:u w:val="none"/>
                      <w:lang w:val="en-US" w:eastAsia="zh-CN" w:bidi="ar"/>
                    </w:rPr>
                    <w:t>、《安阳市2019年工业大气污染治理5个专项实施方案》的通知（安环攻坚办〔2019〕196号文）、《河南省重污染天气通用行业应急减排措施制定技术指南》（2024年修订版）</w:t>
                  </w:r>
                </w:p>
              </w:tc>
              <w:tc>
                <w:tcPr>
                  <w:tcW w:w="1212" w:type="dxa"/>
                  <w:tcBorders>
                    <w:top w:val="nil"/>
                    <w:left w:val="single" w:color="auto" w:sz="4" w:space="0"/>
                    <w:bottom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u w:val="none"/>
                    </w:rPr>
                  </w:pPr>
                  <w:r>
                    <w:rPr>
                      <w:rFonts w:hint="default" w:ascii="Times New Roman" w:hAnsi="Times New Roman" w:eastAsia="宋体" w:cs="Times New Roman"/>
                      <w:color w:val="auto"/>
                      <w:kern w:val="2"/>
                      <w:sz w:val="21"/>
                      <w:szCs w:val="21"/>
                      <w:u w:val="none"/>
                      <w:lang w:val="en-US" w:eastAsia="zh-CN" w:bidi="ar"/>
                    </w:rPr>
                    <w:t>自动监测设备故障期内每6h人工采样监测一次</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483" w:type="dxa"/>
                  <w:tcBorders>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eastAsia="宋体" w:cs="Times New Roman"/>
                      <w:color w:val="auto"/>
                      <w:kern w:val="2"/>
                      <w:sz w:val="21"/>
                      <w:szCs w:val="21"/>
                      <w:u w:val="none"/>
                      <w:lang w:val="en-US" w:eastAsia="zh-CN"/>
                    </w:rPr>
                    <w:t>2</w:t>
                  </w:r>
                </w:p>
              </w:tc>
              <w:tc>
                <w:tcPr>
                  <w:tcW w:w="928" w:type="dxa"/>
                  <w:tcBorders>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u w:val="none"/>
                      <w:lang w:val="en-US" w:eastAsia="zh-CN" w:bidi="ar"/>
                    </w:rPr>
                  </w:pPr>
                  <w:r>
                    <w:rPr>
                      <w:rFonts w:hint="eastAsia" w:cs="Times New Roman"/>
                      <w:color w:val="auto"/>
                      <w:kern w:val="2"/>
                      <w:sz w:val="21"/>
                      <w:szCs w:val="21"/>
                      <w:u w:val="none"/>
                      <w:lang w:val="en-US" w:eastAsia="zh-CN" w:bidi="ar"/>
                    </w:rPr>
                    <w:t>DA063</w:t>
                  </w:r>
                </w:p>
              </w:tc>
              <w:tc>
                <w:tcPr>
                  <w:tcW w:w="117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氨</w:t>
                  </w:r>
                </w:p>
              </w:tc>
              <w:tc>
                <w:tcPr>
                  <w:tcW w:w="1192" w:type="dxa"/>
                  <w:tcBorders>
                    <w:top w:val="nil"/>
                    <w:left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u w:val="none"/>
                      <w:lang w:val="en-US" w:eastAsia="zh-CN" w:bidi="ar"/>
                    </w:rPr>
                  </w:pPr>
                  <w:r>
                    <w:rPr>
                      <w:rFonts w:hint="eastAsia" w:cs="Times New Roman"/>
                      <w:color w:val="auto"/>
                      <w:kern w:val="2"/>
                      <w:sz w:val="21"/>
                      <w:szCs w:val="21"/>
                      <w:u w:val="none"/>
                      <w:lang w:val="en-US" w:eastAsia="zh-CN" w:bidi="ar"/>
                    </w:rPr>
                    <w:t>1次/半年</w:t>
                  </w:r>
                </w:p>
              </w:tc>
              <w:tc>
                <w:tcPr>
                  <w:tcW w:w="3361" w:type="dxa"/>
                  <w:tcBorders>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u w:val="none"/>
                      <w:lang w:val="en-US" w:eastAsia="zh-CN" w:bidi="ar"/>
                    </w:rPr>
                  </w:pPr>
                  <w:r>
                    <w:rPr>
                      <w:rFonts w:hint="default" w:ascii="Times New Roman" w:hAnsi="Times New Roman" w:eastAsia="宋体" w:cs="Times New Roman"/>
                      <w:color w:val="auto"/>
                      <w:kern w:val="2"/>
                      <w:sz w:val="21"/>
                      <w:szCs w:val="21"/>
                      <w:u w:val="none"/>
                      <w:lang w:val="en-US" w:eastAsia="zh-CN" w:bidi="ar"/>
                    </w:rPr>
                    <w:t>《恶臭污染物排放标准》（GB14554-93）</w:t>
                  </w:r>
                </w:p>
              </w:tc>
              <w:tc>
                <w:tcPr>
                  <w:tcW w:w="1212" w:type="dxa"/>
                  <w:tcBorders>
                    <w:top w:val="nil"/>
                    <w:left w:val="single" w:color="auto" w:sz="4" w:space="0"/>
                    <w:bottom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u w:val="none"/>
                      <w:lang w:val="en-US" w:eastAsia="zh-CN" w:bidi="ar"/>
                    </w:rPr>
                  </w:pPr>
                  <w:r>
                    <w:rPr>
                      <w:rFonts w:hint="eastAsia" w:cs="Times New Roman"/>
                      <w:color w:val="auto"/>
                      <w:kern w:val="2"/>
                      <w:sz w:val="21"/>
                      <w:szCs w:val="21"/>
                      <w:u w:val="none"/>
                      <w:lang w:val="en-US" w:eastAsia="zh-CN" w:bidi="ar"/>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483" w:type="dxa"/>
                  <w:vMerge w:val="restart"/>
                  <w:tcBorders>
                    <w:top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eastAsia="宋体" w:cs="Times New Roman"/>
                      <w:color w:val="auto"/>
                      <w:kern w:val="2"/>
                      <w:sz w:val="21"/>
                      <w:szCs w:val="21"/>
                      <w:u w:val="none"/>
                      <w:lang w:val="en-US" w:eastAsia="zh-CN"/>
                    </w:rPr>
                    <w:t>3</w:t>
                  </w:r>
                </w:p>
              </w:tc>
              <w:tc>
                <w:tcPr>
                  <w:tcW w:w="928" w:type="dxa"/>
                  <w:vMerge w:val="restart"/>
                  <w:tcBorders>
                    <w:top w:val="single" w:color="auto" w:sz="4" w:space="0"/>
                    <w:left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u w:val="none"/>
                      <w:lang w:val="en-US" w:eastAsia="zh-CN" w:bidi="ar"/>
                    </w:rPr>
                  </w:pPr>
                  <w:r>
                    <w:rPr>
                      <w:rFonts w:hint="default" w:ascii="Times New Roman" w:hAnsi="Times New Roman" w:cs="Times New Roman"/>
                      <w:color w:val="auto"/>
                      <w:kern w:val="2"/>
                      <w:sz w:val="21"/>
                      <w:szCs w:val="21"/>
                      <w:u w:val="none"/>
                      <w:lang w:val="en-US" w:eastAsia="zh-CN" w:bidi="ar"/>
                    </w:rPr>
                    <w:t>厂界四周</w:t>
                  </w:r>
                </w:p>
              </w:tc>
              <w:tc>
                <w:tcPr>
                  <w:tcW w:w="117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颗粒物</w:t>
                  </w:r>
                </w:p>
              </w:tc>
              <w:tc>
                <w:tcPr>
                  <w:tcW w:w="1192" w:type="dxa"/>
                  <w:tcBorders>
                    <w:left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u w:val="none"/>
                      <w:lang w:val="en-US" w:eastAsia="zh-CN" w:bidi="ar"/>
                    </w:rPr>
                  </w:pPr>
                  <w:r>
                    <w:rPr>
                      <w:rFonts w:hint="default" w:ascii="Times New Roman" w:hAnsi="Times New Roman" w:eastAsia="宋体" w:cs="Times New Roman"/>
                      <w:color w:val="auto"/>
                      <w:kern w:val="2"/>
                      <w:sz w:val="21"/>
                      <w:szCs w:val="21"/>
                      <w:u w:val="none"/>
                      <w:lang w:val="en-US" w:eastAsia="zh-CN" w:bidi="ar"/>
                    </w:rPr>
                    <w:t>1次/半年</w:t>
                  </w:r>
                </w:p>
              </w:tc>
              <w:tc>
                <w:tcPr>
                  <w:tcW w:w="33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eastAsia="宋体" w:cs="Times New Roman"/>
                      <w:color w:val="auto"/>
                      <w:kern w:val="2"/>
                      <w:sz w:val="21"/>
                      <w:szCs w:val="21"/>
                      <w:u w:val="none"/>
                      <w:lang w:val="en-US" w:eastAsia="zh-CN" w:bidi="ar"/>
                    </w:rPr>
                  </w:pPr>
                  <w:r>
                    <w:rPr>
                      <w:rFonts w:hint="default" w:ascii="Times New Roman" w:hAnsi="Times New Roman" w:eastAsia="宋体" w:cs="Times New Roman"/>
                      <w:color w:val="auto"/>
                      <w:kern w:val="2"/>
                      <w:sz w:val="21"/>
                      <w:szCs w:val="21"/>
                      <w:u w:val="none"/>
                      <w:lang w:val="en-US" w:eastAsia="zh-CN" w:bidi="ar"/>
                    </w:rPr>
                    <w:t>《工业炉窑大气污染物排放标准》（DB41/1066-2020）</w:t>
                  </w:r>
                  <w:r>
                    <w:rPr>
                      <w:rFonts w:hint="eastAsia" w:ascii="Times New Roman" w:hAnsi="Times New Roman" w:eastAsia="宋体" w:cs="Times New Roman"/>
                      <w:color w:val="auto"/>
                      <w:kern w:val="2"/>
                      <w:sz w:val="21"/>
                      <w:szCs w:val="21"/>
                      <w:u w:val="none"/>
                      <w:lang w:val="en-US" w:eastAsia="zh-CN" w:bidi="ar"/>
                    </w:rPr>
                    <w:t>、《安阳市2019年工业企业无组织排放污染治理实施方案》</w:t>
                  </w:r>
                </w:p>
              </w:tc>
              <w:tc>
                <w:tcPr>
                  <w:tcW w:w="1212" w:type="dxa"/>
                  <w:tcBorders>
                    <w:top w:val="single" w:color="auto" w:sz="4" w:space="0"/>
                    <w:left w:val="single" w:color="auto" w:sz="4" w:space="0"/>
                    <w:bottom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u w:val="none"/>
                      <w:lang w:val="en-US" w:eastAsia="zh-CN" w:bidi="ar"/>
                    </w:rPr>
                  </w:pPr>
                  <w:r>
                    <w:rPr>
                      <w:rFonts w:hint="default" w:ascii="Times New Roman" w:hAnsi="Times New Roman" w:eastAsia="宋体" w:cs="Times New Roman"/>
                      <w:color w:val="auto"/>
                      <w:kern w:val="2"/>
                      <w:sz w:val="21"/>
                      <w:szCs w:val="21"/>
                      <w:u w:val="none"/>
                      <w:lang w:val="en-US" w:eastAsia="zh-CN" w:bidi="ar"/>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483" w:type="dxa"/>
                  <w:vMerge w:val="continue"/>
                  <w:tcBorders>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u w:val="none"/>
                      <w:lang w:val="en-US" w:eastAsia="zh-CN"/>
                    </w:rPr>
                  </w:pPr>
                </w:p>
              </w:tc>
              <w:tc>
                <w:tcPr>
                  <w:tcW w:w="928" w:type="dxa"/>
                  <w:vMerge w:val="continue"/>
                  <w:tcBorders>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u w:val="none"/>
                      <w:lang w:val="en-US" w:eastAsia="zh-CN" w:bidi="ar"/>
                    </w:rPr>
                  </w:pPr>
                </w:p>
              </w:tc>
              <w:tc>
                <w:tcPr>
                  <w:tcW w:w="117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氨</w:t>
                  </w:r>
                </w:p>
              </w:tc>
              <w:tc>
                <w:tcPr>
                  <w:tcW w:w="1192" w:type="dxa"/>
                  <w:tcBorders>
                    <w:left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u w:val="none"/>
                      <w:lang w:val="en-US" w:eastAsia="zh-CN" w:bidi="ar"/>
                    </w:rPr>
                  </w:pPr>
                  <w:r>
                    <w:rPr>
                      <w:rFonts w:hint="default" w:ascii="Times New Roman" w:hAnsi="Times New Roman" w:eastAsia="宋体" w:cs="Times New Roman"/>
                      <w:color w:val="auto"/>
                      <w:kern w:val="2"/>
                      <w:sz w:val="21"/>
                      <w:szCs w:val="21"/>
                      <w:u w:val="none"/>
                      <w:lang w:val="en-US" w:eastAsia="zh-CN" w:bidi="ar"/>
                    </w:rPr>
                    <w:t>1次/半年</w:t>
                  </w:r>
                </w:p>
              </w:tc>
              <w:tc>
                <w:tcPr>
                  <w:tcW w:w="33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u w:val="none"/>
                      <w:lang w:val="en-US" w:eastAsia="zh-CN" w:bidi="ar"/>
                    </w:rPr>
                  </w:pPr>
                  <w:r>
                    <w:rPr>
                      <w:rFonts w:hint="default" w:ascii="Times New Roman" w:hAnsi="Times New Roman" w:eastAsia="宋体" w:cs="Times New Roman"/>
                      <w:color w:val="auto"/>
                      <w:kern w:val="2"/>
                      <w:sz w:val="21"/>
                      <w:szCs w:val="21"/>
                      <w:u w:val="none"/>
                      <w:lang w:val="en-US" w:eastAsia="zh-CN" w:bidi="ar"/>
                    </w:rPr>
                    <w:t>《恶臭污染物排放标准》（GB14554-93）</w:t>
                  </w:r>
                </w:p>
              </w:tc>
              <w:tc>
                <w:tcPr>
                  <w:tcW w:w="1212" w:type="dxa"/>
                  <w:tcBorders>
                    <w:top w:val="single" w:color="auto" w:sz="4" w:space="0"/>
                    <w:left w:val="single" w:color="auto" w:sz="4" w:space="0"/>
                    <w:bottom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u w:val="none"/>
                      <w:lang w:val="en-US" w:eastAsia="zh-CN" w:bidi="ar"/>
                    </w:rPr>
                  </w:pPr>
                  <w:r>
                    <w:rPr>
                      <w:rFonts w:hint="eastAsia" w:cs="Times New Roman"/>
                      <w:color w:val="auto"/>
                      <w:kern w:val="2"/>
                      <w:sz w:val="21"/>
                      <w:szCs w:val="21"/>
                      <w:u w:val="none"/>
                      <w:lang w:val="en-US" w:eastAsia="zh-CN" w:bidi="ar"/>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483" w:type="dxa"/>
                  <w:tcBorders>
                    <w:top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u w:val="none"/>
                      <w:lang w:val="en-US" w:eastAsia="zh-CN"/>
                    </w:rPr>
                  </w:pPr>
                  <w:r>
                    <w:rPr>
                      <w:rFonts w:hint="eastAsia" w:cs="Times New Roman"/>
                      <w:color w:val="auto"/>
                      <w:kern w:val="2"/>
                      <w:sz w:val="21"/>
                      <w:szCs w:val="21"/>
                      <w:u w:val="none"/>
                      <w:lang w:val="en-US" w:eastAsia="zh-CN"/>
                    </w:rPr>
                    <w:t>4</w:t>
                  </w:r>
                </w:p>
              </w:tc>
              <w:tc>
                <w:tcPr>
                  <w:tcW w:w="92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kern w:val="2"/>
                      <w:sz w:val="21"/>
                      <w:szCs w:val="21"/>
                      <w:u w:val="none"/>
                      <w:lang w:val="en-US" w:eastAsia="zh-CN" w:bidi="ar"/>
                    </w:rPr>
                  </w:pPr>
                  <w:r>
                    <w:rPr>
                      <w:rFonts w:hint="default" w:ascii="Times New Roman" w:hAnsi="Times New Roman" w:cs="Times New Roman"/>
                      <w:color w:val="auto"/>
                      <w:kern w:val="2"/>
                      <w:sz w:val="21"/>
                      <w:szCs w:val="21"/>
                      <w:u w:val="none"/>
                      <w:lang w:val="en-US" w:eastAsia="zh-CN" w:bidi="ar"/>
                    </w:rPr>
                    <w:t>车间内产尘点周边1米处</w:t>
                  </w:r>
                </w:p>
              </w:tc>
              <w:tc>
                <w:tcPr>
                  <w:tcW w:w="117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颗粒物</w:t>
                  </w:r>
                </w:p>
              </w:tc>
              <w:tc>
                <w:tcPr>
                  <w:tcW w:w="1192" w:type="dxa"/>
                  <w:tcBorders>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u w:val="none"/>
                      <w:lang w:val="en-US" w:eastAsia="zh-CN" w:bidi="ar"/>
                    </w:rPr>
                  </w:pPr>
                  <w:r>
                    <w:rPr>
                      <w:rFonts w:hint="default" w:ascii="Times New Roman" w:hAnsi="Times New Roman" w:eastAsia="宋体" w:cs="Times New Roman"/>
                      <w:color w:val="auto"/>
                      <w:kern w:val="2"/>
                      <w:sz w:val="21"/>
                      <w:szCs w:val="21"/>
                      <w:u w:val="none"/>
                      <w:lang w:val="en-US" w:eastAsia="zh-CN" w:bidi="ar"/>
                    </w:rPr>
                    <w:t>1次/半年</w:t>
                  </w:r>
                </w:p>
              </w:tc>
              <w:tc>
                <w:tcPr>
                  <w:tcW w:w="336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u w:val="none"/>
                      <w:lang w:val="en-US" w:eastAsia="zh-CN" w:bidi="ar"/>
                    </w:rPr>
                  </w:pPr>
                  <w:r>
                    <w:rPr>
                      <w:rFonts w:hint="default" w:ascii="Times New Roman" w:hAnsi="Times New Roman" w:cs="Times New Roman"/>
                      <w:color w:val="auto"/>
                      <w:sz w:val="21"/>
                      <w:szCs w:val="21"/>
                      <w:lang w:eastAsia="zh-CN"/>
                    </w:rPr>
                    <w:t>《安阳市2019年工业企业无组织排放污染治理实施方案》</w:t>
                  </w:r>
                </w:p>
              </w:tc>
              <w:tc>
                <w:tcPr>
                  <w:tcW w:w="1212" w:type="dxa"/>
                  <w:tcBorders>
                    <w:top w:val="single" w:color="auto" w:sz="4" w:space="0"/>
                    <w:left w:val="single" w:color="auto" w:sz="4" w:space="0"/>
                    <w:bottom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u w:val="none"/>
                      <w:lang w:val="en-US" w:eastAsia="zh-CN" w:bidi="ar"/>
                    </w:rPr>
                  </w:pPr>
                  <w:r>
                    <w:rPr>
                      <w:rFonts w:hint="default" w:ascii="Times New Roman" w:hAnsi="Times New Roman" w:eastAsia="宋体" w:cs="Times New Roman"/>
                      <w:color w:val="auto"/>
                      <w:kern w:val="2"/>
                      <w:sz w:val="21"/>
                      <w:szCs w:val="21"/>
                      <w:u w:val="none"/>
                      <w:lang w:val="en-US" w:eastAsia="zh-CN" w:bidi="ar"/>
                    </w:rPr>
                    <w:t>/</w:t>
                  </w:r>
                </w:p>
              </w:tc>
            </w:tr>
          </w:tbl>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综上所述，本项目营运期产生的大气污染物经合理治理后，达标排放，项目对周围大气环境影响较小。</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textAlignment w:val="auto"/>
              <w:rPr>
                <w:rFonts w:hint="default"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2.废水</w:t>
            </w:r>
          </w:p>
          <w:p>
            <w:pPr>
              <w:keepNext w:val="0"/>
              <w:keepLines w:val="0"/>
              <w:pageBreakBefore w:val="0"/>
              <w:widowControl w:val="0"/>
              <w:suppressLineNumbers w:val="0"/>
              <w:tabs>
                <w:tab w:val="left" w:pos="5250"/>
              </w:tabs>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eastAsia" w:cs="Times New Roman"/>
                <w:color w:val="auto"/>
                <w:sz w:val="24"/>
                <w:szCs w:val="24"/>
                <w:lang w:val="en-US" w:eastAsia="zh-CN"/>
              </w:rPr>
            </w:pPr>
            <w:r>
              <w:rPr>
                <w:rFonts w:hint="eastAsia" w:ascii="Times New Roman" w:hAnsi="Times New Roman" w:cs="Times New Roman"/>
                <w:color w:val="auto"/>
                <w:sz w:val="24"/>
                <w:szCs w:val="24"/>
                <w:lang w:val="en-US" w:eastAsia="zh-CN"/>
              </w:rPr>
              <w:t>本项目不新增劳动定员，不新增生活废水；</w:t>
            </w:r>
            <w:r>
              <w:rPr>
                <w:rFonts w:hint="eastAsia" w:cs="Times New Roman"/>
                <w:color w:val="auto"/>
                <w:sz w:val="24"/>
                <w:szCs w:val="24"/>
                <w:lang w:val="en-US" w:eastAsia="zh-CN"/>
              </w:rPr>
              <w:t>无生产废水产生，</w:t>
            </w:r>
            <w:r>
              <w:rPr>
                <w:rFonts w:hint="eastAsia" w:ascii="Times New Roman" w:hAnsi="Times New Roman" w:cs="Times New Roman"/>
                <w:color w:val="auto"/>
                <w:sz w:val="24"/>
                <w:szCs w:val="24"/>
                <w:lang w:val="en-US" w:eastAsia="zh-CN"/>
              </w:rPr>
              <w:t>冷灰桶冷却用水</w:t>
            </w:r>
            <w:r>
              <w:rPr>
                <w:rFonts w:hint="eastAsia" w:cs="Times New Roman"/>
                <w:color w:val="auto"/>
                <w:sz w:val="24"/>
                <w:szCs w:val="24"/>
                <w:lang w:val="en-US" w:eastAsia="zh-CN"/>
              </w:rPr>
              <w:t>循环使用，不外排；车间洒扫用水全部蒸发损耗，不外排。</w:t>
            </w:r>
          </w:p>
          <w:p>
            <w:pPr>
              <w:keepNext w:val="0"/>
              <w:keepLines w:val="0"/>
              <w:pageBreakBefore w:val="0"/>
              <w:widowControl w:val="0"/>
              <w:suppressLineNumbers w:val="0"/>
              <w:tabs>
                <w:tab w:val="left" w:pos="5250"/>
              </w:tabs>
              <w:kinsoku/>
              <w:wordWrap/>
              <w:overflowPunct/>
              <w:topLinePunct w:val="0"/>
              <w:autoSpaceDE w:val="0"/>
              <w:autoSpaceDN w:val="0"/>
              <w:bidi w:val="0"/>
              <w:adjustRightInd w:val="0"/>
              <w:snapToGrid w:val="0"/>
              <w:spacing w:before="0" w:beforeAutospacing="0" w:after="0" w:afterAutospacing="0" w:line="360" w:lineRule="auto"/>
              <w:ind w:left="0" w:right="0" w:firstLine="241" w:firstLineChars="100"/>
              <w:textAlignment w:val="auto"/>
              <w:rPr>
                <w:rFonts w:hint="eastAsia" w:cs="Times New Roman"/>
                <w:color w:val="auto"/>
                <w:sz w:val="24"/>
                <w:szCs w:val="24"/>
                <w:lang w:val="en-US" w:eastAsia="zh-CN"/>
              </w:rPr>
            </w:pPr>
            <w:r>
              <w:rPr>
                <w:rFonts w:hint="eastAsia" w:cs="Times New Roman"/>
                <w:b/>
                <w:bCs/>
                <w:color w:val="auto"/>
                <w:sz w:val="24"/>
                <w:szCs w:val="24"/>
                <w:lang w:val="en-US" w:eastAsia="zh-CN"/>
              </w:rPr>
              <w:t>2.1冷灰桶冷却用水</w:t>
            </w:r>
          </w:p>
          <w:p>
            <w:pPr>
              <w:keepNext w:val="0"/>
              <w:keepLines w:val="0"/>
              <w:pageBreakBefore w:val="0"/>
              <w:widowControl w:val="0"/>
              <w:suppressLineNumbers w:val="0"/>
              <w:tabs>
                <w:tab w:val="left" w:pos="5250"/>
              </w:tabs>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冷灰桶冷却用水由于蒸发损耗需要定期补水，本项目设备冷却水年补充水量约150t/a，年循环水量约为15000t/a</w:t>
            </w:r>
            <w:r>
              <w:rPr>
                <w:rFonts w:hint="eastAsia" w:cs="Times New Roman"/>
                <w:color w:val="auto"/>
                <w:sz w:val="24"/>
                <w:szCs w:val="24"/>
                <w:lang w:val="en-US" w:eastAsia="zh-CN"/>
              </w:rPr>
              <w:t>，</w:t>
            </w:r>
            <w:r>
              <w:rPr>
                <w:rFonts w:hint="eastAsia" w:ascii="Times New Roman" w:hAnsi="Times New Roman" w:cs="Times New Roman"/>
                <w:color w:val="auto"/>
                <w:sz w:val="24"/>
                <w:szCs w:val="24"/>
                <w:lang w:val="en-US" w:eastAsia="zh-CN"/>
              </w:rPr>
              <w:t>经闭式冷却水循环系统收集、处理后循环使用，不外排。</w:t>
            </w:r>
          </w:p>
          <w:p>
            <w:pPr>
              <w:keepNext w:val="0"/>
              <w:keepLines w:val="0"/>
              <w:pageBreakBefore w:val="0"/>
              <w:widowControl w:val="0"/>
              <w:suppressLineNumbers w:val="0"/>
              <w:tabs>
                <w:tab w:val="left" w:pos="5250"/>
              </w:tabs>
              <w:kinsoku/>
              <w:wordWrap/>
              <w:overflowPunct/>
              <w:topLinePunct w:val="0"/>
              <w:autoSpaceDE w:val="0"/>
              <w:autoSpaceDN w:val="0"/>
              <w:bidi w:val="0"/>
              <w:adjustRightInd w:val="0"/>
              <w:snapToGrid w:val="0"/>
              <w:spacing w:before="0" w:beforeAutospacing="0" w:after="0" w:afterAutospacing="0" w:line="360" w:lineRule="auto"/>
              <w:ind w:left="0" w:right="0" w:firstLine="241" w:firstLineChars="100"/>
              <w:textAlignment w:val="auto"/>
              <w:rPr>
                <w:rFonts w:hint="default" w:cs="Times New Roman"/>
                <w:b/>
                <w:bCs/>
                <w:color w:val="auto"/>
                <w:sz w:val="24"/>
                <w:szCs w:val="24"/>
                <w:lang w:val="en-US" w:eastAsia="zh-CN"/>
              </w:rPr>
            </w:pPr>
            <w:r>
              <w:rPr>
                <w:rFonts w:hint="eastAsia" w:cs="Times New Roman"/>
                <w:b/>
                <w:bCs/>
                <w:color w:val="auto"/>
                <w:sz w:val="24"/>
                <w:szCs w:val="24"/>
                <w:lang w:val="en-US" w:eastAsia="zh-CN"/>
              </w:rPr>
              <w:t>2.2车间洒扫用水</w:t>
            </w:r>
          </w:p>
          <w:p>
            <w:pPr>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eastAsia" w:cs="Times New Roman"/>
                <w:color w:val="auto"/>
                <w:sz w:val="24"/>
                <w:szCs w:val="24"/>
                <w:vertAlign w:val="baseline"/>
                <w:lang w:val="en-US" w:eastAsia="zh-CN"/>
              </w:rPr>
            </w:pPr>
            <w:r>
              <w:rPr>
                <w:rFonts w:hint="eastAsia" w:cs="Times New Roman"/>
                <w:color w:val="auto"/>
                <w:sz w:val="24"/>
                <w:szCs w:val="24"/>
                <w:lang w:val="en-US" w:eastAsia="zh-CN"/>
              </w:rPr>
              <w:t>本项目所在车间定期洒扫，需洒水面积约2565m</w:t>
            </w:r>
            <w:r>
              <w:rPr>
                <w:rFonts w:hint="eastAsia" w:cs="Times New Roman"/>
                <w:color w:val="auto"/>
                <w:sz w:val="24"/>
                <w:szCs w:val="24"/>
                <w:vertAlign w:val="superscript"/>
                <w:lang w:val="en-US" w:eastAsia="zh-CN"/>
              </w:rPr>
              <w:t>2</w:t>
            </w:r>
            <w:r>
              <w:rPr>
                <w:rFonts w:hint="eastAsia" w:cs="Times New Roman"/>
                <w:color w:val="auto"/>
                <w:sz w:val="24"/>
                <w:szCs w:val="24"/>
                <w:vertAlign w:val="baseline"/>
                <w:lang w:val="en-US" w:eastAsia="zh-CN"/>
              </w:rPr>
              <w:t>，按照每天洒水一次计算（冬季除外，冬季约有50个工作日仅打扫地面），参考《工业与城镇生活用水定额》（DB41/T385-2020）中“道路和场地喷洒—2.0L/（m</w:t>
            </w:r>
            <w:r>
              <w:rPr>
                <w:rFonts w:hint="eastAsia" w:cs="Times New Roman"/>
                <w:color w:val="auto"/>
                <w:sz w:val="24"/>
                <w:szCs w:val="24"/>
                <w:vertAlign w:val="superscript"/>
                <w:lang w:val="en-US" w:eastAsia="zh-CN"/>
              </w:rPr>
              <w:t>2</w:t>
            </w:r>
            <w:r>
              <w:rPr>
                <w:rFonts w:hint="eastAsia" w:cs="Times New Roman"/>
                <w:color w:val="auto"/>
                <w:sz w:val="24"/>
                <w:szCs w:val="24"/>
                <w:vertAlign w:val="baseline"/>
                <w:lang w:val="en-US" w:eastAsia="zh-CN"/>
              </w:rPr>
              <w:t>·d）”，本项目使用新鲜水洒扫地面，本项目年生产时间为200d，年洒扫地面150d，则本项目车间洒扫用水量为5.13m</w:t>
            </w:r>
            <w:r>
              <w:rPr>
                <w:rFonts w:hint="eastAsia" w:cs="Times New Roman"/>
                <w:color w:val="auto"/>
                <w:sz w:val="24"/>
                <w:szCs w:val="24"/>
                <w:vertAlign w:val="superscript"/>
                <w:lang w:val="en-US" w:eastAsia="zh-CN"/>
              </w:rPr>
              <w:t>3</w:t>
            </w:r>
            <w:r>
              <w:rPr>
                <w:rFonts w:hint="eastAsia" w:cs="Times New Roman"/>
                <w:color w:val="auto"/>
                <w:sz w:val="24"/>
                <w:szCs w:val="24"/>
                <w:vertAlign w:val="baseline"/>
                <w:lang w:val="en-US" w:eastAsia="zh-CN"/>
              </w:rPr>
              <w:t>/d（769.5m</w:t>
            </w:r>
            <w:r>
              <w:rPr>
                <w:rFonts w:hint="eastAsia" w:cs="Times New Roman"/>
                <w:color w:val="auto"/>
                <w:sz w:val="24"/>
                <w:szCs w:val="24"/>
                <w:vertAlign w:val="superscript"/>
                <w:lang w:val="en-US" w:eastAsia="zh-CN"/>
              </w:rPr>
              <w:t>3</w:t>
            </w:r>
            <w:r>
              <w:rPr>
                <w:rFonts w:hint="eastAsia" w:cs="Times New Roman"/>
                <w:color w:val="auto"/>
                <w:sz w:val="24"/>
                <w:szCs w:val="24"/>
                <w:vertAlign w:val="baseline"/>
                <w:lang w:val="en-US" w:eastAsia="zh-CN"/>
              </w:rPr>
              <w:t>/a），全部蒸发损耗，不外排。</w:t>
            </w:r>
          </w:p>
          <w:p>
            <w:pPr>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360" w:lineRule="auto"/>
              <w:ind w:left="0" w:right="0"/>
              <w:textAlignment w:val="auto"/>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kern w:val="2"/>
                <w:sz w:val="24"/>
                <w:szCs w:val="24"/>
                <w:lang w:val="en-US" w:eastAsia="zh-CN" w:bidi="ar-SA"/>
              </w:rPr>
              <w:t>3.</w:t>
            </w:r>
            <w:r>
              <w:rPr>
                <w:rFonts w:hint="eastAsia" w:ascii="Times New Roman" w:hAnsi="Times New Roman" w:cs="Times New Roman"/>
                <w:b/>
                <w:bCs/>
                <w:color w:val="auto"/>
                <w:sz w:val="24"/>
                <w:szCs w:val="24"/>
                <w:lang w:val="en-US" w:eastAsia="zh-CN"/>
              </w:rPr>
              <w:t>噪声</w:t>
            </w:r>
          </w:p>
          <w:p>
            <w:pPr>
              <w:keepNext w:val="0"/>
              <w:keepLines w:val="0"/>
              <w:pageBreakBefore w:val="0"/>
              <w:widowControl w:val="0"/>
              <w:numPr>
                <w:ilvl w:val="0"/>
                <w:numId w:val="0"/>
              </w:numPr>
              <w:suppressLineNumbers w:val="0"/>
              <w:tabs>
                <w:tab w:val="clear" w:pos="0"/>
                <w:tab w:val="clear" w:pos="2040"/>
              </w:tabs>
              <w:kinsoku/>
              <w:wordWrap/>
              <w:overflowPunct/>
              <w:topLinePunct w:val="0"/>
              <w:autoSpaceDE w:val="0"/>
              <w:autoSpaceDN w:val="0"/>
              <w:bidi w:val="0"/>
              <w:adjustRightInd w:val="0"/>
              <w:snapToGrid w:val="0"/>
              <w:spacing w:before="0" w:beforeAutospacing="0" w:after="0" w:afterAutospacing="0" w:line="360" w:lineRule="auto"/>
              <w:ind w:left="0" w:right="0" w:firstLine="241" w:firstLineChars="100"/>
              <w:textAlignment w:val="auto"/>
              <w:rPr>
                <w:rFonts w:hint="default"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3.1噪声源强</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本项目噪声源主要来自设备运行时产生的噪声，本项目改建工程新增设备仅为1台铝灰炒灰机、1台冷灰桶，其噪声源强在75~78dB（A），经采取基础减震、厂房隔声后噪声源可衰减约15dB（A）。设备噪声产生具体情况及治理措施见下表。</w:t>
            </w:r>
          </w:p>
          <w:p>
            <w:pPr>
              <w:keepNext w:val="0"/>
              <w:keepLines w:val="0"/>
              <w:widowControl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val="0"/>
                <w:color w:val="auto"/>
                <w:kern w:val="2"/>
                <w:sz w:val="24"/>
                <w:szCs w:val="24"/>
                <w:lang w:val="en-US" w:eastAsia="zh-CN" w:bidi="ar"/>
              </w:rPr>
            </w:pPr>
            <w:r>
              <w:rPr>
                <w:rFonts w:hint="default" w:ascii="Times New Roman" w:hAnsi="Times New Roman" w:eastAsia="宋体" w:cs="Times New Roman"/>
                <w:b/>
                <w:bCs w:val="0"/>
                <w:color w:val="auto"/>
                <w:kern w:val="2"/>
                <w:sz w:val="24"/>
                <w:szCs w:val="24"/>
                <w:lang w:val="en-US" w:eastAsia="zh-CN" w:bidi="ar"/>
              </w:rPr>
              <w:t>本项目主要生产设备源强及治理措施一览表（室内声源）</w:t>
            </w:r>
          </w:p>
          <w:tbl>
            <w:tblPr>
              <w:tblStyle w:val="27"/>
              <w:tblW w:w="8350" w:type="dxa"/>
              <w:jc w:val="center"/>
              <w:tblInd w:w="0" w:type="dxa"/>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376"/>
              <w:gridCol w:w="378"/>
              <w:gridCol w:w="590"/>
              <w:gridCol w:w="731"/>
              <w:gridCol w:w="754"/>
              <w:gridCol w:w="737"/>
              <w:gridCol w:w="358"/>
              <w:gridCol w:w="408"/>
              <w:gridCol w:w="423"/>
              <w:gridCol w:w="642"/>
              <w:gridCol w:w="605"/>
              <w:gridCol w:w="642"/>
              <w:gridCol w:w="667"/>
              <w:gridCol w:w="475"/>
              <w:gridCol w:w="564"/>
            </w:tblGrid>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376" w:type="dxa"/>
                  <w:vMerge w:val="restart"/>
                  <w:tcBorders>
                    <w:top w:val="single" w:color="auto" w:sz="12" w:space="0"/>
                    <w:left w:val="nil"/>
                    <w:bottom w:val="single" w:color="auto" w:sz="4" w:space="0"/>
                    <w:right w:val="single" w:color="auto" w:sz="4" w:space="0"/>
                  </w:tcBorders>
                  <w:vAlign w:val="center"/>
                </w:tcPr>
                <w:p>
                  <w:pPr>
                    <w:keepNext w:val="0"/>
                    <w:keepLines w:val="0"/>
                    <w:widowControl w:val="0"/>
                    <w:suppressLineNumbers w:val="0"/>
                    <w:autoSpaceDE w:val="0"/>
                    <w:autoSpaceDN/>
                    <w:bidi/>
                    <w:adjustRightInd w:val="0"/>
                    <w:snapToGrid w:val="0"/>
                    <w:spacing w:before="0" w:beforeAutospacing="0" w:after="0" w:afterAutospacing="0"/>
                    <w:ind w:left="0" w:right="0"/>
                    <w:jc w:val="both"/>
                    <w:rPr>
                      <w:rFonts w:hint="cs" w:ascii="Times New Roman" w:hAnsi="Times New Roman" w:eastAsia="宋体" w:cs="Times New Roman"/>
                      <w:b/>
                      <w:bCs w:val="0"/>
                      <w:color w:val="auto"/>
                      <w:kern w:val="2"/>
                      <w:sz w:val="21"/>
                      <w:szCs w:val="21"/>
                      <w:cs/>
                    </w:rPr>
                  </w:pPr>
                  <w:r>
                    <w:rPr>
                      <w:rFonts w:hint="eastAsia" w:ascii="宋体" w:hAnsi="宋体" w:eastAsia="宋体" w:cs="宋体"/>
                      <w:b/>
                      <w:bCs w:val="0"/>
                      <w:color w:val="auto"/>
                      <w:kern w:val="2"/>
                      <w:sz w:val="21"/>
                      <w:szCs w:val="21"/>
                      <w:lang w:val="en-US" w:eastAsia="zh-CN" w:bidi="ar"/>
                    </w:rPr>
                    <w:t>序号</w:t>
                  </w:r>
                </w:p>
              </w:tc>
              <w:tc>
                <w:tcPr>
                  <w:tcW w:w="378" w:type="dxa"/>
                  <w:vMerge w:val="restart"/>
                  <w:tcBorders>
                    <w:top w:val="single" w:color="auto" w:sz="12" w:space="0"/>
                    <w:left w:val="nil"/>
                    <w:bottom w:val="single" w:color="auto" w:sz="4" w:space="0"/>
                    <w:right w:val="single" w:color="auto" w:sz="4" w:space="0"/>
                  </w:tcBorders>
                  <w:vAlign w:val="center"/>
                </w:tcPr>
                <w:p>
                  <w:pPr>
                    <w:keepNext w:val="0"/>
                    <w:keepLines w:val="0"/>
                    <w:widowControl w:val="0"/>
                    <w:suppressLineNumbers w:val="0"/>
                    <w:autoSpaceDE w:val="0"/>
                    <w:autoSpaceDN/>
                    <w:bidi/>
                    <w:adjustRightInd w:val="0"/>
                    <w:snapToGrid w:val="0"/>
                    <w:spacing w:before="0" w:beforeAutospacing="0" w:after="0" w:afterAutospacing="0" w:line="0" w:lineRule="atLeast"/>
                    <w:ind w:left="0" w:right="0"/>
                    <w:jc w:val="center"/>
                    <w:rPr>
                      <w:rFonts w:hint="cs" w:ascii="Times New Roman" w:hAnsi="Times New Roman" w:eastAsia="宋体" w:cs="Times New Roman"/>
                      <w:b/>
                      <w:bCs w:val="0"/>
                      <w:color w:val="auto"/>
                      <w:kern w:val="2"/>
                      <w:sz w:val="21"/>
                      <w:szCs w:val="21"/>
                      <w:cs/>
                    </w:rPr>
                  </w:pPr>
                  <w:r>
                    <w:rPr>
                      <w:rFonts w:hint="eastAsia" w:ascii="宋体" w:hAnsi="宋体" w:eastAsia="宋体" w:cs="宋体"/>
                      <w:b/>
                      <w:bCs w:val="0"/>
                      <w:color w:val="auto"/>
                      <w:kern w:val="2"/>
                      <w:sz w:val="21"/>
                      <w:szCs w:val="21"/>
                      <w:lang w:val="en-US" w:eastAsia="zh-CN" w:bidi="ar"/>
                    </w:rPr>
                    <w:t>建筑物名称</w:t>
                  </w:r>
                </w:p>
              </w:tc>
              <w:tc>
                <w:tcPr>
                  <w:tcW w:w="590" w:type="dxa"/>
                  <w:vMerge w:val="restart"/>
                  <w:tcBorders>
                    <w:top w:val="single" w:color="auto" w:sz="12" w:space="0"/>
                    <w:left w:val="nil"/>
                    <w:bottom w:val="single" w:color="auto" w:sz="4" w:space="0"/>
                    <w:right w:val="single" w:color="auto" w:sz="4" w:space="0"/>
                  </w:tcBorders>
                  <w:vAlign w:val="center"/>
                </w:tcPr>
                <w:p>
                  <w:pPr>
                    <w:keepNext w:val="0"/>
                    <w:keepLines w:val="0"/>
                    <w:widowControl w:val="0"/>
                    <w:suppressLineNumbers w:val="0"/>
                    <w:autoSpaceDE w:val="0"/>
                    <w:autoSpaceDN/>
                    <w:bidi/>
                    <w:adjustRightInd w:val="0"/>
                    <w:snapToGrid w:val="0"/>
                    <w:spacing w:before="0" w:beforeAutospacing="0" w:after="0" w:afterAutospacing="0" w:line="0" w:lineRule="atLeast"/>
                    <w:ind w:left="0" w:right="0"/>
                    <w:jc w:val="center"/>
                    <w:rPr>
                      <w:rFonts w:hint="cs" w:ascii="Times New Roman" w:hAnsi="Times New Roman" w:eastAsia="宋体" w:cs="Times New Roman"/>
                      <w:b/>
                      <w:bCs w:val="0"/>
                      <w:color w:val="auto"/>
                      <w:kern w:val="2"/>
                      <w:sz w:val="21"/>
                      <w:szCs w:val="21"/>
                      <w:cs/>
                    </w:rPr>
                  </w:pPr>
                  <w:r>
                    <w:rPr>
                      <w:rFonts w:hint="eastAsia" w:ascii="宋体" w:hAnsi="宋体" w:eastAsia="宋体" w:cs="宋体"/>
                      <w:b/>
                      <w:bCs w:val="0"/>
                      <w:color w:val="auto"/>
                      <w:kern w:val="2"/>
                      <w:sz w:val="21"/>
                      <w:szCs w:val="21"/>
                      <w:lang w:val="en-US" w:eastAsia="zh-CN" w:bidi="ar"/>
                    </w:rPr>
                    <w:t>声源名称</w:t>
                  </w:r>
                </w:p>
              </w:tc>
              <w:tc>
                <w:tcPr>
                  <w:tcW w:w="731" w:type="dxa"/>
                  <w:vMerge w:val="restart"/>
                  <w:tcBorders>
                    <w:top w:val="single" w:color="auto" w:sz="12" w:space="0"/>
                    <w:left w:val="nil"/>
                    <w:right w:val="single" w:color="auto" w:sz="4" w:space="0"/>
                  </w:tcBorders>
                  <w:vAlign w:val="center"/>
                </w:tcPr>
                <w:p>
                  <w:pPr>
                    <w:keepNext w:val="0"/>
                    <w:keepLines w:val="0"/>
                    <w:widowControl w:val="0"/>
                    <w:suppressLineNumbers w:val="0"/>
                    <w:autoSpaceDE w:val="0"/>
                    <w:autoSpaceDN/>
                    <w:bidi/>
                    <w:adjustRightInd w:val="0"/>
                    <w:snapToGrid w:val="0"/>
                    <w:spacing w:before="0" w:beforeAutospacing="0" w:after="0" w:afterAutospacing="0" w:line="0" w:lineRule="atLeast"/>
                    <w:ind w:left="0" w:right="0"/>
                    <w:jc w:val="center"/>
                    <w:rPr>
                      <w:rFonts w:hint="eastAsia" w:ascii="宋体" w:hAnsi="宋体" w:eastAsia="宋体" w:cs="宋体"/>
                      <w:b/>
                      <w:bCs w:val="0"/>
                      <w:color w:val="auto"/>
                      <w:kern w:val="2"/>
                      <w:sz w:val="21"/>
                      <w:szCs w:val="21"/>
                      <w:lang w:val="en-US" w:eastAsia="zh-CN" w:bidi="ar"/>
                    </w:rPr>
                  </w:pPr>
                  <w:r>
                    <w:rPr>
                      <w:rFonts w:hint="eastAsia" w:ascii="宋体" w:hAnsi="宋体" w:eastAsia="宋体" w:cs="宋体"/>
                      <w:b/>
                      <w:bCs w:val="0"/>
                      <w:color w:val="auto"/>
                      <w:kern w:val="2"/>
                      <w:sz w:val="21"/>
                      <w:szCs w:val="21"/>
                      <w:lang w:val="en-US" w:eastAsia="zh-CN" w:bidi="ar"/>
                    </w:rPr>
                    <w:t>声压级/dB(A)</w:t>
                  </w:r>
                </w:p>
              </w:tc>
              <w:tc>
                <w:tcPr>
                  <w:tcW w:w="754" w:type="dxa"/>
                  <w:vMerge w:val="restart"/>
                  <w:tcBorders>
                    <w:top w:val="single" w:color="auto" w:sz="12" w:space="0"/>
                    <w:left w:val="nil"/>
                    <w:bottom w:val="single" w:color="auto" w:sz="4" w:space="0"/>
                    <w:right w:val="single" w:color="auto" w:sz="4" w:space="0"/>
                  </w:tcBorders>
                  <w:vAlign w:val="center"/>
                </w:tcPr>
                <w:p>
                  <w:pPr>
                    <w:keepNext w:val="0"/>
                    <w:keepLines w:val="0"/>
                    <w:widowControl w:val="0"/>
                    <w:suppressLineNumbers w:val="0"/>
                    <w:autoSpaceDE w:val="0"/>
                    <w:autoSpaceDN/>
                    <w:bidi/>
                    <w:adjustRightInd w:val="0"/>
                    <w:snapToGrid w:val="0"/>
                    <w:spacing w:before="0" w:beforeAutospacing="0" w:after="0" w:afterAutospacing="0" w:line="0" w:lineRule="atLeast"/>
                    <w:ind w:left="0" w:right="0"/>
                    <w:jc w:val="center"/>
                    <w:rPr>
                      <w:rFonts w:hint="cs" w:ascii="Times New Roman" w:hAnsi="Times New Roman" w:eastAsia="宋体" w:cs="Times New Roman"/>
                      <w:b/>
                      <w:bCs w:val="0"/>
                      <w:color w:val="auto"/>
                      <w:kern w:val="2"/>
                      <w:sz w:val="21"/>
                      <w:szCs w:val="21"/>
                      <w:cs/>
                    </w:rPr>
                  </w:pPr>
                  <w:r>
                    <w:rPr>
                      <w:rFonts w:hint="eastAsia" w:ascii="宋体" w:hAnsi="宋体" w:eastAsia="宋体" w:cs="宋体"/>
                      <w:b/>
                      <w:bCs w:val="0"/>
                      <w:color w:val="auto"/>
                      <w:kern w:val="2"/>
                      <w:sz w:val="21"/>
                      <w:szCs w:val="21"/>
                      <w:lang w:val="en-US" w:eastAsia="zh-CN" w:bidi="ar"/>
                    </w:rPr>
                    <w:t>声功率级</w:t>
                  </w:r>
                  <w:r>
                    <w:rPr>
                      <w:rFonts w:hint="default" w:ascii="Times New Roman" w:hAnsi="Times New Roman" w:eastAsia="宋体" w:cs="Times New Roman"/>
                      <w:b/>
                      <w:bCs w:val="0"/>
                      <w:color w:val="auto"/>
                      <w:kern w:val="2"/>
                      <w:sz w:val="21"/>
                      <w:szCs w:val="21"/>
                      <w:lang w:val="en-US" w:eastAsia="zh-CN" w:bidi="ar"/>
                    </w:rPr>
                    <w:t>/dB(A)</w:t>
                  </w:r>
                </w:p>
              </w:tc>
              <w:tc>
                <w:tcPr>
                  <w:tcW w:w="737" w:type="dxa"/>
                  <w:vMerge w:val="restart"/>
                  <w:tcBorders>
                    <w:top w:val="single" w:color="auto" w:sz="12" w:space="0"/>
                    <w:left w:val="nil"/>
                    <w:bottom w:val="single" w:color="auto" w:sz="4" w:space="0"/>
                    <w:right w:val="single" w:color="auto" w:sz="4" w:space="0"/>
                  </w:tcBorders>
                  <w:vAlign w:val="center"/>
                </w:tcPr>
                <w:p>
                  <w:pPr>
                    <w:keepNext w:val="0"/>
                    <w:keepLines w:val="0"/>
                    <w:widowControl w:val="0"/>
                    <w:suppressLineNumbers w:val="0"/>
                    <w:autoSpaceDE w:val="0"/>
                    <w:autoSpaceDN/>
                    <w:bidi/>
                    <w:adjustRightInd w:val="0"/>
                    <w:snapToGrid w:val="0"/>
                    <w:spacing w:before="0" w:beforeAutospacing="0" w:after="0" w:afterAutospacing="0" w:line="0" w:lineRule="atLeast"/>
                    <w:ind w:left="0" w:right="0"/>
                    <w:jc w:val="center"/>
                    <w:rPr>
                      <w:rFonts w:hint="cs" w:ascii="Times New Roman" w:hAnsi="Times New Roman" w:eastAsia="宋体" w:cs="Times New Roman"/>
                      <w:b/>
                      <w:bCs w:val="0"/>
                      <w:color w:val="auto"/>
                      <w:kern w:val="2"/>
                      <w:sz w:val="21"/>
                      <w:szCs w:val="21"/>
                      <w:cs/>
                    </w:rPr>
                  </w:pPr>
                  <w:r>
                    <w:rPr>
                      <w:rFonts w:hint="eastAsia" w:ascii="宋体" w:hAnsi="宋体" w:eastAsia="宋体" w:cs="宋体"/>
                      <w:b/>
                      <w:bCs w:val="0"/>
                      <w:color w:val="auto"/>
                      <w:kern w:val="2"/>
                      <w:sz w:val="21"/>
                      <w:szCs w:val="21"/>
                      <w:lang w:val="en-US" w:eastAsia="zh-CN" w:bidi="ar"/>
                    </w:rPr>
                    <w:t>声源控制措施</w:t>
                  </w:r>
                </w:p>
              </w:tc>
              <w:tc>
                <w:tcPr>
                  <w:tcW w:w="1189" w:type="dxa"/>
                  <w:gridSpan w:val="3"/>
                  <w:tcBorders>
                    <w:top w:val="single" w:color="auto" w:sz="12" w:space="0"/>
                    <w:left w:val="nil"/>
                    <w:bottom w:val="single" w:color="auto" w:sz="4" w:space="0"/>
                    <w:right w:val="single" w:color="auto" w:sz="4" w:space="0"/>
                  </w:tcBorders>
                  <w:vAlign w:val="center"/>
                </w:tcPr>
                <w:p>
                  <w:pPr>
                    <w:keepNext w:val="0"/>
                    <w:keepLines w:val="0"/>
                    <w:widowControl w:val="0"/>
                    <w:suppressLineNumbers w:val="0"/>
                    <w:autoSpaceDE w:val="0"/>
                    <w:autoSpaceDN/>
                    <w:bidi/>
                    <w:adjustRightInd w:val="0"/>
                    <w:snapToGrid w:val="0"/>
                    <w:spacing w:before="0" w:beforeAutospacing="0" w:after="0" w:afterAutospacing="0" w:line="0" w:lineRule="atLeast"/>
                    <w:ind w:left="0" w:right="0"/>
                    <w:jc w:val="center"/>
                    <w:rPr>
                      <w:rFonts w:hint="default" w:ascii="Times New Roman" w:hAnsi="Times New Roman" w:eastAsia="宋体" w:cs="Times New Roman"/>
                      <w:b/>
                      <w:bCs w:val="0"/>
                      <w:color w:val="auto"/>
                      <w:kern w:val="2"/>
                      <w:sz w:val="21"/>
                      <w:szCs w:val="21"/>
                    </w:rPr>
                  </w:pPr>
                  <w:r>
                    <w:rPr>
                      <w:rFonts w:hint="eastAsia" w:ascii="宋体" w:hAnsi="宋体" w:eastAsia="宋体" w:cs="宋体"/>
                      <w:b/>
                      <w:bCs w:val="0"/>
                      <w:color w:val="auto"/>
                      <w:kern w:val="2"/>
                      <w:sz w:val="21"/>
                      <w:szCs w:val="21"/>
                      <w:lang w:val="en-US" w:eastAsia="zh-CN" w:bidi="ar"/>
                    </w:rPr>
                    <w:t>空间相对</w:t>
                  </w:r>
                </w:p>
                <w:p>
                  <w:pPr>
                    <w:keepNext w:val="0"/>
                    <w:keepLines w:val="0"/>
                    <w:widowControl w:val="0"/>
                    <w:suppressLineNumbers w:val="0"/>
                    <w:autoSpaceDE w:val="0"/>
                    <w:autoSpaceDN/>
                    <w:bidi/>
                    <w:adjustRightInd w:val="0"/>
                    <w:snapToGrid w:val="0"/>
                    <w:spacing w:before="0" w:beforeAutospacing="0" w:after="0" w:afterAutospacing="0" w:line="0" w:lineRule="atLeast"/>
                    <w:ind w:left="0" w:right="0"/>
                    <w:jc w:val="center"/>
                    <w:rPr>
                      <w:rFonts w:hint="cs" w:ascii="Times New Roman" w:hAnsi="Times New Roman" w:eastAsia="宋体" w:cs="Times New Roman"/>
                      <w:b/>
                      <w:bCs w:val="0"/>
                      <w:color w:val="auto"/>
                      <w:kern w:val="2"/>
                      <w:sz w:val="21"/>
                      <w:szCs w:val="21"/>
                      <w:cs/>
                    </w:rPr>
                  </w:pPr>
                  <w:r>
                    <w:rPr>
                      <w:rFonts w:hint="eastAsia" w:ascii="宋体" w:hAnsi="宋体" w:eastAsia="宋体" w:cs="宋体"/>
                      <w:b/>
                      <w:bCs w:val="0"/>
                      <w:color w:val="auto"/>
                      <w:kern w:val="2"/>
                      <w:sz w:val="21"/>
                      <w:szCs w:val="21"/>
                      <w:lang w:val="en-US" w:eastAsia="zh-CN" w:bidi="ar"/>
                    </w:rPr>
                    <w:t>位置</w:t>
                  </w:r>
                  <w:r>
                    <w:rPr>
                      <w:rFonts w:hint="default" w:ascii="Times New Roman" w:hAnsi="Times New Roman" w:eastAsia="宋体" w:cs="Times New Roman"/>
                      <w:b/>
                      <w:bCs w:val="0"/>
                      <w:color w:val="auto"/>
                      <w:kern w:val="2"/>
                      <w:sz w:val="21"/>
                      <w:szCs w:val="21"/>
                      <w:lang w:val="en-US" w:eastAsia="zh-CN" w:bidi="ar"/>
                    </w:rPr>
                    <w:t>/m</w:t>
                  </w:r>
                </w:p>
              </w:tc>
              <w:tc>
                <w:tcPr>
                  <w:tcW w:w="642" w:type="dxa"/>
                  <w:vMerge w:val="restart"/>
                  <w:tcBorders>
                    <w:top w:val="single" w:color="auto" w:sz="12" w:space="0"/>
                    <w:left w:val="nil"/>
                    <w:bottom w:val="single" w:color="auto" w:sz="4" w:space="0"/>
                    <w:right w:val="single" w:color="auto" w:sz="4" w:space="0"/>
                  </w:tcBorders>
                  <w:vAlign w:val="center"/>
                </w:tcPr>
                <w:p>
                  <w:pPr>
                    <w:keepNext w:val="0"/>
                    <w:keepLines w:val="0"/>
                    <w:widowControl w:val="0"/>
                    <w:suppressLineNumbers w:val="0"/>
                    <w:autoSpaceDE w:val="0"/>
                    <w:autoSpaceDN/>
                    <w:bidi/>
                    <w:adjustRightInd w:val="0"/>
                    <w:snapToGrid w:val="0"/>
                    <w:spacing w:before="0" w:beforeAutospacing="0" w:after="0" w:afterAutospacing="0" w:line="0" w:lineRule="atLeast"/>
                    <w:ind w:left="0" w:right="0"/>
                    <w:jc w:val="center"/>
                    <w:rPr>
                      <w:rFonts w:hint="cs" w:ascii="Times New Roman" w:hAnsi="Times New Roman" w:eastAsia="宋体" w:cs="Times New Roman"/>
                      <w:b/>
                      <w:bCs w:val="0"/>
                      <w:color w:val="auto"/>
                      <w:kern w:val="2"/>
                      <w:sz w:val="21"/>
                      <w:szCs w:val="21"/>
                      <w:cs/>
                    </w:rPr>
                  </w:pPr>
                  <w:r>
                    <w:rPr>
                      <w:rFonts w:hint="eastAsia" w:ascii="宋体" w:hAnsi="宋体" w:eastAsia="宋体" w:cs="宋体"/>
                      <w:b/>
                      <w:bCs w:val="0"/>
                      <w:color w:val="auto"/>
                      <w:kern w:val="2"/>
                      <w:sz w:val="21"/>
                      <w:szCs w:val="21"/>
                      <w:lang w:val="en-US" w:eastAsia="zh-CN" w:bidi="ar"/>
                    </w:rPr>
                    <w:t>距室内边界距离</w:t>
                  </w:r>
                  <w:r>
                    <w:rPr>
                      <w:rFonts w:hint="default" w:ascii="Times New Roman" w:hAnsi="Times New Roman" w:eastAsia="宋体" w:cs="Times New Roman"/>
                      <w:b/>
                      <w:bCs w:val="0"/>
                      <w:color w:val="auto"/>
                      <w:kern w:val="2"/>
                      <w:sz w:val="21"/>
                      <w:szCs w:val="21"/>
                      <w:lang w:val="en-US" w:eastAsia="zh-CN" w:bidi="ar"/>
                    </w:rPr>
                    <w:t>/m</w:t>
                  </w:r>
                </w:p>
              </w:tc>
              <w:tc>
                <w:tcPr>
                  <w:tcW w:w="605" w:type="dxa"/>
                  <w:vMerge w:val="restart"/>
                  <w:tcBorders>
                    <w:top w:val="single" w:color="auto" w:sz="12" w:space="0"/>
                    <w:left w:val="nil"/>
                    <w:bottom w:val="single" w:color="auto" w:sz="4" w:space="0"/>
                    <w:right w:val="single" w:color="auto" w:sz="4" w:space="0"/>
                  </w:tcBorders>
                  <w:vAlign w:val="center"/>
                </w:tcPr>
                <w:p>
                  <w:pPr>
                    <w:keepNext w:val="0"/>
                    <w:keepLines w:val="0"/>
                    <w:widowControl w:val="0"/>
                    <w:suppressLineNumbers w:val="0"/>
                    <w:autoSpaceDE w:val="0"/>
                    <w:autoSpaceDN/>
                    <w:bidi/>
                    <w:adjustRightInd w:val="0"/>
                    <w:snapToGrid w:val="0"/>
                    <w:spacing w:before="0" w:beforeAutospacing="0" w:after="0" w:afterAutospacing="0" w:line="0" w:lineRule="atLeast"/>
                    <w:ind w:left="0" w:right="0"/>
                    <w:jc w:val="center"/>
                    <w:rPr>
                      <w:rFonts w:hint="cs" w:ascii="Times New Roman" w:hAnsi="Times New Roman" w:eastAsia="宋体" w:cs="Times New Roman"/>
                      <w:b/>
                      <w:bCs w:val="0"/>
                      <w:color w:val="auto"/>
                      <w:kern w:val="2"/>
                      <w:sz w:val="21"/>
                      <w:szCs w:val="21"/>
                      <w:cs/>
                    </w:rPr>
                  </w:pPr>
                  <w:r>
                    <w:rPr>
                      <w:rFonts w:hint="eastAsia" w:ascii="宋体" w:hAnsi="宋体" w:eastAsia="宋体" w:cs="宋体"/>
                      <w:b/>
                      <w:bCs w:val="0"/>
                      <w:color w:val="auto"/>
                      <w:kern w:val="2"/>
                      <w:sz w:val="21"/>
                      <w:szCs w:val="21"/>
                      <w:lang w:val="en-US" w:eastAsia="zh-CN" w:bidi="ar"/>
                    </w:rPr>
                    <w:t>室内边界声级</w:t>
                  </w:r>
                  <w:r>
                    <w:rPr>
                      <w:rFonts w:hint="default" w:ascii="Times New Roman" w:hAnsi="Times New Roman" w:eastAsia="宋体" w:cs="Times New Roman"/>
                      <w:b/>
                      <w:bCs w:val="0"/>
                      <w:color w:val="auto"/>
                      <w:kern w:val="2"/>
                      <w:sz w:val="21"/>
                      <w:szCs w:val="21"/>
                      <w:lang w:val="en-US" w:eastAsia="zh-CN" w:bidi="ar"/>
                    </w:rPr>
                    <w:t>/dB(A)</w:t>
                  </w:r>
                </w:p>
              </w:tc>
              <w:tc>
                <w:tcPr>
                  <w:tcW w:w="642" w:type="dxa"/>
                  <w:vMerge w:val="restart"/>
                  <w:tcBorders>
                    <w:top w:val="single" w:color="auto" w:sz="12" w:space="0"/>
                    <w:left w:val="nil"/>
                    <w:bottom w:val="single" w:color="auto" w:sz="4" w:space="0"/>
                    <w:right w:val="single" w:color="auto" w:sz="4" w:space="0"/>
                  </w:tcBorders>
                  <w:vAlign w:val="center"/>
                </w:tcPr>
                <w:p>
                  <w:pPr>
                    <w:keepNext w:val="0"/>
                    <w:keepLines w:val="0"/>
                    <w:widowControl w:val="0"/>
                    <w:suppressLineNumbers w:val="0"/>
                    <w:autoSpaceDE w:val="0"/>
                    <w:autoSpaceDN/>
                    <w:bidi/>
                    <w:adjustRightInd w:val="0"/>
                    <w:snapToGrid w:val="0"/>
                    <w:spacing w:before="0" w:beforeAutospacing="0" w:after="0" w:afterAutospacing="0" w:line="0" w:lineRule="atLeast"/>
                    <w:ind w:left="0" w:right="0"/>
                    <w:jc w:val="center"/>
                    <w:rPr>
                      <w:rFonts w:hint="cs" w:ascii="Times New Roman" w:hAnsi="Times New Roman" w:eastAsia="宋体" w:cs="Times New Roman"/>
                      <w:b/>
                      <w:bCs w:val="0"/>
                      <w:color w:val="auto"/>
                      <w:kern w:val="2"/>
                      <w:sz w:val="21"/>
                      <w:szCs w:val="21"/>
                      <w:cs/>
                    </w:rPr>
                  </w:pPr>
                  <w:r>
                    <w:rPr>
                      <w:rFonts w:hint="eastAsia" w:ascii="宋体" w:hAnsi="宋体" w:eastAsia="宋体" w:cs="宋体"/>
                      <w:b/>
                      <w:bCs w:val="0"/>
                      <w:color w:val="auto"/>
                      <w:kern w:val="2"/>
                      <w:sz w:val="21"/>
                      <w:szCs w:val="21"/>
                      <w:lang w:val="en-US" w:eastAsia="zh-CN" w:bidi="ar"/>
                    </w:rPr>
                    <w:t>运行时段</w:t>
                  </w:r>
                </w:p>
              </w:tc>
              <w:tc>
                <w:tcPr>
                  <w:tcW w:w="667" w:type="dxa"/>
                  <w:vMerge w:val="restart"/>
                  <w:tcBorders>
                    <w:top w:val="single" w:color="auto" w:sz="12" w:space="0"/>
                    <w:left w:val="nil"/>
                    <w:bottom w:val="single" w:color="auto" w:sz="4" w:space="0"/>
                    <w:right w:val="single" w:color="auto" w:sz="4" w:space="0"/>
                  </w:tcBorders>
                  <w:vAlign w:val="center"/>
                </w:tcPr>
                <w:p>
                  <w:pPr>
                    <w:keepNext w:val="0"/>
                    <w:keepLines w:val="0"/>
                    <w:widowControl w:val="0"/>
                    <w:suppressLineNumbers w:val="0"/>
                    <w:autoSpaceDE w:val="0"/>
                    <w:autoSpaceDN/>
                    <w:bidi/>
                    <w:adjustRightInd w:val="0"/>
                    <w:snapToGrid w:val="0"/>
                    <w:spacing w:before="0" w:beforeAutospacing="0" w:after="0" w:afterAutospacing="0" w:line="0" w:lineRule="atLeast"/>
                    <w:ind w:left="0" w:right="0"/>
                    <w:jc w:val="center"/>
                    <w:rPr>
                      <w:rFonts w:hint="cs" w:ascii="Times New Roman" w:hAnsi="Times New Roman" w:eastAsia="宋体" w:cs="Times New Roman"/>
                      <w:b/>
                      <w:bCs w:val="0"/>
                      <w:color w:val="auto"/>
                      <w:kern w:val="2"/>
                      <w:sz w:val="21"/>
                      <w:szCs w:val="21"/>
                      <w:cs/>
                    </w:rPr>
                  </w:pPr>
                  <w:bookmarkStart w:id="7" w:name="PT_10"/>
                  <w:bookmarkEnd w:id="7"/>
                  <w:r>
                    <w:rPr>
                      <w:rFonts w:hint="eastAsia" w:ascii="宋体" w:hAnsi="宋体" w:eastAsia="宋体" w:cs="宋体"/>
                      <w:b/>
                      <w:bCs w:val="0"/>
                      <w:color w:val="auto"/>
                      <w:kern w:val="2"/>
                      <w:sz w:val="21"/>
                      <w:szCs w:val="21"/>
                      <w:lang w:val="en-US" w:eastAsia="zh-CN" w:bidi="ar"/>
                    </w:rPr>
                    <w:t>建筑物插入损失</w:t>
                  </w:r>
                  <w:r>
                    <w:rPr>
                      <w:rFonts w:hint="default" w:ascii="Times New Roman" w:hAnsi="Times New Roman" w:eastAsia="宋体" w:cs="Times New Roman"/>
                      <w:b/>
                      <w:bCs w:val="0"/>
                      <w:color w:val="auto"/>
                      <w:kern w:val="2"/>
                      <w:sz w:val="21"/>
                      <w:szCs w:val="21"/>
                      <w:lang w:val="en-US" w:eastAsia="zh-CN" w:bidi="ar"/>
                    </w:rPr>
                    <w:t>/dB(A)</w:t>
                  </w:r>
                </w:p>
              </w:tc>
              <w:tc>
                <w:tcPr>
                  <w:tcW w:w="1039" w:type="dxa"/>
                  <w:gridSpan w:val="2"/>
                  <w:tcBorders>
                    <w:top w:val="single" w:color="auto" w:sz="12" w:space="0"/>
                    <w:left w:val="nil"/>
                    <w:bottom w:val="nil"/>
                    <w:right w:val="nil"/>
                  </w:tcBorders>
                  <w:vAlign w:val="center"/>
                </w:tcPr>
                <w:p>
                  <w:pPr>
                    <w:keepNext w:val="0"/>
                    <w:keepLines w:val="0"/>
                    <w:widowControl w:val="0"/>
                    <w:suppressLineNumbers w:val="0"/>
                    <w:autoSpaceDE w:val="0"/>
                    <w:autoSpaceDN/>
                    <w:bidi/>
                    <w:adjustRightInd w:val="0"/>
                    <w:snapToGrid w:val="0"/>
                    <w:spacing w:before="0" w:beforeAutospacing="0" w:after="0" w:afterAutospacing="0" w:line="0" w:lineRule="atLeast"/>
                    <w:ind w:left="0" w:right="0"/>
                    <w:jc w:val="center"/>
                    <w:rPr>
                      <w:rFonts w:hint="cs" w:ascii="Times New Roman" w:hAnsi="Times New Roman" w:eastAsia="宋体" w:cs="Times New Roman"/>
                      <w:b/>
                      <w:bCs w:val="0"/>
                      <w:color w:val="auto"/>
                      <w:kern w:val="2"/>
                      <w:sz w:val="21"/>
                      <w:szCs w:val="21"/>
                      <w:cs/>
                    </w:rPr>
                  </w:pPr>
                  <w:r>
                    <w:rPr>
                      <w:rFonts w:hint="eastAsia" w:ascii="宋体" w:hAnsi="宋体" w:eastAsia="宋体" w:cs="宋体"/>
                      <w:b/>
                      <w:bCs w:val="0"/>
                      <w:color w:val="auto"/>
                      <w:kern w:val="2"/>
                      <w:sz w:val="21"/>
                      <w:szCs w:val="21"/>
                      <w:lang w:val="en-US" w:eastAsia="zh-CN" w:bidi="ar"/>
                    </w:rPr>
                    <w:t>建筑物外噪声</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376" w:type="dxa"/>
                  <w:vMerge w:val="continue"/>
                  <w:tcBorders>
                    <w:top w:val="single" w:color="auto" w:sz="12"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c>
                <w:tcPr>
                  <w:tcW w:w="378" w:type="dxa"/>
                  <w:vMerge w:val="continue"/>
                  <w:tcBorders>
                    <w:top w:val="single" w:color="auto" w:sz="12"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c>
                <w:tcPr>
                  <w:tcW w:w="590" w:type="dxa"/>
                  <w:vMerge w:val="continue"/>
                  <w:tcBorders>
                    <w:top w:val="single" w:color="auto" w:sz="12"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c>
                <w:tcPr>
                  <w:tcW w:w="731" w:type="dxa"/>
                  <w:vMerge w:val="continue"/>
                  <w:tcBorders>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c>
                <w:tcPr>
                  <w:tcW w:w="754" w:type="dxa"/>
                  <w:vMerge w:val="continue"/>
                  <w:tcBorders>
                    <w:top w:val="single" w:color="auto" w:sz="12"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c>
                <w:tcPr>
                  <w:tcW w:w="737" w:type="dxa"/>
                  <w:vMerge w:val="continue"/>
                  <w:tcBorders>
                    <w:top w:val="single" w:color="auto" w:sz="12"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c>
                <w:tcPr>
                  <w:tcW w:w="358" w:type="dxa"/>
                  <w:tcBorders>
                    <w:top w:val="single" w:color="auto" w:sz="4" w:space="0"/>
                    <w:left w:val="nil"/>
                    <w:bottom w:val="single" w:color="auto" w:sz="4" w:space="0"/>
                    <w:right w:val="single" w:color="auto" w:sz="4" w:space="0"/>
                  </w:tcBorders>
                  <w:tcMar>
                    <w:left w:w="0" w:type="dxa"/>
                    <w:right w:w="0" w:type="dxa"/>
                  </w:tcMar>
                  <w:vAlign w:val="center"/>
                </w:tcPr>
                <w:p>
                  <w:pPr>
                    <w:keepNext w:val="0"/>
                    <w:keepLines w:val="0"/>
                    <w:widowControl w:val="0"/>
                    <w:suppressLineNumbers w:val="0"/>
                    <w:autoSpaceDE w:val="0"/>
                    <w:autoSpaceDN/>
                    <w:bidi/>
                    <w:adjustRightInd w:val="0"/>
                    <w:snapToGrid w:val="0"/>
                    <w:spacing w:before="0" w:beforeAutospacing="0" w:after="0" w:afterAutospacing="0" w:line="0" w:lineRule="atLeast"/>
                    <w:ind w:left="0" w:right="0"/>
                    <w:jc w:val="center"/>
                    <w:rPr>
                      <w:rFonts w:hint="cs" w:ascii="Times New Roman" w:hAnsi="Times New Roman" w:eastAsia="宋体" w:cs="Times New Roman"/>
                      <w:b/>
                      <w:bCs w:val="0"/>
                      <w:color w:val="auto"/>
                      <w:kern w:val="2"/>
                      <w:sz w:val="21"/>
                      <w:szCs w:val="21"/>
                      <w:cs/>
                    </w:rPr>
                  </w:pPr>
                  <w:r>
                    <w:rPr>
                      <w:rFonts w:hint="cs" w:ascii="Times New Roman" w:hAnsi="Times New Roman" w:eastAsia="宋体" w:cs="Times New Roman"/>
                      <w:b/>
                      <w:bCs w:val="0"/>
                      <w:color w:val="auto"/>
                      <w:kern w:val="2"/>
                      <w:sz w:val="21"/>
                      <w:szCs w:val="21"/>
                      <w:cs/>
                      <w:lang w:val="en-US" w:eastAsia="zh-CN" w:bidi="ar"/>
                    </w:rPr>
                    <w:t>X</w:t>
                  </w:r>
                </w:p>
              </w:tc>
              <w:tc>
                <w:tcPr>
                  <w:tcW w:w="408" w:type="dxa"/>
                  <w:tcBorders>
                    <w:top w:val="single" w:color="auto" w:sz="4" w:space="0"/>
                    <w:left w:val="nil"/>
                    <w:bottom w:val="single" w:color="auto" w:sz="4" w:space="0"/>
                    <w:right w:val="single" w:color="auto" w:sz="4" w:space="0"/>
                  </w:tcBorders>
                  <w:tcMar>
                    <w:left w:w="0" w:type="dxa"/>
                    <w:right w:w="0" w:type="dxa"/>
                  </w:tcMar>
                  <w:vAlign w:val="center"/>
                </w:tcPr>
                <w:p>
                  <w:pPr>
                    <w:keepNext w:val="0"/>
                    <w:keepLines w:val="0"/>
                    <w:widowControl w:val="0"/>
                    <w:suppressLineNumbers w:val="0"/>
                    <w:autoSpaceDE w:val="0"/>
                    <w:autoSpaceDN/>
                    <w:bidi/>
                    <w:adjustRightInd w:val="0"/>
                    <w:snapToGrid w:val="0"/>
                    <w:spacing w:before="0" w:beforeAutospacing="0" w:after="0" w:afterAutospacing="0" w:line="0" w:lineRule="atLeast"/>
                    <w:ind w:left="0" w:right="0"/>
                    <w:jc w:val="center"/>
                    <w:rPr>
                      <w:rFonts w:hint="cs" w:ascii="Times New Roman" w:hAnsi="Times New Roman" w:eastAsia="宋体" w:cs="Times New Roman"/>
                      <w:b/>
                      <w:bCs w:val="0"/>
                      <w:color w:val="auto"/>
                      <w:kern w:val="2"/>
                      <w:sz w:val="21"/>
                      <w:szCs w:val="21"/>
                      <w:cs/>
                    </w:rPr>
                  </w:pPr>
                  <w:r>
                    <w:rPr>
                      <w:rFonts w:hint="cs" w:ascii="Times New Roman" w:hAnsi="Times New Roman" w:eastAsia="宋体" w:cs="Times New Roman"/>
                      <w:b/>
                      <w:bCs w:val="0"/>
                      <w:color w:val="auto"/>
                      <w:kern w:val="2"/>
                      <w:sz w:val="21"/>
                      <w:szCs w:val="21"/>
                      <w:cs/>
                      <w:lang w:val="en-US" w:eastAsia="zh-CN" w:bidi="ar"/>
                    </w:rPr>
                    <w:t>Y</w:t>
                  </w:r>
                </w:p>
              </w:tc>
              <w:tc>
                <w:tcPr>
                  <w:tcW w:w="423" w:type="dxa"/>
                  <w:tcBorders>
                    <w:top w:val="single" w:color="auto" w:sz="4" w:space="0"/>
                    <w:left w:val="nil"/>
                    <w:bottom w:val="single" w:color="auto" w:sz="4" w:space="0"/>
                    <w:right w:val="single" w:color="auto" w:sz="4" w:space="0"/>
                  </w:tcBorders>
                  <w:tcMar>
                    <w:left w:w="0" w:type="dxa"/>
                    <w:right w:w="0" w:type="dxa"/>
                  </w:tcMar>
                  <w:vAlign w:val="center"/>
                </w:tcPr>
                <w:p>
                  <w:pPr>
                    <w:keepNext w:val="0"/>
                    <w:keepLines w:val="0"/>
                    <w:widowControl w:val="0"/>
                    <w:suppressLineNumbers w:val="0"/>
                    <w:autoSpaceDE w:val="0"/>
                    <w:autoSpaceDN/>
                    <w:bidi/>
                    <w:adjustRightInd w:val="0"/>
                    <w:snapToGrid w:val="0"/>
                    <w:spacing w:before="0" w:beforeAutospacing="0" w:after="0" w:afterAutospacing="0" w:line="0" w:lineRule="atLeast"/>
                    <w:ind w:left="0" w:right="0"/>
                    <w:jc w:val="center"/>
                    <w:rPr>
                      <w:rFonts w:hint="cs" w:ascii="Times New Roman" w:hAnsi="Times New Roman" w:eastAsia="宋体" w:cs="Times New Roman"/>
                      <w:b/>
                      <w:bCs w:val="0"/>
                      <w:color w:val="auto"/>
                      <w:kern w:val="2"/>
                      <w:sz w:val="21"/>
                      <w:szCs w:val="21"/>
                      <w:cs/>
                    </w:rPr>
                  </w:pPr>
                  <w:r>
                    <w:rPr>
                      <w:rFonts w:hint="cs" w:ascii="Times New Roman" w:hAnsi="Times New Roman" w:eastAsia="宋体" w:cs="Times New Roman"/>
                      <w:b/>
                      <w:bCs w:val="0"/>
                      <w:color w:val="auto"/>
                      <w:kern w:val="2"/>
                      <w:sz w:val="21"/>
                      <w:szCs w:val="21"/>
                      <w:cs/>
                      <w:lang w:val="en-US" w:eastAsia="zh-CN" w:bidi="ar"/>
                    </w:rPr>
                    <w:t>Z</w:t>
                  </w:r>
                </w:p>
              </w:tc>
              <w:tc>
                <w:tcPr>
                  <w:tcW w:w="642" w:type="dxa"/>
                  <w:vMerge w:val="continue"/>
                  <w:tcBorders>
                    <w:top w:val="single" w:color="auto" w:sz="12"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c>
                <w:tcPr>
                  <w:tcW w:w="605" w:type="dxa"/>
                  <w:vMerge w:val="continue"/>
                  <w:tcBorders>
                    <w:top w:val="single" w:color="auto" w:sz="12"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c>
                <w:tcPr>
                  <w:tcW w:w="642" w:type="dxa"/>
                  <w:vMerge w:val="continue"/>
                  <w:tcBorders>
                    <w:top w:val="single" w:color="auto" w:sz="12"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c>
                <w:tcPr>
                  <w:tcW w:w="667" w:type="dxa"/>
                  <w:vMerge w:val="continue"/>
                  <w:tcBorders>
                    <w:top w:val="single" w:color="auto" w:sz="12"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c>
                <w:tcPr>
                  <w:tcW w:w="475" w:type="dxa"/>
                  <w:tcBorders>
                    <w:top w:val="single" w:color="auto" w:sz="4" w:space="0"/>
                    <w:left w:val="nil"/>
                    <w:bottom w:val="single" w:color="auto" w:sz="4" w:space="0"/>
                    <w:right w:val="single" w:color="auto" w:sz="4" w:space="0"/>
                  </w:tcBorders>
                  <w:tcMar>
                    <w:left w:w="0" w:type="dxa"/>
                    <w:right w:w="0" w:type="dxa"/>
                  </w:tcMar>
                  <w:vAlign w:val="center"/>
                </w:tcPr>
                <w:p>
                  <w:pPr>
                    <w:keepNext w:val="0"/>
                    <w:keepLines w:val="0"/>
                    <w:widowControl w:val="0"/>
                    <w:suppressLineNumbers w:val="0"/>
                    <w:bidi/>
                    <w:adjustRightInd w:val="0"/>
                    <w:snapToGrid w:val="0"/>
                    <w:spacing w:before="0" w:beforeLines="0" w:beforeAutospacing="0" w:after="0" w:afterLines="0" w:afterAutospacing="0" w:line="240" w:lineRule="atLeast"/>
                    <w:ind w:left="0" w:right="0"/>
                    <w:jc w:val="center"/>
                    <w:rPr>
                      <w:rFonts w:hint="cs" w:ascii="Times New Roman" w:hAnsi="Times New Roman" w:eastAsia="宋体" w:cs="Times New Roman"/>
                      <w:b/>
                      <w:bCs w:val="0"/>
                      <w:color w:val="auto"/>
                      <w:kern w:val="2"/>
                      <w:sz w:val="21"/>
                      <w:szCs w:val="21"/>
                      <w:cs/>
                    </w:rPr>
                  </w:pPr>
                  <w:r>
                    <w:rPr>
                      <w:rFonts w:hint="eastAsia" w:ascii="宋体" w:hAnsi="宋体" w:eastAsia="宋体" w:cs="宋体"/>
                      <w:b/>
                      <w:bCs w:val="0"/>
                      <w:color w:val="auto"/>
                      <w:kern w:val="2"/>
                      <w:sz w:val="21"/>
                      <w:szCs w:val="21"/>
                      <w:lang w:val="en-US" w:eastAsia="zh-CN" w:bidi="ar"/>
                    </w:rPr>
                    <w:t>声压级</w:t>
                  </w:r>
                  <w:r>
                    <w:rPr>
                      <w:rFonts w:hint="default" w:ascii="Times New Roman" w:hAnsi="Times New Roman" w:eastAsia="宋体" w:cs="Times New Roman"/>
                      <w:b/>
                      <w:bCs w:val="0"/>
                      <w:color w:val="auto"/>
                      <w:kern w:val="2"/>
                      <w:sz w:val="21"/>
                      <w:szCs w:val="21"/>
                      <w:lang w:val="en-US" w:eastAsia="zh-CN" w:bidi="ar"/>
                    </w:rPr>
                    <w:t>/dB(A)</w:t>
                  </w:r>
                </w:p>
              </w:tc>
              <w:tc>
                <w:tcPr>
                  <w:tcW w:w="564" w:type="dxa"/>
                  <w:tcBorders>
                    <w:top w:val="single" w:color="auto" w:sz="4" w:space="0"/>
                    <w:left w:val="nil"/>
                    <w:bottom w:val="single" w:color="auto" w:sz="4" w:space="0"/>
                    <w:right w:val="nil"/>
                  </w:tcBorders>
                  <w:tcMar>
                    <w:left w:w="0" w:type="dxa"/>
                    <w:right w:w="0" w:type="dxa"/>
                  </w:tcMar>
                  <w:vAlign w:val="center"/>
                </w:tcPr>
                <w:p>
                  <w:pPr>
                    <w:keepNext w:val="0"/>
                    <w:keepLines w:val="0"/>
                    <w:widowControl w:val="0"/>
                    <w:suppressLineNumbers w:val="0"/>
                    <w:adjustRightInd w:val="0"/>
                    <w:snapToGrid w:val="0"/>
                    <w:spacing w:before="0" w:beforeLines="0" w:beforeAutospacing="0" w:after="0" w:afterLines="0" w:afterAutospacing="0" w:line="240" w:lineRule="atLeast"/>
                    <w:ind w:left="0" w:right="0"/>
                    <w:jc w:val="center"/>
                    <w:rPr>
                      <w:rFonts w:hint="default" w:ascii="Times New Roman" w:hAnsi="Times New Roman" w:eastAsia="宋体" w:cs="Times New Roman"/>
                      <w:b/>
                      <w:bCs w:val="0"/>
                      <w:color w:val="auto"/>
                      <w:kern w:val="2"/>
                      <w:sz w:val="21"/>
                      <w:szCs w:val="21"/>
                    </w:rPr>
                  </w:pPr>
                  <w:r>
                    <w:rPr>
                      <w:rFonts w:hint="eastAsia" w:ascii="宋体" w:hAnsi="宋体" w:eastAsia="宋体" w:cs="宋体"/>
                      <w:b/>
                      <w:bCs w:val="0"/>
                      <w:color w:val="auto"/>
                      <w:kern w:val="2"/>
                      <w:sz w:val="21"/>
                      <w:szCs w:val="21"/>
                      <w:lang w:val="en-US" w:eastAsia="zh-CN" w:bidi="ar"/>
                    </w:rPr>
                    <w:t>建筑物外距离</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1246" w:hRule="atLeast"/>
                <w:jc w:val="center"/>
              </w:trPr>
              <w:tc>
                <w:tcPr>
                  <w:tcW w:w="376" w:type="dxa"/>
                  <w:tcBorders>
                    <w:top w:val="single" w:color="auto" w:sz="4" w:space="0"/>
                    <w:left w:val="nil"/>
                    <w:bottom w:val="single" w:color="auto" w:sz="4" w:space="0"/>
                    <w:right w:val="single" w:color="auto" w:sz="4" w:space="0"/>
                  </w:tcBorders>
                  <w:tcMar>
                    <w:left w:w="0" w:type="dxa"/>
                    <w:right w:w="0" w:type="dxa"/>
                  </w:tcMar>
                  <w:vAlign w:val="center"/>
                </w:tcPr>
                <w:p>
                  <w:pPr>
                    <w:keepNext w:val="0"/>
                    <w:keepLines w:val="0"/>
                    <w:widowControl w:val="0"/>
                    <w:suppressLineNumbers w:val="0"/>
                    <w:autoSpaceDE w:val="0"/>
                    <w:autoSpaceDN/>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1</w:t>
                  </w:r>
                </w:p>
              </w:tc>
              <w:tc>
                <w:tcPr>
                  <w:tcW w:w="378" w:type="dxa"/>
                  <w:vMerge w:val="restart"/>
                  <w:tcBorders>
                    <w:top w:val="nil"/>
                    <w:left w:val="nil"/>
                    <w:bottom w:val="single" w:color="auto" w:sz="4" w:space="0"/>
                    <w:right w:val="single" w:color="auto" w:sz="4" w:space="0"/>
                  </w:tcBorders>
                  <w:tcMar>
                    <w:left w:w="0" w:type="dxa"/>
                    <w:right w:w="0" w:type="dxa"/>
                  </w:tcMar>
                  <w:vAlign w:val="center"/>
                </w:tcPr>
                <w:p>
                  <w:pPr>
                    <w:keepNext w:val="0"/>
                    <w:keepLines w:val="0"/>
                    <w:widowControl w:val="0"/>
                    <w:suppressLineNumbers w:val="0"/>
                    <w:autoSpaceDE w:val="0"/>
                    <w:autoSpaceDN/>
                    <w:spacing w:before="0" w:beforeAutospacing="0" w:after="0" w:afterAutospacing="0" w:line="0" w:lineRule="atLeast"/>
                    <w:ind w:left="0" w:right="0"/>
                    <w:jc w:val="center"/>
                    <w:rPr>
                      <w:rFonts w:hint="eastAsia" w:ascii="Times New Roman" w:hAnsi="Times New Roman" w:eastAsia="宋体" w:cs="Times New Roman"/>
                      <w:color w:val="auto"/>
                      <w:kern w:val="2"/>
                      <w:sz w:val="21"/>
                      <w:szCs w:val="21"/>
                      <w:lang w:eastAsia="zh-CN"/>
                    </w:rPr>
                  </w:pPr>
                  <w:r>
                    <w:rPr>
                      <w:rFonts w:hint="eastAsia" w:ascii="Times New Roman" w:hAnsi="Times New Roman" w:cs="Times New Roman"/>
                      <w:color w:val="auto"/>
                      <w:lang w:eastAsia="zh-CN"/>
                    </w:rPr>
                    <w:t>铝锌合金生产车间</w:t>
                  </w:r>
                </w:p>
              </w:tc>
              <w:tc>
                <w:tcPr>
                  <w:tcW w:w="590" w:type="dxa"/>
                  <w:tcBorders>
                    <w:top w:val="single" w:color="auto" w:sz="4" w:space="0"/>
                    <w:left w:val="nil"/>
                    <w:bottom w:val="single" w:color="auto" w:sz="4" w:space="0"/>
                    <w:right w:val="single" w:color="auto" w:sz="4" w:space="0"/>
                  </w:tcBorders>
                  <w:tcMar>
                    <w:left w:w="0" w:type="dxa"/>
                    <w:right w:w="0" w:type="dxa"/>
                  </w:tcMar>
                  <w:vAlign w:val="center"/>
                </w:tcPr>
                <w:p>
                  <w:pPr>
                    <w:keepNext w:val="0"/>
                    <w:keepLines w:val="0"/>
                    <w:widowControl w:val="0"/>
                    <w:suppressLineNumbers w:val="0"/>
                    <w:spacing w:before="0" w:beforeLines="0" w:beforeAutospacing="0" w:after="0" w:afterLines="0" w:afterAutospacing="0"/>
                    <w:ind w:left="0" w:right="0"/>
                    <w:jc w:val="center"/>
                    <w:rPr>
                      <w:rFonts w:hint="default" w:ascii="Times New Roman" w:hAnsi="Times New Roman" w:eastAsia="宋体" w:cs="Times New Roman"/>
                      <w:color w:val="auto"/>
                      <w:kern w:val="2"/>
                      <w:sz w:val="21"/>
                      <w:szCs w:val="21"/>
                    </w:rPr>
                  </w:pPr>
                  <w:r>
                    <w:rPr>
                      <w:rFonts w:hint="eastAsia" w:ascii="宋体" w:hAnsi="宋体" w:eastAsia="宋体" w:cs="宋体"/>
                      <w:color w:val="auto"/>
                      <w:kern w:val="2"/>
                      <w:sz w:val="21"/>
                      <w:szCs w:val="21"/>
                      <w:lang w:val="en-US" w:eastAsia="zh-CN" w:bidi="ar"/>
                    </w:rPr>
                    <w:t>铝灰炒灰机</w:t>
                  </w:r>
                </w:p>
              </w:tc>
              <w:tc>
                <w:tcPr>
                  <w:tcW w:w="731" w:type="dxa"/>
                  <w:tcBorders>
                    <w:top w:val="single" w:color="auto" w:sz="4" w:space="0"/>
                    <w:left w:val="nil"/>
                    <w:bottom w:val="single" w:color="auto" w:sz="4" w:space="0"/>
                    <w:right w:val="single" w:color="auto" w:sz="4" w:space="0"/>
                  </w:tcBorders>
                  <w:tcMar>
                    <w:left w:w="0" w:type="dxa"/>
                    <w:right w:w="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lang w:val="en-US" w:eastAsia="zh-CN" w:bidi="ar"/>
                    </w:rPr>
                  </w:pPr>
                  <w:r>
                    <w:rPr>
                      <w:rFonts w:hint="eastAsia" w:ascii="Times New Roman" w:hAnsi="Times New Roman" w:eastAsia="宋体" w:cs="Times New Roman"/>
                      <w:i w:val="0"/>
                      <w:iCs w:val="0"/>
                      <w:color w:val="auto"/>
                      <w:kern w:val="0"/>
                      <w:sz w:val="21"/>
                      <w:szCs w:val="21"/>
                      <w:lang w:val="en-US" w:eastAsia="zh-CN" w:bidi="ar"/>
                    </w:rPr>
                    <w:t>78</w:t>
                  </w:r>
                </w:p>
              </w:tc>
              <w:tc>
                <w:tcPr>
                  <w:tcW w:w="754" w:type="dxa"/>
                  <w:tcBorders>
                    <w:top w:val="single" w:color="auto" w:sz="4" w:space="0"/>
                    <w:left w:val="nil"/>
                    <w:bottom w:val="single" w:color="auto" w:sz="4" w:space="0"/>
                    <w:right w:val="single" w:color="auto" w:sz="4" w:space="0"/>
                  </w:tcBorders>
                  <w:tcMar>
                    <w:left w:w="0" w:type="dxa"/>
                    <w:right w:w="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lang w:val="en-US"/>
                    </w:rPr>
                  </w:pPr>
                  <w:r>
                    <w:rPr>
                      <w:rFonts w:hint="default" w:ascii="Times New Roman" w:hAnsi="Times New Roman" w:eastAsia="宋体" w:cs="Times New Roman"/>
                      <w:i w:val="0"/>
                      <w:iCs w:val="0"/>
                      <w:color w:val="auto"/>
                      <w:kern w:val="0"/>
                      <w:sz w:val="21"/>
                      <w:szCs w:val="21"/>
                      <w:lang w:val="en-US" w:eastAsia="zh-CN" w:bidi="ar"/>
                    </w:rPr>
                    <w:t>8</w:t>
                  </w:r>
                  <w:r>
                    <w:rPr>
                      <w:rFonts w:hint="eastAsia" w:ascii="Times New Roman" w:hAnsi="Times New Roman" w:eastAsia="宋体" w:cs="Times New Roman"/>
                      <w:i w:val="0"/>
                      <w:iCs w:val="0"/>
                      <w:color w:val="auto"/>
                      <w:kern w:val="0"/>
                      <w:sz w:val="21"/>
                      <w:szCs w:val="21"/>
                      <w:lang w:val="en-US" w:eastAsia="zh-CN" w:bidi="ar"/>
                    </w:rPr>
                    <w:t>6</w:t>
                  </w:r>
                </w:p>
              </w:tc>
              <w:tc>
                <w:tcPr>
                  <w:tcW w:w="737" w:type="dxa"/>
                  <w:vMerge w:val="restart"/>
                  <w:tcBorders>
                    <w:top w:val="nil"/>
                    <w:left w:val="nil"/>
                    <w:bottom w:val="single" w:color="auto" w:sz="4" w:space="0"/>
                    <w:right w:val="single" w:color="auto" w:sz="4" w:space="0"/>
                  </w:tcBorders>
                  <w:tcMar>
                    <w:left w:w="0" w:type="dxa"/>
                    <w:right w:w="0" w:type="dxa"/>
                  </w:tcMar>
                  <w:vAlign w:val="center"/>
                </w:tcPr>
                <w:p>
                  <w:pPr>
                    <w:keepNext w:val="0"/>
                    <w:keepLines w:val="0"/>
                    <w:widowControl w:val="0"/>
                    <w:suppressLineNumbers w:val="0"/>
                    <w:autoSpaceDE w:val="0"/>
                    <w:autoSpaceDN/>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rPr>
                  </w:pPr>
                  <w:r>
                    <w:rPr>
                      <w:rFonts w:hint="eastAsia" w:ascii="宋体" w:hAnsi="宋体" w:eastAsia="宋体" w:cs="宋体"/>
                      <w:color w:val="auto"/>
                      <w:kern w:val="2"/>
                      <w:sz w:val="21"/>
                      <w:szCs w:val="21"/>
                      <w:lang w:val="en-US" w:eastAsia="zh-CN" w:bidi="ar"/>
                    </w:rPr>
                    <w:t>基础减震、厂房隔声</w:t>
                  </w:r>
                </w:p>
              </w:tc>
              <w:tc>
                <w:tcPr>
                  <w:tcW w:w="358" w:type="dxa"/>
                  <w:tcBorders>
                    <w:top w:val="single" w:color="auto" w:sz="4" w:space="0"/>
                    <w:left w:val="nil"/>
                    <w:bottom w:val="single" w:color="auto" w:sz="4" w:space="0"/>
                    <w:right w:val="single" w:color="auto" w:sz="4" w:space="0"/>
                  </w:tcBorders>
                  <w:tcMar>
                    <w:left w:w="0" w:type="dxa"/>
                    <w:right w:w="0" w:type="dxa"/>
                  </w:tcMar>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461</w:t>
                  </w:r>
                </w:p>
              </w:tc>
              <w:tc>
                <w:tcPr>
                  <w:tcW w:w="408" w:type="dxa"/>
                  <w:tcBorders>
                    <w:top w:val="single" w:color="auto" w:sz="4" w:space="0"/>
                    <w:left w:val="nil"/>
                    <w:bottom w:val="single" w:color="auto" w:sz="4" w:space="0"/>
                    <w:right w:val="single" w:color="auto" w:sz="4" w:space="0"/>
                  </w:tcBorders>
                  <w:tcMar>
                    <w:left w:w="0" w:type="dxa"/>
                    <w:right w:w="0" w:type="dxa"/>
                  </w:tcMar>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406</w:t>
                  </w:r>
                </w:p>
              </w:tc>
              <w:tc>
                <w:tcPr>
                  <w:tcW w:w="423" w:type="dxa"/>
                  <w:tcBorders>
                    <w:top w:val="single" w:color="auto" w:sz="4" w:space="0"/>
                    <w:left w:val="nil"/>
                    <w:bottom w:val="single" w:color="auto" w:sz="4" w:space="0"/>
                    <w:right w:val="single" w:color="auto" w:sz="4" w:space="0"/>
                  </w:tcBorders>
                  <w:tcMar>
                    <w:left w:w="0" w:type="dxa"/>
                    <w:right w:w="0" w:type="dxa"/>
                  </w:tcMar>
                  <w:vAlign w:val="center"/>
                </w:tcPr>
                <w:p>
                  <w:pPr>
                    <w:keepNext w:val="0"/>
                    <w:keepLines w:val="0"/>
                    <w:widowControl w:val="0"/>
                    <w:suppressLineNumbers w:val="0"/>
                    <w:autoSpaceDE w:val="0"/>
                    <w:autoSpaceDN/>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0.5</w:t>
                  </w:r>
                </w:p>
              </w:tc>
              <w:tc>
                <w:tcPr>
                  <w:tcW w:w="642" w:type="dxa"/>
                  <w:tcBorders>
                    <w:top w:val="single" w:color="auto" w:sz="4" w:space="0"/>
                    <w:left w:val="nil"/>
                    <w:bottom w:val="single" w:color="auto" w:sz="4" w:space="0"/>
                    <w:right w:val="single" w:color="auto" w:sz="4" w:space="0"/>
                  </w:tcBorders>
                  <w:tcMar>
                    <w:left w:w="0" w:type="dxa"/>
                    <w:right w:w="0" w:type="dxa"/>
                  </w:tcMar>
                  <w:vAlign w:val="center"/>
                </w:tcPr>
                <w:p>
                  <w:pPr>
                    <w:keepNext w:val="0"/>
                    <w:keepLines w:val="0"/>
                    <w:widowControl w:val="0"/>
                    <w:suppressLineNumbers w:val="0"/>
                    <w:autoSpaceDE w:val="0"/>
                    <w:autoSpaceDN/>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2</w:t>
                  </w:r>
                </w:p>
              </w:tc>
              <w:tc>
                <w:tcPr>
                  <w:tcW w:w="605" w:type="dxa"/>
                  <w:tcBorders>
                    <w:top w:val="single" w:color="auto" w:sz="4" w:space="0"/>
                    <w:left w:val="nil"/>
                    <w:bottom w:val="single" w:color="auto" w:sz="4" w:space="0"/>
                    <w:right w:val="single" w:color="auto" w:sz="4" w:space="0"/>
                  </w:tcBorders>
                  <w:tcMar>
                    <w:left w:w="0" w:type="dxa"/>
                    <w:right w:w="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82</w:t>
                  </w:r>
                </w:p>
              </w:tc>
              <w:tc>
                <w:tcPr>
                  <w:tcW w:w="642" w:type="dxa"/>
                  <w:tcBorders>
                    <w:top w:val="single" w:color="auto" w:sz="4" w:space="0"/>
                    <w:left w:val="nil"/>
                    <w:bottom w:val="single" w:color="auto" w:sz="4" w:space="0"/>
                    <w:right w:val="single" w:color="auto" w:sz="4" w:space="0"/>
                  </w:tcBorders>
                  <w:tcMar>
                    <w:left w:w="0" w:type="dxa"/>
                    <w:right w:w="0" w:type="dxa"/>
                  </w:tcMar>
                  <w:vAlign w:val="center"/>
                </w:tcPr>
                <w:p>
                  <w:pPr>
                    <w:keepNext w:val="0"/>
                    <w:keepLines w:val="0"/>
                    <w:widowControl w:val="0"/>
                    <w:suppressLineNumbers w:val="0"/>
                    <w:autoSpaceDE w:val="0"/>
                    <w:autoSpaceDN/>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rPr>
                  </w:pPr>
                  <w:r>
                    <w:rPr>
                      <w:rFonts w:hint="eastAsia" w:ascii="宋体" w:hAnsi="宋体" w:eastAsia="宋体" w:cs="宋体"/>
                      <w:color w:val="auto"/>
                      <w:kern w:val="2"/>
                      <w:sz w:val="21"/>
                      <w:szCs w:val="21"/>
                      <w:lang w:val="en-US" w:eastAsia="zh-CN" w:bidi="ar"/>
                    </w:rPr>
                    <w:t>昼/夜</w:t>
                  </w:r>
                </w:p>
              </w:tc>
              <w:tc>
                <w:tcPr>
                  <w:tcW w:w="667" w:type="dxa"/>
                  <w:tcBorders>
                    <w:top w:val="single" w:color="auto" w:sz="4" w:space="0"/>
                    <w:left w:val="nil"/>
                    <w:bottom w:val="single" w:color="auto" w:sz="4" w:space="0"/>
                    <w:right w:val="single" w:color="auto" w:sz="4" w:space="0"/>
                  </w:tcBorders>
                  <w:tcMar>
                    <w:left w:w="0" w:type="dxa"/>
                    <w:right w:w="0" w:type="dxa"/>
                  </w:tcMar>
                  <w:vAlign w:val="center"/>
                </w:tcPr>
                <w:p>
                  <w:pPr>
                    <w:keepNext w:val="0"/>
                    <w:keepLines w:val="0"/>
                    <w:widowControl w:val="0"/>
                    <w:suppressLineNumbers w:val="0"/>
                    <w:autoSpaceDE w:val="0"/>
                    <w:autoSpaceDN/>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15</w:t>
                  </w:r>
                </w:p>
              </w:tc>
              <w:tc>
                <w:tcPr>
                  <w:tcW w:w="475" w:type="dxa"/>
                  <w:tcBorders>
                    <w:top w:val="single" w:color="auto" w:sz="4" w:space="0"/>
                    <w:left w:val="nil"/>
                    <w:bottom w:val="single" w:color="auto" w:sz="4" w:space="0"/>
                    <w:right w:val="single" w:color="auto" w:sz="4" w:space="0"/>
                  </w:tcBorders>
                  <w:tcMar>
                    <w:left w:w="0" w:type="dxa"/>
                    <w:right w:w="0" w:type="dxa"/>
                  </w:tcMar>
                  <w:vAlign w:val="center"/>
                </w:tcPr>
                <w:p>
                  <w:pPr>
                    <w:keepNext w:val="0"/>
                    <w:keepLines w:val="0"/>
                    <w:widowControl w:val="0"/>
                    <w:suppressLineNumbers w:val="0"/>
                    <w:spacing w:before="0" w:beforeLines="0" w:beforeAutospacing="0" w:after="0" w:afterLines="0" w:afterAutospacing="0"/>
                    <w:ind w:left="0" w:right="0"/>
                    <w:jc w:val="center"/>
                    <w:rPr>
                      <w:rFonts w:hint="default" w:ascii="Times New Roman" w:hAnsi="Times New Roman" w:eastAsia="宋体" w:cs="Times New Roman"/>
                      <w:color w:val="auto"/>
                      <w:kern w:val="2"/>
                      <w:sz w:val="21"/>
                      <w:szCs w:val="21"/>
                      <w:lang w:val="en-US"/>
                    </w:rPr>
                  </w:pPr>
                  <w:r>
                    <w:rPr>
                      <w:rFonts w:hint="eastAsia" w:ascii="Times New Roman" w:hAnsi="Times New Roman" w:eastAsia="宋体" w:cs="Times New Roman"/>
                      <w:color w:val="auto"/>
                      <w:kern w:val="2"/>
                      <w:sz w:val="21"/>
                      <w:szCs w:val="21"/>
                      <w:lang w:val="en-US" w:eastAsia="zh-CN" w:bidi="ar"/>
                    </w:rPr>
                    <w:t>61</w:t>
                  </w:r>
                </w:p>
              </w:tc>
              <w:tc>
                <w:tcPr>
                  <w:tcW w:w="564" w:type="dxa"/>
                  <w:tcBorders>
                    <w:top w:val="single" w:color="auto" w:sz="4" w:space="0"/>
                    <w:left w:val="nil"/>
                    <w:bottom w:val="single" w:color="auto" w:sz="4" w:space="0"/>
                    <w:right w:val="nil"/>
                  </w:tcBorders>
                  <w:tcMar>
                    <w:left w:w="0" w:type="dxa"/>
                    <w:right w:w="0" w:type="dxa"/>
                  </w:tcMar>
                  <w:vAlign w:val="center"/>
                </w:tcPr>
                <w:p>
                  <w:pPr>
                    <w:keepNext w:val="0"/>
                    <w:keepLines w:val="0"/>
                    <w:widowControl w:val="0"/>
                    <w:suppressLineNumbers w:val="0"/>
                    <w:autoSpaceDE w:val="0"/>
                    <w:autoSpaceDN/>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1</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1156" w:hRule="atLeast"/>
                <w:jc w:val="center"/>
              </w:trPr>
              <w:tc>
                <w:tcPr>
                  <w:tcW w:w="376" w:type="dxa"/>
                  <w:tcBorders>
                    <w:top w:val="single" w:color="auto" w:sz="4" w:space="0"/>
                    <w:left w:val="nil"/>
                    <w:bottom w:val="single" w:color="auto" w:sz="4" w:space="0"/>
                    <w:right w:val="single" w:color="auto" w:sz="4" w:space="0"/>
                  </w:tcBorders>
                  <w:tcMar>
                    <w:left w:w="0" w:type="dxa"/>
                    <w:right w:w="0" w:type="dxa"/>
                  </w:tcMar>
                  <w:vAlign w:val="center"/>
                </w:tcPr>
                <w:p>
                  <w:pPr>
                    <w:keepNext w:val="0"/>
                    <w:keepLines w:val="0"/>
                    <w:widowControl w:val="0"/>
                    <w:suppressLineNumbers w:val="0"/>
                    <w:autoSpaceDE w:val="0"/>
                    <w:autoSpaceDN/>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2</w:t>
                  </w:r>
                </w:p>
              </w:tc>
              <w:tc>
                <w:tcPr>
                  <w:tcW w:w="378" w:type="dxa"/>
                  <w:vMerge w:val="continue"/>
                  <w:tcBorders>
                    <w:top w:val="nil"/>
                    <w:left w:val="nil"/>
                    <w:bottom w:val="single" w:color="auto" w:sz="4" w:space="0"/>
                    <w:right w:val="single" w:color="auto" w:sz="4" w:space="0"/>
                  </w:tcBorders>
                  <w:tcMar>
                    <w:left w:w="0" w:type="dxa"/>
                    <w:right w:w="0"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c>
                <w:tcPr>
                  <w:tcW w:w="590" w:type="dxa"/>
                  <w:tcBorders>
                    <w:top w:val="single" w:color="auto" w:sz="4" w:space="0"/>
                    <w:left w:val="nil"/>
                    <w:bottom w:val="single" w:color="auto" w:sz="4" w:space="0"/>
                    <w:right w:val="single" w:color="auto" w:sz="4" w:space="0"/>
                  </w:tcBorders>
                  <w:tcMar>
                    <w:left w:w="0" w:type="dxa"/>
                    <w:right w:w="0" w:type="dxa"/>
                  </w:tcMar>
                  <w:vAlign w:val="center"/>
                </w:tcPr>
                <w:p>
                  <w:pPr>
                    <w:keepNext w:val="0"/>
                    <w:keepLines w:val="0"/>
                    <w:widowControl w:val="0"/>
                    <w:suppressLineNumbers w:val="0"/>
                    <w:spacing w:before="0" w:beforeLines="0" w:beforeAutospacing="0" w:after="0" w:afterLines="0" w:afterAutospacing="0"/>
                    <w:ind w:left="0" w:right="0"/>
                    <w:jc w:val="center"/>
                    <w:rPr>
                      <w:rFonts w:hint="default" w:ascii="Times New Roman" w:hAnsi="Times New Roman" w:eastAsia="宋体" w:cs="Times New Roman"/>
                      <w:color w:val="auto"/>
                      <w:kern w:val="2"/>
                      <w:sz w:val="21"/>
                      <w:szCs w:val="21"/>
                    </w:rPr>
                  </w:pPr>
                  <w:r>
                    <w:rPr>
                      <w:rFonts w:hint="eastAsia" w:ascii="宋体" w:hAnsi="宋体" w:eastAsia="宋体" w:cs="宋体"/>
                      <w:color w:val="auto"/>
                      <w:kern w:val="2"/>
                      <w:sz w:val="21"/>
                      <w:szCs w:val="21"/>
                      <w:lang w:val="en-US" w:eastAsia="zh-CN" w:bidi="ar"/>
                    </w:rPr>
                    <w:t>冷灰桶</w:t>
                  </w:r>
                </w:p>
              </w:tc>
              <w:tc>
                <w:tcPr>
                  <w:tcW w:w="731" w:type="dxa"/>
                  <w:tcBorders>
                    <w:top w:val="single" w:color="auto" w:sz="4" w:space="0"/>
                    <w:left w:val="nil"/>
                    <w:bottom w:val="single" w:color="auto" w:sz="4" w:space="0"/>
                    <w:right w:val="single" w:color="auto" w:sz="4" w:space="0"/>
                  </w:tcBorders>
                  <w:tcMar>
                    <w:left w:w="0" w:type="dxa"/>
                    <w:right w:w="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lang w:val="en-US" w:eastAsia="zh-CN" w:bidi="ar"/>
                    </w:rPr>
                  </w:pPr>
                  <w:r>
                    <w:rPr>
                      <w:rFonts w:hint="eastAsia" w:ascii="Times New Roman" w:hAnsi="Times New Roman" w:eastAsia="宋体" w:cs="Times New Roman"/>
                      <w:color w:val="auto"/>
                      <w:kern w:val="2"/>
                      <w:sz w:val="21"/>
                      <w:szCs w:val="21"/>
                      <w:lang w:val="en-US" w:eastAsia="zh-CN" w:bidi="ar"/>
                    </w:rPr>
                    <w:t>75</w:t>
                  </w:r>
                </w:p>
              </w:tc>
              <w:tc>
                <w:tcPr>
                  <w:tcW w:w="754" w:type="dxa"/>
                  <w:tcBorders>
                    <w:top w:val="single" w:color="auto" w:sz="4" w:space="0"/>
                    <w:left w:val="nil"/>
                    <w:bottom w:val="single" w:color="auto" w:sz="4" w:space="0"/>
                    <w:right w:val="single" w:color="auto" w:sz="4" w:space="0"/>
                  </w:tcBorders>
                  <w:tcMar>
                    <w:left w:w="0" w:type="dxa"/>
                    <w:right w:w="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lang w:val="en-US"/>
                    </w:rPr>
                  </w:pPr>
                  <w:r>
                    <w:rPr>
                      <w:rFonts w:hint="eastAsia" w:ascii="Times New Roman" w:hAnsi="Times New Roman" w:eastAsia="宋体" w:cs="Times New Roman"/>
                      <w:color w:val="auto"/>
                      <w:kern w:val="2"/>
                      <w:sz w:val="21"/>
                      <w:szCs w:val="21"/>
                      <w:lang w:val="en-US" w:eastAsia="zh-CN" w:bidi="ar"/>
                    </w:rPr>
                    <w:t>83</w:t>
                  </w:r>
                </w:p>
              </w:tc>
              <w:tc>
                <w:tcPr>
                  <w:tcW w:w="737" w:type="dxa"/>
                  <w:vMerge w:val="continue"/>
                  <w:tcBorders>
                    <w:top w:val="nil"/>
                    <w:left w:val="nil"/>
                    <w:bottom w:val="single" w:color="auto" w:sz="4" w:space="0"/>
                    <w:right w:val="single" w:color="auto" w:sz="4" w:space="0"/>
                  </w:tcBorders>
                  <w:tcMar>
                    <w:left w:w="0" w:type="dxa"/>
                    <w:right w:w="0"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c>
                <w:tcPr>
                  <w:tcW w:w="358" w:type="dxa"/>
                  <w:tcBorders>
                    <w:top w:val="single" w:color="auto" w:sz="4" w:space="0"/>
                    <w:left w:val="nil"/>
                    <w:bottom w:val="single" w:color="auto" w:sz="4" w:space="0"/>
                    <w:right w:val="single" w:color="auto" w:sz="4" w:space="0"/>
                  </w:tcBorders>
                  <w:tcMar>
                    <w:left w:w="0" w:type="dxa"/>
                    <w:right w:w="0" w:type="dxa"/>
                  </w:tcMar>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479</w:t>
                  </w:r>
                </w:p>
              </w:tc>
              <w:tc>
                <w:tcPr>
                  <w:tcW w:w="408" w:type="dxa"/>
                  <w:tcBorders>
                    <w:top w:val="single" w:color="auto" w:sz="4" w:space="0"/>
                    <w:left w:val="nil"/>
                    <w:bottom w:val="single" w:color="auto" w:sz="4" w:space="0"/>
                    <w:right w:val="single" w:color="auto" w:sz="4" w:space="0"/>
                  </w:tcBorders>
                  <w:tcMar>
                    <w:left w:w="0" w:type="dxa"/>
                    <w:right w:w="0" w:type="dxa"/>
                  </w:tcMar>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387</w:t>
                  </w:r>
                </w:p>
              </w:tc>
              <w:tc>
                <w:tcPr>
                  <w:tcW w:w="423" w:type="dxa"/>
                  <w:tcBorders>
                    <w:top w:val="single" w:color="auto" w:sz="4" w:space="0"/>
                    <w:left w:val="nil"/>
                    <w:bottom w:val="single" w:color="auto" w:sz="4" w:space="0"/>
                    <w:right w:val="single" w:color="auto" w:sz="4" w:space="0"/>
                  </w:tcBorders>
                  <w:tcMar>
                    <w:left w:w="0" w:type="dxa"/>
                    <w:right w:w="0" w:type="dxa"/>
                  </w:tcMar>
                  <w:vAlign w:val="center"/>
                </w:tcPr>
                <w:p>
                  <w:pPr>
                    <w:keepNext w:val="0"/>
                    <w:keepLines w:val="0"/>
                    <w:widowControl w:val="0"/>
                    <w:suppressLineNumbers w:val="0"/>
                    <w:autoSpaceDE w:val="0"/>
                    <w:autoSpaceDN/>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0.5</w:t>
                  </w:r>
                </w:p>
              </w:tc>
              <w:tc>
                <w:tcPr>
                  <w:tcW w:w="642" w:type="dxa"/>
                  <w:tcBorders>
                    <w:top w:val="single" w:color="auto" w:sz="4" w:space="0"/>
                    <w:left w:val="nil"/>
                    <w:bottom w:val="single" w:color="auto" w:sz="4" w:space="0"/>
                    <w:right w:val="single" w:color="auto" w:sz="4" w:space="0"/>
                  </w:tcBorders>
                  <w:tcMar>
                    <w:left w:w="0" w:type="dxa"/>
                    <w:right w:w="0" w:type="dxa"/>
                  </w:tcMar>
                  <w:vAlign w:val="center"/>
                </w:tcPr>
                <w:p>
                  <w:pPr>
                    <w:keepNext w:val="0"/>
                    <w:keepLines w:val="0"/>
                    <w:widowControl w:val="0"/>
                    <w:suppressLineNumbers w:val="0"/>
                    <w:autoSpaceDE w:val="0"/>
                    <w:autoSpaceDN/>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2</w:t>
                  </w:r>
                </w:p>
              </w:tc>
              <w:tc>
                <w:tcPr>
                  <w:tcW w:w="605" w:type="dxa"/>
                  <w:tcBorders>
                    <w:top w:val="single" w:color="auto" w:sz="4" w:space="0"/>
                    <w:left w:val="nil"/>
                    <w:bottom w:val="single" w:color="auto" w:sz="4" w:space="0"/>
                    <w:right w:val="single" w:color="auto" w:sz="4" w:space="0"/>
                  </w:tcBorders>
                  <w:tcMar>
                    <w:left w:w="0" w:type="dxa"/>
                    <w:right w:w="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79</w:t>
                  </w:r>
                </w:p>
              </w:tc>
              <w:tc>
                <w:tcPr>
                  <w:tcW w:w="642" w:type="dxa"/>
                  <w:tcBorders>
                    <w:top w:val="single" w:color="auto" w:sz="4" w:space="0"/>
                    <w:left w:val="nil"/>
                    <w:bottom w:val="single" w:color="auto" w:sz="4" w:space="0"/>
                    <w:right w:val="single" w:color="auto" w:sz="4" w:space="0"/>
                  </w:tcBorders>
                  <w:tcMar>
                    <w:left w:w="0" w:type="dxa"/>
                    <w:right w:w="0" w:type="dxa"/>
                  </w:tcMar>
                  <w:vAlign w:val="center"/>
                </w:tcPr>
                <w:p>
                  <w:pPr>
                    <w:keepNext w:val="0"/>
                    <w:keepLines w:val="0"/>
                    <w:widowControl w:val="0"/>
                    <w:suppressLineNumbers w:val="0"/>
                    <w:autoSpaceDE w:val="0"/>
                    <w:autoSpaceDN/>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rPr>
                  </w:pPr>
                  <w:r>
                    <w:rPr>
                      <w:rFonts w:hint="eastAsia" w:ascii="宋体" w:hAnsi="宋体" w:eastAsia="宋体" w:cs="宋体"/>
                      <w:color w:val="auto"/>
                      <w:kern w:val="2"/>
                      <w:sz w:val="21"/>
                      <w:szCs w:val="21"/>
                      <w:lang w:val="en-US" w:eastAsia="zh-CN" w:bidi="ar"/>
                    </w:rPr>
                    <w:t>昼/夜</w:t>
                  </w:r>
                </w:p>
              </w:tc>
              <w:tc>
                <w:tcPr>
                  <w:tcW w:w="667" w:type="dxa"/>
                  <w:tcBorders>
                    <w:top w:val="single" w:color="auto" w:sz="4" w:space="0"/>
                    <w:left w:val="nil"/>
                    <w:bottom w:val="single" w:color="auto" w:sz="4" w:space="0"/>
                    <w:right w:val="single" w:color="auto" w:sz="4" w:space="0"/>
                  </w:tcBorders>
                  <w:tcMar>
                    <w:left w:w="0" w:type="dxa"/>
                    <w:right w:w="0" w:type="dxa"/>
                  </w:tcMar>
                  <w:vAlign w:val="center"/>
                </w:tcPr>
                <w:p>
                  <w:pPr>
                    <w:keepNext w:val="0"/>
                    <w:keepLines w:val="0"/>
                    <w:widowControl w:val="0"/>
                    <w:suppressLineNumbers w:val="0"/>
                    <w:autoSpaceDE w:val="0"/>
                    <w:autoSpaceDN/>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15</w:t>
                  </w:r>
                </w:p>
              </w:tc>
              <w:tc>
                <w:tcPr>
                  <w:tcW w:w="475" w:type="dxa"/>
                  <w:tcBorders>
                    <w:top w:val="single" w:color="auto" w:sz="4" w:space="0"/>
                    <w:left w:val="nil"/>
                    <w:bottom w:val="single" w:color="auto" w:sz="4" w:space="0"/>
                    <w:right w:val="single" w:color="auto" w:sz="4" w:space="0"/>
                  </w:tcBorders>
                  <w:tcMar>
                    <w:left w:w="0" w:type="dxa"/>
                    <w:right w:w="0" w:type="dxa"/>
                  </w:tcMar>
                  <w:vAlign w:val="center"/>
                </w:tcPr>
                <w:p>
                  <w:pPr>
                    <w:keepNext w:val="0"/>
                    <w:keepLines w:val="0"/>
                    <w:widowControl w:val="0"/>
                    <w:suppressLineNumbers w:val="0"/>
                    <w:spacing w:before="0" w:beforeLines="0" w:beforeAutospacing="0" w:after="0" w:afterLines="0" w:afterAutospacing="0"/>
                    <w:ind w:left="0" w:right="0"/>
                    <w:jc w:val="center"/>
                    <w:rPr>
                      <w:rFonts w:hint="default" w:ascii="Times New Roman" w:hAnsi="Times New Roman" w:eastAsia="宋体" w:cs="Times New Roman"/>
                      <w:color w:val="auto"/>
                      <w:kern w:val="2"/>
                      <w:sz w:val="21"/>
                      <w:szCs w:val="21"/>
                      <w:lang w:val="en-US"/>
                    </w:rPr>
                  </w:pPr>
                  <w:r>
                    <w:rPr>
                      <w:rFonts w:hint="eastAsia" w:ascii="Times New Roman" w:hAnsi="Times New Roman" w:eastAsia="宋体" w:cs="Times New Roman"/>
                      <w:color w:val="auto"/>
                      <w:kern w:val="2"/>
                      <w:sz w:val="21"/>
                      <w:szCs w:val="21"/>
                      <w:lang w:val="en-US" w:eastAsia="zh-CN" w:bidi="ar"/>
                    </w:rPr>
                    <w:t>58</w:t>
                  </w:r>
                </w:p>
              </w:tc>
              <w:tc>
                <w:tcPr>
                  <w:tcW w:w="564" w:type="dxa"/>
                  <w:tcBorders>
                    <w:top w:val="single" w:color="auto" w:sz="4" w:space="0"/>
                    <w:left w:val="nil"/>
                    <w:bottom w:val="single" w:color="auto" w:sz="4" w:space="0"/>
                    <w:right w:val="nil"/>
                  </w:tcBorders>
                  <w:tcMar>
                    <w:left w:w="0" w:type="dxa"/>
                    <w:right w:w="0" w:type="dxa"/>
                  </w:tcMar>
                  <w:vAlign w:val="center"/>
                </w:tcPr>
                <w:p>
                  <w:pPr>
                    <w:keepNext w:val="0"/>
                    <w:keepLines w:val="0"/>
                    <w:widowControl w:val="0"/>
                    <w:suppressLineNumbers w:val="0"/>
                    <w:autoSpaceDE w:val="0"/>
                    <w:autoSpaceDN/>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1</w:t>
                  </w:r>
                </w:p>
              </w:tc>
            </w:tr>
          </w:tbl>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241" w:firstLineChars="100"/>
              <w:jc w:val="both"/>
              <w:textAlignment w:val="auto"/>
              <w:rPr>
                <w:rFonts w:hint="default" w:ascii="Times New Roman" w:hAnsi="Times New Roman" w:eastAsia="宋体" w:cs="Times New Roman"/>
                <w:b/>
                <w:bCs/>
                <w:color w:val="auto"/>
                <w:kern w:val="2"/>
                <w:sz w:val="24"/>
                <w:szCs w:val="24"/>
              </w:rPr>
            </w:pPr>
            <w:r>
              <w:rPr>
                <w:rFonts w:hint="default" w:ascii="Times New Roman" w:hAnsi="Times New Roman" w:eastAsia="宋体" w:cs="Times New Roman"/>
                <w:b/>
                <w:bCs/>
                <w:color w:val="auto"/>
                <w:kern w:val="2"/>
                <w:sz w:val="24"/>
                <w:szCs w:val="24"/>
                <w:lang w:val="en-US" w:eastAsia="zh-CN" w:bidi="ar"/>
              </w:rPr>
              <w:t>3.2</w:t>
            </w:r>
            <w:r>
              <w:rPr>
                <w:rFonts w:hint="eastAsia" w:ascii="宋体" w:hAnsi="宋体" w:eastAsia="宋体" w:cs="宋体"/>
                <w:b/>
                <w:bCs/>
                <w:color w:val="auto"/>
                <w:kern w:val="2"/>
                <w:sz w:val="24"/>
                <w:szCs w:val="24"/>
                <w:lang w:val="en-US" w:eastAsia="zh-CN" w:bidi="ar"/>
              </w:rPr>
              <w:t>预测模式</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预测模式采用《环境影响评价技术导则</w:t>
            </w:r>
            <w:r>
              <w:rPr>
                <w:rFonts w:hint="default" w:ascii="Times New Roman" w:hAnsi="Times New Roman" w:eastAsia="宋体" w:cs="Times New Roman"/>
                <w:color w:val="auto"/>
                <w:kern w:val="2"/>
                <w:sz w:val="24"/>
                <w:szCs w:val="24"/>
                <w:lang w:val="en-US" w:eastAsia="zh-CN" w:bidi="ar"/>
              </w:rPr>
              <w:t>—</w:t>
            </w:r>
            <w:r>
              <w:rPr>
                <w:rFonts w:hint="eastAsia" w:ascii="宋体" w:hAnsi="宋体" w:eastAsia="宋体" w:cs="宋体"/>
                <w:color w:val="auto"/>
                <w:kern w:val="2"/>
                <w:sz w:val="24"/>
                <w:szCs w:val="24"/>
                <w:lang w:val="en-US" w:eastAsia="zh-CN" w:bidi="ar"/>
              </w:rPr>
              <w:t>声环境》（</w:t>
            </w:r>
            <w:r>
              <w:rPr>
                <w:rFonts w:hint="default" w:ascii="Times New Roman" w:hAnsi="Times New Roman" w:eastAsia="宋体" w:cs="Times New Roman"/>
                <w:color w:val="auto"/>
                <w:kern w:val="2"/>
                <w:sz w:val="24"/>
                <w:szCs w:val="24"/>
                <w:lang w:val="en-US" w:eastAsia="zh-CN" w:bidi="ar"/>
              </w:rPr>
              <w:t>HJ2.4-2021</w:t>
            </w:r>
            <w:r>
              <w:rPr>
                <w:rFonts w:hint="eastAsia" w:ascii="宋体" w:hAnsi="宋体" w:eastAsia="宋体" w:cs="宋体"/>
                <w:color w:val="auto"/>
                <w:kern w:val="2"/>
                <w:sz w:val="24"/>
                <w:szCs w:val="24"/>
                <w:lang w:val="en-US" w:eastAsia="zh-CN" w:bidi="ar"/>
              </w:rPr>
              <w:t>）中推荐的工业噪声预测计算模型。噪声在传播过程中受到多种因素的干扰，使其产生衰减，根据建设项目噪声源和环境特征，预测过程中考虑了建筑物的屏障作用、空气吸收。</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2" w:firstLineChars="200"/>
              <w:jc w:val="both"/>
              <w:textAlignment w:val="auto"/>
              <w:rPr>
                <w:rFonts w:hint="default" w:ascii="Times New Roman" w:hAnsi="Times New Roman" w:eastAsia="宋体" w:cs="Times New Roman"/>
                <w:b/>
                <w:bCs/>
                <w:color w:val="auto"/>
                <w:kern w:val="2"/>
                <w:sz w:val="24"/>
                <w:szCs w:val="24"/>
              </w:rPr>
            </w:pPr>
            <w:r>
              <w:rPr>
                <w:rFonts w:hint="default" w:ascii="Times New Roman" w:hAnsi="Times New Roman" w:eastAsia="宋体" w:cs="Times New Roman"/>
                <w:b/>
                <w:bCs/>
                <w:color w:val="auto"/>
                <w:kern w:val="2"/>
                <w:sz w:val="24"/>
                <w:szCs w:val="24"/>
                <w:lang w:val="en-US" w:eastAsia="zh-CN" w:bidi="ar"/>
              </w:rPr>
              <w:t>3.2.1</w:t>
            </w:r>
            <w:r>
              <w:rPr>
                <w:rFonts w:hint="eastAsia" w:ascii="宋体" w:hAnsi="宋体" w:eastAsia="宋体" w:cs="宋体"/>
                <w:b/>
                <w:bCs/>
                <w:color w:val="auto"/>
                <w:kern w:val="2"/>
                <w:sz w:val="24"/>
                <w:szCs w:val="24"/>
                <w:lang w:val="en-US" w:eastAsia="zh-CN" w:bidi="ar"/>
              </w:rPr>
              <w:t>室内声源等效为室外声源</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采用等效室外声源声功率级法进行计算，设靠近开口处（或窗户）室内、室外某倍频带的声压级或</w:t>
            </w:r>
            <w:r>
              <w:rPr>
                <w:rFonts w:hint="default" w:ascii="Times New Roman" w:hAnsi="Times New Roman" w:eastAsia="宋体" w:cs="Times New Roman"/>
                <w:color w:val="auto"/>
                <w:kern w:val="2"/>
                <w:sz w:val="24"/>
                <w:szCs w:val="24"/>
                <w:lang w:val="en-US" w:eastAsia="zh-CN" w:bidi="ar"/>
              </w:rPr>
              <w:t>A</w:t>
            </w:r>
            <w:r>
              <w:rPr>
                <w:rFonts w:hint="eastAsia" w:ascii="宋体" w:hAnsi="宋体" w:eastAsia="宋体" w:cs="宋体"/>
                <w:color w:val="auto"/>
                <w:kern w:val="2"/>
                <w:sz w:val="24"/>
                <w:szCs w:val="24"/>
                <w:lang w:val="en-US" w:eastAsia="zh-CN" w:bidi="ar"/>
              </w:rPr>
              <w:t>声级分别为</w:t>
            </w:r>
            <w:r>
              <w:rPr>
                <w:rFonts w:hint="default" w:ascii="Times New Roman" w:hAnsi="Times New Roman" w:eastAsia="宋体" w:cs="Times New Roman"/>
                <w:color w:val="auto"/>
                <w:kern w:val="2"/>
                <w:sz w:val="24"/>
                <w:szCs w:val="24"/>
                <w:lang w:val="en-US" w:eastAsia="zh-CN" w:bidi="ar"/>
              </w:rPr>
              <w:t>L</w:t>
            </w:r>
            <w:r>
              <w:rPr>
                <w:rFonts w:hint="default" w:ascii="Times New Roman" w:hAnsi="Times New Roman" w:eastAsia="宋体" w:cs="Times New Roman"/>
                <w:color w:val="auto"/>
                <w:kern w:val="2"/>
                <w:sz w:val="24"/>
                <w:szCs w:val="24"/>
                <w:vertAlign w:val="subscript"/>
                <w:lang w:val="en-US" w:eastAsia="zh-CN" w:bidi="ar"/>
              </w:rPr>
              <w:t>p1</w:t>
            </w:r>
            <w:r>
              <w:rPr>
                <w:rFonts w:hint="eastAsia" w:ascii="宋体" w:hAnsi="宋体" w:eastAsia="宋体" w:cs="宋体"/>
                <w:color w:val="auto"/>
                <w:kern w:val="2"/>
                <w:sz w:val="24"/>
                <w:szCs w:val="24"/>
                <w:lang w:val="en-US" w:eastAsia="zh-CN" w:bidi="ar"/>
              </w:rPr>
              <w:t>和</w:t>
            </w:r>
            <w:r>
              <w:rPr>
                <w:rFonts w:hint="default" w:ascii="Times New Roman" w:hAnsi="Times New Roman" w:eastAsia="宋体" w:cs="Times New Roman"/>
                <w:color w:val="auto"/>
                <w:kern w:val="2"/>
                <w:sz w:val="24"/>
                <w:szCs w:val="24"/>
                <w:lang w:val="en-US" w:eastAsia="zh-CN" w:bidi="ar"/>
              </w:rPr>
              <w:t>L</w:t>
            </w:r>
            <w:r>
              <w:rPr>
                <w:rFonts w:hint="default" w:ascii="Times New Roman" w:hAnsi="Times New Roman" w:eastAsia="宋体" w:cs="Times New Roman"/>
                <w:color w:val="auto"/>
                <w:kern w:val="2"/>
                <w:sz w:val="24"/>
                <w:szCs w:val="24"/>
                <w:vertAlign w:val="subscript"/>
                <w:lang w:val="en-US" w:eastAsia="zh-CN" w:bidi="ar"/>
              </w:rPr>
              <w:t>p2</w:t>
            </w:r>
            <w:r>
              <w:rPr>
                <w:rFonts w:hint="eastAsia" w:ascii="宋体" w:hAnsi="宋体" w:eastAsia="宋体" w:cs="宋体"/>
                <w:color w:val="auto"/>
                <w:kern w:val="2"/>
                <w:sz w:val="24"/>
                <w:szCs w:val="24"/>
                <w:lang w:val="en-US" w:eastAsia="zh-CN" w:bidi="ar"/>
              </w:rPr>
              <w:t>。若声源所在室内声场为近似扩散声场，则室外的倍频带声压级可按下式近似求出：</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default" w:ascii="Times New Roman" w:hAnsi="Times New Roman" w:eastAsia="宋体" w:cs="Times New Roman"/>
                <w:color w:val="auto"/>
                <w:kern w:val="2"/>
                <w:sz w:val="24"/>
                <w:szCs w:val="24"/>
              </w:rPr>
            </w:pPr>
            <w:r>
              <w:rPr>
                <w:rFonts w:hint="default" w:ascii="Times New Roman" w:hAnsi="Times New Roman" w:cs="Times New Roman"/>
                <w:color w:val="auto"/>
                <w:kern w:val="2"/>
                <w:sz w:val="21"/>
                <w:szCs w:val="21"/>
                <w:lang w:val="en-US" w:eastAsia="zh-CN" w:bidi="ar"/>
              </w:rPr>
              <w:drawing>
                <wp:inline distT="0" distB="0" distL="114300" distR="114300">
                  <wp:extent cx="1143000" cy="247650"/>
                  <wp:effectExtent l="0" t="0" r="0" b="0"/>
                  <wp:docPr id="19" name="图片 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9" descr="IMG_256"/>
                          <pic:cNvPicPr>
                            <a:picLocks noChangeAspect="1"/>
                          </pic:cNvPicPr>
                        </pic:nvPicPr>
                        <pic:blipFill>
                          <a:blip r:embed="rId27"/>
                          <a:stretch>
                            <a:fillRect/>
                          </a:stretch>
                        </pic:blipFill>
                        <pic:spPr>
                          <a:xfrm>
                            <a:off x="0" y="0"/>
                            <a:ext cx="1143000" cy="247650"/>
                          </a:xfrm>
                          <a:prstGeom prst="rect">
                            <a:avLst/>
                          </a:prstGeom>
                          <a:noFill/>
                          <a:ln>
                            <a:noFill/>
                          </a:ln>
                        </pic:spPr>
                      </pic:pic>
                    </a:graphicData>
                  </a:graphic>
                </wp:inline>
              </w:drawing>
            </w:r>
            <w:r>
              <w:rPr>
                <w:rFonts w:hint="default" w:ascii="Times New Roman" w:hAnsi="Times New Roman" w:eastAsia="宋体" w:cs="Times New Roman"/>
                <w:color w:val="auto"/>
                <w:kern w:val="2"/>
                <w:sz w:val="24"/>
                <w:szCs w:val="24"/>
                <w:lang w:val="en-US" w:eastAsia="zh-CN" w:bidi="ar"/>
              </w:rPr>
              <w:t xml:space="preserve"> </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式中：</w:t>
            </w:r>
            <w:r>
              <w:rPr>
                <w:rFonts w:hint="default" w:ascii="Times New Roman" w:hAnsi="Times New Roman" w:eastAsia="宋体" w:cs="Times New Roman"/>
                <w:color w:val="auto"/>
                <w:kern w:val="2"/>
                <w:sz w:val="24"/>
                <w:szCs w:val="24"/>
                <w:lang w:val="en-US" w:eastAsia="zh-CN" w:bidi="ar"/>
              </w:rPr>
              <w:t>L</w:t>
            </w:r>
            <w:r>
              <w:rPr>
                <w:rFonts w:hint="default" w:ascii="Times New Roman" w:hAnsi="Times New Roman" w:eastAsia="宋体" w:cs="Times New Roman"/>
                <w:color w:val="auto"/>
                <w:kern w:val="2"/>
                <w:sz w:val="24"/>
                <w:szCs w:val="24"/>
                <w:vertAlign w:val="subscript"/>
                <w:lang w:val="en-US" w:eastAsia="zh-CN" w:bidi="ar"/>
              </w:rPr>
              <w:t>p1</w:t>
            </w:r>
            <w:r>
              <w:rPr>
                <w:rFonts w:hint="default" w:ascii="Times New Roman" w:hAnsi="Times New Roman" w:eastAsia="宋体" w:cs="Times New Roman"/>
                <w:color w:val="auto"/>
                <w:kern w:val="2"/>
                <w:sz w:val="24"/>
                <w:szCs w:val="24"/>
                <w:lang w:val="en-US" w:eastAsia="zh-CN" w:bidi="ar"/>
              </w:rPr>
              <w:t>——</w:t>
            </w:r>
            <w:r>
              <w:rPr>
                <w:rFonts w:hint="eastAsia" w:ascii="宋体" w:hAnsi="宋体" w:eastAsia="宋体" w:cs="宋体"/>
                <w:color w:val="auto"/>
                <w:kern w:val="2"/>
                <w:sz w:val="24"/>
                <w:szCs w:val="24"/>
                <w:lang w:val="en-US" w:eastAsia="zh-CN" w:bidi="ar"/>
              </w:rPr>
              <w:t>靠近开口处（或窗户）室内某倍频带的声压级或</w:t>
            </w:r>
            <w:r>
              <w:rPr>
                <w:rFonts w:hint="default" w:ascii="Times New Roman" w:hAnsi="Times New Roman" w:eastAsia="宋体" w:cs="Times New Roman"/>
                <w:color w:val="auto"/>
                <w:kern w:val="2"/>
                <w:sz w:val="24"/>
                <w:szCs w:val="24"/>
                <w:lang w:val="en-US" w:eastAsia="zh-CN" w:bidi="ar"/>
              </w:rPr>
              <w:t>A</w:t>
            </w:r>
            <w:r>
              <w:rPr>
                <w:rFonts w:hint="eastAsia" w:ascii="宋体" w:hAnsi="宋体" w:eastAsia="宋体" w:cs="宋体"/>
                <w:color w:val="auto"/>
                <w:kern w:val="2"/>
                <w:sz w:val="24"/>
                <w:szCs w:val="24"/>
                <w:lang w:val="en-US" w:eastAsia="zh-CN" w:bidi="ar"/>
              </w:rPr>
              <w:t>声级，</w:t>
            </w:r>
            <w:r>
              <w:rPr>
                <w:rFonts w:hint="default" w:ascii="Times New Roman" w:hAnsi="Times New Roman" w:eastAsia="宋体" w:cs="Times New Roman"/>
                <w:color w:val="auto"/>
                <w:kern w:val="2"/>
                <w:sz w:val="24"/>
                <w:szCs w:val="24"/>
                <w:lang w:val="en-US" w:eastAsia="zh-CN" w:bidi="ar"/>
              </w:rPr>
              <w:t>dB</w:t>
            </w:r>
            <w:r>
              <w:rPr>
                <w:rFonts w:hint="eastAsia" w:ascii="宋体" w:hAnsi="宋体" w:eastAsia="宋体" w:cs="宋体"/>
                <w:color w:val="auto"/>
                <w:kern w:val="2"/>
                <w:sz w:val="24"/>
                <w:szCs w:val="24"/>
                <w:lang w:val="en-US" w:eastAsia="zh-CN" w:bidi="ar"/>
              </w:rPr>
              <w:t>；</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lang w:val="en-US" w:eastAsia="zh-CN" w:bidi="ar"/>
              </w:rPr>
              <w:t>L</w:t>
            </w:r>
            <w:r>
              <w:rPr>
                <w:rFonts w:hint="default" w:ascii="Times New Roman" w:hAnsi="Times New Roman" w:eastAsia="宋体" w:cs="Times New Roman"/>
                <w:color w:val="auto"/>
                <w:kern w:val="2"/>
                <w:sz w:val="24"/>
                <w:szCs w:val="24"/>
                <w:vertAlign w:val="subscript"/>
                <w:lang w:val="en-US" w:eastAsia="zh-CN" w:bidi="ar"/>
              </w:rPr>
              <w:t>p2</w:t>
            </w:r>
            <w:r>
              <w:rPr>
                <w:rFonts w:hint="default" w:ascii="Times New Roman" w:hAnsi="Times New Roman" w:eastAsia="宋体" w:cs="Times New Roman"/>
                <w:color w:val="auto"/>
                <w:kern w:val="2"/>
                <w:sz w:val="24"/>
                <w:szCs w:val="24"/>
                <w:lang w:val="en-US" w:eastAsia="zh-CN" w:bidi="ar"/>
              </w:rPr>
              <w:t>——</w:t>
            </w:r>
            <w:r>
              <w:rPr>
                <w:rFonts w:hint="eastAsia" w:ascii="宋体" w:hAnsi="宋体" w:eastAsia="宋体" w:cs="宋体"/>
                <w:color w:val="auto"/>
                <w:kern w:val="2"/>
                <w:sz w:val="24"/>
                <w:szCs w:val="24"/>
                <w:lang w:val="en-US" w:eastAsia="zh-CN" w:bidi="ar"/>
              </w:rPr>
              <w:t>靠近开口处（或窗户）室外某倍频带的声压级或</w:t>
            </w:r>
            <w:r>
              <w:rPr>
                <w:rFonts w:hint="default" w:ascii="Times New Roman" w:hAnsi="Times New Roman" w:eastAsia="宋体" w:cs="Times New Roman"/>
                <w:color w:val="auto"/>
                <w:kern w:val="2"/>
                <w:sz w:val="24"/>
                <w:szCs w:val="24"/>
                <w:lang w:val="en-US" w:eastAsia="zh-CN" w:bidi="ar"/>
              </w:rPr>
              <w:t>A</w:t>
            </w:r>
            <w:r>
              <w:rPr>
                <w:rFonts w:hint="eastAsia" w:ascii="宋体" w:hAnsi="宋体" w:eastAsia="宋体" w:cs="宋体"/>
                <w:color w:val="auto"/>
                <w:kern w:val="2"/>
                <w:sz w:val="24"/>
                <w:szCs w:val="24"/>
                <w:lang w:val="en-US" w:eastAsia="zh-CN" w:bidi="ar"/>
              </w:rPr>
              <w:t>声级，</w:t>
            </w:r>
            <w:r>
              <w:rPr>
                <w:rFonts w:hint="default" w:ascii="Times New Roman" w:hAnsi="Times New Roman" w:eastAsia="宋体" w:cs="Times New Roman"/>
                <w:color w:val="auto"/>
                <w:kern w:val="2"/>
                <w:sz w:val="24"/>
                <w:szCs w:val="24"/>
                <w:lang w:val="en-US" w:eastAsia="zh-CN" w:bidi="ar"/>
              </w:rPr>
              <w:t>dB</w:t>
            </w:r>
            <w:r>
              <w:rPr>
                <w:rFonts w:hint="eastAsia" w:ascii="宋体" w:hAnsi="宋体" w:eastAsia="宋体" w:cs="宋体"/>
                <w:color w:val="auto"/>
                <w:kern w:val="2"/>
                <w:sz w:val="24"/>
                <w:szCs w:val="24"/>
                <w:lang w:val="en-US" w:eastAsia="zh-CN" w:bidi="ar"/>
              </w:rPr>
              <w:t>；</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lang w:val="en-US" w:eastAsia="zh-CN" w:bidi="ar"/>
              </w:rPr>
              <w:t>TL——</w:t>
            </w:r>
            <w:r>
              <w:rPr>
                <w:rFonts w:hint="eastAsia" w:ascii="宋体" w:hAnsi="宋体" w:eastAsia="宋体" w:cs="宋体"/>
                <w:color w:val="auto"/>
                <w:kern w:val="2"/>
                <w:sz w:val="24"/>
                <w:szCs w:val="24"/>
                <w:lang w:val="en-US" w:eastAsia="zh-CN" w:bidi="ar"/>
              </w:rPr>
              <w:t>隔墙（或窗户）倍频带或</w:t>
            </w:r>
            <w:r>
              <w:rPr>
                <w:rFonts w:hint="default" w:ascii="Times New Roman" w:hAnsi="Times New Roman" w:eastAsia="宋体" w:cs="Times New Roman"/>
                <w:color w:val="auto"/>
                <w:kern w:val="2"/>
                <w:sz w:val="24"/>
                <w:szCs w:val="24"/>
                <w:lang w:val="en-US" w:eastAsia="zh-CN" w:bidi="ar"/>
              </w:rPr>
              <w:t>A</w:t>
            </w:r>
            <w:r>
              <w:rPr>
                <w:rFonts w:hint="eastAsia" w:ascii="宋体" w:hAnsi="宋体" w:eastAsia="宋体" w:cs="宋体"/>
                <w:color w:val="auto"/>
                <w:kern w:val="2"/>
                <w:sz w:val="24"/>
                <w:szCs w:val="24"/>
                <w:lang w:val="en-US" w:eastAsia="zh-CN" w:bidi="ar"/>
              </w:rPr>
              <w:t>声级的隔音量，</w:t>
            </w:r>
            <w:r>
              <w:rPr>
                <w:rFonts w:hint="default" w:ascii="Times New Roman" w:hAnsi="Times New Roman" w:eastAsia="宋体" w:cs="Times New Roman"/>
                <w:color w:val="auto"/>
                <w:kern w:val="2"/>
                <w:sz w:val="24"/>
                <w:szCs w:val="24"/>
                <w:lang w:val="en-US" w:eastAsia="zh-CN" w:bidi="ar"/>
              </w:rPr>
              <w:t>dB</w:t>
            </w:r>
            <w:r>
              <w:rPr>
                <w:rFonts w:hint="eastAsia" w:ascii="宋体" w:hAnsi="宋体" w:eastAsia="宋体" w:cs="宋体"/>
                <w:color w:val="auto"/>
                <w:kern w:val="2"/>
                <w:sz w:val="24"/>
                <w:szCs w:val="24"/>
                <w:lang w:val="en-US" w:eastAsia="zh-CN" w:bidi="ar"/>
              </w:rPr>
              <w:t>。</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2" w:firstLineChars="200"/>
              <w:jc w:val="both"/>
              <w:textAlignment w:val="auto"/>
              <w:rPr>
                <w:rFonts w:hint="default" w:ascii="Times New Roman" w:hAnsi="Times New Roman" w:eastAsia="宋体" w:cs="Times New Roman"/>
                <w:b/>
                <w:bCs/>
                <w:color w:val="auto"/>
                <w:kern w:val="2"/>
                <w:sz w:val="24"/>
                <w:szCs w:val="24"/>
              </w:rPr>
            </w:pPr>
            <w:r>
              <w:rPr>
                <w:rFonts w:hint="default" w:ascii="Times New Roman" w:hAnsi="Times New Roman" w:eastAsia="宋体" w:cs="Times New Roman"/>
                <w:b/>
                <w:bCs/>
                <w:color w:val="auto"/>
                <w:kern w:val="2"/>
                <w:sz w:val="24"/>
                <w:szCs w:val="24"/>
                <w:lang w:val="en-US" w:eastAsia="zh-CN" w:bidi="ar"/>
              </w:rPr>
              <w:t>3.2.2</w:t>
            </w:r>
            <w:r>
              <w:rPr>
                <w:rFonts w:hint="eastAsia" w:ascii="宋体" w:hAnsi="宋体" w:eastAsia="宋体" w:cs="宋体"/>
                <w:b/>
                <w:bCs/>
                <w:color w:val="auto"/>
                <w:kern w:val="2"/>
                <w:sz w:val="24"/>
                <w:szCs w:val="24"/>
                <w:lang w:val="en-US" w:eastAsia="zh-CN" w:bidi="ar"/>
              </w:rPr>
              <w:t>室外点声源传播</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对于本项目，户外声传播衰减主要考虑几何发散（</w:t>
            </w:r>
            <w:r>
              <w:rPr>
                <w:rFonts w:hint="default" w:ascii="Times New Roman" w:hAnsi="Times New Roman" w:eastAsia="宋体" w:cs="Times New Roman"/>
                <w:color w:val="auto"/>
                <w:kern w:val="2"/>
                <w:sz w:val="24"/>
                <w:szCs w:val="24"/>
                <w:lang w:val="en-US" w:eastAsia="zh-CN" w:bidi="ar"/>
              </w:rPr>
              <w:t>Adiv</w:t>
            </w:r>
            <w:r>
              <w:rPr>
                <w:rFonts w:hint="eastAsia" w:ascii="宋体" w:hAnsi="宋体" w:eastAsia="宋体" w:cs="宋体"/>
                <w:color w:val="auto"/>
                <w:kern w:val="2"/>
                <w:sz w:val="24"/>
                <w:szCs w:val="24"/>
                <w:lang w:val="en-US" w:eastAsia="zh-CN" w:bidi="ar"/>
              </w:rPr>
              <w:t>）、大气吸收（</w:t>
            </w:r>
            <w:r>
              <w:rPr>
                <w:rFonts w:hint="default" w:ascii="Times New Roman" w:hAnsi="Times New Roman" w:eastAsia="宋体" w:cs="Times New Roman"/>
                <w:color w:val="auto"/>
                <w:kern w:val="2"/>
                <w:sz w:val="24"/>
                <w:szCs w:val="24"/>
                <w:lang w:val="en-US" w:eastAsia="zh-CN" w:bidi="ar"/>
              </w:rPr>
              <w:t>Aatm</w:t>
            </w:r>
            <w:r>
              <w:rPr>
                <w:rFonts w:hint="eastAsia" w:ascii="宋体" w:hAnsi="宋体" w:eastAsia="宋体" w:cs="宋体"/>
                <w:color w:val="auto"/>
                <w:kern w:val="2"/>
                <w:sz w:val="24"/>
                <w:szCs w:val="24"/>
                <w:lang w:val="en-US" w:eastAsia="zh-CN" w:bidi="ar"/>
              </w:rPr>
              <w:t>）和围墙障碍物屏蔽（</w:t>
            </w:r>
            <w:r>
              <w:rPr>
                <w:rFonts w:hint="default" w:ascii="Times New Roman" w:hAnsi="Times New Roman" w:eastAsia="宋体" w:cs="Times New Roman"/>
                <w:color w:val="auto"/>
                <w:kern w:val="2"/>
                <w:sz w:val="24"/>
                <w:szCs w:val="24"/>
                <w:lang w:val="en-US" w:eastAsia="zh-CN" w:bidi="ar"/>
              </w:rPr>
              <w:t>Abar</w:t>
            </w:r>
            <w:r>
              <w:rPr>
                <w:rFonts w:hint="eastAsia" w:ascii="宋体" w:hAnsi="宋体" w:eastAsia="宋体" w:cs="宋体"/>
                <w:color w:val="auto"/>
                <w:kern w:val="2"/>
                <w:sz w:val="24"/>
                <w:szCs w:val="24"/>
                <w:lang w:val="en-US" w:eastAsia="zh-CN" w:bidi="ar"/>
              </w:rPr>
              <w:t>）引起的衰减。即</w:t>
            </w:r>
            <w:r>
              <w:rPr>
                <w:rFonts w:hint="default" w:ascii="Times New Roman" w:hAnsi="Times New Roman" w:eastAsia="宋体" w:cs="Times New Roman"/>
                <w:color w:val="auto"/>
                <w:kern w:val="2"/>
                <w:sz w:val="24"/>
                <w:szCs w:val="24"/>
                <w:lang w:val="en-US" w:eastAsia="zh-CN" w:bidi="ar"/>
              </w:rPr>
              <w:t>Lp(r)=Lw-Adiv-Aatm-Abar</w:t>
            </w:r>
            <w:r>
              <w:rPr>
                <w:rFonts w:hint="eastAsia" w:ascii="宋体" w:hAnsi="宋体" w:eastAsia="宋体" w:cs="宋体"/>
                <w:color w:val="auto"/>
                <w:kern w:val="2"/>
                <w:sz w:val="24"/>
                <w:szCs w:val="24"/>
                <w:lang w:val="en-US" w:eastAsia="zh-CN" w:bidi="ar"/>
              </w:rPr>
              <w:t>。</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①几何发散衰减</w:t>
            </w:r>
            <w:r>
              <w:rPr>
                <w:rFonts w:hint="default" w:ascii="Times New Roman" w:hAnsi="Times New Roman" w:eastAsia="宋体" w:cs="Times New Roman"/>
                <w:color w:val="auto"/>
                <w:kern w:val="2"/>
                <w:sz w:val="24"/>
                <w:szCs w:val="24"/>
                <w:lang w:val="en-US" w:eastAsia="zh-CN" w:bidi="ar"/>
              </w:rPr>
              <w:t>Adiv</w:t>
            </w:r>
            <w:r>
              <w:rPr>
                <w:rFonts w:hint="eastAsia" w:ascii="宋体" w:hAnsi="宋体" w:eastAsia="宋体" w:cs="宋体"/>
                <w:color w:val="auto"/>
                <w:kern w:val="2"/>
                <w:sz w:val="24"/>
                <w:szCs w:val="24"/>
                <w:lang w:val="en-US" w:eastAsia="zh-CN" w:bidi="ar"/>
              </w:rPr>
              <w:t>利用半自由声场点源衰减公式：</w:t>
            </w:r>
          </w:p>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480" w:firstLineChars="20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lang w:val="en-US" w:eastAsia="zh-CN" w:bidi="ar"/>
              </w:rPr>
              <w:t>LA(r)=LAw-20lgr-8</w:t>
            </w:r>
            <w:r>
              <w:rPr>
                <w:rFonts w:hint="eastAsia" w:ascii="宋体" w:hAnsi="宋体" w:eastAsia="宋体" w:cs="宋体"/>
                <w:color w:val="auto"/>
                <w:kern w:val="2"/>
                <w:sz w:val="24"/>
                <w:szCs w:val="24"/>
                <w:lang w:val="en-US" w:eastAsia="zh-CN" w:bidi="ar"/>
              </w:rPr>
              <w:t>；</w:t>
            </w:r>
          </w:p>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480" w:firstLineChars="200"/>
              <w:jc w:val="both"/>
              <w:rPr>
                <w:rFonts w:hint="eastAsia" w:ascii="Times New Roman"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式中：</w:t>
            </w:r>
            <w:r>
              <w:rPr>
                <w:rFonts w:hint="default" w:ascii="Times New Roman" w:hAnsi="Times New Roman" w:eastAsia="宋体" w:cs="Times New Roman"/>
                <w:color w:val="auto"/>
                <w:kern w:val="2"/>
                <w:sz w:val="24"/>
                <w:szCs w:val="24"/>
                <w:lang w:val="en-US" w:eastAsia="zh-CN" w:bidi="ar"/>
              </w:rPr>
              <w:t>LA(r)</w:t>
            </w:r>
            <w:r>
              <w:rPr>
                <w:rFonts w:hint="eastAsia" w:ascii="宋体" w:hAnsi="宋体" w:eastAsia="宋体" w:cs="宋体"/>
                <w:color w:val="auto"/>
                <w:kern w:val="2"/>
                <w:sz w:val="24"/>
                <w:szCs w:val="24"/>
                <w:lang w:val="en-US" w:eastAsia="zh-CN" w:bidi="ar"/>
              </w:rPr>
              <w:t>——距声源</w:t>
            </w:r>
            <w:r>
              <w:rPr>
                <w:rFonts w:hint="default" w:ascii="Times New Roman" w:hAnsi="Times New Roman" w:eastAsia="宋体" w:cs="Times New Roman"/>
                <w:color w:val="auto"/>
                <w:kern w:val="2"/>
                <w:sz w:val="24"/>
                <w:szCs w:val="24"/>
                <w:lang w:val="en-US" w:eastAsia="zh-CN" w:bidi="ar"/>
              </w:rPr>
              <w:t>r</w:t>
            </w:r>
            <w:r>
              <w:rPr>
                <w:rFonts w:hint="eastAsia" w:ascii="宋体" w:hAnsi="宋体" w:eastAsia="宋体" w:cs="宋体"/>
                <w:color w:val="auto"/>
                <w:kern w:val="2"/>
                <w:sz w:val="24"/>
                <w:szCs w:val="24"/>
                <w:lang w:val="en-US" w:eastAsia="zh-CN" w:bidi="ar"/>
              </w:rPr>
              <w:t>处的</w:t>
            </w:r>
            <w:r>
              <w:rPr>
                <w:rFonts w:hint="default" w:ascii="Times New Roman" w:hAnsi="Times New Roman" w:eastAsia="宋体" w:cs="Times New Roman"/>
                <w:color w:val="auto"/>
                <w:kern w:val="2"/>
                <w:sz w:val="24"/>
                <w:szCs w:val="24"/>
                <w:lang w:val="en-US" w:eastAsia="zh-CN" w:bidi="ar"/>
              </w:rPr>
              <w:t>A</w:t>
            </w:r>
            <w:r>
              <w:rPr>
                <w:rFonts w:hint="eastAsia" w:ascii="宋体" w:hAnsi="宋体" w:eastAsia="宋体" w:cs="宋体"/>
                <w:color w:val="auto"/>
                <w:kern w:val="2"/>
                <w:sz w:val="24"/>
                <w:szCs w:val="24"/>
                <w:lang w:val="en-US" w:eastAsia="zh-CN" w:bidi="ar"/>
              </w:rPr>
              <w:t>声级，</w:t>
            </w:r>
            <w:r>
              <w:rPr>
                <w:rFonts w:hint="default" w:ascii="Times New Roman" w:hAnsi="Times New Roman" w:eastAsia="宋体" w:cs="Times New Roman"/>
                <w:color w:val="auto"/>
                <w:kern w:val="2"/>
                <w:sz w:val="24"/>
                <w:szCs w:val="24"/>
                <w:lang w:val="en-US" w:eastAsia="zh-CN" w:bidi="ar"/>
              </w:rPr>
              <w:t>dB(A)</w:t>
            </w:r>
            <w:r>
              <w:rPr>
                <w:rFonts w:hint="eastAsia" w:ascii="宋体" w:hAnsi="宋体" w:eastAsia="宋体" w:cs="宋体"/>
                <w:color w:val="auto"/>
                <w:kern w:val="2"/>
                <w:sz w:val="24"/>
                <w:szCs w:val="24"/>
                <w:lang w:val="en-US" w:eastAsia="zh-CN" w:bidi="ar"/>
              </w:rPr>
              <w:t>；</w:t>
            </w:r>
          </w:p>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480" w:firstLineChars="200"/>
              <w:jc w:val="both"/>
              <w:rPr>
                <w:rFonts w:hint="eastAsia"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lang w:val="en-US" w:eastAsia="zh-CN" w:bidi="ar"/>
              </w:rPr>
              <w:t>LAw</w:t>
            </w:r>
            <w:r>
              <w:rPr>
                <w:rFonts w:hint="eastAsia" w:ascii="宋体" w:hAnsi="宋体" w:eastAsia="宋体" w:cs="宋体"/>
                <w:color w:val="auto"/>
                <w:kern w:val="2"/>
                <w:sz w:val="24"/>
                <w:szCs w:val="24"/>
                <w:lang w:val="en-US" w:eastAsia="zh-CN" w:bidi="ar"/>
              </w:rPr>
              <w:t>——点声源</w:t>
            </w:r>
            <w:r>
              <w:rPr>
                <w:rFonts w:hint="default" w:ascii="Times New Roman" w:hAnsi="Times New Roman" w:eastAsia="宋体" w:cs="Times New Roman"/>
                <w:color w:val="auto"/>
                <w:kern w:val="2"/>
                <w:sz w:val="24"/>
                <w:szCs w:val="24"/>
                <w:lang w:val="en-US" w:eastAsia="zh-CN" w:bidi="ar"/>
              </w:rPr>
              <w:t>A</w:t>
            </w:r>
            <w:r>
              <w:rPr>
                <w:rFonts w:hint="eastAsia" w:ascii="宋体" w:hAnsi="宋体" w:eastAsia="宋体" w:cs="宋体"/>
                <w:color w:val="auto"/>
                <w:kern w:val="2"/>
                <w:sz w:val="24"/>
                <w:szCs w:val="24"/>
                <w:lang w:val="en-US" w:eastAsia="zh-CN" w:bidi="ar"/>
              </w:rPr>
              <w:t>计权声功率级，</w:t>
            </w:r>
            <w:r>
              <w:rPr>
                <w:rFonts w:hint="default" w:ascii="Times New Roman" w:hAnsi="Times New Roman" w:eastAsia="宋体" w:cs="Times New Roman"/>
                <w:color w:val="auto"/>
                <w:kern w:val="2"/>
                <w:sz w:val="24"/>
                <w:szCs w:val="24"/>
                <w:lang w:val="en-US" w:eastAsia="zh-CN" w:bidi="ar"/>
              </w:rPr>
              <w:t>dB</w:t>
            </w:r>
            <w:r>
              <w:rPr>
                <w:rFonts w:hint="eastAsia" w:ascii="宋体" w:hAnsi="宋体" w:eastAsia="宋体" w:cs="宋体"/>
                <w:color w:val="auto"/>
                <w:kern w:val="2"/>
                <w:sz w:val="24"/>
                <w:szCs w:val="24"/>
                <w:lang w:val="en-US" w:eastAsia="zh-CN" w:bidi="ar"/>
              </w:rPr>
              <w:t>；</w:t>
            </w:r>
          </w:p>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480" w:firstLineChars="200"/>
              <w:jc w:val="both"/>
              <w:rPr>
                <w:rFonts w:hint="eastAsia"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lang w:val="en-US" w:eastAsia="zh-CN" w:bidi="ar"/>
              </w:rPr>
              <w:t>r</w:t>
            </w:r>
            <w:r>
              <w:rPr>
                <w:rFonts w:hint="eastAsia" w:ascii="宋体" w:hAnsi="宋体" w:eastAsia="宋体" w:cs="宋体"/>
                <w:color w:val="auto"/>
                <w:kern w:val="2"/>
                <w:sz w:val="24"/>
                <w:szCs w:val="24"/>
                <w:lang w:val="en-US" w:eastAsia="zh-CN" w:bidi="ar"/>
              </w:rPr>
              <w:t>——预测点距声源的距离。</w:t>
            </w:r>
          </w:p>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②空气吸收引起的衰减</w:t>
            </w:r>
            <w:r>
              <w:rPr>
                <w:rFonts w:hint="default" w:ascii="Times New Roman" w:hAnsi="Times New Roman" w:eastAsia="宋体" w:cs="Times New Roman"/>
                <w:color w:val="auto"/>
                <w:kern w:val="2"/>
                <w:sz w:val="24"/>
                <w:szCs w:val="24"/>
                <w:lang w:val="en-US" w:eastAsia="zh-CN" w:bidi="ar"/>
              </w:rPr>
              <w:t>Aatm=a(r-r0)/1000</w:t>
            </w:r>
            <w:r>
              <w:rPr>
                <w:rFonts w:hint="eastAsia" w:ascii="宋体" w:hAnsi="宋体" w:eastAsia="宋体" w:cs="宋体"/>
                <w:color w:val="auto"/>
                <w:kern w:val="2"/>
                <w:sz w:val="24"/>
                <w:szCs w:val="24"/>
                <w:lang w:val="en-US" w:eastAsia="zh-CN" w:bidi="ar"/>
              </w:rPr>
              <w:t>，式中：</w:t>
            </w:r>
            <w:r>
              <w:rPr>
                <w:rFonts w:hint="default" w:ascii="Times New Roman" w:hAnsi="Times New Roman" w:eastAsia="宋体" w:cs="Times New Roman"/>
                <w:color w:val="auto"/>
                <w:kern w:val="2"/>
                <w:sz w:val="24"/>
                <w:szCs w:val="24"/>
                <w:lang w:val="en-US" w:eastAsia="zh-CN" w:bidi="ar"/>
              </w:rPr>
              <w:t>a</w:t>
            </w:r>
            <w:r>
              <w:rPr>
                <w:rFonts w:hint="eastAsia" w:ascii="宋体" w:hAnsi="宋体" w:eastAsia="宋体" w:cs="宋体"/>
                <w:color w:val="auto"/>
                <w:kern w:val="2"/>
                <w:sz w:val="24"/>
                <w:szCs w:val="24"/>
                <w:lang w:val="en-US" w:eastAsia="zh-CN" w:bidi="ar"/>
              </w:rPr>
              <w:t>为温度、湿度和声波频率的函数，预测计算中一般根据建设项目所处区域常年平均气温和湿度选择相应的空气吸收系数，见下表。</w:t>
            </w:r>
          </w:p>
          <w:p>
            <w:pPr>
              <w:keepNext w:val="0"/>
              <w:keepLines w:val="0"/>
              <w:widowControl w:val="0"/>
              <w:suppressLineNumbers w:val="0"/>
              <w:autoSpaceDE w:val="0"/>
              <w:autoSpaceDN w:val="0"/>
              <w:adjustRightInd w:val="0"/>
              <w:snapToGrid w:val="0"/>
              <w:spacing w:before="0" w:beforeAutospacing="0" w:after="0" w:afterAutospacing="0"/>
              <w:ind w:left="0" w:right="0"/>
              <w:jc w:val="center"/>
              <w:rPr>
                <w:rFonts w:hint="eastAsia" w:ascii="Times New Roman" w:hAnsi="Times New Roman" w:eastAsia="宋体" w:cs="Times New Roman"/>
                <w:color w:val="auto"/>
                <w:kern w:val="2"/>
                <w:sz w:val="24"/>
                <w:szCs w:val="24"/>
              </w:rPr>
            </w:pPr>
            <w:r>
              <w:rPr>
                <w:rFonts w:hint="eastAsia" w:ascii="宋体" w:hAnsi="宋体" w:eastAsia="宋体" w:cs="宋体"/>
                <w:b/>
                <w:bCs/>
                <w:color w:val="auto"/>
                <w:kern w:val="2"/>
                <w:sz w:val="24"/>
                <w:szCs w:val="24"/>
                <w:lang w:val="en-US" w:eastAsia="zh-CN" w:bidi="ar"/>
              </w:rPr>
              <w:t>倍频带噪声的大气吸收衰减系数</w:t>
            </w:r>
          </w:p>
          <w:tbl>
            <w:tblPr>
              <w:tblStyle w:val="27"/>
              <w:tblW w:w="8355" w:type="dxa"/>
              <w:jc w:val="center"/>
              <w:tblInd w:w="0" w:type="dxa"/>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989"/>
              <w:gridCol w:w="1124"/>
              <w:gridCol w:w="1070"/>
              <w:gridCol w:w="1031"/>
              <w:gridCol w:w="1126"/>
              <w:gridCol w:w="1031"/>
              <w:gridCol w:w="1032"/>
              <w:gridCol w:w="952"/>
            </w:tblGrid>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89" w:type="dxa"/>
                  <w:vMerge w:val="restart"/>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color w:val="auto"/>
                      <w:kern w:val="2"/>
                      <w:sz w:val="21"/>
                      <w:szCs w:val="21"/>
                    </w:rPr>
                  </w:pPr>
                  <w:r>
                    <w:rPr>
                      <w:rFonts w:hint="eastAsia" w:ascii="宋体" w:hAnsi="宋体" w:eastAsia="宋体" w:cs="宋体"/>
                      <w:b/>
                      <w:bCs/>
                      <w:color w:val="auto"/>
                      <w:kern w:val="2"/>
                      <w:sz w:val="21"/>
                      <w:szCs w:val="21"/>
                      <w:lang w:val="en-US" w:eastAsia="zh-CN" w:bidi="ar"/>
                    </w:rPr>
                    <w:t>温度</w:t>
                  </w:r>
                </w:p>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b/>
                      <w:bCs/>
                      <w:color w:val="auto"/>
                      <w:kern w:val="2"/>
                      <w:sz w:val="21"/>
                      <w:szCs w:val="21"/>
                      <w:lang w:val="en-US" w:eastAsia="zh-CN" w:bidi="ar"/>
                    </w:rPr>
                    <w:t>℃</w:t>
                  </w:r>
                </w:p>
              </w:tc>
              <w:tc>
                <w:tcPr>
                  <w:tcW w:w="1124" w:type="dxa"/>
                  <w:vMerge w:val="restart"/>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color w:val="auto"/>
                      <w:kern w:val="2"/>
                      <w:sz w:val="21"/>
                      <w:szCs w:val="21"/>
                    </w:rPr>
                  </w:pPr>
                  <w:r>
                    <w:rPr>
                      <w:rFonts w:hint="eastAsia" w:ascii="宋体" w:hAnsi="宋体" w:eastAsia="宋体" w:cs="宋体"/>
                      <w:b/>
                      <w:bCs/>
                      <w:color w:val="auto"/>
                      <w:kern w:val="2"/>
                      <w:sz w:val="21"/>
                      <w:szCs w:val="21"/>
                      <w:lang w:val="en-US" w:eastAsia="zh-CN" w:bidi="ar"/>
                    </w:rPr>
                    <w:t>相对湿度</w:t>
                  </w:r>
                </w:p>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b/>
                      <w:bCs/>
                      <w:color w:val="auto"/>
                      <w:kern w:val="2"/>
                      <w:sz w:val="21"/>
                      <w:szCs w:val="21"/>
                      <w:lang w:val="en-US" w:eastAsia="zh-CN" w:bidi="ar"/>
                    </w:rPr>
                    <w:t>%</w:t>
                  </w:r>
                </w:p>
              </w:tc>
              <w:tc>
                <w:tcPr>
                  <w:tcW w:w="6242" w:type="dxa"/>
                  <w:gridSpan w:val="6"/>
                  <w:tcBorders>
                    <w:top w:val="single" w:color="auto" w:sz="4" w:space="0"/>
                    <w:left w:val="nil"/>
                    <w:bottom w:val="single" w:color="auto" w:sz="4" w:space="0"/>
                    <w:right w:val="nil"/>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color w:val="auto"/>
                      <w:kern w:val="2"/>
                      <w:sz w:val="21"/>
                      <w:szCs w:val="21"/>
                    </w:rPr>
                  </w:pPr>
                  <w:r>
                    <w:rPr>
                      <w:rFonts w:hint="eastAsia" w:ascii="宋体" w:hAnsi="宋体" w:eastAsia="宋体" w:cs="宋体"/>
                      <w:b/>
                      <w:bCs/>
                      <w:color w:val="auto"/>
                      <w:kern w:val="2"/>
                      <w:sz w:val="21"/>
                      <w:szCs w:val="21"/>
                      <w:lang w:val="en-US" w:eastAsia="zh-CN" w:bidi="ar"/>
                    </w:rPr>
                    <w:t>大气吸收衰减系数</w:t>
                  </w:r>
                  <w:r>
                    <w:rPr>
                      <w:rFonts w:hint="default" w:ascii="Times New Roman" w:hAnsi="Times New Roman" w:eastAsia="宋体" w:cs="Times New Roman"/>
                      <w:b/>
                      <w:bCs/>
                      <w:color w:val="auto"/>
                      <w:kern w:val="2"/>
                      <w:sz w:val="21"/>
                      <w:szCs w:val="21"/>
                      <w:lang w:val="en-US" w:eastAsia="zh-CN" w:bidi="ar"/>
                    </w:rPr>
                    <w:t>a</w:t>
                  </w:r>
                  <w:r>
                    <w:rPr>
                      <w:rFonts w:hint="eastAsia" w:ascii="宋体" w:hAnsi="宋体" w:eastAsia="宋体" w:cs="宋体"/>
                      <w:b/>
                      <w:bCs/>
                      <w:color w:val="auto"/>
                      <w:kern w:val="2"/>
                      <w:sz w:val="21"/>
                      <w:szCs w:val="21"/>
                      <w:lang w:val="en-US" w:eastAsia="zh-CN" w:bidi="ar"/>
                    </w:rPr>
                    <w:t>，</w:t>
                  </w:r>
                  <w:r>
                    <w:rPr>
                      <w:rFonts w:hint="default" w:ascii="Times New Roman" w:hAnsi="Times New Roman" w:eastAsia="宋体" w:cs="Times New Roman"/>
                      <w:b/>
                      <w:bCs/>
                      <w:color w:val="auto"/>
                      <w:kern w:val="2"/>
                      <w:sz w:val="21"/>
                      <w:szCs w:val="21"/>
                      <w:lang w:val="en-US" w:eastAsia="zh-CN" w:bidi="ar"/>
                    </w:rPr>
                    <w:t>dB/km</w:t>
                  </w:r>
                  <w:r>
                    <w:rPr>
                      <w:rFonts w:hint="eastAsia" w:ascii="宋体" w:hAnsi="宋体" w:eastAsia="宋体" w:cs="宋体"/>
                      <w:b/>
                      <w:bCs/>
                      <w:color w:val="auto"/>
                      <w:kern w:val="2"/>
                      <w:sz w:val="21"/>
                      <w:szCs w:val="21"/>
                      <w:lang w:val="en-US" w:eastAsia="zh-CN" w:bidi="ar"/>
                    </w:rPr>
                    <w:t>，倍频带中心频率</w:t>
                  </w:r>
                  <w:r>
                    <w:rPr>
                      <w:rFonts w:hint="default" w:ascii="Times New Roman" w:hAnsi="Times New Roman" w:eastAsia="宋体" w:cs="Times New Roman"/>
                      <w:b/>
                      <w:bCs/>
                      <w:color w:val="auto"/>
                      <w:kern w:val="2"/>
                      <w:sz w:val="21"/>
                      <w:szCs w:val="21"/>
                      <w:lang w:val="en-US" w:eastAsia="zh-CN" w:bidi="ar"/>
                    </w:rPr>
                    <w:t>Hz</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89" w:type="dxa"/>
                  <w:vMerge w:val="continue"/>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c>
                <w:tcPr>
                  <w:tcW w:w="1124" w:type="dxa"/>
                  <w:vMerge w:val="continue"/>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c>
                <w:tcPr>
                  <w:tcW w:w="1070"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b/>
                      <w:bCs/>
                      <w:color w:val="auto"/>
                      <w:kern w:val="2"/>
                      <w:sz w:val="21"/>
                      <w:szCs w:val="21"/>
                      <w:lang w:val="en-US" w:eastAsia="zh-CN" w:bidi="ar"/>
                    </w:rPr>
                    <w:t>63</w:t>
                  </w:r>
                </w:p>
              </w:tc>
              <w:tc>
                <w:tcPr>
                  <w:tcW w:w="1031"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b/>
                      <w:bCs/>
                      <w:color w:val="auto"/>
                      <w:kern w:val="2"/>
                      <w:sz w:val="21"/>
                      <w:szCs w:val="21"/>
                      <w:lang w:val="en-US" w:eastAsia="zh-CN" w:bidi="ar"/>
                    </w:rPr>
                    <w:t>125</w:t>
                  </w:r>
                </w:p>
              </w:tc>
              <w:tc>
                <w:tcPr>
                  <w:tcW w:w="1126"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b/>
                      <w:bCs/>
                      <w:color w:val="auto"/>
                      <w:kern w:val="2"/>
                      <w:sz w:val="21"/>
                      <w:szCs w:val="21"/>
                      <w:lang w:val="en-US" w:eastAsia="zh-CN" w:bidi="ar"/>
                    </w:rPr>
                    <w:t>250</w:t>
                  </w:r>
                </w:p>
              </w:tc>
              <w:tc>
                <w:tcPr>
                  <w:tcW w:w="1031"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b/>
                      <w:bCs/>
                      <w:color w:val="auto"/>
                      <w:kern w:val="2"/>
                      <w:sz w:val="21"/>
                      <w:szCs w:val="21"/>
                      <w:lang w:val="en-US" w:eastAsia="zh-CN" w:bidi="ar"/>
                    </w:rPr>
                    <w:t>500</w:t>
                  </w:r>
                </w:p>
              </w:tc>
              <w:tc>
                <w:tcPr>
                  <w:tcW w:w="1032"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b/>
                      <w:bCs/>
                      <w:color w:val="auto"/>
                      <w:kern w:val="2"/>
                      <w:sz w:val="21"/>
                      <w:szCs w:val="21"/>
                      <w:lang w:val="en-US" w:eastAsia="zh-CN" w:bidi="ar"/>
                    </w:rPr>
                    <w:t>1000</w:t>
                  </w:r>
                </w:p>
              </w:tc>
              <w:tc>
                <w:tcPr>
                  <w:tcW w:w="952" w:type="dxa"/>
                  <w:tcBorders>
                    <w:top w:val="single" w:color="auto" w:sz="4" w:space="0"/>
                    <w:left w:val="nil"/>
                    <w:bottom w:val="single" w:color="auto" w:sz="4" w:space="0"/>
                    <w:right w:val="nil"/>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b/>
                      <w:bCs/>
                      <w:color w:val="auto"/>
                      <w:kern w:val="2"/>
                      <w:sz w:val="21"/>
                      <w:szCs w:val="21"/>
                      <w:lang w:val="en-US" w:eastAsia="zh-CN" w:bidi="ar"/>
                    </w:rPr>
                    <w:t>2000</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89"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10</w:t>
                  </w:r>
                </w:p>
              </w:tc>
              <w:tc>
                <w:tcPr>
                  <w:tcW w:w="1124"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70</w:t>
                  </w:r>
                </w:p>
              </w:tc>
              <w:tc>
                <w:tcPr>
                  <w:tcW w:w="1070"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0.1</w:t>
                  </w:r>
                </w:p>
              </w:tc>
              <w:tc>
                <w:tcPr>
                  <w:tcW w:w="1031"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0.4</w:t>
                  </w:r>
                </w:p>
              </w:tc>
              <w:tc>
                <w:tcPr>
                  <w:tcW w:w="1126"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1.0</w:t>
                  </w:r>
                </w:p>
              </w:tc>
              <w:tc>
                <w:tcPr>
                  <w:tcW w:w="1031"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1.9</w:t>
                  </w:r>
                </w:p>
              </w:tc>
              <w:tc>
                <w:tcPr>
                  <w:tcW w:w="1032"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3.7</w:t>
                  </w:r>
                </w:p>
              </w:tc>
              <w:tc>
                <w:tcPr>
                  <w:tcW w:w="952" w:type="dxa"/>
                  <w:tcBorders>
                    <w:top w:val="single" w:color="auto" w:sz="4" w:space="0"/>
                    <w:left w:val="nil"/>
                    <w:bottom w:val="single" w:color="auto" w:sz="4" w:space="0"/>
                    <w:right w:val="nil"/>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9.7</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89"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20</w:t>
                  </w:r>
                </w:p>
              </w:tc>
              <w:tc>
                <w:tcPr>
                  <w:tcW w:w="1124"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70</w:t>
                  </w:r>
                </w:p>
              </w:tc>
              <w:tc>
                <w:tcPr>
                  <w:tcW w:w="1070"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0.1</w:t>
                  </w:r>
                </w:p>
              </w:tc>
              <w:tc>
                <w:tcPr>
                  <w:tcW w:w="1031"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0.3</w:t>
                  </w:r>
                </w:p>
              </w:tc>
              <w:tc>
                <w:tcPr>
                  <w:tcW w:w="1126"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1.1</w:t>
                  </w:r>
                </w:p>
              </w:tc>
              <w:tc>
                <w:tcPr>
                  <w:tcW w:w="1031"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2.8</w:t>
                  </w:r>
                </w:p>
              </w:tc>
              <w:tc>
                <w:tcPr>
                  <w:tcW w:w="1032"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5.0</w:t>
                  </w:r>
                </w:p>
              </w:tc>
              <w:tc>
                <w:tcPr>
                  <w:tcW w:w="952" w:type="dxa"/>
                  <w:tcBorders>
                    <w:top w:val="single" w:color="auto" w:sz="4" w:space="0"/>
                    <w:left w:val="nil"/>
                    <w:bottom w:val="single" w:color="auto" w:sz="4" w:space="0"/>
                    <w:right w:val="nil"/>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9.0</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89"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30</w:t>
                  </w:r>
                </w:p>
              </w:tc>
              <w:tc>
                <w:tcPr>
                  <w:tcW w:w="1124"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70</w:t>
                  </w:r>
                </w:p>
              </w:tc>
              <w:tc>
                <w:tcPr>
                  <w:tcW w:w="1070"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0.1</w:t>
                  </w:r>
                </w:p>
              </w:tc>
              <w:tc>
                <w:tcPr>
                  <w:tcW w:w="1031"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0.3</w:t>
                  </w:r>
                </w:p>
              </w:tc>
              <w:tc>
                <w:tcPr>
                  <w:tcW w:w="1126"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1.1</w:t>
                  </w:r>
                </w:p>
              </w:tc>
              <w:tc>
                <w:tcPr>
                  <w:tcW w:w="1031"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3.1</w:t>
                  </w:r>
                </w:p>
              </w:tc>
              <w:tc>
                <w:tcPr>
                  <w:tcW w:w="1032"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7.4</w:t>
                  </w:r>
                </w:p>
              </w:tc>
              <w:tc>
                <w:tcPr>
                  <w:tcW w:w="952" w:type="dxa"/>
                  <w:tcBorders>
                    <w:top w:val="single" w:color="auto" w:sz="4" w:space="0"/>
                    <w:left w:val="nil"/>
                    <w:bottom w:val="single" w:color="auto" w:sz="4" w:space="0"/>
                    <w:right w:val="nil"/>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12.7</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89"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15</w:t>
                  </w:r>
                </w:p>
              </w:tc>
              <w:tc>
                <w:tcPr>
                  <w:tcW w:w="1124"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20</w:t>
                  </w:r>
                </w:p>
              </w:tc>
              <w:tc>
                <w:tcPr>
                  <w:tcW w:w="1070"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0.3</w:t>
                  </w:r>
                </w:p>
              </w:tc>
              <w:tc>
                <w:tcPr>
                  <w:tcW w:w="1031"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0.6</w:t>
                  </w:r>
                </w:p>
              </w:tc>
              <w:tc>
                <w:tcPr>
                  <w:tcW w:w="1126"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1.2</w:t>
                  </w:r>
                </w:p>
              </w:tc>
              <w:tc>
                <w:tcPr>
                  <w:tcW w:w="1031"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2.7</w:t>
                  </w:r>
                </w:p>
              </w:tc>
              <w:tc>
                <w:tcPr>
                  <w:tcW w:w="1032"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8.2</w:t>
                  </w:r>
                </w:p>
              </w:tc>
              <w:tc>
                <w:tcPr>
                  <w:tcW w:w="952" w:type="dxa"/>
                  <w:tcBorders>
                    <w:top w:val="single" w:color="auto" w:sz="4" w:space="0"/>
                    <w:left w:val="nil"/>
                    <w:bottom w:val="single" w:color="auto" w:sz="4" w:space="0"/>
                    <w:right w:val="nil"/>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28.2</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89"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15</w:t>
                  </w:r>
                </w:p>
              </w:tc>
              <w:tc>
                <w:tcPr>
                  <w:tcW w:w="1124"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50</w:t>
                  </w:r>
                </w:p>
              </w:tc>
              <w:tc>
                <w:tcPr>
                  <w:tcW w:w="1070"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0.1</w:t>
                  </w:r>
                </w:p>
              </w:tc>
              <w:tc>
                <w:tcPr>
                  <w:tcW w:w="1031"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0.5</w:t>
                  </w:r>
                </w:p>
              </w:tc>
              <w:tc>
                <w:tcPr>
                  <w:tcW w:w="1126"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1.2</w:t>
                  </w:r>
                </w:p>
              </w:tc>
              <w:tc>
                <w:tcPr>
                  <w:tcW w:w="1031"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2.2</w:t>
                  </w:r>
                </w:p>
              </w:tc>
              <w:tc>
                <w:tcPr>
                  <w:tcW w:w="1032"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4.2</w:t>
                  </w:r>
                </w:p>
              </w:tc>
              <w:tc>
                <w:tcPr>
                  <w:tcW w:w="952" w:type="dxa"/>
                  <w:tcBorders>
                    <w:top w:val="single" w:color="auto" w:sz="4" w:space="0"/>
                    <w:left w:val="nil"/>
                    <w:bottom w:val="single" w:color="auto" w:sz="4" w:space="0"/>
                    <w:right w:val="nil"/>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10.8</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89"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15</w:t>
                  </w:r>
                </w:p>
              </w:tc>
              <w:tc>
                <w:tcPr>
                  <w:tcW w:w="1124"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80</w:t>
                  </w:r>
                </w:p>
              </w:tc>
              <w:tc>
                <w:tcPr>
                  <w:tcW w:w="1070"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0.1</w:t>
                  </w:r>
                </w:p>
              </w:tc>
              <w:tc>
                <w:tcPr>
                  <w:tcW w:w="1031"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0.3</w:t>
                  </w:r>
                </w:p>
              </w:tc>
              <w:tc>
                <w:tcPr>
                  <w:tcW w:w="1126"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1.1</w:t>
                  </w:r>
                </w:p>
              </w:tc>
              <w:tc>
                <w:tcPr>
                  <w:tcW w:w="1031"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2.4</w:t>
                  </w:r>
                </w:p>
              </w:tc>
              <w:tc>
                <w:tcPr>
                  <w:tcW w:w="1032"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4.1</w:t>
                  </w:r>
                </w:p>
              </w:tc>
              <w:tc>
                <w:tcPr>
                  <w:tcW w:w="952" w:type="dxa"/>
                  <w:tcBorders>
                    <w:top w:val="single" w:color="auto" w:sz="4" w:space="0"/>
                    <w:left w:val="nil"/>
                    <w:bottom w:val="single" w:color="auto" w:sz="4" w:space="0"/>
                    <w:right w:val="nil"/>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8.3</w:t>
                  </w:r>
                </w:p>
              </w:tc>
            </w:tr>
          </w:tbl>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③围墙障碍物屏蔽（</w:t>
            </w:r>
            <w:r>
              <w:rPr>
                <w:rFonts w:hint="default" w:ascii="Times New Roman" w:hAnsi="Times New Roman" w:eastAsia="宋体" w:cs="Times New Roman"/>
                <w:color w:val="auto"/>
                <w:kern w:val="2"/>
                <w:sz w:val="24"/>
                <w:szCs w:val="24"/>
                <w:lang w:val="en-US" w:eastAsia="zh-CN" w:bidi="ar"/>
              </w:rPr>
              <w:t>Abar</w:t>
            </w:r>
            <w:r>
              <w:rPr>
                <w:rFonts w:hint="eastAsia" w:ascii="宋体" w:hAnsi="宋体" w:eastAsia="宋体" w:cs="宋体"/>
                <w:color w:val="auto"/>
                <w:kern w:val="2"/>
                <w:sz w:val="24"/>
                <w:szCs w:val="24"/>
                <w:lang w:val="en-US" w:eastAsia="zh-CN" w:bidi="ar"/>
              </w:rPr>
              <w:t>）：围墙简化为具有一定高度的薄屏障，在噪声预测中，声屏障插入损失的计算方法需要根据实际情况作简化处理。</w:t>
            </w:r>
          </w:p>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w:t>
            </w:r>
            <w:r>
              <w:rPr>
                <w:rFonts w:hint="default" w:ascii="Times New Roman" w:hAnsi="Times New Roman" w:eastAsia="宋体" w:cs="Times New Roman"/>
                <w:color w:val="auto"/>
                <w:kern w:val="2"/>
                <w:sz w:val="24"/>
                <w:szCs w:val="24"/>
                <w:lang w:val="en-US" w:eastAsia="zh-CN" w:bidi="ar"/>
              </w:rPr>
              <w:t>3</w:t>
            </w:r>
            <w:r>
              <w:rPr>
                <w:rFonts w:hint="eastAsia" w:ascii="宋体" w:hAnsi="宋体" w:eastAsia="宋体" w:cs="宋体"/>
                <w:color w:val="auto"/>
                <w:kern w:val="2"/>
                <w:sz w:val="24"/>
                <w:szCs w:val="24"/>
                <w:lang w:val="en-US" w:eastAsia="zh-CN" w:bidi="ar"/>
              </w:rPr>
              <w:t>）拟建工程声源对预测点产生的贡献值</w:t>
            </w:r>
          </w:p>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公式如下：</w:t>
            </w:r>
          </w:p>
          <w:p>
            <w:pPr>
              <w:keepNext w:val="0"/>
              <w:keepLines w:val="0"/>
              <w:widowControl w:val="0"/>
              <w:suppressLineNumbers w:val="0"/>
              <w:autoSpaceDE w:val="0"/>
              <w:autoSpaceDN w:val="0"/>
              <w:adjustRightInd w:val="0"/>
              <w:snapToGrid w:val="0"/>
              <w:spacing w:before="0" w:beforeAutospacing="0" w:after="0" w:afterAutospacing="0" w:line="360" w:lineRule="auto"/>
              <w:ind w:left="0" w:right="0"/>
              <w:jc w:val="center"/>
              <w:rPr>
                <w:rFonts w:hint="default" w:ascii="Times New Roman" w:hAnsi="Times New Roman" w:eastAsia="宋体" w:cs="Times New Roman"/>
                <w:color w:val="auto"/>
                <w:kern w:val="2"/>
                <w:sz w:val="24"/>
                <w:szCs w:val="24"/>
              </w:rPr>
            </w:pPr>
            <w:r>
              <w:rPr>
                <w:rFonts w:hint="default" w:ascii="Times New Roman" w:hAnsi="Times New Roman" w:cs="Times New Roman"/>
                <w:color w:val="auto"/>
                <w:kern w:val="2"/>
                <w:sz w:val="21"/>
                <w:szCs w:val="21"/>
                <w:lang w:val="en-US" w:eastAsia="zh-CN" w:bidi="ar"/>
              </w:rPr>
              <w:drawing>
                <wp:inline distT="0" distB="0" distL="114300" distR="114300">
                  <wp:extent cx="2419350" cy="447675"/>
                  <wp:effectExtent l="0" t="0" r="0" b="9525"/>
                  <wp:docPr id="20" name="图片 10"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0" descr="IMG_257"/>
                          <pic:cNvPicPr>
                            <a:picLocks noChangeAspect="1"/>
                          </pic:cNvPicPr>
                        </pic:nvPicPr>
                        <pic:blipFill>
                          <a:blip r:embed="rId28"/>
                          <a:stretch>
                            <a:fillRect/>
                          </a:stretch>
                        </pic:blipFill>
                        <pic:spPr>
                          <a:xfrm>
                            <a:off x="0" y="0"/>
                            <a:ext cx="2419350" cy="447675"/>
                          </a:xfrm>
                          <a:prstGeom prst="rect">
                            <a:avLst/>
                          </a:prstGeom>
                          <a:noFill/>
                          <a:ln>
                            <a:noFill/>
                          </a:ln>
                        </pic:spPr>
                      </pic:pic>
                    </a:graphicData>
                  </a:graphic>
                </wp:inline>
              </w:drawing>
            </w:r>
            <w:r>
              <w:rPr>
                <w:rFonts w:hint="default" w:ascii="Times New Roman" w:hAnsi="Times New Roman" w:eastAsia="宋体" w:cs="Times New Roman"/>
                <w:color w:val="auto"/>
                <w:kern w:val="2"/>
                <w:sz w:val="24"/>
                <w:szCs w:val="24"/>
                <w:lang w:val="en-US" w:eastAsia="zh-CN" w:bidi="ar"/>
              </w:rPr>
              <w:t xml:space="preserve"> </w:t>
            </w:r>
          </w:p>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式中：</w:t>
            </w:r>
            <w:r>
              <w:rPr>
                <w:rFonts w:hint="default" w:ascii="Times New Roman" w:hAnsi="Times New Roman" w:eastAsia="宋体" w:cs="Times New Roman"/>
                <w:color w:val="auto"/>
                <w:kern w:val="2"/>
                <w:sz w:val="24"/>
                <w:szCs w:val="24"/>
                <w:lang w:val="en-US" w:eastAsia="zh-CN" w:bidi="ar"/>
              </w:rPr>
              <w:t>Leqg</w:t>
            </w:r>
            <w:r>
              <w:rPr>
                <w:rFonts w:hint="eastAsia" w:ascii="宋体" w:hAnsi="宋体" w:eastAsia="宋体" w:cs="宋体"/>
                <w:color w:val="auto"/>
                <w:kern w:val="2"/>
                <w:sz w:val="24"/>
                <w:szCs w:val="24"/>
                <w:lang w:val="en-US" w:eastAsia="zh-CN" w:bidi="ar"/>
              </w:rPr>
              <w:t>——建设项目声源在预测点产生的噪声贡献值，</w:t>
            </w:r>
            <w:r>
              <w:rPr>
                <w:rFonts w:hint="default" w:ascii="Times New Roman" w:hAnsi="Times New Roman" w:eastAsia="宋体" w:cs="Times New Roman"/>
                <w:color w:val="auto"/>
                <w:kern w:val="2"/>
                <w:sz w:val="24"/>
                <w:szCs w:val="24"/>
                <w:lang w:val="en-US" w:eastAsia="zh-CN" w:bidi="ar"/>
              </w:rPr>
              <w:t>dB</w:t>
            </w:r>
            <w:r>
              <w:rPr>
                <w:rFonts w:hint="eastAsia" w:ascii="宋体" w:hAnsi="宋体" w:eastAsia="宋体" w:cs="宋体"/>
                <w:color w:val="auto"/>
                <w:kern w:val="2"/>
                <w:sz w:val="24"/>
                <w:szCs w:val="24"/>
                <w:lang w:val="en-US" w:eastAsia="zh-CN" w:bidi="ar"/>
              </w:rPr>
              <w:t>；</w:t>
            </w:r>
          </w:p>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lang w:val="en-US" w:eastAsia="zh-CN" w:bidi="ar"/>
              </w:rPr>
              <w:t>T</w:t>
            </w:r>
            <w:r>
              <w:rPr>
                <w:rFonts w:hint="eastAsia" w:ascii="宋体" w:hAnsi="宋体" w:eastAsia="宋体" w:cs="宋体"/>
                <w:color w:val="auto"/>
                <w:kern w:val="2"/>
                <w:sz w:val="24"/>
                <w:szCs w:val="24"/>
                <w:lang w:val="en-US" w:eastAsia="zh-CN" w:bidi="ar"/>
              </w:rPr>
              <w:t>——用于计算等效声级的时间，</w:t>
            </w:r>
            <w:r>
              <w:rPr>
                <w:rFonts w:hint="default" w:ascii="Times New Roman" w:hAnsi="Times New Roman" w:eastAsia="宋体" w:cs="Times New Roman"/>
                <w:color w:val="auto"/>
                <w:kern w:val="2"/>
                <w:sz w:val="24"/>
                <w:szCs w:val="24"/>
                <w:lang w:val="en-US" w:eastAsia="zh-CN" w:bidi="ar"/>
              </w:rPr>
              <w:t>s</w:t>
            </w:r>
            <w:r>
              <w:rPr>
                <w:rFonts w:hint="eastAsia" w:ascii="宋体" w:hAnsi="宋体" w:eastAsia="宋体" w:cs="宋体"/>
                <w:color w:val="auto"/>
                <w:kern w:val="2"/>
                <w:sz w:val="24"/>
                <w:szCs w:val="24"/>
                <w:lang w:val="en-US" w:eastAsia="zh-CN" w:bidi="ar"/>
              </w:rPr>
              <w:t>；</w:t>
            </w:r>
          </w:p>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lang w:val="en-US" w:eastAsia="zh-CN" w:bidi="ar"/>
              </w:rPr>
              <w:t>N</w:t>
            </w:r>
            <w:r>
              <w:rPr>
                <w:rFonts w:hint="eastAsia" w:ascii="宋体" w:hAnsi="宋体" w:eastAsia="宋体" w:cs="宋体"/>
                <w:color w:val="auto"/>
                <w:kern w:val="2"/>
                <w:sz w:val="24"/>
                <w:szCs w:val="24"/>
                <w:lang w:val="en-US" w:eastAsia="zh-CN" w:bidi="ar"/>
              </w:rPr>
              <w:t>——室外声源个数；</w:t>
            </w:r>
          </w:p>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lang w:val="en-US" w:eastAsia="zh-CN" w:bidi="ar"/>
              </w:rPr>
              <w:t>ti</w:t>
            </w:r>
            <w:r>
              <w:rPr>
                <w:rFonts w:hint="eastAsia" w:ascii="宋体" w:hAnsi="宋体" w:eastAsia="宋体" w:cs="宋体"/>
                <w:color w:val="auto"/>
                <w:kern w:val="2"/>
                <w:sz w:val="24"/>
                <w:szCs w:val="24"/>
                <w:lang w:val="en-US" w:eastAsia="zh-CN" w:bidi="ar"/>
              </w:rPr>
              <w:t>——在</w:t>
            </w:r>
            <w:r>
              <w:rPr>
                <w:rFonts w:hint="default" w:ascii="Times New Roman" w:hAnsi="Times New Roman" w:eastAsia="宋体" w:cs="Times New Roman"/>
                <w:color w:val="auto"/>
                <w:kern w:val="2"/>
                <w:sz w:val="24"/>
                <w:szCs w:val="24"/>
                <w:lang w:val="en-US" w:eastAsia="zh-CN" w:bidi="ar"/>
              </w:rPr>
              <w:t>T</w:t>
            </w:r>
            <w:r>
              <w:rPr>
                <w:rFonts w:hint="eastAsia" w:ascii="宋体" w:hAnsi="宋体" w:eastAsia="宋体" w:cs="宋体"/>
                <w:color w:val="auto"/>
                <w:kern w:val="2"/>
                <w:sz w:val="24"/>
                <w:szCs w:val="24"/>
                <w:lang w:val="en-US" w:eastAsia="zh-CN" w:bidi="ar"/>
              </w:rPr>
              <w:t>时间内</w:t>
            </w:r>
            <w:r>
              <w:rPr>
                <w:rFonts w:hint="default" w:ascii="Times New Roman" w:hAnsi="Times New Roman" w:eastAsia="宋体" w:cs="Times New Roman"/>
                <w:color w:val="auto"/>
                <w:kern w:val="2"/>
                <w:sz w:val="24"/>
                <w:szCs w:val="24"/>
                <w:lang w:val="en-US" w:eastAsia="zh-CN" w:bidi="ar"/>
              </w:rPr>
              <w:t>i</w:t>
            </w:r>
            <w:r>
              <w:rPr>
                <w:rFonts w:hint="eastAsia" w:ascii="宋体" w:hAnsi="宋体" w:eastAsia="宋体" w:cs="宋体"/>
                <w:color w:val="auto"/>
                <w:kern w:val="2"/>
                <w:sz w:val="24"/>
                <w:szCs w:val="24"/>
                <w:lang w:val="en-US" w:eastAsia="zh-CN" w:bidi="ar"/>
              </w:rPr>
              <w:t>声源工作时间，</w:t>
            </w:r>
            <w:r>
              <w:rPr>
                <w:rFonts w:hint="default" w:ascii="Times New Roman" w:hAnsi="Times New Roman" w:eastAsia="宋体" w:cs="Times New Roman"/>
                <w:color w:val="auto"/>
                <w:kern w:val="2"/>
                <w:sz w:val="24"/>
                <w:szCs w:val="24"/>
                <w:lang w:val="en-US" w:eastAsia="zh-CN" w:bidi="ar"/>
              </w:rPr>
              <w:t>s</w:t>
            </w:r>
            <w:r>
              <w:rPr>
                <w:rFonts w:hint="eastAsia" w:ascii="宋体" w:hAnsi="宋体" w:eastAsia="宋体" w:cs="宋体"/>
                <w:color w:val="auto"/>
                <w:kern w:val="2"/>
                <w:sz w:val="24"/>
                <w:szCs w:val="24"/>
                <w:lang w:val="en-US" w:eastAsia="zh-CN" w:bidi="ar"/>
              </w:rPr>
              <w:t>；</w:t>
            </w:r>
          </w:p>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lang w:val="en-US" w:eastAsia="zh-CN" w:bidi="ar"/>
              </w:rPr>
              <w:t>M</w:t>
            </w:r>
            <w:r>
              <w:rPr>
                <w:rFonts w:hint="eastAsia" w:ascii="宋体" w:hAnsi="宋体" w:eastAsia="宋体" w:cs="宋体"/>
                <w:color w:val="auto"/>
                <w:kern w:val="2"/>
                <w:sz w:val="24"/>
                <w:szCs w:val="24"/>
                <w:lang w:val="en-US" w:eastAsia="zh-CN" w:bidi="ar"/>
              </w:rPr>
              <w:t>——等效室外声源个数；</w:t>
            </w:r>
          </w:p>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cs="Times New Roman"/>
                <w:color w:val="auto"/>
                <w:kern w:val="2"/>
                <w:sz w:val="21"/>
                <w:szCs w:val="21"/>
              </w:rPr>
            </w:pPr>
            <w:r>
              <w:rPr>
                <w:rFonts w:hint="default" w:ascii="Times New Roman" w:hAnsi="Times New Roman" w:eastAsia="宋体" w:cs="Times New Roman"/>
                <w:color w:val="auto"/>
                <w:kern w:val="2"/>
                <w:sz w:val="24"/>
                <w:szCs w:val="24"/>
                <w:lang w:val="en-US" w:eastAsia="zh-CN" w:bidi="ar"/>
              </w:rPr>
              <w:t>tj</w:t>
            </w:r>
            <w:r>
              <w:rPr>
                <w:rFonts w:hint="eastAsia" w:ascii="宋体" w:hAnsi="宋体" w:eastAsia="宋体" w:cs="宋体"/>
                <w:color w:val="auto"/>
                <w:kern w:val="2"/>
                <w:sz w:val="24"/>
                <w:szCs w:val="24"/>
                <w:lang w:val="en-US" w:eastAsia="zh-CN" w:bidi="ar"/>
              </w:rPr>
              <w:t>——在</w:t>
            </w:r>
            <w:r>
              <w:rPr>
                <w:rFonts w:hint="default" w:ascii="Times New Roman" w:hAnsi="Times New Roman" w:eastAsia="宋体" w:cs="Times New Roman"/>
                <w:color w:val="auto"/>
                <w:kern w:val="2"/>
                <w:sz w:val="24"/>
                <w:szCs w:val="24"/>
                <w:lang w:val="en-US" w:eastAsia="zh-CN" w:bidi="ar"/>
              </w:rPr>
              <w:t>T</w:t>
            </w:r>
            <w:r>
              <w:rPr>
                <w:rFonts w:hint="eastAsia" w:ascii="宋体" w:hAnsi="宋体" w:eastAsia="宋体" w:cs="宋体"/>
                <w:color w:val="auto"/>
                <w:kern w:val="2"/>
                <w:sz w:val="24"/>
                <w:szCs w:val="24"/>
                <w:lang w:val="en-US" w:eastAsia="zh-CN" w:bidi="ar"/>
              </w:rPr>
              <w:t>时间内</w:t>
            </w:r>
            <w:r>
              <w:rPr>
                <w:rFonts w:hint="default" w:ascii="Times New Roman" w:hAnsi="Times New Roman" w:eastAsia="宋体" w:cs="Times New Roman"/>
                <w:color w:val="auto"/>
                <w:kern w:val="2"/>
                <w:sz w:val="24"/>
                <w:szCs w:val="24"/>
                <w:lang w:val="en-US" w:eastAsia="zh-CN" w:bidi="ar"/>
              </w:rPr>
              <w:t>j</w:t>
            </w:r>
            <w:r>
              <w:rPr>
                <w:rFonts w:hint="eastAsia" w:ascii="宋体" w:hAnsi="宋体" w:eastAsia="宋体" w:cs="宋体"/>
                <w:color w:val="auto"/>
                <w:kern w:val="2"/>
                <w:sz w:val="24"/>
                <w:szCs w:val="24"/>
                <w:lang w:val="en-US" w:eastAsia="zh-CN" w:bidi="ar"/>
              </w:rPr>
              <w:t>声源工作时间，</w:t>
            </w:r>
            <w:r>
              <w:rPr>
                <w:rFonts w:hint="default" w:ascii="Times New Roman" w:hAnsi="Times New Roman" w:eastAsia="宋体" w:cs="Times New Roman"/>
                <w:color w:val="auto"/>
                <w:kern w:val="2"/>
                <w:sz w:val="24"/>
                <w:szCs w:val="24"/>
                <w:lang w:val="en-US" w:eastAsia="zh-CN" w:bidi="ar"/>
              </w:rPr>
              <w:t>s</w:t>
            </w:r>
          </w:p>
          <w:p>
            <w:pPr>
              <w:keepNext w:val="0"/>
              <w:keepLines w:val="0"/>
              <w:widowControl w:val="0"/>
              <w:suppressLineNumbers w:val="0"/>
              <w:adjustRightInd w:val="0"/>
              <w:snapToGrid w:val="0"/>
              <w:spacing w:before="0" w:beforeAutospacing="0" w:after="0" w:afterAutospacing="0" w:line="360" w:lineRule="auto"/>
              <w:ind w:left="0" w:right="0" w:firstLine="241" w:firstLineChars="100"/>
              <w:jc w:val="both"/>
              <w:rPr>
                <w:rFonts w:hint="default" w:ascii="Times New Roman" w:hAnsi="Times New Roman" w:eastAsia="宋体" w:cs="Times New Roman"/>
                <w:b/>
                <w:bCs/>
                <w:color w:val="auto"/>
                <w:kern w:val="2"/>
                <w:sz w:val="24"/>
                <w:szCs w:val="24"/>
              </w:rPr>
            </w:pPr>
            <w:r>
              <w:rPr>
                <w:rFonts w:hint="default" w:ascii="Times New Roman" w:hAnsi="Times New Roman" w:eastAsia="宋体" w:cs="Times New Roman"/>
                <w:b/>
                <w:bCs/>
                <w:color w:val="auto"/>
                <w:kern w:val="2"/>
                <w:sz w:val="24"/>
                <w:szCs w:val="24"/>
                <w:lang w:val="en-US" w:eastAsia="zh-CN" w:bidi="ar"/>
              </w:rPr>
              <w:t>3.3</w:t>
            </w:r>
            <w:r>
              <w:rPr>
                <w:rFonts w:hint="eastAsia" w:ascii="宋体" w:hAnsi="宋体" w:eastAsia="宋体" w:cs="宋体"/>
                <w:b/>
                <w:bCs/>
                <w:color w:val="auto"/>
                <w:kern w:val="2"/>
                <w:sz w:val="24"/>
                <w:szCs w:val="24"/>
                <w:lang w:val="en-US" w:eastAsia="zh-CN" w:bidi="ar"/>
              </w:rPr>
              <w:t>达标分析</w:t>
            </w:r>
          </w:p>
          <w:p>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bCs/>
                <w:color w:val="auto"/>
                <w:kern w:val="2"/>
                <w:sz w:val="21"/>
                <w:szCs w:val="21"/>
              </w:rPr>
            </w:pPr>
            <w:r>
              <w:rPr>
                <w:rFonts w:hint="eastAsia" w:ascii="宋体" w:hAnsi="宋体" w:eastAsia="宋体" w:cs="宋体"/>
                <w:b/>
                <w:bCs w:val="0"/>
                <w:color w:val="auto"/>
                <w:kern w:val="2"/>
                <w:sz w:val="24"/>
                <w:szCs w:val="24"/>
                <w:lang w:val="en-US" w:eastAsia="zh-CN" w:bidi="ar"/>
              </w:rPr>
              <w:t>厂界噪声预测结果与达标分析表</w:t>
            </w:r>
          </w:p>
          <w:tbl>
            <w:tblPr>
              <w:tblStyle w:val="27"/>
              <w:tblW w:w="8353" w:type="dxa"/>
              <w:jc w:val="center"/>
              <w:tblInd w:w="0" w:type="dxa"/>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1075"/>
              <w:gridCol w:w="869"/>
              <w:gridCol w:w="957"/>
              <w:gridCol w:w="901"/>
              <w:gridCol w:w="1017"/>
              <w:gridCol w:w="1167"/>
              <w:gridCol w:w="1203"/>
              <w:gridCol w:w="1164"/>
            </w:tblGrid>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587" w:hRule="atLeast"/>
                <w:jc w:val="center"/>
              </w:trPr>
              <w:tc>
                <w:tcPr>
                  <w:tcW w:w="1075" w:type="dxa"/>
                  <w:vMerge w:val="restart"/>
                  <w:tcBorders>
                    <w:top w:val="single" w:color="auto" w:sz="4" w:space="0"/>
                    <w:left w:val="nil"/>
                    <w:bottom w:val="single" w:color="auto" w:sz="4" w:space="0"/>
                    <w:right w:val="single" w:color="auto" w:sz="4" w:space="0"/>
                  </w:tcBorders>
                  <w:vAlign w:val="center"/>
                </w:tcPr>
                <w:p>
                  <w:pPr>
                    <w:keepNext w:val="0"/>
                    <w:keepLines w:val="0"/>
                    <w:widowControl w:val="0"/>
                    <w:suppressLineNumbers w:val="0"/>
                    <w:autoSpaceDE w:val="0"/>
                    <w:autoSpaceDN/>
                    <w:spacing w:before="0" w:beforeAutospacing="0" w:after="0" w:afterAutospacing="0" w:line="360" w:lineRule="exact"/>
                    <w:ind w:left="0" w:right="0"/>
                    <w:jc w:val="center"/>
                    <w:rPr>
                      <w:rFonts w:hint="default" w:ascii="Times New Roman" w:hAnsi="Times New Roman" w:eastAsia="宋体" w:cs="Times New Roman"/>
                      <w:color w:val="auto"/>
                      <w:kern w:val="2"/>
                      <w:sz w:val="21"/>
                      <w:szCs w:val="21"/>
                    </w:rPr>
                  </w:pPr>
                  <w:r>
                    <w:rPr>
                      <w:rFonts w:hint="eastAsia" w:ascii="宋体" w:hAnsi="宋体" w:eastAsia="宋体" w:cs="宋体"/>
                      <w:b/>
                      <w:bCs w:val="0"/>
                      <w:color w:val="auto"/>
                      <w:kern w:val="2"/>
                      <w:sz w:val="21"/>
                      <w:szCs w:val="21"/>
                      <w:lang w:val="en-US" w:eastAsia="zh-CN" w:bidi="ar"/>
                    </w:rPr>
                    <w:t>预测方位</w:t>
                  </w:r>
                </w:p>
              </w:tc>
              <w:tc>
                <w:tcPr>
                  <w:tcW w:w="2727" w:type="dxa"/>
                  <w:gridSpan w:val="3"/>
                  <w:tcBorders>
                    <w:top w:val="single" w:color="auto" w:sz="4" w:space="0"/>
                    <w:left w:val="nil"/>
                    <w:bottom w:val="single" w:color="auto" w:sz="4" w:space="0"/>
                    <w:right w:val="single" w:color="auto" w:sz="4" w:space="0"/>
                  </w:tcBorders>
                  <w:vAlign w:val="center"/>
                </w:tcPr>
                <w:p>
                  <w:pPr>
                    <w:keepNext w:val="0"/>
                    <w:keepLines w:val="0"/>
                    <w:widowControl w:val="0"/>
                    <w:suppressLineNumbers w:val="0"/>
                    <w:autoSpaceDE w:val="0"/>
                    <w:autoSpaceDN/>
                    <w:spacing w:before="0" w:beforeAutospacing="0" w:after="0" w:afterAutospacing="0" w:line="360" w:lineRule="exact"/>
                    <w:ind w:left="0" w:right="0"/>
                    <w:jc w:val="center"/>
                    <w:rPr>
                      <w:rFonts w:hint="default" w:ascii="Times New Roman" w:hAnsi="Times New Roman" w:eastAsia="宋体" w:cs="Times New Roman"/>
                      <w:color w:val="auto"/>
                      <w:kern w:val="2"/>
                      <w:sz w:val="21"/>
                      <w:szCs w:val="21"/>
                    </w:rPr>
                  </w:pPr>
                  <w:r>
                    <w:rPr>
                      <w:rFonts w:hint="eastAsia" w:ascii="宋体" w:hAnsi="宋体" w:eastAsia="宋体" w:cs="宋体"/>
                      <w:b/>
                      <w:bCs w:val="0"/>
                      <w:color w:val="auto"/>
                      <w:kern w:val="2"/>
                      <w:sz w:val="21"/>
                      <w:szCs w:val="21"/>
                      <w:lang w:val="en-US" w:eastAsia="zh-CN" w:bidi="ar"/>
                    </w:rPr>
                    <w:t>最大值点空间相对位置</w:t>
                  </w:r>
                  <w:r>
                    <w:rPr>
                      <w:rFonts w:hint="default" w:ascii="Times New Roman" w:hAnsi="Times New Roman" w:eastAsia="宋体" w:cs="Times New Roman"/>
                      <w:b/>
                      <w:bCs w:val="0"/>
                      <w:color w:val="auto"/>
                      <w:kern w:val="2"/>
                      <w:sz w:val="21"/>
                      <w:szCs w:val="21"/>
                      <w:lang w:val="en-US" w:eastAsia="zh-CN" w:bidi="ar"/>
                    </w:rPr>
                    <w:t>/m</w:t>
                  </w:r>
                </w:p>
              </w:tc>
              <w:tc>
                <w:tcPr>
                  <w:tcW w:w="1017" w:type="dxa"/>
                  <w:vMerge w:val="restart"/>
                  <w:tcBorders>
                    <w:top w:val="single" w:color="auto" w:sz="4" w:space="0"/>
                    <w:left w:val="nil"/>
                    <w:bottom w:val="single" w:color="auto" w:sz="4" w:space="0"/>
                    <w:right w:val="single" w:color="auto" w:sz="4" w:space="0"/>
                  </w:tcBorders>
                  <w:vAlign w:val="center"/>
                </w:tcPr>
                <w:p>
                  <w:pPr>
                    <w:keepNext w:val="0"/>
                    <w:keepLines w:val="0"/>
                    <w:widowControl w:val="0"/>
                    <w:suppressLineNumbers w:val="0"/>
                    <w:autoSpaceDE w:val="0"/>
                    <w:autoSpaceDN/>
                    <w:spacing w:before="0" w:beforeAutospacing="0" w:after="0" w:afterAutospacing="0" w:line="360" w:lineRule="exact"/>
                    <w:ind w:left="0" w:right="0"/>
                    <w:jc w:val="center"/>
                    <w:rPr>
                      <w:rFonts w:hint="default" w:ascii="Times New Roman" w:hAnsi="Times New Roman" w:eastAsia="宋体" w:cs="Times New Roman"/>
                      <w:color w:val="auto"/>
                      <w:kern w:val="2"/>
                      <w:sz w:val="21"/>
                      <w:szCs w:val="21"/>
                    </w:rPr>
                  </w:pPr>
                  <w:r>
                    <w:rPr>
                      <w:rFonts w:hint="eastAsia" w:ascii="宋体" w:hAnsi="宋体" w:eastAsia="宋体" w:cs="宋体"/>
                      <w:b/>
                      <w:bCs w:val="0"/>
                      <w:color w:val="auto"/>
                      <w:kern w:val="2"/>
                      <w:sz w:val="21"/>
                      <w:szCs w:val="21"/>
                      <w:lang w:val="en-US" w:eastAsia="zh-CN" w:bidi="ar"/>
                    </w:rPr>
                    <w:t>时段</w:t>
                  </w:r>
                </w:p>
              </w:tc>
              <w:tc>
                <w:tcPr>
                  <w:tcW w:w="1167" w:type="dxa"/>
                  <w:vMerge w:val="restart"/>
                  <w:tcBorders>
                    <w:top w:val="single" w:color="auto" w:sz="4" w:space="0"/>
                    <w:left w:val="nil"/>
                    <w:bottom w:val="single" w:color="auto" w:sz="4" w:space="0"/>
                    <w:right w:val="single" w:color="auto" w:sz="4" w:space="0"/>
                  </w:tcBorders>
                  <w:vAlign w:val="center"/>
                </w:tcPr>
                <w:p>
                  <w:pPr>
                    <w:keepNext w:val="0"/>
                    <w:keepLines w:val="0"/>
                    <w:widowControl w:val="0"/>
                    <w:suppressLineNumbers w:val="0"/>
                    <w:autoSpaceDE w:val="0"/>
                    <w:autoSpaceDN/>
                    <w:spacing w:before="0" w:beforeAutospacing="0" w:after="0" w:afterAutospacing="0" w:line="360" w:lineRule="exact"/>
                    <w:ind w:left="0" w:right="0"/>
                    <w:jc w:val="center"/>
                    <w:rPr>
                      <w:rFonts w:hint="default" w:ascii="Times New Roman" w:hAnsi="Times New Roman" w:eastAsia="宋体" w:cs="Times New Roman"/>
                      <w:color w:val="auto"/>
                      <w:kern w:val="2"/>
                      <w:sz w:val="21"/>
                      <w:szCs w:val="21"/>
                    </w:rPr>
                  </w:pPr>
                  <w:r>
                    <w:rPr>
                      <w:rFonts w:hint="eastAsia" w:ascii="宋体" w:hAnsi="宋体" w:eastAsia="宋体" w:cs="宋体"/>
                      <w:b/>
                      <w:bCs w:val="0"/>
                      <w:color w:val="auto"/>
                      <w:kern w:val="2"/>
                      <w:sz w:val="21"/>
                      <w:szCs w:val="21"/>
                      <w:lang w:val="en-US" w:eastAsia="zh-CN" w:bidi="ar"/>
                    </w:rPr>
                    <w:t>贡献值（</w:t>
                  </w:r>
                  <w:r>
                    <w:rPr>
                      <w:rFonts w:hint="default" w:ascii="Times New Roman" w:hAnsi="Times New Roman" w:eastAsia="宋体" w:cs="Times New Roman"/>
                      <w:b/>
                      <w:bCs w:val="0"/>
                      <w:color w:val="auto"/>
                      <w:kern w:val="2"/>
                      <w:sz w:val="21"/>
                      <w:szCs w:val="21"/>
                      <w:lang w:val="en-US" w:eastAsia="zh-CN" w:bidi="ar"/>
                    </w:rPr>
                    <w:t>dB(A)</w:t>
                  </w:r>
                  <w:r>
                    <w:rPr>
                      <w:rFonts w:hint="eastAsia" w:ascii="宋体" w:hAnsi="宋体" w:eastAsia="宋体" w:cs="宋体"/>
                      <w:b/>
                      <w:bCs w:val="0"/>
                      <w:color w:val="auto"/>
                      <w:kern w:val="2"/>
                      <w:sz w:val="21"/>
                      <w:szCs w:val="21"/>
                      <w:lang w:val="en-US" w:eastAsia="zh-CN" w:bidi="ar"/>
                    </w:rPr>
                    <w:t>）</w:t>
                  </w:r>
                </w:p>
              </w:tc>
              <w:tc>
                <w:tcPr>
                  <w:tcW w:w="1203" w:type="dxa"/>
                  <w:vMerge w:val="restart"/>
                  <w:tcBorders>
                    <w:top w:val="single" w:color="auto" w:sz="4" w:space="0"/>
                    <w:left w:val="nil"/>
                    <w:bottom w:val="single" w:color="auto" w:sz="4" w:space="0"/>
                    <w:right w:val="single" w:color="auto" w:sz="4" w:space="0"/>
                  </w:tcBorders>
                  <w:vAlign w:val="center"/>
                </w:tcPr>
                <w:p>
                  <w:pPr>
                    <w:keepNext w:val="0"/>
                    <w:keepLines w:val="0"/>
                    <w:widowControl w:val="0"/>
                    <w:suppressLineNumbers w:val="0"/>
                    <w:autoSpaceDE w:val="0"/>
                    <w:autoSpaceDN/>
                    <w:spacing w:before="0" w:beforeAutospacing="0" w:after="0" w:afterAutospacing="0" w:line="360" w:lineRule="exact"/>
                    <w:ind w:left="0" w:right="0"/>
                    <w:jc w:val="center"/>
                    <w:rPr>
                      <w:rFonts w:hint="default" w:ascii="Times New Roman" w:hAnsi="Times New Roman" w:eastAsia="宋体" w:cs="Times New Roman"/>
                      <w:color w:val="auto"/>
                      <w:kern w:val="2"/>
                      <w:sz w:val="21"/>
                      <w:szCs w:val="21"/>
                    </w:rPr>
                  </w:pPr>
                  <w:r>
                    <w:rPr>
                      <w:rFonts w:hint="eastAsia" w:ascii="宋体" w:hAnsi="宋体" w:eastAsia="宋体" w:cs="宋体"/>
                      <w:b/>
                      <w:bCs w:val="0"/>
                      <w:color w:val="auto"/>
                      <w:kern w:val="2"/>
                      <w:sz w:val="21"/>
                      <w:szCs w:val="21"/>
                      <w:lang w:val="en-US" w:eastAsia="zh-CN" w:bidi="ar"/>
                    </w:rPr>
                    <w:t>标准限值（</w:t>
                  </w:r>
                  <w:r>
                    <w:rPr>
                      <w:rFonts w:hint="default" w:ascii="Times New Roman" w:hAnsi="Times New Roman" w:eastAsia="宋体" w:cs="Times New Roman"/>
                      <w:b/>
                      <w:bCs w:val="0"/>
                      <w:color w:val="auto"/>
                      <w:kern w:val="2"/>
                      <w:sz w:val="21"/>
                      <w:szCs w:val="21"/>
                      <w:lang w:val="en-US" w:eastAsia="zh-CN" w:bidi="ar"/>
                    </w:rPr>
                    <w:t>dB(A)</w:t>
                  </w:r>
                  <w:r>
                    <w:rPr>
                      <w:rFonts w:hint="eastAsia" w:ascii="宋体" w:hAnsi="宋体" w:eastAsia="宋体" w:cs="宋体"/>
                      <w:b/>
                      <w:bCs w:val="0"/>
                      <w:color w:val="auto"/>
                      <w:kern w:val="2"/>
                      <w:sz w:val="21"/>
                      <w:szCs w:val="21"/>
                      <w:lang w:val="en-US" w:eastAsia="zh-CN" w:bidi="ar"/>
                    </w:rPr>
                    <w:t>）</w:t>
                  </w:r>
                </w:p>
              </w:tc>
              <w:tc>
                <w:tcPr>
                  <w:tcW w:w="1164" w:type="dxa"/>
                  <w:vMerge w:val="restart"/>
                  <w:tcBorders>
                    <w:top w:val="single" w:color="auto" w:sz="4" w:space="0"/>
                    <w:left w:val="nil"/>
                    <w:bottom w:val="single" w:color="auto" w:sz="4" w:space="0"/>
                    <w:right w:val="nil"/>
                  </w:tcBorders>
                  <w:vAlign w:val="center"/>
                </w:tcPr>
                <w:p>
                  <w:pPr>
                    <w:keepNext w:val="0"/>
                    <w:keepLines w:val="0"/>
                    <w:widowControl w:val="0"/>
                    <w:suppressLineNumbers w:val="0"/>
                    <w:autoSpaceDE w:val="0"/>
                    <w:autoSpaceDN/>
                    <w:spacing w:before="0" w:beforeAutospacing="0" w:after="0" w:afterAutospacing="0" w:line="360" w:lineRule="exact"/>
                    <w:ind w:left="0" w:right="0"/>
                    <w:jc w:val="center"/>
                    <w:rPr>
                      <w:rFonts w:hint="default" w:ascii="Times New Roman" w:hAnsi="Times New Roman" w:eastAsia="宋体" w:cs="Times New Roman"/>
                      <w:color w:val="auto"/>
                      <w:kern w:val="2"/>
                      <w:sz w:val="21"/>
                      <w:szCs w:val="21"/>
                    </w:rPr>
                  </w:pPr>
                  <w:r>
                    <w:rPr>
                      <w:rFonts w:hint="eastAsia" w:ascii="宋体" w:hAnsi="宋体" w:eastAsia="宋体" w:cs="宋体"/>
                      <w:b/>
                      <w:bCs w:val="0"/>
                      <w:color w:val="auto"/>
                      <w:kern w:val="2"/>
                      <w:sz w:val="21"/>
                      <w:szCs w:val="21"/>
                      <w:lang w:val="en-US" w:eastAsia="zh-CN" w:bidi="ar"/>
                    </w:rPr>
                    <w:t>达标情况</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1075" w:type="dxa"/>
                  <w:vMerge w:val="continue"/>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c>
                <w:tcPr>
                  <w:tcW w:w="869"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utoSpaceDE w:val="0"/>
                    <w:autoSpaceDN/>
                    <w:spacing w:before="0" w:beforeAutospacing="0" w:after="0" w:afterAutospacing="0" w:line="360" w:lineRule="exact"/>
                    <w:ind w:left="0" w:right="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b/>
                      <w:bCs/>
                      <w:color w:val="auto"/>
                      <w:kern w:val="2"/>
                      <w:sz w:val="21"/>
                      <w:szCs w:val="21"/>
                      <w:lang w:val="en-US" w:eastAsia="zh-CN" w:bidi="ar"/>
                    </w:rPr>
                    <w:t>X</w:t>
                  </w:r>
                </w:p>
              </w:tc>
              <w:tc>
                <w:tcPr>
                  <w:tcW w:w="957"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utoSpaceDE w:val="0"/>
                    <w:autoSpaceDN/>
                    <w:spacing w:before="0" w:beforeAutospacing="0" w:after="0" w:afterAutospacing="0" w:line="360" w:lineRule="exact"/>
                    <w:ind w:left="0" w:right="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b/>
                      <w:bCs/>
                      <w:color w:val="auto"/>
                      <w:kern w:val="2"/>
                      <w:sz w:val="21"/>
                      <w:szCs w:val="21"/>
                      <w:lang w:val="en-US" w:eastAsia="zh-CN" w:bidi="ar"/>
                    </w:rPr>
                    <w:t>Y</w:t>
                  </w:r>
                </w:p>
              </w:tc>
              <w:tc>
                <w:tcPr>
                  <w:tcW w:w="901"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utoSpaceDE w:val="0"/>
                    <w:autoSpaceDN/>
                    <w:spacing w:before="0" w:beforeAutospacing="0" w:after="0" w:afterAutospacing="0" w:line="360" w:lineRule="exact"/>
                    <w:ind w:left="0" w:right="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b/>
                      <w:bCs/>
                      <w:color w:val="auto"/>
                      <w:kern w:val="2"/>
                      <w:sz w:val="21"/>
                      <w:szCs w:val="21"/>
                      <w:lang w:val="en-US" w:eastAsia="zh-CN" w:bidi="ar"/>
                    </w:rPr>
                    <w:t>Z</w:t>
                  </w:r>
                </w:p>
              </w:tc>
              <w:tc>
                <w:tcPr>
                  <w:tcW w:w="1017" w:type="dxa"/>
                  <w:vMerge w:val="continue"/>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c>
                <w:tcPr>
                  <w:tcW w:w="1167" w:type="dxa"/>
                  <w:vMerge w:val="continue"/>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c>
                <w:tcPr>
                  <w:tcW w:w="1203" w:type="dxa"/>
                  <w:vMerge w:val="continue"/>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c>
                <w:tcPr>
                  <w:tcW w:w="1164" w:type="dxa"/>
                  <w:vMerge w:val="continue"/>
                  <w:tcBorders>
                    <w:top w:val="single" w:color="auto" w:sz="4" w:space="0"/>
                    <w:left w:val="nil"/>
                    <w:bottom w:val="single" w:color="auto" w:sz="4" w:space="0"/>
                    <w:right w:val="nil"/>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1075"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utoSpaceDE w:val="0"/>
                    <w:autoSpaceDN/>
                    <w:spacing w:before="0" w:beforeAutospacing="0" w:after="0" w:afterAutospacing="0" w:line="360" w:lineRule="exact"/>
                    <w:ind w:left="0" w:right="0"/>
                    <w:jc w:val="center"/>
                    <w:rPr>
                      <w:rFonts w:hint="default" w:ascii="Times New Roman" w:hAnsi="Times New Roman" w:eastAsia="宋体" w:cs="Times New Roman"/>
                      <w:color w:val="auto"/>
                      <w:kern w:val="2"/>
                      <w:sz w:val="21"/>
                      <w:szCs w:val="21"/>
                    </w:rPr>
                  </w:pPr>
                  <w:r>
                    <w:rPr>
                      <w:rFonts w:hint="eastAsia" w:ascii="宋体" w:hAnsi="宋体" w:eastAsia="宋体" w:cs="宋体"/>
                      <w:color w:val="auto"/>
                      <w:kern w:val="2"/>
                      <w:sz w:val="21"/>
                      <w:szCs w:val="21"/>
                      <w:lang w:val="en-US" w:eastAsia="zh-CN" w:bidi="ar"/>
                    </w:rPr>
                    <w:t>东侧</w:t>
                  </w:r>
                </w:p>
              </w:tc>
              <w:tc>
                <w:tcPr>
                  <w:tcW w:w="869"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967</w:t>
                  </w:r>
                </w:p>
              </w:tc>
              <w:tc>
                <w:tcPr>
                  <w:tcW w:w="957"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325</w:t>
                  </w:r>
                </w:p>
              </w:tc>
              <w:tc>
                <w:tcPr>
                  <w:tcW w:w="901"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1.2</w:t>
                  </w:r>
                </w:p>
              </w:tc>
              <w:tc>
                <w:tcPr>
                  <w:tcW w:w="1017" w:type="dxa"/>
                  <w:vMerge w:val="restart"/>
                  <w:tcBorders>
                    <w:top w:val="nil"/>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Arial" w:hAnsi="Arial" w:eastAsia="宋体" w:cs="Arial"/>
                      <w:color w:val="auto"/>
                      <w:kern w:val="2"/>
                      <w:sz w:val="21"/>
                      <w:szCs w:val="21"/>
                      <w:lang w:val="en-US" w:eastAsia="zh-CN" w:bidi="ar"/>
                    </w:rPr>
                    <w:t>昼</w:t>
                  </w:r>
                  <w:r>
                    <w:rPr>
                      <w:rFonts w:hint="eastAsia" w:ascii="Arial" w:hAnsi="Arial" w:eastAsia="宋体" w:cs="Arial"/>
                      <w:color w:val="auto"/>
                      <w:kern w:val="2"/>
                      <w:sz w:val="21"/>
                      <w:szCs w:val="21"/>
                      <w:lang w:val="en-US" w:eastAsia="zh-CN" w:bidi="ar"/>
                    </w:rPr>
                    <w:t>/夜</w:t>
                  </w:r>
                  <w:r>
                    <w:rPr>
                      <w:rFonts w:hint="default" w:ascii="Arial" w:hAnsi="Arial" w:eastAsia="宋体" w:cs="Arial"/>
                      <w:color w:val="auto"/>
                      <w:kern w:val="2"/>
                      <w:sz w:val="21"/>
                      <w:szCs w:val="21"/>
                      <w:lang w:val="en-US" w:eastAsia="zh-CN" w:bidi="ar"/>
                    </w:rPr>
                    <w:t>间</w:t>
                  </w:r>
                </w:p>
              </w:tc>
              <w:tc>
                <w:tcPr>
                  <w:tcW w:w="1167"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29.94</w:t>
                  </w:r>
                </w:p>
              </w:tc>
              <w:tc>
                <w:tcPr>
                  <w:tcW w:w="1203"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rPr>
                  </w:pPr>
                  <w:r>
                    <w:rPr>
                      <w:rFonts w:hint="default" w:ascii="Times New Roman" w:hAnsi="Times New Roman" w:eastAsia="宋体" w:cs="Times New Roman"/>
                      <w:color w:val="auto"/>
                      <w:kern w:val="2"/>
                      <w:sz w:val="21"/>
                      <w:szCs w:val="21"/>
                      <w:lang w:val="en-US" w:eastAsia="zh-CN" w:bidi="ar"/>
                    </w:rPr>
                    <w:t>65</w:t>
                  </w:r>
                  <w:r>
                    <w:rPr>
                      <w:rFonts w:hint="eastAsia" w:ascii="Times New Roman" w:hAnsi="Times New Roman" w:eastAsia="宋体" w:cs="Times New Roman"/>
                      <w:color w:val="auto"/>
                      <w:kern w:val="2"/>
                      <w:sz w:val="21"/>
                      <w:szCs w:val="21"/>
                      <w:lang w:val="en-US" w:eastAsia="zh-CN" w:bidi="ar"/>
                    </w:rPr>
                    <w:t>/55</w:t>
                  </w:r>
                </w:p>
              </w:tc>
              <w:tc>
                <w:tcPr>
                  <w:tcW w:w="1164" w:type="dxa"/>
                  <w:tcBorders>
                    <w:top w:val="single" w:color="auto" w:sz="4" w:space="0"/>
                    <w:left w:val="nil"/>
                    <w:bottom w:val="single" w:color="auto" w:sz="4" w:space="0"/>
                    <w:right w:val="nil"/>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Arial" w:hAnsi="Arial" w:eastAsia="宋体" w:cs="Arial"/>
                      <w:color w:val="auto"/>
                      <w:kern w:val="2"/>
                      <w:sz w:val="21"/>
                      <w:szCs w:val="21"/>
                      <w:lang w:val="en-US" w:eastAsia="zh-CN" w:bidi="ar"/>
                    </w:rPr>
                    <w:t>达标</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1075"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utoSpaceDE w:val="0"/>
                    <w:autoSpaceDN/>
                    <w:spacing w:before="0" w:beforeAutospacing="0" w:after="0" w:afterAutospacing="0" w:line="360" w:lineRule="exact"/>
                    <w:ind w:left="0" w:right="0"/>
                    <w:jc w:val="center"/>
                    <w:rPr>
                      <w:rFonts w:hint="default" w:ascii="Times New Roman" w:hAnsi="Times New Roman" w:eastAsia="宋体" w:cs="Times New Roman"/>
                      <w:color w:val="auto"/>
                      <w:kern w:val="2"/>
                      <w:sz w:val="21"/>
                      <w:szCs w:val="21"/>
                    </w:rPr>
                  </w:pPr>
                  <w:r>
                    <w:rPr>
                      <w:rFonts w:hint="eastAsia" w:ascii="宋体" w:hAnsi="宋体" w:eastAsia="宋体" w:cs="宋体"/>
                      <w:color w:val="auto"/>
                      <w:kern w:val="2"/>
                      <w:sz w:val="21"/>
                      <w:szCs w:val="21"/>
                      <w:lang w:val="en-US" w:eastAsia="zh-CN" w:bidi="ar"/>
                    </w:rPr>
                    <w:t>西侧</w:t>
                  </w:r>
                </w:p>
              </w:tc>
              <w:tc>
                <w:tcPr>
                  <w:tcW w:w="869"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140</w:t>
                  </w:r>
                </w:p>
              </w:tc>
              <w:tc>
                <w:tcPr>
                  <w:tcW w:w="957"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486</w:t>
                  </w:r>
                </w:p>
              </w:tc>
              <w:tc>
                <w:tcPr>
                  <w:tcW w:w="901"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1.2</w:t>
                  </w:r>
                </w:p>
              </w:tc>
              <w:tc>
                <w:tcPr>
                  <w:tcW w:w="1017"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c>
                <w:tcPr>
                  <w:tcW w:w="1167"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33.17</w:t>
                  </w:r>
                </w:p>
              </w:tc>
              <w:tc>
                <w:tcPr>
                  <w:tcW w:w="1203"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rPr>
                  </w:pPr>
                  <w:r>
                    <w:rPr>
                      <w:rFonts w:hint="default" w:ascii="Times New Roman" w:hAnsi="Times New Roman" w:eastAsia="宋体" w:cs="Times New Roman"/>
                      <w:color w:val="auto"/>
                      <w:kern w:val="2"/>
                      <w:sz w:val="21"/>
                      <w:szCs w:val="21"/>
                      <w:lang w:val="en-US" w:eastAsia="zh-CN" w:bidi="ar"/>
                    </w:rPr>
                    <w:t>65</w:t>
                  </w:r>
                  <w:r>
                    <w:rPr>
                      <w:rFonts w:hint="eastAsia" w:ascii="Times New Roman" w:hAnsi="Times New Roman" w:eastAsia="宋体" w:cs="Times New Roman"/>
                      <w:color w:val="auto"/>
                      <w:kern w:val="2"/>
                      <w:sz w:val="21"/>
                      <w:szCs w:val="21"/>
                      <w:lang w:val="en-US" w:eastAsia="zh-CN" w:bidi="ar"/>
                    </w:rPr>
                    <w:t>/55</w:t>
                  </w:r>
                </w:p>
              </w:tc>
              <w:tc>
                <w:tcPr>
                  <w:tcW w:w="1164" w:type="dxa"/>
                  <w:tcBorders>
                    <w:top w:val="single" w:color="auto" w:sz="4" w:space="0"/>
                    <w:left w:val="nil"/>
                    <w:bottom w:val="single" w:color="auto" w:sz="4" w:space="0"/>
                    <w:right w:val="nil"/>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Arial" w:hAnsi="Arial" w:eastAsia="宋体" w:cs="Arial"/>
                      <w:color w:val="auto"/>
                      <w:kern w:val="2"/>
                      <w:sz w:val="21"/>
                      <w:szCs w:val="21"/>
                      <w:lang w:val="en-US" w:eastAsia="zh-CN" w:bidi="ar"/>
                    </w:rPr>
                    <w:t>达标</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1075"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utoSpaceDE w:val="0"/>
                    <w:autoSpaceDN/>
                    <w:spacing w:before="0" w:beforeAutospacing="0" w:after="0" w:afterAutospacing="0" w:line="360" w:lineRule="exact"/>
                    <w:ind w:left="0" w:right="0"/>
                    <w:jc w:val="center"/>
                    <w:rPr>
                      <w:rFonts w:hint="default" w:ascii="Times New Roman" w:hAnsi="Times New Roman" w:eastAsia="宋体" w:cs="Times New Roman"/>
                      <w:color w:val="auto"/>
                      <w:kern w:val="2"/>
                      <w:sz w:val="21"/>
                      <w:szCs w:val="21"/>
                    </w:rPr>
                  </w:pPr>
                  <w:r>
                    <w:rPr>
                      <w:rFonts w:hint="eastAsia" w:ascii="宋体" w:hAnsi="宋体" w:eastAsia="宋体" w:cs="宋体"/>
                      <w:color w:val="auto"/>
                      <w:kern w:val="2"/>
                      <w:sz w:val="21"/>
                      <w:szCs w:val="21"/>
                      <w:lang w:val="en-US" w:eastAsia="zh-CN" w:bidi="ar"/>
                    </w:rPr>
                    <w:t>南侧</w:t>
                  </w:r>
                </w:p>
              </w:tc>
              <w:tc>
                <w:tcPr>
                  <w:tcW w:w="869"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327</w:t>
                  </w:r>
                </w:p>
              </w:tc>
              <w:tc>
                <w:tcPr>
                  <w:tcW w:w="957"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-92</w:t>
                  </w:r>
                </w:p>
              </w:tc>
              <w:tc>
                <w:tcPr>
                  <w:tcW w:w="901"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1.2</w:t>
                  </w:r>
                </w:p>
              </w:tc>
              <w:tc>
                <w:tcPr>
                  <w:tcW w:w="1017"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c>
                <w:tcPr>
                  <w:tcW w:w="1167"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29.4</w:t>
                  </w:r>
                </w:p>
              </w:tc>
              <w:tc>
                <w:tcPr>
                  <w:tcW w:w="1203"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rPr>
                  </w:pPr>
                  <w:r>
                    <w:rPr>
                      <w:rFonts w:hint="default" w:ascii="Times New Roman" w:hAnsi="Times New Roman" w:eastAsia="宋体" w:cs="Times New Roman"/>
                      <w:color w:val="auto"/>
                      <w:kern w:val="2"/>
                      <w:sz w:val="21"/>
                      <w:szCs w:val="21"/>
                      <w:lang w:val="en-US" w:eastAsia="zh-CN" w:bidi="ar"/>
                    </w:rPr>
                    <w:t>65</w:t>
                  </w:r>
                  <w:r>
                    <w:rPr>
                      <w:rFonts w:hint="eastAsia" w:ascii="Times New Roman" w:hAnsi="Times New Roman" w:eastAsia="宋体" w:cs="Times New Roman"/>
                      <w:color w:val="auto"/>
                      <w:kern w:val="2"/>
                      <w:sz w:val="21"/>
                      <w:szCs w:val="21"/>
                      <w:lang w:val="en-US" w:eastAsia="zh-CN" w:bidi="ar"/>
                    </w:rPr>
                    <w:t>/55</w:t>
                  </w:r>
                </w:p>
              </w:tc>
              <w:tc>
                <w:tcPr>
                  <w:tcW w:w="1164" w:type="dxa"/>
                  <w:tcBorders>
                    <w:top w:val="single" w:color="auto" w:sz="4" w:space="0"/>
                    <w:left w:val="nil"/>
                    <w:bottom w:val="single" w:color="auto" w:sz="4" w:space="0"/>
                    <w:right w:val="nil"/>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Arial" w:hAnsi="Arial" w:eastAsia="宋体" w:cs="Arial"/>
                      <w:color w:val="auto"/>
                      <w:kern w:val="2"/>
                      <w:sz w:val="21"/>
                      <w:szCs w:val="21"/>
                      <w:lang w:val="en-US" w:eastAsia="zh-CN" w:bidi="ar"/>
                    </w:rPr>
                    <w:t>达标</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1075"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autoSpaceDE w:val="0"/>
                    <w:autoSpaceDN/>
                    <w:spacing w:before="0" w:beforeAutospacing="0" w:after="0" w:afterAutospacing="0" w:line="360" w:lineRule="exact"/>
                    <w:ind w:left="0" w:right="0"/>
                    <w:jc w:val="center"/>
                    <w:rPr>
                      <w:rFonts w:hint="default" w:ascii="Times New Roman" w:hAnsi="Times New Roman" w:eastAsia="宋体" w:cs="Times New Roman"/>
                      <w:color w:val="auto"/>
                      <w:kern w:val="2"/>
                      <w:sz w:val="21"/>
                      <w:szCs w:val="21"/>
                    </w:rPr>
                  </w:pPr>
                  <w:r>
                    <w:rPr>
                      <w:rFonts w:hint="eastAsia" w:ascii="宋体" w:hAnsi="宋体" w:eastAsia="宋体" w:cs="宋体"/>
                      <w:color w:val="auto"/>
                      <w:kern w:val="2"/>
                      <w:sz w:val="21"/>
                      <w:szCs w:val="21"/>
                      <w:lang w:val="en-US" w:eastAsia="zh-CN" w:bidi="ar"/>
                    </w:rPr>
                    <w:t>北侧</w:t>
                  </w:r>
                </w:p>
              </w:tc>
              <w:tc>
                <w:tcPr>
                  <w:tcW w:w="869"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587</w:t>
                  </w:r>
                </w:p>
              </w:tc>
              <w:tc>
                <w:tcPr>
                  <w:tcW w:w="957"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550</w:t>
                  </w:r>
                </w:p>
              </w:tc>
              <w:tc>
                <w:tcPr>
                  <w:tcW w:w="901"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1.2</w:t>
                  </w:r>
                </w:p>
              </w:tc>
              <w:tc>
                <w:tcPr>
                  <w:tcW w:w="1017"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eastAsia="宋体" w:cs="Times New Roman"/>
                      <w:color w:val="auto"/>
                      <w:kern w:val="2"/>
                      <w:sz w:val="21"/>
                      <w:szCs w:val="21"/>
                    </w:rPr>
                  </w:pPr>
                </w:p>
              </w:tc>
              <w:tc>
                <w:tcPr>
                  <w:tcW w:w="1167"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38.5</w:t>
                  </w:r>
                </w:p>
              </w:tc>
              <w:tc>
                <w:tcPr>
                  <w:tcW w:w="1203"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rPr>
                  </w:pPr>
                  <w:r>
                    <w:rPr>
                      <w:rFonts w:hint="default" w:ascii="Times New Roman" w:hAnsi="Times New Roman" w:eastAsia="宋体" w:cs="Times New Roman"/>
                      <w:color w:val="auto"/>
                      <w:kern w:val="2"/>
                      <w:sz w:val="21"/>
                      <w:szCs w:val="21"/>
                      <w:lang w:val="en-US" w:eastAsia="zh-CN" w:bidi="ar"/>
                    </w:rPr>
                    <w:t>65</w:t>
                  </w:r>
                  <w:r>
                    <w:rPr>
                      <w:rFonts w:hint="eastAsia" w:ascii="Times New Roman" w:hAnsi="Times New Roman" w:eastAsia="宋体" w:cs="Times New Roman"/>
                      <w:color w:val="auto"/>
                      <w:kern w:val="2"/>
                      <w:sz w:val="21"/>
                      <w:szCs w:val="21"/>
                      <w:lang w:val="en-US" w:eastAsia="zh-CN" w:bidi="ar"/>
                    </w:rPr>
                    <w:t>/55</w:t>
                  </w:r>
                </w:p>
              </w:tc>
              <w:tc>
                <w:tcPr>
                  <w:tcW w:w="1164" w:type="dxa"/>
                  <w:tcBorders>
                    <w:top w:val="single" w:color="auto" w:sz="4" w:space="0"/>
                    <w:left w:val="nil"/>
                    <w:bottom w:val="single" w:color="auto" w:sz="4" w:space="0"/>
                    <w:right w:val="nil"/>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Arial" w:hAnsi="Arial" w:eastAsia="宋体" w:cs="Arial"/>
                      <w:color w:val="auto"/>
                      <w:kern w:val="2"/>
                      <w:sz w:val="21"/>
                      <w:szCs w:val="21"/>
                      <w:lang w:val="en-US" w:eastAsia="zh-CN" w:bidi="ar"/>
                    </w:rPr>
                    <w:t>达标</w:t>
                  </w:r>
                </w:p>
              </w:tc>
            </w:tr>
          </w:tbl>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bCs/>
                <w:color w:val="auto"/>
                <w:kern w:val="2"/>
                <w:sz w:val="24"/>
                <w:szCs w:val="24"/>
                <w:lang w:val="en-US" w:eastAsia="zh-CN" w:bidi="ar"/>
              </w:rPr>
            </w:pPr>
            <w:r>
              <w:rPr>
                <w:rFonts w:hint="eastAsia" w:ascii="宋体" w:hAnsi="宋体" w:eastAsia="宋体" w:cs="宋体"/>
                <w:bCs/>
                <w:color w:val="auto"/>
                <w:kern w:val="2"/>
                <w:sz w:val="24"/>
                <w:szCs w:val="24"/>
                <w:lang w:val="en-US" w:eastAsia="zh-CN" w:bidi="ar"/>
              </w:rPr>
              <w:t>原</w:t>
            </w:r>
            <w:r>
              <w:rPr>
                <w:rFonts w:hint="default" w:ascii="Times New Roman" w:hAnsi="Times New Roman" w:eastAsia="宋体" w:cs="Times New Roman"/>
                <w:bCs/>
                <w:color w:val="auto"/>
                <w:kern w:val="2"/>
                <w:sz w:val="24"/>
                <w:szCs w:val="24"/>
                <w:lang w:val="en-US" w:eastAsia="zh-CN" w:bidi="ar"/>
              </w:rPr>
              <w:t>点：（114°20′6.783″E，35°50′49.760″N）</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cs="Times New Roman"/>
                <w:color w:val="auto"/>
              </w:rPr>
            </w:pPr>
            <w:r>
              <w:rPr>
                <w:rFonts w:hint="eastAsia" w:ascii="宋体" w:hAnsi="宋体" w:eastAsia="宋体" w:cs="宋体"/>
                <w:bCs/>
                <w:color w:val="auto"/>
                <w:kern w:val="2"/>
                <w:sz w:val="24"/>
                <w:szCs w:val="24"/>
                <w:lang w:val="en-US" w:eastAsia="zh-CN" w:bidi="ar"/>
              </w:rPr>
              <w:t>由上表可知，项目运营期噪声源采取隔声、减振措施后，厂界噪声值可满足《工业企业厂界环境噪声排放标准》（</w:t>
            </w:r>
            <w:r>
              <w:rPr>
                <w:rFonts w:hint="default" w:ascii="Times New Roman" w:hAnsi="Times New Roman" w:eastAsia="宋体" w:cs="Times New Roman"/>
                <w:bCs/>
                <w:color w:val="auto"/>
                <w:kern w:val="2"/>
                <w:sz w:val="24"/>
                <w:szCs w:val="24"/>
                <w:lang w:val="en-US" w:eastAsia="zh-CN" w:bidi="ar"/>
              </w:rPr>
              <w:t>GB12348-2008</w:t>
            </w:r>
            <w:r>
              <w:rPr>
                <w:rFonts w:hint="eastAsia" w:ascii="宋体" w:hAnsi="宋体" w:eastAsia="宋体" w:cs="宋体"/>
                <w:bCs/>
                <w:color w:val="auto"/>
                <w:kern w:val="2"/>
                <w:sz w:val="24"/>
                <w:szCs w:val="24"/>
                <w:lang w:val="en-US" w:eastAsia="zh-CN" w:bidi="ar"/>
              </w:rPr>
              <w:t>）</w:t>
            </w:r>
            <w:r>
              <w:rPr>
                <w:rFonts w:hint="default" w:ascii="Times New Roman" w:hAnsi="Times New Roman" w:eastAsia="宋体" w:cs="Times New Roman"/>
                <w:bCs/>
                <w:color w:val="auto"/>
                <w:kern w:val="2"/>
                <w:sz w:val="24"/>
                <w:szCs w:val="24"/>
                <w:lang w:val="en-US" w:eastAsia="zh-CN" w:bidi="ar"/>
              </w:rPr>
              <w:t>3</w:t>
            </w:r>
            <w:r>
              <w:rPr>
                <w:rFonts w:hint="eastAsia" w:ascii="宋体" w:hAnsi="宋体" w:eastAsia="宋体" w:cs="宋体"/>
                <w:bCs/>
                <w:color w:val="auto"/>
                <w:kern w:val="2"/>
                <w:sz w:val="24"/>
                <w:szCs w:val="24"/>
                <w:lang w:val="en-US" w:eastAsia="zh-CN" w:bidi="ar"/>
              </w:rPr>
              <w:t>类的标准要求（</w:t>
            </w:r>
            <w:r>
              <w:rPr>
                <w:rFonts w:hint="default" w:ascii="Times New Roman" w:hAnsi="Times New Roman" w:eastAsia="宋体" w:cs="Times New Roman"/>
                <w:bCs/>
                <w:color w:val="auto"/>
                <w:kern w:val="2"/>
                <w:sz w:val="24"/>
                <w:szCs w:val="24"/>
                <w:lang w:val="en-US" w:eastAsia="zh-CN" w:bidi="ar"/>
              </w:rPr>
              <w:t>65/55dB(A)</w:t>
            </w:r>
            <w:r>
              <w:rPr>
                <w:rFonts w:hint="eastAsia" w:ascii="宋体" w:hAnsi="宋体" w:eastAsia="宋体" w:cs="宋体"/>
                <w:bCs/>
                <w:color w:val="auto"/>
                <w:kern w:val="2"/>
                <w:sz w:val="24"/>
                <w:szCs w:val="24"/>
                <w:lang w:val="en-US" w:eastAsia="zh-CN" w:bidi="ar"/>
              </w:rPr>
              <w:t>）。</w:t>
            </w:r>
          </w:p>
          <w:p>
            <w:pPr>
              <w:keepNext w:val="0"/>
              <w:keepLines w:val="0"/>
              <w:suppressLineNumbers w:val="0"/>
              <w:autoSpaceDE w:val="0"/>
              <w:autoSpaceDN w:val="0"/>
              <w:adjustRightInd w:val="0"/>
              <w:snapToGrid w:val="0"/>
              <w:spacing w:before="0" w:beforeAutospacing="0" w:after="0" w:afterAutospacing="0" w:line="360" w:lineRule="auto"/>
              <w:ind w:left="0" w:right="0" w:firstLine="241" w:firstLineChars="100"/>
              <w:rPr>
                <w:rFonts w:hint="default" w:ascii="Times New Roman" w:hAnsi="Times New Roman" w:eastAsia="宋体" w:cs="Times New Roman"/>
                <w:color w:val="auto"/>
                <w:sz w:val="24"/>
                <w:szCs w:val="24"/>
                <w:lang w:val="en-US" w:eastAsia="zh-CN"/>
              </w:rPr>
            </w:pPr>
            <w:r>
              <w:rPr>
                <w:rFonts w:hint="eastAsia" w:ascii="Times New Roman" w:hAnsi="Times New Roman" w:cs="Times New Roman"/>
                <w:b/>
                <w:bCs/>
                <w:color w:val="auto"/>
                <w:sz w:val="24"/>
                <w:szCs w:val="24"/>
                <w:lang w:val="en-US" w:eastAsia="zh-CN"/>
              </w:rPr>
              <w:t>3.4监测计划</w:t>
            </w:r>
          </w:p>
          <w:p>
            <w:pPr>
              <w:keepNext w:val="0"/>
              <w:keepLines w:val="0"/>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lang w:eastAsia="zh-CN"/>
              </w:rPr>
              <w:t>根据《排污许可证申请与核发技术规范 工业噪声》（HJ 1301-2023）、《排污单位自行监测技术指南 总则》（HJ819-2017）中的相关规定，并结合企业的实际情况，本次评价提出如下监测计划：</w:t>
            </w:r>
          </w:p>
          <w:p>
            <w:pPr>
              <w:keepNext w:val="0"/>
              <w:keepLines w:val="0"/>
              <w:suppressLineNumbers w:val="0"/>
              <w:adjustRightInd w:val="0"/>
              <w:snapToGrid w:val="0"/>
              <w:spacing w:before="0" w:beforeAutospacing="0" w:after="0" w:afterAutospacing="0" w:line="240" w:lineRule="auto"/>
              <w:ind w:left="0" w:right="0" w:firstLine="482" w:firstLineChars="200"/>
              <w:jc w:val="center"/>
              <w:rPr>
                <w:rFonts w:hint="default" w:ascii="Times New Roman" w:hAnsi="Times New Roman" w:cs="Times New Roman"/>
                <w:color w:val="auto"/>
                <w:sz w:val="24"/>
                <w:szCs w:val="24"/>
              </w:rPr>
            </w:pPr>
            <w:r>
              <w:rPr>
                <w:rFonts w:hint="eastAsia" w:ascii="Times New Roman" w:hAnsi="Times New Roman" w:cs="Times New Roman"/>
                <w:b/>
                <w:bCs/>
                <w:color w:val="auto"/>
                <w:sz w:val="24"/>
                <w:szCs w:val="24"/>
              </w:rPr>
              <w:t>噪声监测计划</w:t>
            </w:r>
          </w:p>
          <w:tbl>
            <w:tblPr>
              <w:tblStyle w:val="27"/>
              <w:tblW w:w="8355" w:type="dxa"/>
              <w:jc w:val="center"/>
              <w:tblInd w:w="0" w:type="dxa"/>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1736"/>
              <w:gridCol w:w="1171"/>
              <w:gridCol w:w="2200"/>
              <w:gridCol w:w="3248"/>
            </w:tblGrid>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jc w:val="center"/>
              </w:trPr>
              <w:tc>
                <w:tcPr>
                  <w:tcW w:w="1736"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监测点位</w:t>
                  </w:r>
                </w:p>
              </w:tc>
              <w:tc>
                <w:tcPr>
                  <w:tcW w:w="1171"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监测指标</w:t>
                  </w:r>
                </w:p>
              </w:tc>
              <w:tc>
                <w:tcPr>
                  <w:tcW w:w="2200"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监测频次</w:t>
                  </w:r>
                </w:p>
              </w:tc>
              <w:tc>
                <w:tcPr>
                  <w:tcW w:w="3248" w:type="dxa"/>
                  <w:tcBorders>
                    <w:top w:val="single" w:color="auto" w:sz="4" w:space="0"/>
                    <w:left w:val="nil"/>
                    <w:bottom w:val="single" w:color="auto" w:sz="4" w:space="0"/>
                    <w:right w:val="nil"/>
                  </w:tcBorders>
                  <w:vAlign w:val="center"/>
                </w:tcPr>
                <w:p>
                  <w:pPr>
                    <w:pStyle w:val="23"/>
                    <w:keepNext w:val="0"/>
                    <w:keepLines w:val="0"/>
                    <w:widowControl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b/>
                      <w:bCs/>
                      <w:color w:val="auto"/>
                      <w:kern w:val="0"/>
                      <w:sz w:val="21"/>
                      <w:szCs w:val="21"/>
                    </w:rPr>
                  </w:pPr>
                  <w:r>
                    <w:rPr>
                      <w:rFonts w:hint="eastAsia" w:ascii="宋体" w:hAnsi="宋体" w:eastAsia="宋体" w:cs="宋体"/>
                      <w:b/>
                      <w:bCs/>
                      <w:color w:val="auto"/>
                      <w:kern w:val="0"/>
                      <w:sz w:val="21"/>
                      <w:szCs w:val="21"/>
                      <w:lang w:val="en-US" w:eastAsia="zh-CN" w:bidi="ar"/>
                    </w:rPr>
                    <w:t>执行排放标准</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Ex>
              <w:trPr>
                <w:trHeight w:val="376" w:hRule="atLeast"/>
                <w:jc w:val="center"/>
              </w:trPr>
              <w:tc>
                <w:tcPr>
                  <w:tcW w:w="1736"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rPr>
                  </w:pPr>
                  <w:r>
                    <w:rPr>
                      <w:rFonts w:hint="eastAsia" w:ascii="宋体" w:hAnsi="宋体" w:eastAsia="宋体" w:cs="宋体"/>
                      <w:color w:val="auto"/>
                      <w:kern w:val="0"/>
                      <w:sz w:val="21"/>
                      <w:szCs w:val="21"/>
                      <w:lang w:val="en-US" w:eastAsia="zh-CN" w:bidi="ar"/>
                    </w:rPr>
                    <w:t>东、南、西、北厂界</w:t>
                  </w:r>
                </w:p>
              </w:tc>
              <w:tc>
                <w:tcPr>
                  <w:tcW w:w="1171"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rPr>
                  </w:pPr>
                  <w:r>
                    <w:rPr>
                      <w:rFonts w:hint="eastAsia" w:ascii="Times New Roman" w:hAnsi="Times New Roman" w:eastAsia="宋体" w:cs="Times New Roman"/>
                      <w:color w:val="auto"/>
                      <w:kern w:val="2"/>
                      <w:sz w:val="21"/>
                      <w:szCs w:val="21"/>
                      <w:lang w:val="en-US" w:eastAsia="zh-CN" w:bidi="ar"/>
                    </w:rPr>
                    <w:t>厂界噪声</w:t>
                  </w:r>
                  <w:r>
                    <w:rPr>
                      <w:rFonts w:hint="default" w:ascii="Times New Roman" w:hAnsi="Times New Roman" w:eastAsia="宋体" w:cs="Times New Roman"/>
                      <w:color w:val="auto"/>
                      <w:kern w:val="2"/>
                      <w:sz w:val="21"/>
                      <w:szCs w:val="21"/>
                      <w:lang w:val="en-US" w:eastAsia="zh-CN" w:bidi="ar"/>
                    </w:rPr>
                    <w:t>Leq</w:t>
                  </w:r>
                  <w:r>
                    <w:rPr>
                      <w:rFonts w:hint="eastAsia" w:ascii="Times New Roman" w:hAnsi="Times New Roman" w:eastAsia="宋体" w:cs="Times New Roman"/>
                      <w:color w:val="auto"/>
                      <w:kern w:val="2"/>
                      <w:sz w:val="21"/>
                      <w:szCs w:val="21"/>
                      <w:lang w:val="en-US" w:eastAsia="zh-CN" w:bidi="ar"/>
                    </w:rPr>
                    <w:t>、Lmax</w:t>
                  </w:r>
                </w:p>
              </w:tc>
              <w:tc>
                <w:tcPr>
                  <w:tcW w:w="2200" w:type="dxa"/>
                  <w:tcBorders>
                    <w:top w:val="single" w:color="auto" w:sz="4" w:space="0"/>
                    <w:left w:val="nil"/>
                    <w:bottom w:val="single" w:color="auto" w:sz="4" w:space="0"/>
                    <w:right w:val="single" w:color="auto" w:sz="4" w:space="0"/>
                  </w:tcBorders>
                  <w:vAlign w:val="center"/>
                </w:tcPr>
                <w:p>
                  <w:pPr>
                    <w:pStyle w:val="23"/>
                    <w:keepNext w:val="0"/>
                    <w:keepLines w:val="0"/>
                    <w:widowControl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rPr>
                  </w:pPr>
                  <w:r>
                    <w:rPr>
                      <w:rFonts w:hint="eastAsia" w:ascii="宋体" w:hAnsi="宋体" w:eastAsia="宋体" w:cs="宋体"/>
                      <w:color w:val="auto"/>
                      <w:kern w:val="0"/>
                      <w:sz w:val="21"/>
                      <w:szCs w:val="21"/>
                      <w:lang w:val="en-US" w:eastAsia="zh-CN" w:bidi="ar"/>
                    </w:rPr>
                    <w:t>每季度至少开展一次监测</w:t>
                  </w:r>
                </w:p>
              </w:tc>
              <w:tc>
                <w:tcPr>
                  <w:tcW w:w="3248" w:type="dxa"/>
                  <w:tcBorders>
                    <w:top w:val="single" w:color="auto" w:sz="4" w:space="0"/>
                    <w:left w:val="nil"/>
                    <w:bottom w:val="single" w:color="auto" w:sz="4" w:space="0"/>
                    <w:right w:val="nil"/>
                  </w:tcBorders>
                  <w:vAlign w:val="center"/>
                </w:tcPr>
                <w:p>
                  <w:pPr>
                    <w:pStyle w:val="23"/>
                    <w:keepNext w:val="0"/>
                    <w:keepLines w:val="0"/>
                    <w:widowControl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rPr>
                  </w:pPr>
                  <w:r>
                    <w:rPr>
                      <w:rFonts w:hint="eastAsia" w:ascii="宋体" w:hAnsi="宋体" w:eastAsia="宋体" w:cs="宋体"/>
                      <w:color w:val="auto"/>
                      <w:kern w:val="0"/>
                      <w:sz w:val="21"/>
                      <w:szCs w:val="21"/>
                      <w:lang w:val="en-US" w:eastAsia="zh-CN" w:bidi="ar"/>
                    </w:rPr>
                    <w:t>《工业企业厂界环境噪声排放标准》（</w:t>
                  </w:r>
                  <w:r>
                    <w:rPr>
                      <w:rFonts w:hint="default" w:ascii="Times New Roman" w:hAnsi="Times New Roman" w:eastAsia="宋体" w:cs="Times New Roman"/>
                      <w:color w:val="auto"/>
                      <w:kern w:val="0"/>
                      <w:sz w:val="21"/>
                      <w:szCs w:val="21"/>
                      <w:lang w:val="en-US" w:eastAsia="zh-CN" w:bidi="ar"/>
                    </w:rPr>
                    <w:t>GB12348-2008</w:t>
                  </w:r>
                  <w:r>
                    <w:rPr>
                      <w:rFonts w:hint="eastAsia" w:ascii="宋体" w:hAnsi="宋体" w:eastAsia="宋体" w:cs="宋体"/>
                      <w:color w:val="auto"/>
                      <w:kern w:val="0"/>
                      <w:sz w:val="21"/>
                      <w:szCs w:val="21"/>
                      <w:lang w:val="en-US" w:eastAsia="zh-CN" w:bidi="ar"/>
                    </w:rPr>
                    <w:t>）</w:t>
                  </w:r>
                  <w:r>
                    <w:rPr>
                      <w:rFonts w:hint="default" w:ascii="Times New Roman" w:hAnsi="Times New Roman" w:eastAsia="宋体" w:cs="Times New Roman"/>
                      <w:color w:val="auto"/>
                      <w:kern w:val="0"/>
                      <w:sz w:val="21"/>
                      <w:szCs w:val="21"/>
                      <w:lang w:val="en-US" w:eastAsia="zh-CN" w:bidi="ar"/>
                    </w:rPr>
                    <w:t>3</w:t>
                  </w:r>
                  <w:r>
                    <w:rPr>
                      <w:rFonts w:hint="eastAsia" w:ascii="宋体" w:hAnsi="宋体" w:eastAsia="宋体" w:cs="宋体"/>
                      <w:color w:val="auto"/>
                      <w:kern w:val="0"/>
                      <w:sz w:val="21"/>
                      <w:szCs w:val="21"/>
                      <w:lang w:val="en-US" w:eastAsia="zh-CN" w:bidi="ar"/>
                    </w:rPr>
                    <w:t>类标准</w:t>
                  </w:r>
                </w:p>
              </w:tc>
            </w:tr>
          </w:tbl>
          <w:p>
            <w:pPr>
              <w:keepNext w:val="0"/>
              <w:keepLines w:val="0"/>
              <w:widowControl w:val="0"/>
              <w:suppressLineNumbers w:val="0"/>
              <w:autoSpaceDE w:val="0"/>
              <w:autoSpaceDN/>
              <w:adjustRightInd w:val="0"/>
              <w:snapToGrid w:val="0"/>
              <w:spacing w:before="0" w:beforeAutospacing="0" w:after="0" w:afterAutospacing="0" w:line="360" w:lineRule="auto"/>
              <w:ind w:left="0" w:right="0" w:firstLine="241" w:firstLineChars="100"/>
              <w:jc w:val="left"/>
              <w:outlineLvl w:val="3"/>
              <w:rPr>
                <w:rFonts w:hint="default" w:ascii="Times New Roman" w:hAnsi="Times New Roman" w:eastAsia="宋体" w:cs="Times New Roman"/>
                <w:b/>
                <w:bCs w:val="0"/>
                <w:color w:val="auto"/>
                <w:spacing w:val="0"/>
                <w:kern w:val="2"/>
                <w:sz w:val="24"/>
                <w:szCs w:val="24"/>
                <w:lang w:val="en-US" w:eastAsia="zh-CN" w:bidi="ar"/>
              </w:rPr>
            </w:pPr>
            <w:r>
              <w:rPr>
                <w:rFonts w:hint="default" w:ascii="Times New Roman" w:hAnsi="Times New Roman" w:eastAsia="宋体" w:cs="Times New Roman"/>
                <w:b/>
                <w:bCs w:val="0"/>
                <w:color w:val="auto"/>
                <w:spacing w:val="0"/>
                <w:kern w:val="2"/>
                <w:sz w:val="24"/>
                <w:szCs w:val="24"/>
                <w:lang w:val="en-US" w:eastAsia="zh-CN" w:bidi="ar"/>
              </w:rPr>
              <w:t>3.5</w:t>
            </w:r>
            <w:r>
              <w:rPr>
                <w:rFonts w:hint="eastAsia" w:ascii="宋体" w:hAnsi="宋体" w:eastAsia="宋体" w:cs="宋体"/>
                <w:b/>
                <w:bCs w:val="0"/>
                <w:color w:val="auto"/>
                <w:spacing w:val="0"/>
                <w:kern w:val="2"/>
                <w:sz w:val="24"/>
                <w:szCs w:val="24"/>
                <w:lang w:val="en-US" w:eastAsia="zh-CN" w:bidi="ar"/>
              </w:rPr>
              <w:t>噪声污染防治措施</w:t>
            </w:r>
          </w:p>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spacing w:val="0"/>
                <w:kern w:val="2"/>
                <w:sz w:val="24"/>
                <w:szCs w:val="24"/>
              </w:rPr>
            </w:pPr>
            <w:r>
              <w:rPr>
                <w:rFonts w:hint="eastAsia" w:ascii="宋体" w:hAnsi="宋体" w:eastAsia="宋体" w:cs="宋体"/>
                <w:color w:val="auto"/>
                <w:spacing w:val="0"/>
                <w:kern w:val="2"/>
                <w:sz w:val="24"/>
                <w:szCs w:val="24"/>
                <w:lang w:val="en-US" w:eastAsia="zh-CN" w:bidi="ar"/>
              </w:rPr>
              <w:t>本项目拟通过生产车间厂房的优化设计，有效降低生产噪声影响，使生产噪声达标排放。为了有效降低生产车间的噪声影响，建议采取减振、隔声、吸声、消声等综合治理措施：</w:t>
            </w:r>
          </w:p>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spacing w:val="0"/>
                <w:kern w:val="2"/>
                <w:sz w:val="24"/>
                <w:szCs w:val="24"/>
              </w:rPr>
            </w:pPr>
            <w:r>
              <w:rPr>
                <w:rFonts w:hint="eastAsia" w:ascii="宋体" w:hAnsi="宋体" w:eastAsia="宋体" w:cs="宋体"/>
                <w:color w:val="auto"/>
                <w:spacing w:val="0"/>
                <w:kern w:val="2"/>
                <w:sz w:val="24"/>
                <w:szCs w:val="24"/>
                <w:lang w:val="en-US" w:eastAsia="zh-CN" w:bidi="ar"/>
              </w:rPr>
              <w:t>（</w:t>
            </w:r>
            <w:r>
              <w:rPr>
                <w:rFonts w:hint="default" w:ascii="Times New Roman" w:hAnsi="Times New Roman" w:eastAsia="宋体" w:cs="Times New Roman"/>
                <w:color w:val="auto"/>
                <w:spacing w:val="0"/>
                <w:kern w:val="2"/>
                <w:sz w:val="24"/>
                <w:szCs w:val="24"/>
                <w:lang w:val="en-US" w:eastAsia="zh-CN" w:bidi="ar"/>
              </w:rPr>
              <w:t>1</w:t>
            </w:r>
            <w:r>
              <w:rPr>
                <w:rFonts w:hint="eastAsia" w:ascii="宋体" w:hAnsi="宋体" w:eastAsia="宋体" w:cs="宋体"/>
                <w:color w:val="auto"/>
                <w:spacing w:val="0"/>
                <w:kern w:val="2"/>
                <w:sz w:val="24"/>
                <w:szCs w:val="24"/>
                <w:lang w:val="en-US" w:eastAsia="zh-CN" w:bidi="ar"/>
              </w:rPr>
              <w:t>）尽可能选用环保低噪型设备，车间内各设备合理的布置，拟将高噪声设备远离环境敏感点，且作基础减振等防治措施；</w:t>
            </w:r>
          </w:p>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spacing w:val="0"/>
                <w:kern w:val="2"/>
                <w:sz w:val="24"/>
                <w:szCs w:val="24"/>
              </w:rPr>
            </w:pPr>
            <w:r>
              <w:rPr>
                <w:rFonts w:hint="eastAsia" w:ascii="宋体" w:hAnsi="宋体" w:eastAsia="宋体" w:cs="宋体"/>
                <w:color w:val="auto"/>
                <w:spacing w:val="0"/>
                <w:kern w:val="2"/>
                <w:sz w:val="24"/>
                <w:szCs w:val="24"/>
                <w:lang w:val="en-US" w:eastAsia="zh-CN" w:bidi="ar"/>
              </w:rPr>
              <w:t>（</w:t>
            </w:r>
            <w:r>
              <w:rPr>
                <w:rFonts w:hint="default" w:ascii="Times New Roman" w:hAnsi="Times New Roman" w:eastAsia="宋体" w:cs="Times New Roman"/>
                <w:color w:val="auto"/>
                <w:spacing w:val="0"/>
                <w:kern w:val="2"/>
                <w:sz w:val="24"/>
                <w:szCs w:val="24"/>
                <w:lang w:val="en-US" w:eastAsia="zh-CN" w:bidi="ar"/>
              </w:rPr>
              <w:t>2</w:t>
            </w:r>
            <w:r>
              <w:rPr>
                <w:rFonts w:hint="eastAsia" w:ascii="宋体" w:hAnsi="宋体" w:eastAsia="宋体" w:cs="宋体"/>
                <w:color w:val="auto"/>
                <w:spacing w:val="0"/>
                <w:kern w:val="2"/>
                <w:sz w:val="24"/>
                <w:szCs w:val="24"/>
                <w:lang w:val="en-US" w:eastAsia="zh-CN" w:bidi="ar"/>
              </w:rPr>
              <w:t>）设备安装时，根据设备的自重及振动特性采用合适的钢筋混凝土台座或隔震垫、减振器等；</w:t>
            </w:r>
          </w:p>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spacing w:val="0"/>
                <w:kern w:val="2"/>
                <w:sz w:val="24"/>
                <w:szCs w:val="24"/>
              </w:rPr>
            </w:pPr>
            <w:r>
              <w:rPr>
                <w:rFonts w:hint="default" w:ascii="Times New Roman" w:hAnsi="Times New Roman" w:eastAsia="宋体" w:cs="Times New Roman"/>
                <w:color w:val="auto"/>
                <w:spacing w:val="0"/>
                <w:kern w:val="2"/>
                <w:sz w:val="24"/>
                <w:szCs w:val="24"/>
                <w:lang w:val="en-US" w:eastAsia="zh-CN" w:bidi="ar"/>
              </w:rPr>
              <w:t>（3）厂房安装隔声门窗；厂房内设备噪声经墙体进行隔声处理；</w:t>
            </w:r>
          </w:p>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spacing w:val="0"/>
                <w:kern w:val="2"/>
                <w:sz w:val="24"/>
                <w:szCs w:val="24"/>
              </w:rPr>
            </w:pPr>
            <w:r>
              <w:rPr>
                <w:rFonts w:hint="default" w:ascii="Times New Roman" w:hAnsi="Times New Roman" w:eastAsia="宋体" w:cs="Times New Roman"/>
                <w:color w:val="auto"/>
                <w:spacing w:val="0"/>
                <w:kern w:val="2"/>
                <w:sz w:val="24"/>
                <w:szCs w:val="24"/>
                <w:lang w:val="en-US" w:eastAsia="zh-CN" w:bidi="ar"/>
              </w:rPr>
              <w:t>（4</w:t>
            </w:r>
            <w:r>
              <w:rPr>
                <w:rFonts w:hint="eastAsia" w:ascii="宋体" w:hAnsi="宋体" w:eastAsia="宋体" w:cs="宋体"/>
                <w:color w:val="auto"/>
                <w:spacing w:val="0"/>
                <w:kern w:val="2"/>
                <w:sz w:val="24"/>
                <w:szCs w:val="24"/>
                <w:lang w:val="en-US" w:eastAsia="zh-CN" w:bidi="ar"/>
              </w:rPr>
              <w:t>）厂界四周设置绿化隔离带，种植一些可吸声茂密树种，减少噪声污染。</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textAlignment w:val="auto"/>
              <w:rPr>
                <w:rFonts w:hint="eastAsia" w:ascii="Times New Roman" w:hAnsi="Times New Roman" w:eastAsia="宋体" w:cs="Times New Roman"/>
                <w:b/>
                <w:bCs/>
                <w:color w:val="auto"/>
                <w:sz w:val="24"/>
                <w:szCs w:val="24"/>
                <w:highlight w:val="none"/>
                <w:u w:val="none" w:color="auto"/>
                <w:lang w:val="en-US" w:eastAsia="zh-CN"/>
              </w:rPr>
            </w:pPr>
            <w:r>
              <w:rPr>
                <w:rFonts w:hint="eastAsia" w:ascii="宋体" w:hAnsi="宋体" w:eastAsia="宋体" w:cs="宋体"/>
                <w:color w:val="auto"/>
                <w:spacing w:val="0"/>
                <w:kern w:val="2"/>
                <w:sz w:val="24"/>
                <w:szCs w:val="24"/>
                <w:lang w:val="en-US" w:eastAsia="zh-CN" w:bidi="ar"/>
              </w:rPr>
              <w:t>经优化设计、隔声降噪处理，厂房墙体屏障、绿化树木吸收屏障、空气吸收、距离衰减后项目噪声对厂界贡献值较小，可确保厂界噪声贡献值满足《工业企业厂界环境噪声排放标准》（</w:t>
            </w:r>
            <w:r>
              <w:rPr>
                <w:rFonts w:hint="default" w:ascii="Times New Roman" w:hAnsi="Times New Roman" w:eastAsia="宋体" w:cs="Times New Roman"/>
                <w:color w:val="auto"/>
                <w:spacing w:val="0"/>
                <w:kern w:val="2"/>
                <w:sz w:val="24"/>
                <w:szCs w:val="24"/>
                <w:lang w:val="en-US" w:eastAsia="zh-CN" w:bidi="ar"/>
              </w:rPr>
              <w:t>GB12348-2008</w:t>
            </w:r>
            <w:r>
              <w:rPr>
                <w:rFonts w:hint="eastAsia" w:ascii="宋体" w:hAnsi="宋体" w:eastAsia="宋体" w:cs="宋体"/>
                <w:color w:val="auto"/>
                <w:spacing w:val="0"/>
                <w:kern w:val="2"/>
                <w:sz w:val="24"/>
                <w:szCs w:val="24"/>
                <w:lang w:val="en-US" w:eastAsia="zh-CN" w:bidi="ar"/>
              </w:rPr>
              <w:t>）中</w:t>
            </w:r>
            <w:r>
              <w:rPr>
                <w:rFonts w:hint="default" w:ascii="Times New Roman" w:hAnsi="Times New Roman" w:eastAsia="宋体" w:cs="Times New Roman"/>
                <w:color w:val="auto"/>
                <w:spacing w:val="0"/>
                <w:kern w:val="2"/>
                <w:sz w:val="24"/>
                <w:szCs w:val="24"/>
                <w:lang w:val="en-US" w:eastAsia="zh-CN" w:bidi="ar"/>
              </w:rPr>
              <w:t>3</w:t>
            </w:r>
            <w:r>
              <w:rPr>
                <w:rFonts w:hint="eastAsia" w:ascii="宋体" w:hAnsi="宋体" w:eastAsia="宋体" w:cs="宋体"/>
                <w:color w:val="auto"/>
                <w:spacing w:val="0"/>
                <w:kern w:val="2"/>
                <w:sz w:val="24"/>
                <w:szCs w:val="24"/>
                <w:lang w:val="en-US" w:eastAsia="zh-CN" w:bidi="ar"/>
              </w:rPr>
              <w:t>类限值要求，措施基本可行。</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4.固体废物</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eastAsia="zh-CN"/>
              </w:rPr>
              <w:t>本项目</w:t>
            </w:r>
            <w:r>
              <w:rPr>
                <w:rFonts w:hint="eastAsia" w:cs="Times New Roman"/>
                <w:color w:val="auto"/>
                <w:sz w:val="24"/>
                <w:szCs w:val="24"/>
                <w:lang w:eastAsia="zh-CN"/>
              </w:rPr>
              <w:t>固体</w:t>
            </w:r>
            <w:r>
              <w:rPr>
                <w:rFonts w:hint="eastAsia" w:ascii="Times New Roman" w:hAnsi="Times New Roman" w:cs="Times New Roman"/>
                <w:color w:val="auto"/>
                <w:sz w:val="24"/>
                <w:szCs w:val="24"/>
                <w:lang w:eastAsia="zh-CN"/>
              </w:rPr>
              <w:t>废物主要为二次熔炼渣、除尘灰、废除尘滤袋</w:t>
            </w:r>
            <w:r>
              <w:rPr>
                <w:rFonts w:hint="eastAsia" w:cs="Times New Roman"/>
                <w:color w:val="auto"/>
                <w:sz w:val="24"/>
                <w:szCs w:val="24"/>
                <w:lang w:eastAsia="zh-CN"/>
              </w:rPr>
              <w:t>等</w:t>
            </w:r>
            <w:r>
              <w:rPr>
                <w:rFonts w:hint="eastAsia" w:ascii="Times New Roman" w:hAnsi="Times New Roman" w:cs="Times New Roman"/>
                <w:color w:val="auto"/>
                <w:sz w:val="24"/>
                <w:szCs w:val="24"/>
                <w:lang w:eastAsia="zh-CN"/>
              </w:rPr>
              <w:t>，二次熔炼渣、除尘灰、废除尘滤袋均为危险废物，主要成分为锌、氮化铝等</w:t>
            </w:r>
            <w:r>
              <w:rPr>
                <w:rFonts w:hint="eastAsia" w:cs="Times New Roman"/>
                <w:color w:val="auto"/>
                <w:sz w:val="24"/>
                <w:szCs w:val="24"/>
                <w:lang w:eastAsia="zh-CN"/>
              </w:rPr>
              <w:t>；无一般固体废物</w:t>
            </w:r>
            <w:r>
              <w:rPr>
                <w:rFonts w:hint="eastAsia" w:ascii="Times New Roman" w:hAnsi="Times New Roman" w:cs="Times New Roman"/>
                <w:color w:val="auto"/>
                <w:sz w:val="24"/>
                <w:szCs w:val="24"/>
                <w:lang w:eastAsia="zh-CN"/>
              </w:rPr>
              <w:t>。</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241" w:firstLineChars="100"/>
              <w:textAlignment w:val="auto"/>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4.1危险废物</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2" w:firstLineChars="200"/>
              <w:textAlignment w:val="auto"/>
              <w:rPr>
                <w:rFonts w:hint="default"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4.</w:t>
            </w:r>
            <w:r>
              <w:rPr>
                <w:rFonts w:hint="eastAsia" w:cs="Times New Roman"/>
                <w:b/>
                <w:bCs/>
                <w:color w:val="auto"/>
                <w:sz w:val="24"/>
                <w:szCs w:val="24"/>
                <w:lang w:val="en-US" w:eastAsia="zh-CN"/>
              </w:rPr>
              <w:t>1</w:t>
            </w:r>
            <w:r>
              <w:rPr>
                <w:rFonts w:hint="eastAsia" w:ascii="Times New Roman" w:hAnsi="Times New Roman" w:cs="Times New Roman"/>
                <w:b/>
                <w:bCs/>
                <w:color w:val="auto"/>
                <w:sz w:val="24"/>
                <w:szCs w:val="24"/>
                <w:lang w:val="en-US" w:eastAsia="zh-CN"/>
              </w:rPr>
              <w:t>.1二次熔炼渣</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color w:val="auto"/>
                <w:sz w:val="24"/>
                <w:szCs w:val="24"/>
                <w:vertAlign w:val="baseline"/>
                <w:lang w:val="en-US" w:eastAsia="zh-CN"/>
              </w:rPr>
            </w:pPr>
            <w:r>
              <w:rPr>
                <w:rFonts w:hint="eastAsia" w:ascii="Times New Roman" w:hAnsi="Times New Roman" w:cs="Times New Roman"/>
                <w:color w:val="auto"/>
                <w:sz w:val="24"/>
                <w:szCs w:val="24"/>
                <w:lang w:eastAsia="zh-CN"/>
              </w:rPr>
              <w:t>根据《国家危险废物名录》（</w:t>
            </w:r>
            <w:r>
              <w:rPr>
                <w:rFonts w:hint="eastAsia" w:ascii="Times New Roman" w:hAnsi="Times New Roman" w:cs="Times New Roman"/>
                <w:color w:val="auto"/>
                <w:sz w:val="24"/>
                <w:szCs w:val="24"/>
                <w:lang w:val="en-US" w:eastAsia="zh-CN"/>
              </w:rPr>
              <w:t>2025年版</w:t>
            </w:r>
            <w:r>
              <w:rPr>
                <w:rFonts w:hint="eastAsia" w:ascii="Times New Roman" w:hAnsi="Times New Roman" w:cs="Times New Roman"/>
                <w:color w:val="auto"/>
                <w:sz w:val="24"/>
                <w:szCs w:val="24"/>
                <w:lang w:eastAsia="zh-CN"/>
              </w:rPr>
              <w:t>），本项目产生的二次熔炼渣属于危险废物，其类别是HW</w:t>
            </w:r>
            <w:r>
              <w:rPr>
                <w:rFonts w:hint="eastAsia" w:ascii="Times New Roman" w:hAnsi="Times New Roman" w:cs="Times New Roman"/>
                <w:color w:val="auto"/>
                <w:sz w:val="24"/>
                <w:szCs w:val="24"/>
                <w:lang w:val="en-US" w:eastAsia="zh-CN"/>
              </w:rPr>
              <w:t>48</w:t>
            </w:r>
            <w:r>
              <w:rPr>
                <w:rFonts w:hint="eastAsia" w:ascii="Times New Roman" w:hAnsi="Times New Roman" w:cs="Times New Roman"/>
                <w:color w:val="auto"/>
                <w:sz w:val="24"/>
                <w:szCs w:val="24"/>
                <w:lang w:eastAsia="zh-CN"/>
              </w:rPr>
              <w:t>，危废代码：321-026-48。本项目熔炼渣共计</w:t>
            </w:r>
            <w:r>
              <w:rPr>
                <w:rFonts w:hint="eastAsia" w:ascii="Times New Roman" w:hAnsi="Times New Roman" w:cs="Times New Roman"/>
                <w:color w:val="auto"/>
                <w:sz w:val="24"/>
                <w:szCs w:val="24"/>
                <w:lang w:val="en-US" w:eastAsia="zh-CN"/>
              </w:rPr>
              <w:t>700t/a，炒灰过程中约有</w:t>
            </w:r>
            <w:r>
              <w:rPr>
                <w:rFonts w:hint="eastAsia" w:cs="Times New Roman"/>
                <w:color w:val="auto"/>
                <w:sz w:val="24"/>
                <w:szCs w:val="24"/>
                <w:lang w:val="en-US" w:eastAsia="zh-CN"/>
              </w:rPr>
              <w:t>30％</w:t>
            </w:r>
            <w:r>
              <w:rPr>
                <w:rFonts w:hint="eastAsia" w:ascii="Times New Roman" w:hAnsi="Times New Roman" w:cs="Times New Roman"/>
                <w:color w:val="auto"/>
                <w:sz w:val="24"/>
                <w:szCs w:val="24"/>
                <w:lang w:val="en-US" w:eastAsia="zh-CN"/>
              </w:rPr>
              <w:t>的合金料（</w:t>
            </w:r>
            <w:r>
              <w:rPr>
                <w:rFonts w:hint="eastAsia" w:cs="Times New Roman"/>
                <w:color w:val="auto"/>
                <w:sz w:val="24"/>
                <w:szCs w:val="24"/>
                <w:lang w:val="en-US" w:eastAsia="zh-CN"/>
              </w:rPr>
              <w:t>210</w:t>
            </w:r>
            <w:r>
              <w:rPr>
                <w:rFonts w:hint="eastAsia" w:ascii="Times New Roman" w:hAnsi="Times New Roman" w:cs="Times New Roman"/>
                <w:color w:val="auto"/>
                <w:sz w:val="24"/>
                <w:szCs w:val="24"/>
                <w:lang w:val="en-US" w:eastAsia="zh-CN"/>
              </w:rPr>
              <w:t>t/a）被回收利用，不能回收的二次熔炼渣暂存于危废间内（70m</w:t>
            </w:r>
            <w:r>
              <w:rPr>
                <w:rFonts w:hint="eastAsia" w:ascii="Times New Roman" w:hAnsi="Times New Roman" w:cs="Times New Roman"/>
                <w:color w:val="auto"/>
                <w:sz w:val="24"/>
                <w:szCs w:val="24"/>
                <w:vertAlign w:val="superscript"/>
                <w:lang w:val="en-US" w:eastAsia="zh-CN"/>
              </w:rPr>
              <w:t>2</w:t>
            </w:r>
            <w:r>
              <w:rPr>
                <w:rFonts w:hint="eastAsia" w:ascii="Times New Roman" w:hAnsi="Times New Roman" w:cs="Times New Roman"/>
                <w:color w:val="auto"/>
                <w:sz w:val="24"/>
                <w:szCs w:val="24"/>
                <w:lang w:val="en-US" w:eastAsia="zh-CN"/>
              </w:rPr>
              <w:t>）</w:t>
            </w:r>
            <w:r>
              <w:rPr>
                <w:rFonts w:hint="eastAsia" w:ascii="Times New Roman" w:hAnsi="Times New Roman" w:cs="Times New Roman"/>
                <w:color w:val="auto"/>
                <w:sz w:val="24"/>
                <w:szCs w:val="24"/>
                <w:vertAlign w:val="baseline"/>
                <w:lang w:val="en-US" w:eastAsia="zh-CN"/>
              </w:rPr>
              <w:t>，二次熔炼渣产生量约为</w:t>
            </w:r>
            <w:r>
              <w:rPr>
                <w:rFonts w:hint="eastAsia" w:cs="Times New Roman"/>
                <w:color w:val="auto"/>
                <w:sz w:val="24"/>
                <w:szCs w:val="24"/>
                <w:vertAlign w:val="baseline"/>
                <w:lang w:val="en-US" w:eastAsia="zh-CN"/>
              </w:rPr>
              <w:t>490.3514</w:t>
            </w:r>
            <w:r>
              <w:rPr>
                <w:rFonts w:hint="eastAsia" w:ascii="Times New Roman" w:hAnsi="Times New Roman" w:cs="Times New Roman"/>
                <w:color w:val="auto"/>
                <w:sz w:val="24"/>
                <w:szCs w:val="24"/>
                <w:vertAlign w:val="baseline"/>
                <w:lang w:val="en-US" w:eastAsia="zh-CN"/>
              </w:rPr>
              <w:t>t/a，定期由有处置资质的单位拉运处理。</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2" w:firstLineChars="200"/>
              <w:textAlignment w:val="auto"/>
              <w:rPr>
                <w:rFonts w:hint="eastAsia" w:ascii="Times New Roman" w:hAnsi="Times New Roman" w:cs="Times New Roman"/>
                <w:b/>
                <w:bCs/>
                <w:color w:val="auto"/>
                <w:sz w:val="24"/>
                <w:szCs w:val="24"/>
                <w:lang w:val="en-US" w:eastAsia="zh-CN"/>
              </w:rPr>
            </w:pP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2" w:firstLineChars="200"/>
              <w:textAlignment w:val="auto"/>
              <w:rPr>
                <w:rFonts w:hint="default" w:ascii="Times New Roman" w:hAnsi="Times New Roman" w:cs="Times New Roman"/>
                <w:color w:val="auto"/>
                <w:sz w:val="24"/>
                <w:szCs w:val="24"/>
                <w:lang w:val="en-US" w:eastAsia="zh-CN"/>
              </w:rPr>
            </w:pPr>
            <w:r>
              <w:rPr>
                <w:rFonts w:hint="eastAsia" w:ascii="Times New Roman" w:hAnsi="Times New Roman" w:cs="Times New Roman"/>
                <w:b/>
                <w:bCs/>
                <w:color w:val="auto"/>
                <w:sz w:val="24"/>
                <w:szCs w:val="24"/>
                <w:lang w:val="en-US" w:eastAsia="zh-CN"/>
              </w:rPr>
              <w:t>4.</w:t>
            </w:r>
            <w:r>
              <w:rPr>
                <w:rFonts w:hint="eastAsia" w:cs="Times New Roman"/>
                <w:b/>
                <w:bCs/>
                <w:color w:val="auto"/>
                <w:sz w:val="24"/>
                <w:szCs w:val="24"/>
                <w:lang w:val="en-US" w:eastAsia="zh-CN"/>
              </w:rPr>
              <w:t>1</w:t>
            </w:r>
            <w:r>
              <w:rPr>
                <w:rFonts w:hint="eastAsia" w:ascii="Times New Roman" w:hAnsi="Times New Roman" w:cs="Times New Roman"/>
                <w:b/>
                <w:bCs/>
                <w:color w:val="auto"/>
                <w:sz w:val="24"/>
                <w:szCs w:val="24"/>
                <w:lang w:val="en-US" w:eastAsia="zh-CN"/>
              </w:rPr>
              <w:t>.2除尘灰</w:t>
            </w:r>
            <w:r>
              <w:rPr>
                <w:rFonts w:hint="eastAsia" w:cs="Times New Roman"/>
                <w:b/>
                <w:bCs/>
                <w:color w:val="auto"/>
                <w:sz w:val="24"/>
                <w:szCs w:val="24"/>
                <w:lang w:val="en-US" w:eastAsia="zh-CN"/>
              </w:rPr>
              <w:t>（含落地灰）</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color w:val="auto"/>
                <w:sz w:val="24"/>
                <w:szCs w:val="24"/>
                <w:vertAlign w:val="baseline"/>
                <w:lang w:val="en-US" w:eastAsia="zh-CN"/>
              </w:rPr>
            </w:pPr>
            <w:r>
              <w:rPr>
                <w:rFonts w:hint="default" w:ascii="Times New Roman" w:hAnsi="Times New Roman" w:cs="Times New Roman"/>
                <w:color w:val="auto"/>
                <w:sz w:val="24"/>
                <w:szCs w:val="24"/>
                <w:vertAlign w:val="baseline"/>
                <w:lang w:val="en-US" w:eastAsia="zh-CN"/>
              </w:rPr>
              <w:t>根据《国家危险废物名录》（2025年版），本项目产生的</w:t>
            </w:r>
            <w:r>
              <w:rPr>
                <w:rFonts w:hint="eastAsia" w:ascii="Times New Roman" w:hAnsi="Times New Roman" w:cs="Times New Roman"/>
                <w:color w:val="auto"/>
                <w:sz w:val="24"/>
                <w:szCs w:val="24"/>
                <w:vertAlign w:val="baseline"/>
                <w:lang w:val="en-US" w:eastAsia="zh-CN"/>
              </w:rPr>
              <w:t>除尘灰</w:t>
            </w:r>
            <w:r>
              <w:rPr>
                <w:rFonts w:hint="default" w:ascii="Times New Roman" w:hAnsi="Times New Roman" w:cs="Times New Roman"/>
                <w:color w:val="auto"/>
                <w:sz w:val="24"/>
                <w:szCs w:val="24"/>
                <w:vertAlign w:val="baseline"/>
                <w:lang w:val="en-US" w:eastAsia="zh-CN"/>
              </w:rPr>
              <w:t>属于危险废物，其类别是HW48，危废代码：321-034-48。本项目</w:t>
            </w:r>
            <w:r>
              <w:rPr>
                <w:rFonts w:hint="eastAsia" w:ascii="Times New Roman" w:hAnsi="Times New Roman" w:cs="Times New Roman"/>
                <w:color w:val="auto"/>
                <w:sz w:val="24"/>
                <w:szCs w:val="24"/>
                <w:vertAlign w:val="baseline"/>
                <w:lang w:val="en-US" w:eastAsia="zh-CN"/>
              </w:rPr>
              <w:t>耐高温高效覆膜袋式除尘器</w:t>
            </w:r>
            <w:r>
              <w:rPr>
                <w:rFonts w:hint="default" w:ascii="Times New Roman" w:hAnsi="Times New Roman" w:cs="Times New Roman"/>
                <w:color w:val="auto"/>
                <w:sz w:val="24"/>
                <w:szCs w:val="24"/>
                <w:vertAlign w:val="baseline"/>
                <w:lang w:val="en-US" w:eastAsia="zh-CN"/>
              </w:rPr>
              <w:t>运行期间会产生除尘灰，本工程除尘灰产生量约为</w:t>
            </w:r>
            <w:r>
              <w:rPr>
                <w:rFonts w:hint="eastAsia" w:cs="Times New Roman"/>
                <w:color w:val="auto"/>
                <w:sz w:val="24"/>
                <w:szCs w:val="24"/>
                <w:vertAlign w:val="baseline"/>
                <w:lang w:val="en-US" w:eastAsia="zh-CN"/>
              </w:rPr>
              <w:t>0.1419</w:t>
            </w:r>
            <w:r>
              <w:rPr>
                <w:rFonts w:hint="default" w:ascii="Times New Roman" w:hAnsi="Times New Roman" w:cs="Times New Roman"/>
                <w:color w:val="auto"/>
                <w:sz w:val="24"/>
                <w:szCs w:val="24"/>
                <w:vertAlign w:val="baseline"/>
                <w:lang w:val="en-US" w:eastAsia="zh-CN"/>
              </w:rPr>
              <w:t>t/a，</w:t>
            </w:r>
            <w:r>
              <w:rPr>
                <w:rFonts w:hint="eastAsia" w:ascii="Times New Roman" w:hAnsi="Times New Roman" w:cs="Times New Roman"/>
                <w:color w:val="auto"/>
                <w:sz w:val="24"/>
                <w:szCs w:val="24"/>
                <w:vertAlign w:val="baseline"/>
                <w:lang w:val="en-US" w:eastAsia="zh-CN"/>
              </w:rPr>
              <w:t>产生后暂存于危废间内（70m</w:t>
            </w:r>
            <w:r>
              <w:rPr>
                <w:rFonts w:hint="eastAsia" w:ascii="Times New Roman" w:hAnsi="Times New Roman" w:cs="Times New Roman"/>
                <w:color w:val="auto"/>
                <w:sz w:val="24"/>
                <w:szCs w:val="24"/>
                <w:vertAlign w:val="superscript"/>
                <w:lang w:val="en-US" w:eastAsia="zh-CN"/>
              </w:rPr>
              <w:t>2</w:t>
            </w:r>
            <w:r>
              <w:rPr>
                <w:rFonts w:hint="eastAsia" w:ascii="Times New Roman" w:hAnsi="Times New Roman" w:cs="Times New Roman"/>
                <w:color w:val="auto"/>
                <w:sz w:val="24"/>
                <w:szCs w:val="24"/>
                <w:vertAlign w:val="baseline"/>
                <w:lang w:val="en-US" w:eastAsia="zh-CN"/>
              </w:rPr>
              <w:t>），定期由有处置资质的单位拉运处理。</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2" w:firstLineChars="200"/>
              <w:textAlignment w:val="auto"/>
              <w:rPr>
                <w:rFonts w:hint="default" w:ascii="Times New Roman" w:hAnsi="Times New Roman" w:cs="Times New Roman"/>
                <w:color w:val="auto"/>
                <w:sz w:val="24"/>
                <w:szCs w:val="24"/>
                <w:vertAlign w:val="baseline"/>
                <w:lang w:val="en-US" w:eastAsia="zh-CN"/>
              </w:rPr>
            </w:pPr>
            <w:r>
              <w:rPr>
                <w:rFonts w:hint="eastAsia" w:ascii="Times New Roman" w:hAnsi="Times New Roman" w:cs="Times New Roman"/>
                <w:b/>
                <w:bCs/>
                <w:color w:val="auto"/>
                <w:sz w:val="24"/>
                <w:szCs w:val="24"/>
                <w:vertAlign w:val="baseline"/>
                <w:lang w:val="en-US" w:eastAsia="zh-CN"/>
              </w:rPr>
              <w:t>4.</w:t>
            </w:r>
            <w:r>
              <w:rPr>
                <w:rFonts w:hint="eastAsia" w:cs="Times New Roman"/>
                <w:b/>
                <w:bCs/>
                <w:color w:val="auto"/>
                <w:sz w:val="24"/>
                <w:szCs w:val="24"/>
                <w:vertAlign w:val="baseline"/>
                <w:lang w:val="en-US" w:eastAsia="zh-CN"/>
              </w:rPr>
              <w:t>1</w:t>
            </w:r>
            <w:r>
              <w:rPr>
                <w:rFonts w:hint="eastAsia" w:ascii="Times New Roman" w:hAnsi="Times New Roman" w:cs="Times New Roman"/>
                <w:b/>
                <w:bCs/>
                <w:color w:val="auto"/>
                <w:sz w:val="24"/>
                <w:szCs w:val="24"/>
                <w:vertAlign w:val="baseline"/>
                <w:lang w:val="en-US" w:eastAsia="zh-CN"/>
              </w:rPr>
              <w:t>.3废除尘滤袋</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bCs/>
                <w:color w:val="auto"/>
                <w:sz w:val="24"/>
                <w:szCs w:val="24"/>
                <w:lang w:val="en-US" w:eastAsia="zh-CN"/>
              </w:rPr>
            </w:pPr>
            <w:r>
              <w:rPr>
                <w:rFonts w:hint="eastAsia" w:ascii="Times New Roman" w:hAnsi="Times New Roman" w:cs="Times New Roman"/>
                <w:bCs/>
                <w:color w:val="auto"/>
                <w:sz w:val="24"/>
                <w:szCs w:val="24"/>
                <w:lang w:eastAsia="zh-CN"/>
              </w:rPr>
              <w:t>根据《国家危险废物名录》（2025年版），本项目依托的耐高温高效覆膜袋式除尘器风机滤袋属于危险废物，其类别是</w:t>
            </w:r>
            <w:r>
              <w:rPr>
                <w:rFonts w:hint="eastAsia" w:ascii="Times New Roman" w:hAnsi="Times New Roman" w:cs="Times New Roman"/>
                <w:bCs/>
                <w:color w:val="auto"/>
                <w:sz w:val="24"/>
                <w:szCs w:val="24"/>
                <w:lang w:val="en-US" w:eastAsia="zh-CN"/>
              </w:rPr>
              <w:t>HW49，危废代码：900-041-49。本项目滤袋</w:t>
            </w:r>
            <w:r>
              <w:rPr>
                <w:rFonts w:hint="eastAsia" w:ascii="Times New Roman" w:hAnsi="Times New Roman" w:cs="Times New Roman"/>
                <w:bCs/>
                <w:color w:val="auto"/>
                <w:sz w:val="24"/>
                <w:szCs w:val="24"/>
                <w:lang w:eastAsia="zh-CN"/>
              </w:rPr>
              <w:t>按一年更换一次，产生的废滤袋约</w:t>
            </w:r>
            <w:r>
              <w:rPr>
                <w:rFonts w:hint="eastAsia" w:ascii="Times New Roman" w:hAnsi="Times New Roman" w:cs="Times New Roman"/>
                <w:bCs/>
                <w:color w:val="auto"/>
                <w:sz w:val="24"/>
                <w:szCs w:val="24"/>
                <w:lang w:val="en-US" w:eastAsia="zh-CN"/>
              </w:rPr>
              <w:t>0.1t/a，产生后暂存于危废间内，定期由有处置资质的单位拉运处理。</w:t>
            </w:r>
          </w:p>
          <w:p>
            <w:pPr>
              <w:keepNext w:val="0"/>
              <w:keepLines w:val="0"/>
              <w:suppressLineNumbers w:val="0"/>
              <w:spacing w:before="0" w:beforeAutospacing="0" w:after="0" w:afterAutospacing="0" w:line="360" w:lineRule="auto"/>
              <w:ind w:left="0" w:right="0" w:firstLine="482" w:firstLineChars="200"/>
              <w:rPr>
                <w:rFonts w:hint="eastAsia" w:cs="Times New Roman"/>
                <w:b/>
                <w:bCs w:val="0"/>
                <w:color w:val="auto"/>
                <w:sz w:val="24"/>
                <w:szCs w:val="24"/>
                <w:lang w:val="en-US" w:eastAsia="zh-CN"/>
              </w:rPr>
            </w:pPr>
            <w:r>
              <w:rPr>
                <w:rFonts w:hint="eastAsia" w:cs="Times New Roman"/>
                <w:b/>
                <w:bCs w:val="0"/>
                <w:color w:val="auto"/>
                <w:sz w:val="24"/>
                <w:szCs w:val="24"/>
                <w:lang w:val="en-US" w:eastAsia="zh-CN"/>
              </w:rPr>
              <w:t>4.1.4废UV灯管</w:t>
            </w:r>
          </w:p>
          <w:p>
            <w:pPr>
              <w:keepNext w:val="0"/>
              <w:keepLines w:val="0"/>
              <w:suppressLineNumbers w:val="0"/>
              <w:spacing w:before="0" w:beforeAutospacing="0" w:after="0" w:afterAutospacing="0" w:line="360" w:lineRule="auto"/>
              <w:ind w:left="0" w:right="0" w:firstLine="480" w:firstLineChars="200"/>
              <w:rPr>
                <w:rFonts w:hint="default" w:cs="Times New Roman"/>
                <w:b/>
                <w:bCs w:val="0"/>
                <w:color w:val="auto"/>
                <w:sz w:val="24"/>
                <w:szCs w:val="24"/>
                <w:lang w:val="en-US" w:eastAsia="zh-CN"/>
              </w:rPr>
            </w:pPr>
            <w:r>
              <w:rPr>
                <w:rFonts w:hint="eastAsia" w:cs="Times New Roman"/>
                <w:b w:val="0"/>
                <w:bCs/>
                <w:color w:val="auto"/>
                <w:sz w:val="24"/>
                <w:szCs w:val="24"/>
                <w:lang w:val="en-US" w:eastAsia="zh-CN"/>
              </w:rPr>
              <w:t>根据《国家危险废物名录》（2025年版），本项目产生的废UV灯管属于危险废物，其类别是HW29，危废代码：900-023-29。UV灯管2-3年更换一次，产生量按2年计，为0.1t/2a。产生后采用塑料袋密封+纸箱包装，暂存于危废暂存间内（70m</w:t>
            </w:r>
            <w:r>
              <w:rPr>
                <w:rFonts w:hint="eastAsia" w:cs="Times New Roman"/>
                <w:b w:val="0"/>
                <w:bCs/>
                <w:color w:val="auto"/>
                <w:sz w:val="24"/>
                <w:szCs w:val="24"/>
                <w:vertAlign w:val="superscript"/>
                <w:lang w:val="en-US" w:eastAsia="zh-CN"/>
              </w:rPr>
              <w:t>2</w:t>
            </w:r>
            <w:r>
              <w:rPr>
                <w:rFonts w:hint="eastAsia" w:cs="Times New Roman"/>
                <w:b w:val="0"/>
                <w:bCs/>
                <w:color w:val="auto"/>
                <w:sz w:val="24"/>
                <w:szCs w:val="24"/>
                <w:lang w:val="en-US" w:eastAsia="zh-CN"/>
              </w:rPr>
              <w:t>），定期由有资质的单位拉运处理。</w:t>
            </w:r>
          </w:p>
          <w:p>
            <w:pPr>
              <w:keepNext w:val="0"/>
              <w:keepLines w:val="0"/>
              <w:suppressLineNumbers w:val="0"/>
              <w:spacing w:before="0" w:beforeAutospacing="0" w:after="0" w:afterAutospacing="0" w:line="360" w:lineRule="auto"/>
              <w:ind w:left="0" w:right="0" w:firstLine="482" w:firstLineChars="200"/>
              <w:rPr>
                <w:rFonts w:hint="default" w:cs="Times New Roman"/>
                <w:bCs/>
                <w:color w:val="auto"/>
                <w:sz w:val="24"/>
                <w:szCs w:val="24"/>
                <w:lang w:val="en-US" w:eastAsia="zh-CN"/>
              </w:rPr>
            </w:pPr>
            <w:r>
              <w:rPr>
                <w:rFonts w:hint="eastAsia" w:cs="Times New Roman"/>
                <w:b/>
                <w:bCs w:val="0"/>
                <w:color w:val="auto"/>
                <w:sz w:val="24"/>
                <w:szCs w:val="24"/>
                <w:lang w:val="en-US" w:eastAsia="zh-CN"/>
              </w:rPr>
              <w:t>4.1.5废活性炭</w:t>
            </w:r>
          </w:p>
          <w:p>
            <w:pPr>
              <w:keepNext w:val="0"/>
              <w:keepLines w:val="0"/>
              <w:suppressLineNumbers w:val="0"/>
              <w:spacing w:before="0" w:beforeAutospacing="0" w:after="0" w:afterAutospacing="0" w:line="360" w:lineRule="auto"/>
              <w:ind w:left="0" w:right="0" w:firstLine="480" w:firstLineChars="200"/>
              <w:rPr>
                <w:rFonts w:hint="default" w:cs="Times New Roman"/>
                <w:b/>
                <w:bCs w:val="0"/>
                <w:color w:val="auto"/>
                <w:sz w:val="24"/>
                <w:szCs w:val="24"/>
                <w:lang w:val="en-US" w:eastAsia="zh-CN"/>
              </w:rPr>
            </w:pPr>
            <w:r>
              <w:rPr>
                <w:rFonts w:hint="eastAsia" w:cs="Times New Roman"/>
                <w:b w:val="0"/>
                <w:bCs/>
                <w:color w:val="auto"/>
                <w:sz w:val="24"/>
                <w:szCs w:val="24"/>
                <w:lang w:val="en-US" w:eastAsia="zh-CN"/>
              </w:rPr>
              <w:t>根据《国家危险废物名录》（2025年版），本项目产生的废活性炭属于危险废物，其类别是HW49，危废代码：900-039-49。本项目满负荷生产状态下氨气收集量为0.0196t/a，有组织排放总量为0.0098t/a，则UV光氧+活性炭吸附一体机分解吸附量为0.0098t/a，活性炭吸附比例按照每吨吸附0.15t计，则活性炭使用量约为0.0653t/a，则需更换的废活性炭量为0.0653t/a。本项目危废间活性炭装填量约为0.5t，本次评价按两年更换一次。废活性炭产生后使用塑料袋密封+纸箱包装，暂存于危废暂存间内（70m</w:t>
            </w:r>
            <w:r>
              <w:rPr>
                <w:rFonts w:hint="eastAsia" w:cs="Times New Roman"/>
                <w:b w:val="0"/>
                <w:bCs/>
                <w:color w:val="auto"/>
                <w:sz w:val="24"/>
                <w:szCs w:val="24"/>
                <w:vertAlign w:val="superscript"/>
                <w:lang w:val="en-US" w:eastAsia="zh-CN"/>
              </w:rPr>
              <w:t>2</w:t>
            </w:r>
            <w:r>
              <w:rPr>
                <w:rFonts w:hint="eastAsia" w:cs="Times New Roman"/>
                <w:b w:val="0"/>
                <w:bCs/>
                <w:color w:val="auto"/>
                <w:sz w:val="24"/>
                <w:szCs w:val="24"/>
                <w:lang w:val="en-US" w:eastAsia="zh-CN"/>
              </w:rPr>
              <w:t>），定期由有资质的单位拉运处理。</w:t>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bCs w:val="0"/>
                <w:color w:val="auto"/>
                <w:sz w:val="24"/>
                <w:szCs w:val="24"/>
                <w:lang w:val="en-US" w:eastAsia="zh-CN"/>
              </w:rPr>
            </w:pPr>
            <w:r>
              <w:rPr>
                <w:rFonts w:hint="eastAsia" w:cs="Times New Roman"/>
                <w:b/>
                <w:bCs w:val="0"/>
                <w:color w:val="auto"/>
                <w:sz w:val="24"/>
                <w:szCs w:val="24"/>
                <w:lang w:val="en-US" w:eastAsia="zh-CN"/>
              </w:rPr>
              <w:t>4.1.6其他</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bCs/>
                <w:color w:val="auto"/>
                <w:sz w:val="24"/>
                <w:szCs w:val="24"/>
                <w:lang w:val="en-US" w:eastAsia="zh-CN"/>
              </w:rPr>
            </w:pPr>
            <w:r>
              <w:rPr>
                <w:rFonts w:hint="eastAsia" w:cs="Times New Roman"/>
                <w:bCs/>
                <w:color w:val="auto"/>
                <w:sz w:val="24"/>
                <w:szCs w:val="24"/>
                <w:lang w:eastAsia="zh-CN"/>
              </w:rPr>
              <w:t>本项目产生的二次熔炼渣、除尘灰在危废间暂存期间会产生微量的氨气，氨气产生后依托危废间现有的UV光氧+活性炭吸附一体机，根据《河南省生态环境厅关于印发河南省低效失效大气污染治理设施排查整治实施方案的通知》（豫环文</w:t>
            </w:r>
            <w:r>
              <w:rPr>
                <w:rFonts w:hint="default" w:ascii="Times New Roman" w:hAnsi="Times New Roman" w:eastAsia="宋体" w:cs="Times New Roman"/>
                <w:bCs/>
                <w:color w:val="auto"/>
                <w:sz w:val="24"/>
                <w:szCs w:val="24"/>
                <w:lang w:eastAsia="zh-CN"/>
              </w:rPr>
              <w:t>〔</w:t>
            </w:r>
            <w:r>
              <w:rPr>
                <w:rFonts w:hint="default" w:ascii="Times New Roman" w:hAnsi="Times New Roman" w:eastAsia="宋体" w:cs="Times New Roman"/>
                <w:bCs/>
                <w:color w:val="auto"/>
                <w:sz w:val="24"/>
                <w:szCs w:val="24"/>
                <w:lang w:val="en-US" w:eastAsia="zh-CN"/>
              </w:rPr>
              <w:t>2024</w:t>
            </w:r>
            <w:r>
              <w:rPr>
                <w:rFonts w:hint="default" w:ascii="Times New Roman" w:hAnsi="Times New Roman" w:eastAsia="宋体" w:cs="Times New Roman"/>
                <w:bCs/>
                <w:color w:val="auto"/>
                <w:sz w:val="24"/>
                <w:szCs w:val="24"/>
                <w:lang w:eastAsia="zh-CN"/>
              </w:rPr>
              <w:t>〕</w:t>
            </w:r>
            <w:r>
              <w:rPr>
                <w:rFonts w:hint="default" w:ascii="Times New Roman" w:hAnsi="Times New Roman" w:eastAsia="宋体" w:cs="Times New Roman"/>
                <w:bCs/>
                <w:color w:val="auto"/>
                <w:sz w:val="24"/>
                <w:szCs w:val="24"/>
                <w:lang w:val="en-US" w:eastAsia="zh-CN"/>
              </w:rPr>
              <w:t>132号</w:t>
            </w:r>
            <w:r>
              <w:rPr>
                <w:rFonts w:hint="eastAsia" w:cs="Times New Roman"/>
                <w:bCs/>
                <w:color w:val="auto"/>
                <w:sz w:val="24"/>
                <w:szCs w:val="24"/>
                <w:lang w:eastAsia="zh-CN"/>
              </w:rPr>
              <w:t>）中“依法依规淘汰不达标设备，推动单一低温等离子、光氧化、光催化、非水溶性VOCs废气采用单一水喷淋吸收及上述技术的组合工艺（除异味治理外）加快淘汰更新”，本项目危废间采用</w:t>
            </w:r>
            <w:r>
              <w:rPr>
                <w:rFonts w:hint="eastAsia" w:cs="Times New Roman"/>
                <w:bCs/>
                <w:color w:val="auto"/>
                <w:sz w:val="24"/>
                <w:szCs w:val="24"/>
                <w:lang w:val="en-US" w:eastAsia="zh-CN"/>
              </w:rPr>
              <w:t>UV光氧+活性炭吸附一体机用于去除恶臭异味气体，不属于淘汰类治理工艺。</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bCs/>
                <w:color w:val="auto"/>
                <w:sz w:val="24"/>
                <w:szCs w:val="24"/>
                <w:lang w:val="en-US" w:eastAsia="zh-CN"/>
              </w:rPr>
            </w:pPr>
            <w:r>
              <w:rPr>
                <w:rFonts w:hint="eastAsia" w:ascii="Times New Roman" w:hAnsi="Times New Roman" w:cs="Times New Roman"/>
                <w:bCs/>
                <w:color w:val="auto"/>
                <w:sz w:val="24"/>
                <w:szCs w:val="24"/>
                <w:lang w:eastAsia="zh-CN"/>
              </w:rPr>
              <w:t>本次不新增职工人数，不新增生活垃圾。</w:t>
            </w:r>
          </w:p>
          <w:p>
            <w:pPr>
              <w:keepNext w:val="0"/>
              <w:keepLines w:val="0"/>
              <w:suppressLineNumbers w:val="0"/>
              <w:spacing w:before="0" w:beforeAutospacing="0" w:after="0" w:afterAutospacing="0"/>
              <w:ind w:left="0" w:right="0"/>
              <w:jc w:val="center"/>
              <w:rPr>
                <w:rFonts w:hint="default" w:ascii="Times New Roman" w:hAnsi="Times New Roman" w:cs="Times New Roman"/>
                <w:b/>
                <w:bCs w:val="0"/>
                <w:color w:val="auto"/>
                <w:sz w:val="24"/>
                <w:szCs w:val="24"/>
                <w:lang w:val="zh-CN"/>
              </w:rPr>
            </w:pPr>
            <w:r>
              <w:rPr>
                <w:rFonts w:hint="default" w:ascii="Times New Roman" w:hAnsi="Times New Roman" w:cs="Times New Roman"/>
                <w:b/>
                <w:bCs w:val="0"/>
                <w:color w:val="auto"/>
                <w:sz w:val="24"/>
                <w:szCs w:val="24"/>
                <w:lang w:val="zh-CN"/>
              </w:rPr>
              <w:t>项目固废处理措施一览表</w:t>
            </w:r>
          </w:p>
          <w:tbl>
            <w:tblPr>
              <w:tblStyle w:val="27"/>
              <w:tblW w:w="8355" w:type="dxa"/>
              <w:jc w:val="center"/>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45"/>
              <w:gridCol w:w="1463"/>
              <w:gridCol w:w="1501"/>
              <w:gridCol w:w="354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jc w:val="center"/>
              </w:trPr>
              <w:tc>
                <w:tcPr>
                  <w:tcW w:w="1845" w:type="dxa"/>
                  <w:tcBorders>
                    <w:tl2br w:val="nil"/>
                    <w:tr2bl w:val="nil"/>
                  </w:tcBorders>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cs="Times New Roman"/>
                      <w:b/>
                      <w:bCs w:val="0"/>
                      <w:color w:val="auto"/>
                      <w:sz w:val="21"/>
                      <w:szCs w:val="21"/>
                    </w:rPr>
                  </w:pPr>
                  <w:r>
                    <w:rPr>
                      <w:rFonts w:hint="eastAsia" w:ascii="Times New Roman" w:hAnsi="Times New Roman" w:cs="Times New Roman"/>
                      <w:b/>
                      <w:bCs w:val="0"/>
                      <w:color w:val="auto"/>
                      <w:sz w:val="21"/>
                      <w:szCs w:val="21"/>
                    </w:rPr>
                    <w:t>类别</w:t>
                  </w:r>
                </w:p>
              </w:tc>
              <w:tc>
                <w:tcPr>
                  <w:tcW w:w="1463" w:type="dxa"/>
                  <w:tcBorders>
                    <w:tl2br w:val="nil"/>
                    <w:tr2bl w:val="nil"/>
                  </w:tcBorders>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cs="Times New Roman"/>
                      <w:b/>
                      <w:bCs w:val="0"/>
                      <w:color w:val="auto"/>
                      <w:sz w:val="21"/>
                      <w:szCs w:val="21"/>
                    </w:rPr>
                  </w:pPr>
                  <w:r>
                    <w:rPr>
                      <w:rFonts w:hint="default" w:ascii="Times New Roman" w:hAnsi="Times New Roman" w:cs="Times New Roman"/>
                      <w:b/>
                      <w:bCs w:val="0"/>
                      <w:color w:val="auto"/>
                      <w:sz w:val="21"/>
                      <w:szCs w:val="21"/>
                    </w:rPr>
                    <w:t>固废名称</w:t>
                  </w:r>
                </w:p>
              </w:tc>
              <w:tc>
                <w:tcPr>
                  <w:tcW w:w="1501" w:type="dxa"/>
                  <w:tcBorders>
                    <w:tl2br w:val="nil"/>
                    <w:tr2bl w:val="nil"/>
                  </w:tcBorders>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cs="Times New Roman"/>
                      <w:b/>
                      <w:bCs w:val="0"/>
                      <w:color w:val="auto"/>
                      <w:sz w:val="21"/>
                      <w:szCs w:val="21"/>
                    </w:rPr>
                    <w:t>产生量</w:t>
                  </w:r>
                  <w:r>
                    <w:rPr>
                      <w:rFonts w:hint="eastAsia" w:ascii="Times New Roman" w:hAnsi="Times New Roman" w:cs="Times New Roman"/>
                      <w:b/>
                      <w:bCs w:val="0"/>
                      <w:color w:val="auto"/>
                      <w:sz w:val="21"/>
                      <w:szCs w:val="21"/>
                      <w:lang w:val="en-US" w:eastAsia="zh-CN"/>
                    </w:rPr>
                    <w:t>t/a</w:t>
                  </w:r>
                </w:p>
              </w:tc>
              <w:tc>
                <w:tcPr>
                  <w:tcW w:w="3546" w:type="dxa"/>
                  <w:tcBorders>
                    <w:tl2br w:val="nil"/>
                    <w:tr2bl w:val="nil"/>
                  </w:tcBorders>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cs="Times New Roman"/>
                      <w:b/>
                      <w:bCs w:val="0"/>
                      <w:color w:val="auto"/>
                      <w:sz w:val="21"/>
                      <w:szCs w:val="21"/>
                    </w:rPr>
                  </w:pPr>
                  <w:r>
                    <w:rPr>
                      <w:rFonts w:hint="default" w:ascii="Times New Roman" w:hAnsi="Times New Roman" w:cs="Times New Roman"/>
                      <w:b/>
                      <w:bCs w:val="0"/>
                      <w:color w:val="auto"/>
                      <w:sz w:val="21"/>
                      <w:szCs w:val="21"/>
                    </w:rPr>
                    <w:t>处理措施</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jc w:val="center"/>
              </w:trPr>
              <w:tc>
                <w:tcPr>
                  <w:tcW w:w="1845" w:type="dxa"/>
                  <w:vMerge w:val="restart"/>
                  <w:tcBorders>
                    <w:tl2br w:val="nil"/>
                    <w:tr2bl w:val="nil"/>
                  </w:tcBorders>
                  <w:vAlign w:val="center"/>
                </w:tcPr>
                <w:p>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危险废物</w:t>
                  </w:r>
                </w:p>
              </w:tc>
              <w:tc>
                <w:tcPr>
                  <w:tcW w:w="1463" w:type="dxa"/>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二次熔炼渣</w:t>
                  </w:r>
                </w:p>
              </w:tc>
              <w:tc>
                <w:tcPr>
                  <w:tcW w:w="150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sz w:val="21"/>
                      <w:szCs w:val="21"/>
                      <w:lang w:val="en-US" w:eastAsia="zh-CN"/>
                    </w:rPr>
                  </w:pPr>
                  <w:r>
                    <w:rPr>
                      <w:rFonts w:hint="eastAsia" w:cs="Times New Roman"/>
                      <w:bCs/>
                      <w:color w:val="auto"/>
                      <w:sz w:val="21"/>
                      <w:szCs w:val="21"/>
                      <w:lang w:val="en-US" w:eastAsia="zh-CN"/>
                    </w:rPr>
                    <w:t>490.3514</w:t>
                  </w:r>
                </w:p>
              </w:tc>
              <w:tc>
                <w:tcPr>
                  <w:tcW w:w="3546" w:type="dxa"/>
                  <w:vMerge w:val="restart"/>
                  <w:tcBorders>
                    <w:tl2br w:val="nil"/>
                    <w:tr2bl w:val="nil"/>
                  </w:tcBorders>
                  <w:vAlign w:val="center"/>
                </w:tcPr>
                <w:p>
                  <w:pPr>
                    <w:keepNext w:val="0"/>
                    <w:keepLines w:val="0"/>
                    <w:suppressLineNumbers w:val="0"/>
                    <w:spacing w:before="0" w:beforeAutospacing="0" w:after="0" w:afterAutospacing="0" w:line="276" w:lineRule="auto"/>
                    <w:ind w:left="0" w:right="0"/>
                    <w:jc w:val="center"/>
                    <w:rPr>
                      <w:rFonts w:hint="eastAsia" w:ascii="Times New Roman" w:hAnsi="Times New Roman" w:cs="Times New Roman"/>
                      <w:bCs/>
                      <w:color w:val="auto"/>
                      <w:sz w:val="21"/>
                      <w:szCs w:val="21"/>
                      <w:lang w:eastAsia="zh-CN"/>
                    </w:rPr>
                  </w:pPr>
                  <w:r>
                    <w:rPr>
                      <w:rFonts w:hint="eastAsia" w:ascii="Times New Roman" w:hAnsi="Times New Roman" w:cs="Times New Roman"/>
                      <w:bCs/>
                      <w:color w:val="auto"/>
                      <w:sz w:val="21"/>
                      <w:szCs w:val="21"/>
                      <w:lang w:eastAsia="zh-CN"/>
                    </w:rPr>
                    <w:t>暂存于危废间内，定期由有处置资质的单位拉运处理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jc w:val="center"/>
              </w:trPr>
              <w:tc>
                <w:tcPr>
                  <w:tcW w:w="1845" w:type="dxa"/>
                  <w:vMerge w:val="continue"/>
                  <w:tcBorders>
                    <w:tl2br w:val="nil"/>
                    <w:tr2bl w:val="nil"/>
                  </w:tcBorders>
                  <w:vAlign w:val="center"/>
                </w:tcPr>
                <w:p>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cs="Times New Roman"/>
                      <w:color w:val="auto"/>
                      <w:sz w:val="21"/>
                      <w:szCs w:val="21"/>
                    </w:rPr>
                  </w:pPr>
                </w:p>
              </w:tc>
              <w:tc>
                <w:tcPr>
                  <w:tcW w:w="1463" w:type="dxa"/>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除尘灰</w:t>
                  </w:r>
                </w:p>
              </w:tc>
              <w:tc>
                <w:tcPr>
                  <w:tcW w:w="150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sz w:val="21"/>
                      <w:szCs w:val="21"/>
                      <w:lang w:val="en-US" w:eastAsia="zh-CN"/>
                    </w:rPr>
                  </w:pPr>
                  <w:r>
                    <w:rPr>
                      <w:rFonts w:hint="eastAsia" w:cs="Times New Roman"/>
                      <w:bCs/>
                      <w:color w:val="auto"/>
                      <w:sz w:val="21"/>
                      <w:szCs w:val="21"/>
                      <w:lang w:val="en-US" w:eastAsia="zh-CN"/>
                    </w:rPr>
                    <w:t>0.1419</w:t>
                  </w:r>
                </w:p>
              </w:tc>
              <w:tc>
                <w:tcPr>
                  <w:tcW w:w="3546" w:type="dxa"/>
                  <w:vMerge w:val="continue"/>
                  <w:tcBorders>
                    <w:tl2br w:val="nil"/>
                    <w:tr2bl w:val="nil"/>
                  </w:tcBorders>
                  <w:vAlign w:val="center"/>
                </w:tcPr>
                <w:p>
                  <w:pPr>
                    <w:keepNext w:val="0"/>
                    <w:keepLines w:val="0"/>
                    <w:suppressLineNumbers w:val="0"/>
                    <w:spacing w:before="0" w:beforeAutospacing="0" w:after="0" w:afterAutospacing="0" w:line="276" w:lineRule="auto"/>
                    <w:ind w:left="0" w:right="0"/>
                    <w:jc w:val="center"/>
                    <w:rPr>
                      <w:rFonts w:hint="eastAsia" w:ascii="Times New Roman" w:hAnsi="Times New Roman" w:cs="Times New Roman"/>
                      <w:bCs/>
                      <w:color w:val="auto"/>
                      <w:sz w:val="21"/>
                      <w:szCs w:val="21"/>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jc w:val="center"/>
              </w:trPr>
              <w:tc>
                <w:tcPr>
                  <w:tcW w:w="1845" w:type="dxa"/>
                  <w:vMerge w:val="continue"/>
                  <w:tcBorders>
                    <w:tl2br w:val="nil"/>
                    <w:tr2bl w:val="nil"/>
                  </w:tcBorders>
                  <w:vAlign w:val="center"/>
                </w:tcPr>
                <w:p>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cs="Times New Roman"/>
                      <w:color w:val="auto"/>
                      <w:sz w:val="21"/>
                      <w:szCs w:val="21"/>
                    </w:rPr>
                  </w:pPr>
                </w:p>
              </w:tc>
              <w:tc>
                <w:tcPr>
                  <w:tcW w:w="1463" w:type="dxa"/>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废除尘滤袋</w:t>
                  </w:r>
                </w:p>
              </w:tc>
              <w:tc>
                <w:tcPr>
                  <w:tcW w:w="150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0.1</w:t>
                  </w:r>
                </w:p>
              </w:tc>
              <w:tc>
                <w:tcPr>
                  <w:tcW w:w="3546" w:type="dxa"/>
                  <w:vMerge w:val="continue"/>
                  <w:tcBorders>
                    <w:tl2br w:val="nil"/>
                    <w:tr2bl w:val="nil"/>
                  </w:tcBorders>
                  <w:vAlign w:val="center"/>
                </w:tcPr>
                <w:p>
                  <w:pPr>
                    <w:keepNext w:val="0"/>
                    <w:keepLines w:val="0"/>
                    <w:suppressLineNumbers w:val="0"/>
                    <w:spacing w:before="0" w:beforeAutospacing="0" w:after="0" w:afterAutospacing="0" w:line="276" w:lineRule="auto"/>
                    <w:ind w:left="0" w:right="0"/>
                    <w:jc w:val="center"/>
                    <w:rPr>
                      <w:rFonts w:hint="eastAsia" w:ascii="Times New Roman" w:hAnsi="Times New Roman" w:cs="Times New Roman"/>
                      <w:bCs/>
                      <w:color w:val="auto"/>
                      <w:sz w:val="21"/>
                      <w:szCs w:val="21"/>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jc w:val="center"/>
              </w:trPr>
              <w:tc>
                <w:tcPr>
                  <w:tcW w:w="1845" w:type="dxa"/>
                  <w:vMerge w:val="continue"/>
                  <w:tcBorders>
                    <w:tl2br w:val="nil"/>
                    <w:tr2bl w:val="nil"/>
                  </w:tcBorders>
                  <w:vAlign w:val="center"/>
                </w:tcPr>
                <w:p>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cs="Times New Roman"/>
                      <w:color w:val="auto"/>
                      <w:sz w:val="21"/>
                      <w:szCs w:val="21"/>
                    </w:rPr>
                  </w:pPr>
                </w:p>
              </w:tc>
              <w:tc>
                <w:tcPr>
                  <w:tcW w:w="146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eastAsia="zh-CN"/>
                    </w:rPr>
                    <w:t>废</w:t>
                  </w:r>
                  <w:r>
                    <w:rPr>
                      <w:rFonts w:hint="eastAsia" w:cs="Times New Roman"/>
                      <w:color w:val="auto"/>
                      <w:sz w:val="21"/>
                      <w:szCs w:val="21"/>
                      <w:lang w:val="en-US" w:eastAsia="zh-CN"/>
                    </w:rPr>
                    <w:t>UV灯管</w:t>
                  </w:r>
                </w:p>
              </w:tc>
              <w:tc>
                <w:tcPr>
                  <w:tcW w:w="150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sz w:val="21"/>
                      <w:szCs w:val="21"/>
                      <w:lang w:val="en-US" w:eastAsia="zh-CN"/>
                    </w:rPr>
                  </w:pPr>
                  <w:r>
                    <w:rPr>
                      <w:rFonts w:hint="eastAsia" w:cs="Times New Roman"/>
                      <w:bCs/>
                      <w:color w:val="auto"/>
                      <w:sz w:val="21"/>
                      <w:szCs w:val="21"/>
                      <w:lang w:val="en-US" w:eastAsia="zh-CN"/>
                    </w:rPr>
                    <w:t>0.1t/2a</w:t>
                  </w:r>
                </w:p>
              </w:tc>
              <w:tc>
                <w:tcPr>
                  <w:tcW w:w="3546" w:type="dxa"/>
                  <w:vMerge w:val="continue"/>
                  <w:tcBorders>
                    <w:tl2br w:val="nil"/>
                    <w:tr2bl w:val="nil"/>
                  </w:tcBorders>
                  <w:vAlign w:val="center"/>
                </w:tcPr>
                <w:p>
                  <w:pPr>
                    <w:keepNext w:val="0"/>
                    <w:keepLines w:val="0"/>
                    <w:suppressLineNumbers w:val="0"/>
                    <w:spacing w:before="0" w:beforeAutospacing="0" w:after="0" w:afterAutospacing="0" w:line="276" w:lineRule="auto"/>
                    <w:ind w:left="0" w:right="0"/>
                    <w:jc w:val="center"/>
                    <w:rPr>
                      <w:rFonts w:hint="eastAsia" w:ascii="Times New Roman" w:hAnsi="Times New Roman" w:cs="Times New Roman"/>
                      <w:bCs/>
                      <w:color w:val="auto"/>
                      <w:sz w:val="21"/>
                      <w:szCs w:val="21"/>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jc w:val="center"/>
              </w:trPr>
              <w:tc>
                <w:tcPr>
                  <w:tcW w:w="1845" w:type="dxa"/>
                  <w:vMerge w:val="continue"/>
                  <w:tcBorders>
                    <w:tl2br w:val="nil"/>
                    <w:tr2bl w:val="nil"/>
                  </w:tcBorders>
                  <w:vAlign w:val="center"/>
                </w:tcPr>
                <w:p>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cs="Times New Roman"/>
                      <w:color w:val="auto"/>
                      <w:sz w:val="21"/>
                      <w:szCs w:val="21"/>
                    </w:rPr>
                  </w:pPr>
                </w:p>
              </w:tc>
              <w:tc>
                <w:tcPr>
                  <w:tcW w:w="1463" w:type="dxa"/>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21"/>
                      <w:szCs w:val="21"/>
                      <w:lang w:eastAsia="zh-CN"/>
                    </w:rPr>
                  </w:pPr>
                  <w:r>
                    <w:rPr>
                      <w:rFonts w:hint="eastAsia" w:cs="Times New Roman"/>
                      <w:color w:val="auto"/>
                      <w:sz w:val="21"/>
                      <w:szCs w:val="21"/>
                      <w:lang w:eastAsia="zh-CN"/>
                    </w:rPr>
                    <w:t>废活性炭</w:t>
                  </w:r>
                </w:p>
              </w:tc>
              <w:tc>
                <w:tcPr>
                  <w:tcW w:w="150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sz w:val="21"/>
                      <w:szCs w:val="21"/>
                      <w:lang w:val="en-US" w:eastAsia="zh-CN"/>
                    </w:rPr>
                  </w:pPr>
                  <w:r>
                    <w:rPr>
                      <w:rFonts w:hint="eastAsia" w:cs="Times New Roman"/>
                      <w:bCs/>
                      <w:color w:val="auto"/>
                      <w:sz w:val="21"/>
                      <w:szCs w:val="21"/>
                      <w:lang w:val="en-US" w:eastAsia="zh-CN"/>
                    </w:rPr>
                    <w:t>0.5t/2a</w:t>
                  </w:r>
                </w:p>
              </w:tc>
              <w:tc>
                <w:tcPr>
                  <w:tcW w:w="3546" w:type="dxa"/>
                  <w:vMerge w:val="continue"/>
                  <w:tcBorders>
                    <w:tl2br w:val="nil"/>
                    <w:tr2bl w:val="nil"/>
                  </w:tcBorders>
                  <w:vAlign w:val="center"/>
                </w:tcPr>
                <w:p>
                  <w:pPr>
                    <w:keepNext w:val="0"/>
                    <w:keepLines w:val="0"/>
                    <w:suppressLineNumbers w:val="0"/>
                    <w:spacing w:before="0" w:beforeAutospacing="0" w:after="0" w:afterAutospacing="0" w:line="276" w:lineRule="auto"/>
                    <w:ind w:left="0" w:right="0"/>
                    <w:jc w:val="center"/>
                    <w:rPr>
                      <w:rFonts w:hint="eastAsia" w:ascii="Times New Roman" w:hAnsi="Times New Roman" w:cs="Times New Roman"/>
                      <w:bCs/>
                      <w:color w:val="auto"/>
                      <w:sz w:val="21"/>
                      <w:szCs w:val="21"/>
                      <w:lang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49" w:hRule="atLeast"/>
                <w:jc w:val="center"/>
              </w:trPr>
              <w:tc>
                <w:tcPr>
                  <w:tcW w:w="1845" w:type="dxa"/>
                  <w:tcBorders>
                    <w:tl2br w:val="nil"/>
                    <w:tr2bl w:val="nil"/>
                  </w:tcBorders>
                  <w:vAlign w:val="center"/>
                </w:tcPr>
                <w:p>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w:t>
                  </w:r>
                </w:p>
              </w:tc>
              <w:tc>
                <w:tcPr>
                  <w:tcW w:w="1463" w:type="dxa"/>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sz w:val="21"/>
                      <w:szCs w:val="21"/>
                    </w:rPr>
                    <w:t>生活垃圾</w:t>
                  </w:r>
                </w:p>
              </w:tc>
              <w:tc>
                <w:tcPr>
                  <w:tcW w:w="1501" w:type="dxa"/>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bCs/>
                      <w:color w:val="auto"/>
                      <w:sz w:val="21"/>
                      <w:szCs w:val="21"/>
                      <w:lang w:val="en-US" w:eastAsia="zh-CN"/>
                    </w:rPr>
                    <w:t>/</w:t>
                  </w:r>
                </w:p>
              </w:tc>
              <w:tc>
                <w:tcPr>
                  <w:tcW w:w="3546" w:type="dxa"/>
                  <w:tcBorders>
                    <w:tl2br w:val="nil"/>
                    <w:tr2bl w:val="nil"/>
                  </w:tcBorders>
                  <w:vAlign w:val="center"/>
                </w:tcPr>
                <w:p>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cs="Times New Roman"/>
                      <w:bCs/>
                      <w:color w:val="auto"/>
                      <w:sz w:val="21"/>
                      <w:szCs w:val="21"/>
                      <w:lang w:eastAsia="zh-CN"/>
                    </w:rPr>
                    <w:t>由</w:t>
                  </w:r>
                  <w:r>
                    <w:rPr>
                      <w:rFonts w:hint="eastAsia" w:ascii="Times New Roman" w:hAnsi="Times New Roman" w:cs="Times New Roman"/>
                      <w:bCs/>
                      <w:color w:val="auto"/>
                      <w:sz w:val="21"/>
                      <w:szCs w:val="21"/>
                    </w:rPr>
                    <w:t>厂区</w:t>
                  </w:r>
                  <w:r>
                    <w:rPr>
                      <w:rFonts w:hint="eastAsia" w:ascii="Times New Roman" w:hAnsi="Times New Roman" w:cs="Times New Roman"/>
                      <w:bCs/>
                      <w:color w:val="auto"/>
                      <w:sz w:val="21"/>
                      <w:szCs w:val="21"/>
                      <w:lang w:eastAsia="zh-CN"/>
                    </w:rPr>
                    <w:t>现有</w:t>
                  </w:r>
                  <w:r>
                    <w:rPr>
                      <w:rFonts w:hint="eastAsia" w:ascii="Times New Roman" w:hAnsi="Times New Roman" w:cs="Times New Roman"/>
                      <w:bCs/>
                      <w:color w:val="auto"/>
                      <w:sz w:val="21"/>
                      <w:szCs w:val="21"/>
                    </w:rPr>
                    <w:t>垃圾桶集中收集，由环卫部门定</w:t>
                  </w:r>
                  <w:r>
                    <w:rPr>
                      <w:rFonts w:hint="eastAsia" w:ascii="Times New Roman" w:hAnsi="Times New Roman" w:cs="Times New Roman"/>
                      <w:bCs/>
                      <w:color w:val="auto"/>
                      <w:sz w:val="21"/>
                      <w:szCs w:val="21"/>
                      <w:lang w:eastAsia="zh-CN"/>
                    </w:rPr>
                    <w:t>时</w:t>
                  </w:r>
                  <w:r>
                    <w:rPr>
                      <w:rFonts w:hint="eastAsia" w:ascii="Times New Roman" w:hAnsi="Times New Roman" w:cs="Times New Roman"/>
                      <w:bCs/>
                      <w:color w:val="auto"/>
                      <w:sz w:val="21"/>
                      <w:szCs w:val="21"/>
                    </w:rPr>
                    <w:t>清运</w:t>
                  </w:r>
                  <w:r>
                    <w:rPr>
                      <w:rFonts w:hint="eastAsia" w:ascii="Times New Roman" w:hAnsi="Times New Roman" w:cs="Times New Roman"/>
                      <w:bCs/>
                      <w:color w:val="auto"/>
                      <w:sz w:val="21"/>
                      <w:szCs w:val="21"/>
                      <w:lang w:eastAsia="zh-CN"/>
                    </w:rPr>
                    <w:t>，不外排</w:t>
                  </w:r>
                </w:p>
              </w:tc>
            </w:tr>
          </w:tbl>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综上所述，</w:t>
            </w:r>
            <w:r>
              <w:rPr>
                <w:rFonts w:hint="eastAsia" w:ascii="Times New Roman" w:hAnsi="Times New Roman" w:cs="Times New Roman"/>
                <w:color w:val="auto"/>
                <w:sz w:val="24"/>
                <w:szCs w:val="24"/>
                <w:lang w:val="en-US" w:eastAsia="zh-CN"/>
              </w:rPr>
              <w:t>本项目建成后</w:t>
            </w:r>
            <w:r>
              <w:rPr>
                <w:rFonts w:hint="eastAsia" w:ascii="Times New Roman" w:hAnsi="Times New Roman" w:cs="Times New Roman"/>
                <w:color w:val="auto"/>
                <w:sz w:val="24"/>
                <w:szCs w:val="24"/>
              </w:rPr>
              <w:t>营运期产生的</w:t>
            </w:r>
            <w:r>
              <w:rPr>
                <w:rFonts w:hint="default" w:ascii="Times New Roman" w:hAnsi="Times New Roman" w:cs="Times New Roman"/>
                <w:color w:val="auto"/>
                <w:sz w:val="24"/>
                <w:szCs w:val="24"/>
              </w:rPr>
              <w:t>固体废弃物</w:t>
            </w:r>
            <w:r>
              <w:rPr>
                <w:rFonts w:hint="eastAsia" w:ascii="Times New Roman" w:hAnsi="Times New Roman" w:cs="Times New Roman"/>
                <w:color w:val="auto"/>
                <w:sz w:val="24"/>
                <w:szCs w:val="24"/>
              </w:rPr>
              <w:t>均得到了合理有效的安全处置</w:t>
            </w:r>
            <w:r>
              <w:rPr>
                <w:rFonts w:hint="default" w:ascii="Times New Roman" w:hAnsi="Times New Roman" w:cs="Times New Roman"/>
                <w:color w:val="auto"/>
                <w:sz w:val="24"/>
                <w:szCs w:val="24"/>
              </w:rPr>
              <w:t>，对周围环境</w:t>
            </w:r>
            <w:r>
              <w:rPr>
                <w:rFonts w:hint="eastAsia" w:ascii="Times New Roman" w:hAnsi="Times New Roman" w:cs="Times New Roman"/>
                <w:color w:val="auto"/>
                <w:sz w:val="24"/>
                <w:szCs w:val="24"/>
              </w:rPr>
              <w:t>影响很小</w:t>
            </w:r>
            <w:r>
              <w:rPr>
                <w:rFonts w:hint="default" w:ascii="Times New Roman" w:hAnsi="Times New Roman" w:cs="Times New Roman"/>
                <w:color w:val="auto"/>
                <w:sz w:val="24"/>
                <w:szCs w:val="24"/>
              </w:rPr>
              <w:t>。</w:t>
            </w:r>
          </w:p>
          <w:p>
            <w:pPr>
              <w:keepNext w:val="0"/>
              <w:keepLines w:val="0"/>
              <w:suppressLineNumbers w:val="0"/>
              <w:spacing w:before="0" w:beforeAutospacing="0" w:after="0" w:afterAutospacing="0"/>
              <w:ind w:left="0" w:right="0"/>
              <w:jc w:val="center"/>
              <w:rPr>
                <w:rFonts w:hint="default" w:ascii="Times New Roman" w:hAnsi="Times New Roman" w:cs="Times New Roman"/>
                <w:b/>
                <w:bCs w:val="0"/>
                <w:color w:val="auto"/>
                <w:sz w:val="24"/>
                <w:szCs w:val="24"/>
                <w:lang w:val="zh-CN"/>
              </w:rPr>
            </w:pPr>
            <w:r>
              <w:rPr>
                <w:rFonts w:hint="eastAsia" w:ascii="Times New Roman" w:hAnsi="Times New Roman" w:cs="Times New Roman"/>
                <w:b/>
                <w:bCs w:val="0"/>
                <w:color w:val="auto"/>
                <w:sz w:val="24"/>
                <w:szCs w:val="24"/>
                <w:lang w:val="zh-CN"/>
              </w:rPr>
              <w:t>危险废物汇总</w:t>
            </w:r>
            <w:r>
              <w:rPr>
                <w:rFonts w:hint="default" w:ascii="Times New Roman" w:hAnsi="Times New Roman" w:cs="Times New Roman"/>
                <w:b/>
                <w:bCs w:val="0"/>
                <w:color w:val="auto"/>
                <w:sz w:val="24"/>
                <w:szCs w:val="24"/>
                <w:lang w:val="zh-CN"/>
              </w:rPr>
              <w:t>情况</w:t>
            </w:r>
            <w:r>
              <w:rPr>
                <w:rFonts w:hint="eastAsia" w:ascii="Times New Roman" w:hAnsi="Times New Roman" w:cs="Times New Roman"/>
                <w:b/>
                <w:bCs w:val="0"/>
                <w:color w:val="auto"/>
                <w:sz w:val="24"/>
                <w:szCs w:val="24"/>
                <w:lang w:val="zh-CN"/>
              </w:rPr>
              <w:t>表</w:t>
            </w:r>
          </w:p>
          <w:tbl>
            <w:tblPr>
              <w:tblStyle w:val="27"/>
              <w:tblW w:w="8350" w:type="dxa"/>
              <w:jc w:val="center"/>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59"/>
              <w:gridCol w:w="901"/>
              <w:gridCol w:w="1249"/>
              <w:gridCol w:w="970"/>
              <w:gridCol w:w="659"/>
              <w:gridCol w:w="719"/>
              <w:gridCol w:w="1053"/>
              <w:gridCol w:w="869"/>
              <w:gridCol w:w="107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8" w:hRule="atLeast"/>
                <w:jc w:val="center"/>
              </w:trPr>
              <w:tc>
                <w:tcPr>
                  <w:tcW w:w="859" w:type="dxa"/>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cs="Times New Roman"/>
                      <w:b/>
                      <w:bCs w:val="0"/>
                      <w:color w:val="auto"/>
                      <w:sz w:val="21"/>
                      <w:szCs w:val="21"/>
                    </w:rPr>
                  </w:pPr>
                  <w:r>
                    <w:rPr>
                      <w:rFonts w:hint="default" w:ascii="Times New Roman" w:hAnsi="Times New Roman" w:cs="Times New Roman"/>
                      <w:b/>
                      <w:bCs w:val="0"/>
                      <w:color w:val="auto"/>
                      <w:sz w:val="21"/>
                      <w:szCs w:val="21"/>
                    </w:rPr>
                    <w:t>危险废物名称</w:t>
                  </w:r>
                </w:p>
              </w:tc>
              <w:tc>
                <w:tcPr>
                  <w:tcW w:w="901" w:type="dxa"/>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cs="Times New Roman"/>
                      <w:b/>
                      <w:bCs w:val="0"/>
                      <w:color w:val="auto"/>
                      <w:sz w:val="21"/>
                      <w:szCs w:val="21"/>
                    </w:rPr>
                  </w:pPr>
                  <w:r>
                    <w:rPr>
                      <w:rFonts w:hint="default" w:ascii="Times New Roman" w:hAnsi="Times New Roman" w:cs="Times New Roman"/>
                      <w:b/>
                      <w:bCs w:val="0"/>
                      <w:color w:val="auto"/>
                      <w:sz w:val="21"/>
                      <w:szCs w:val="21"/>
                    </w:rPr>
                    <w:t>危险废物类别</w:t>
                  </w:r>
                </w:p>
              </w:tc>
              <w:tc>
                <w:tcPr>
                  <w:tcW w:w="1249" w:type="dxa"/>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cs="Times New Roman"/>
                      <w:b/>
                      <w:bCs w:val="0"/>
                      <w:color w:val="auto"/>
                      <w:sz w:val="21"/>
                      <w:szCs w:val="21"/>
                    </w:rPr>
                  </w:pPr>
                  <w:r>
                    <w:rPr>
                      <w:rFonts w:hint="default" w:ascii="Times New Roman" w:hAnsi="Times New Roman" w:cs="Times New Roman"/>
                      <w:b/>
                      <w:bCs w:val="0"/>
                      <w:color w:val="auto"/>
                      <w:sz w:val="21"/>
                      <w:szCs w:val="21"/>
                    </w:rPr>
                    <w:t>危险废物代码</w:t>
                  </w:r>
                </w:p>
              </w:tc>
              <w:tc>
                <w:tcPr>
                  <w:tcW w:w="970" w:type="dxa"/>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cs="Times New Roman"/>
                      <w:b/>
                      <w:bCs w:val="0"/>
                      <w:color w:val="auto"/>
                      <w:sz w:val="21"/>
                      <w:szCs w:val="21"/>
                    </w:rPr>
                  </w:pPr>
                  <w:r>
                    <w:rPr>
                      <w:rFonts w:hint="default" w:ascii="Times New Roman" w:hAnsi="Times New Roman" w:cs="Times New Roman"/>
                      <w:b/>
                      <w:bCs w:val="0"/>
                      <w:color w:val="auto"/>
                      <w:kern w:val="0"/>
                      <w:sz w:val="21"/>
                      <w:szCs w:val="21"/>
                    </w:rPr>
                    <w:t>有毒有害物质名称</w:t>
                  </w:r>
                </w:p>
              </w:tc>
              <w:tc>
                <w:tcPr>
                  <w:tcW w:w="659" w:type="dxa"/>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cs="Times New Roman"/>
                      <w:b/>
                      <w:bCs w:val="0"/>
                      <w:color w:val="auto"/>
                      <w:sz w:val="21"/>
                      <w:szCs w:val="21"/>
                    </w:rPr>
                  </w:pPr>
                  <w:r>
                    <w:rPr>
                      <w:rFonts w:hint="default" w:ascii="Times New Roman" w:hAnsi="Times New Roman" w:cs="Times New Roman"/>
                      <w:b/>
                      <w:bCs w:val="0"/>
                      <w:color w:val="auto"/>
                      <w:sz w:val="21"/>
                      <w:szCs w:val="21"/>
                    </w:rPr>
                    <w:t>物理</w:t>
                  </w:r>
                </w:p>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cs="Times New Roman"/>
                      <w:b/>
                      <w:bCs w:val="0"/>
                      <w:color w:val="auto"/>
                      <w:sz w:val="21"/>
                      <w:szCs w:val="21"/>
                    </w:rPr>
                  </w:pPr>
                  <w:r>
                    <w:rPr>
                      <w:rFonts w:hint="default" w:ascii="Times New Roman" w:hAnsi="Times New Roman" w:cs="Times New Roman"/>
                      <w:b/>
                      <w:bCs w:val="0"/>
                      <w:color w:val="auto"/>
                      <w:sz w:val="21"/>
                      <w:szCs w:val="21"/>
                    </w:rPr>
                    <w:t>性状</w:t>
                  </w:r>
                </w:p>
              </w:tc>
              <w:tc>
                <w:tcPr>
                  <w:tcW w:w="719" w:type="dxa"/>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cs="Times New Roman"/>
                      <w:b/>
                      <w:bCs w:val="0"/>
                      <w:color w:val="auto"/>
                      <w:sz w:val="21"/>
                      <w:szCs w:val="21"/>
                    </w:rPr>
                  </w:pPr>
                  <w:r>
                    <w:rPr>
                      <w:rFonts w:hint="default" w:ascii="Times New Roman" w:hAnsi="Times New Roman" w:cs="Times New Roman"/>
                      <w:b/>
                      <w:bCs w:val="0"/>
                      <w:color w:val="auto"/>
                      <w:sz w:val="21"/>
                      <w:szCs w:val="21"/>
                    </w:rPr>
                    <w:t>危险</w:t>
                  </w:r>
                </w:p>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cs="Times New Roman"/>
                      <w:b/>
                      <w:bCs w:val="0"/>
                      <w:color w:val="auto"/>
                      <w:sz w:val="21"/>
                      <w:szCs w:val="21"/>
                    </w:rPr>
                  </w:pPr>
                  <w:r>
                    <w:rPr>
                      <w:rFonts w:hint="default" w:ascii="Times New Roman" w:hAnsi="Times New Roman" w:cs="Times New Roman"/>
                      <w:b/>
                      <w:bCs w:val="0"/>
                      <w:color w:val="auto"/>
                      <w:sz w:val="21"/>
                      <w:szCs w:val="21"/>
                    </w:rPr>
                    <w:t>特性</w:t>
                  </w:r>
                </w:p>
              </w:tc>
              <w:tc>
                <w:tcPr>
                  <w:tcW w:w="1053" w:type="dxa"/>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b/>
                      <w:bCs w:val="0"/>
                      <w:color w:val="auto"/>
                      <w:sz w:val="21"/>
                      <w:szCs w:val="21"/>
                      <w:lang w:val="en-US" w:eastAsia="zh-CN"/>
                    </w:rPr>
                  </w:pPr>
                  <w:r>
                    <w:rPr>
                      <w:rFonts w:hint="default" w:ascii="Times New Roman" w:hAnsi="Times New Roman" w:cs="Times New Roman"/>
                      <w:b/>
                      <w:bCs w:val="0"/>
                      <w:color w:val="auto"/>
                      <w:sz w:val="21"/>
                      <w:szCs w:val="21"/>
                    </w:rPr>
                    <w:t>年产生量</w:t>
                  </w:r>
                  <w:r>
                    <w:rPr>
                      <w:rFonts w:hint="default" w:ascii="Times New Roman" w:hAnsi="Times New Roman" w:cs="Times New Roman"/>
                      <w:b/>
                      <w:bCs w:val="0"/>
                      <w:color w:val="auto"/>
                      <w:sz w:val="21"/>
                      <w:szCs w:val="21"/>
                      <w:lang w:val="en-US" w:eastAsia="zh-CN"/>
                    </w:rPr>
                    <w:t>t/a</w:t>
                  </w:r>
                </w:p>
              </w:tc>
              <w:tc>
                <w:tcPr>
                  <w:tcW w:w="869" w:type="dxa"/>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cs="Times New Roman"/>
                      <w:b/>
                      <w:bCs w:val="0"/>
                      <w:color w:val="auto"/>
                      <w:sz w:val="21"/>
                      <w:szCs w:val="21"/>
                    </w:rPr>
                  </w:pPr>
                  <w:r>
                    <w:rPr>
                      <w:rFonts w:hint="default" w:ascii="Times New Roman" w:hAnsi="Times New Roman" w:cs="Times New Roman"/>
                      <w:b/>
                      <w:bCs w:val="0"/>
                      <w:color w:val="auto"/>
                      <w:sz w:val="21"/>
                      <w:szCs w:val="21"/>
                    </w:rPr>
                    <w:t>贮存方式</w:t>
                  </w:r>
                </w:p>
              </w:tc>
              <w:tc>
                <w:tcPr>
                  <w:tcW w:w="1071" w:type="dxa"/>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cs="Times New Roman"/>
                      <w:b/>
                      <w:bCs w:val="0"/>
                      <w:color w:val="auto"/>
                      <w:sz w:val="21"/>
                      <w:szCs w:val="21"/>
                    </w:rPr>
                  </w:pPr>
                  <w:r>
                    <w:rPr>
                      <w:rFonts w:hint="default" w:ascii="Times New Roman" w:hAnsi="Times New Roman" w:cs="Times New Roman"/>
                      <w:b/>
                      <w:bCs w:val="0"/>
                      <w:color w:val="auto"/>
                      <w:sz w:val="21"/>
                      <w:szCs w:val="21"/>
                    </w:rPr>
                    <w:t>利用处置方式和去向</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59" w:type="dxa"/>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eastAsia="zh-CN"/>
                    </w:rPr>
                    <w:t>二次</w:t>
                  </w:r>
                  <w:r>
                    <w:rPr>
                      <w:rFonts w:hint="default" w:ascii="Times New Roman" w:hAnsi="Times New Roman" w:cs="Times New Roman"/>
                      <w:color w:val="auto"/>
                      <w:sz w:val="21"/>
                      <w:szCs w:val="21"/>
                      <w:lang w:eastAsia="zh-CN"/>
                    </w:rPr>
                    <w:t>熔炼渣</w:t>
                  </w:r>
                </w:p>
              </w:tc>
              <w:tc>
                <w:tcPr>
                  <w:tcW w:w="901" w:type="dxa"/>
                  <w:tcBorders>
                    <w:tl2br w:val="nil"/>
                    <w:tr2bl w:val="nil"/>
                  </w:tcBorders>
                  <w:vAlign w:val="center"/>
                </w:tcPr>
                <w:p>
                  <w:pPr>
                    <w:keepNext w:val="0"/>
                    <w:keepLines w:val="0"/>
                    <w:pageBreakBefore w:val="0"/>
                    <w:widowControl w:val="0"/>
                    <w:suppressLineNumbers w:val="0"/>
                    <w:kinsoku/>
                    <w:wordWrap/>
                    <w:overflowPunct/>
                    <w:topLinePunct/>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HW48</w:t>
                  </w:r>
                </w:p>
              </w:tc>
              <w:tc>
                <w:tcPr>
                  <w:tcW w:w="1249" w:type="dxa"/>
                  <w:tcBorders>
                    <w:tl2br w:val="nil"/>
                    <w:tr2bl w:val="nil"/>
                  </w:tcBorders>
                  <w:vAlign w:val="center"/>
                </w:tcPr>
                <w:p>
                  <w:pPr>
                    <w:keepNext w:val="0"/>
                    <w:keepLines w:val="0"/>
                    <w:pageBreakBefore w:val="0"/>
                    <w:widowControl w:val="0"/>
                    <w:suppressLineNumbers w:val="0"/>
                    <w:kinsoku/>
                    <w:wordWrap/>
                    <w:overflowPunct/>
                    <w:topLinePunct/>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321-026-48</w:t>
                  </w:r>
                </w:p>
              </w:tc>
              <w:tc>
                <w:tcPr>
                  <w:tcW w:w="970" w:type="dxa"/>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cs="Times New Roman"/>
                      <w:bCs/>
                      <w:color w:val="auto"/>
                      <w:kern w:val="0"/>
                      <w:sz w:val="21"/>
                      <w:szCs w:val="21"/>
                      <w:lang w:val="en-US" w:eastAsia="zh-CN"/>
                    </w:rPr>
                    <w:t>氮</w:t>
                  </w:r>
                  <w:r>
                    <w:rPr>
                      <w:rFonts w:hint="default" w:ascii="Times New Roman" w:hAnsi="Times New Roman" w:cs="Times New Roman"/>
                      <w:bCs/>
                      <w:color w:val="auto"/>
                      <w:kern w:val="0"/>
                      <w:sz w:val="21"/>
                      <w:szCs w:val="21"/>
                      <w:lang w:val="en-US" w:eastAsia="zh-CN"/>
                    </w:rPr>
                    <w:t>化铝</w:t>
                  </w:r>
                  <w:r>
                    <w:rPr>
                      <w:rFonts w:hint="eastAsia" w:ascii="Times New Roman" w:hAnsi="Times New Roman" w:cs="Times New Roman"/>
                      <w:bCs/>
                      <w:color w:val="auto"/>
                      <w:kern w:val="0"/>
                      <w:sz w:val="21"/>
                      <w:szCs w:val="21"/>
                      <w:lang w:val="en-US" w:eastAsia="zh-CN"/>
                    </w:rPr>
                    <w:t>、锌等</w:t>
                  </w:r>
                </w:p>
              </w:tc>
              <w:tc>
                <w:tcPr>
                  <w:tcW w:w="659" w:type="dxa"/>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固态</w:t>
                  </w:r>
                </w:p>
              </w:tc>
              <w:tc>
                <w:tcPr>
                  <w:tcW w:w="719" w:type="dxa"/>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cs="Times New Roman"/>
                      <w:bCs/>
                      <w:color w:val="auto"/>
                      <w:sz w:val="21"/>
                      <w:szCs w:val="21"/>
                    </w:rPr>
                  </w:pPr>
                  <w:r>
                    <w:rPr>
                      <w:rFonts w:hint="default" w:ascii="Times New Roman" w:hAnsi="Times New Roman" w:cs="Times New Roman"/>
                      <w:color w:val="auto"/>
                      <w:kern w:val="0"/>
                      <w:sz w:val="21"/>
                      <w:szCs w:val="21"/>
                    </w:rPr>
                    <w:t>R</w:t>
                  </w:r>
                </w:p>
              </w:tc>
              <w:tc>
                <w:tcPr>
                  <w:tcW w:w="1053" w:type="dxa"/>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490.3514</w:t>
                  </w:r>
                </w:p>
              </w:tc>
              <w:tc>
                <w:tcPr>
                  <w:tcW w:w="869" w:type="dxa"/>
                  <w:vMerge w:val="restart"/>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lang w:val="en-US" w:eastAsia="zh-CN"/>
                    </w:rPr>
                    <w:t>收集</w:t>
                  </w:r>
                  <w:r>
                    <w:rPr>
                      <w:rFonts w:hint="default" w:ascii="Times New Roman" w:hAnsi="Times New Roman" w:cs="Times New Roman"/>
                      <w:bCs/>
                      <w:color w:val="auto"/>
                      <w:sz w:val="21"/>
                      <w:szCs w:val="21"/>
                      <w:lang w:val="en-US" w:eastAsia="zh-CN"/>
                    </w:rPr>
                    <w:t>暂存于厂区危废暂存间内</w:t>
                  </w:r>
                </w:p>
              </w:tc>
              <w:tc>
                <w:tcPr>
                  <w:tcW w:w="1071" w:type="dxa"/>
                  <w:vMerge w:val="restart"/>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eastAsia="zh-CN"/>
                    </w:rPr>
                    <w:t>定期委托有资质单位进行安全处置</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59" w:type="dxa"/>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 w:val="21"/>
                      <w:szCs w:val="21"/>
                      <w:lang w:eastAsia="zh-CN"/>
                    </w:rPr>
                    <w:t>除尘灰</w:t>
                  </w:r>
                </w:p>
              </w:tc>
              <w:tc>
                <w:tcPr>
                  <w:tcW w:w="901" w:type="dxa"/>
                  <w:tcBorders>
                    <w:tl2br w:val="nil"/>
                    <w:tr2bl w:val="nil"/>
                  </w:tcBorders>
                  <w:vAlign w:val="center"/>
                </w:tcPr>
                <w:p>
                  <w:pPr>
                    <w:keepNext w:val="0"/>
                    <w:keepLines w:val="0"/>
                    <w:pageBreakBefore w:val="0"/>
                    <w:widowControl w:val="0"/>
                    <w:suppressLineNumbers w:val="0"/>
                    <w:kinsoku/>
                    <w:wordWrap/>
                    <w:overflowPunct/>
                    <w:topLinePunct/>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HW48</w:t>
                  </w:r>
                </w:p>
              </w:tc>
              <w:tc>
                <w:tcPr>
                  <w:tcW w:w="1249" w:type="dxa"/>
                  <w:tcBorders>
                    <w:tl2br w:val="nil"/>
                    <w:tr2bl w:val="nil"/>
                  </w:tcBorders>
                  <w:vAlign w:val="center"/>
                </w:tcPr>
                <w:p>
                  <w:pPr>
                    <w:keepNext w:val="0"/>
                    <w:keepLines w:val="0"/>
                    <w:pageBreakBefore w:val="0"/>
                    <w:widowControl w:val="0"/>
                    <w:suppressLineNumbers w:val="0"/>
                    <w:kinsoku/>
                    <w:wordWrap/>
                    <w:overflowPunct/>
                    <w:topLinePunct/>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321-034-48</w:t>
                  </w:r>
                </w:p>
              </w:tc>
              <w:tc>
                <w:tcPr>
                  <w:tcW w:w="970" w:type="dxa"/>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cs="Times New Roman"/>
                      <w:bCs/>
                      <w:color w:val="auto"/>
                      <w:kern w:val="0"/>
                      <w:sz w:val="21"/>
                      <w:szCs w:val="21"/>
                      <w:lang w:val="en-US" w:eastAsia="zh-CN" w:bidi="ar-SA"/>
                    </w:rPr>
                  </w:pPr>
                  <w:r>
                    <w:rPr>
                      <w:rFonts w:hint="eastAsia" w:ascii="Times New Roman" w:hAnsi="Times New Roman" w:cs="Times New Roman"/>
                      <w:bCs/>
                      <w:color w:val="auto"/>
                      <w:kern w:val="0"/>
                      <w:sz w:val="21"/>
                      <w:szCs w:val="21"/>
                      <w:lang w:val="en-US" w:eastAsia="zh-CN" w:bidi="ar-SA"/>
                    </w:rPr>
                    <w:t>氮</w:t>
                  </w:r>
                  <w:r>
                    <w:rPr>
                      <w:rFonts w:hint="default" w:ascii="Times New Roman" w:hAnsi="Times New Roman" w:cs="Times New Roman"/>
                      <w:bCs/>
                      <w:color w:val="auto"/>
                      <w:kern w:val="0"/>
                      <w:sz w:val="21"/>
                      <w:szCs w:val="21"/>
                      <w:lang w:val="en-US" w:eastAsia="zh-CN" w:bidi="ar-SA"/>
                    </w:rPr>
                    <w:t>化铝</w:t>
                  </w:r>
                  <w:r>
                    <w:rPr>
                      <w:rFonts w:hint="eastAsia" w:ascii="Times New Roman" w:hAnsi="Times New Roman" w:cs="Times New Roman"/>
                      <w:bCs/>
                      <w:color w:val="auto"/>
                      <w:kern w:val="0"/>
                      <w:sz w:val="21"/>
                      <w:szCs w:val="21"/>
                      <w:lang w:val="en-US" w:eastAsia="zh-CN" w:bidi="ar-SA"/>
                    </w:rPr>
                    <w:t>、锌等</w:t>
                  </w:r>
                </w:p>
              </w:tc>
              <w:tc>
                <w:tcPr>
                  <w:tcW w:w="659" w:type="dxa"/>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cs="Times New Roman"/>
                      <w:bCs/>
                      <w:color w:val="auto"/>
                      <w:kern w:val="2"/>
                      <w:sz w:val="21"/>
                      <w:szCs w:val="21"/>
                      <w:lang w:val="en-US" w:eastAsia="zh-CN" w:bidi="ar-SA"/>
                    </w:rPr>
                  </w:pPr>
                  <w:r>
                    <w:rPr>
                      <w:rFonts w:hint="default" w:ascii="Times New Roman" w:hAnsi="Times New Roman" w:cs="Times New Roman"/>
                      <w:bCs/>
                      <w:color w:val="auto"/>
                      <w:sz w:val="21"/>
                      <w:szCs w:val="21"/>
                    </w:rPr>
                    <w:t>固态</w:t>
                  </w:r>
                </w:p>
              </w:tc>
              <w:tc>
                <w:tcPr>
                  <w:tcW w:w="719" w:type="dxa"/>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lang w:val="en-US" w:eastAsia="zh-CN" w:bidi="ar-SA"/>
                    </w:rPr>
                  </w:pPr>
                  <w:r>
                    <w:rPr>
                      <w:rFonts w:hint="default" w:ascii="Times New Roman" w:hAnsi="Times New Roman" w:cs="Times New Roman"/>
                      <w:color w:val="auto"/>
                      <w:kern w:val="0"/>
                      <w:sz w:val="21"/>
                      <w:szCs w:val="21"/>
                    </w:rPr>
                    <w:t>T，R</w:t>
                  </w:r>
                </w:p>
              </w:tc>
              <w:tc>
                <w:tcPr>
                  <w:tcW w:w="1053" w:type="dxa"/>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cs="Times New Roman"/>
                      <w:bCs/>
                      <w:color w:val="auto"/>
                      <w:kern w:val="2"/>
                      <w:sz w:val="21"/>
                      <w:szCs w:val="21"/>
                      <w:lang w:val="en-US" w:eastAsia="zh-CN" w:bidi="ar-SA"/>
                    </w:rPr>
                  </w:pPr>
                  <w:r>
                    <w:rPr>
                      <w:rFonts w:hint="eastAsia" w:cs="Times New Roman"/>
                      <w:bCs/>
                      <w:color w:val="auto"/>
                      <w:sz w:val="21"/>
                      <w:szCs w:val="21"/>
                      <w:lang w:val="en-US" w:eastAsia="zh-CN"/>
                    </w:rPr>
                    <w:t>0.1419</w:t>
                  </w:r>
                </w:p>
              </w:tc>
              <w:tc>
                <w:tcPr>
                  <w:tcW w:w="869" w:type="dxa"/>
                  <w:vMerge w:val="continue"/>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cs="Times New Roman"/>
                      <w:bCs/>
                      <w:color w:val="auto"/>
                      <w:sz w:val="21"/>
                      <w:szCs w:val="21"/>
                      <w:lang w:val="en-US" w:eastAsia="zh-CN"/>
                    </w:rPr>
                  </w:pPr>
                </w:p>
              </w:tc>
              <w:tc>
                <w:tcPr>
                  <w:tcW w:w="1071" w:type="dxa"/>
                  <w:vMerge w:val="continue"/>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cs="Times New Roman"/>
                      <w:bCs/>
                      <w:color w:val="auto"/>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59" w:type="dxa"/>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废除尘滤袋</w:t>
                  </w:r>
                </w:p>
              </w:tc>
              <w:tc>
                <w:tcPr>
                  <w:tcW w:w="901" w:type="dxa"/>
                  <w:tcBorders>
                    <w:tl2br w:val="nil"/>
                    <w:tr2bl w:val="nil"/>
                  </w:tcBorders>
                  <w:vAlign w:val="center"/>
                </w:tcPr>
                <w:p>
                  <w:pPr>
                    <w:keepNext w:val="0"/>
                    <w:keepLines w:val="0"/>
                    <w:pageBreakBefore w:val="0"/>
                    <w:widowControl w:val="0"/>
                    <w:suppressLineNumbers w:val="0"/>
                    <w:kinsoku/>
                    <w:wordWrap/>
                    <w:overflowPunct/>
                    <w:topLinePunct/>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HW49</w:t>
                  </w:r>
                </w:p>
              </w:tc>
              <w:tc>
                <w:tcPr>
                  <w:tcW w:w="1249" w:type="dxa"/>
                  <w:tcBorders>
                    <w:tl2br w:val="nil"/>
                    <w:tr2bl w:val="nil"/>
                  </w:tcBorders>
                  <w:vAlign w:val="center"/>
                </w:tcPr>
                <w:p>
                  <w:pPr>
                    <w:keepNext w:val="0"/>
                    <w:keepLines w:val="0"/>
                    <w:pageBreakBefore w:val="0"/>
                    <w:widowControl w:val="0"/>
                    <w:suppressLineNumbers w:val="0"/>
                    <w:kinsoku/>
                    <w:wordWrap/>
                    <w:overflowPunct/>
                    <w:topLinePunct/>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900-041-49</w:t>
                  </w:r>
                </w:p>
              </w:tc>
              <w:tc>
                <w:tcPr>
                  <w:tcW w:w="970" w:type="dxa"/>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cs="Times New Roman"/>
                      <w:bCs/>
                      <w:color w:val="auto"/>
                      <w:kern w:val="0"/>
                      <w:sz w:val="21"/>
                      <w:szCs w:val="21"/>
                      <w:lang w:val="en-US" w:eastAsia="zh-CN" w:bidi="ar-SA"/>
                    </w:rPr>
                  </w:pPr>
                  <w:r>
                    <w:rPr>
                      <w:rFonts w:hint="eastAsia" w:ascii="Times New Roman" w:hAnsi="Times New Roman" w:cs="Times New Roman"/>
                      <w:bCs/>
                      <w:color w:val="auto"/>
                      <w:kern w:val="0"/>
                      <w:sz w:val="21"/>
                      <w:szCs w:val="21"/>
                      <w:lang w:val="en-US" w:eastAsia="zh-CN" w:bidi="ar-SA"/>
                    </w:rPr>
                    <w:t>锌等</w:t>
                  </w:r>
                </w:p>
              </w:tc>
              <w:tc>
                <w:tcPr>
                  <w:tcW w:w="659" w:type="dxa"/>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eastAsia" w:ascii="Times New Roman" w:hAnsi="Times New Roman" w:eastAsia="宋体" w:cs="Times New Roman"/>
                      <w:bCs/>
                      <w:color w:val="auto"/>
                      <w:sz w:val="21"/>
                      <w:szCs w:val="21"/>
                      <w:lang w:eastAsia="zh-CN"/>
                    </w:rPr>
                  </w:pPr>
                  <w:r>
                    <w:rPr>
                      <w:rFonts w:hint="eastAsia" w:ascii="Times New Roman" w:hAnsi="Times New Roman" w:cs="Times New Roman"/>
                      <w:bCs/>
                      <w:color w:val="auto"/>
                      <w:sz w:val="21"/>
                      <w:szCs w:val="21"/>
                      <w:lang w:eastAsia="zh-CN"/>
                    </w:rPr>
                    <w:t>固态</w:t>
                  </w:r>
                </w:p>
              </w:tc>
              <w:tc>
                <w:tcPr>
                  <w:tcW w:w="719" w:type="dxa"/>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T</w:t>
                  </w:r>
                </w:p>
              </w:tc>
              <w:tc>
                <w:tcPr>
                  <w:tcW w:w="1053" w:type="dxa"/>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eastAsia"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0.1</w:t>
                  </w:r>
                </w:p>
              </w:tc>
              <w:tc>
                <w:tcPr>
                  <w:tcW w:w="869" w:type="dxa"/>
                  <w:vMerge w:val="continue"/>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cs="Times New Roman"/>
                      <w:bCs/>
                      <w:color w:val="auto"/>
                      <w:sz w:val="21"/>
                      <w:szCs w:val="21"/>
                      <w:lang w:val="en-US" w:eastAsia="zh-CN"/>
                    </w:rPr>
                  </w:pPr>
                </w:p>
              </w:tc>
              <w:tc>
                <w:tcPr>
                  <w:tcW w:w="1071" w:type="dxa"/>
                  <w:vMerge w:val="continue"/>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cs="Times New Roman"/>
                      <w:bCs/>
                      <w:color w:val="auto"/>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59" w:type="dxa"/>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废UV灯管</w:t>
                  </w:r>
                </w:p>
              </w:tc>
              <w:tc>
                <w:tcPr>
                  <w:tcW w:w="901" w:type="dxa"/>
                  <w:tcBorders>
                    <w:tl2br w:val="nil"/>
                    <w:tr2bl w:val="nil"/>
                  </w:tcBorders>
                  <w:vAlign w:val="center"/>
                </w:tcPr>
                <w:p>
                  <w:pPr>
                    <w:keepNext w:val="0"/>
                    <w:keepLines w:val="0"/>
                    <w:pageBreakBefore w:val="0"/>
                    <w:widowControl w:val="0"/>
                    <w:suppressLineNumbers w:val="0"/>
                    <w:kinsoku/>
                    <w:wordWrap/>
                    <w:overflowPunct/>
                    <w:topLinePunct/>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HW29</w:t>
                  </w:r>
                </w:p>
              </w:tc>
              <w:tc>
                <w:tcPr>
                  <w:tcW w:w="1249" w:type="dxa"/>
                  <w:tcBorders>
                    <w:tl2br w:val="nil"/>
                    <w:tr2bl w:val="nil"/>
                  </w:tcBorders>
                  <w:vAlign w:val="center"/>
                </w:tcPr>
                <w:p>
                  <w:pPr>
                    <w:keepNext w:val="0"/>
                    <w:keepLines w:val="0"/>
                    <w:pageBreakBefore w:val="0"/>
                    <w:widowControl w:val="0"/>
                    <w:suppressLineNumbers w:val="0"/>
                    <w:kinsoku/>
                    <w:wordWrap/>
                    <w:overflowPunct/>
                    <w:topLinePunct/>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900-023-29</w:t>
                  </w:r>
                </w:p>
              </w:tc>
              <w:tc>
                <w:tcPr>
                  <w:tcW w:w="970" w:type="dxa"/>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eastAsia" w:ascii="Times New Roman" w:hAnsi="Times New Roman" w:cs="Times New Roman"/>
                      <w:bCs/>
                      <w:color w:val="auto"/>
                      <w:kern w:val="0"/>
                      <w:sz w:val="21"/>
                      <w:szCs w:val="21"/>
                      <w:lang w:val="en-US" w:eastAsia="zh-CN" w:bidi="ar-SA"/>
                    </w:rPr>
                  </w:pPr>
                  <w:r>
                    <w:rPr>
                      <w:rFonts w:hint="eastAsia" w:cs="Times New Roman"/>
                      <w:bCs/>
                      <w:color w:val="auto"/>
                      <w:kern w:val="0"/>
                      <w:sz w:val="21"/>
                      <w:szCs w:val="21"/>
                      <w:lang w:val="en-US" w:eastAsia="zh-CN" w:bidi="ar-SA"/>
                    </w:rPr>
                    <w:t>汞等</w:t>
                  </w:r>
                </w:p>
              </w:tc>
              <w:tc>
                <w:tcPr>
                  <w:tcW w:w="659" w:type="dxa"/>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eastAsia" w:ascii="Times New Roman" w:hAnsi="Times New Roman" w:cs="Times New Roman"/>
                      <w:bCs/>
                      <w:color w:val="auto"/>
                      <w:sz w:val="21"/>
                      <w:szCs w:val="21"/>
                      <w:lang w:eastAsia="zh-CN"/>
                    </w:rPr>
                  </w:pPr>
                  <w:r>
                    <w:rPr>
                      <w:rFonts w:hint="eastAsia" w:ascii="Times New Roman" w:hAnsi="Times New Roman" w:cs="Times New Roman"/>
                      <w:bCs/>
                      <w:color w:val="auto"/>
                      <w:sz w:val="21"/>
                      <w:szCs w:val="21"/>
                      <w:lang w:eastAsia="zh-CN"/>
                    </w:rPr>
                    <w:t>固态</w:t>
                  </w:r>
                </w:p>
              </w:tc>
              <w:tc>
                <w:tcPr>
                  <w:tcW w:w="719" w:type="dxa"/>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T</w:t>
                  </w:r>
                </w:p>
              </w:tc>
              <w:tc>
                <w:tcPr>
                  <w:tcW w:w="1053" w:type="dxa"/>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cs="Times New Roman"/>
                      <w:bCs/>
                      <w:color w:val="auto"/>
                      <w:sz w:val="21"/>
                      <w:szCs w:val="21"/>
                      <w:lang w:val="en-US" w:eastAsia="zh-CN"/>
                    </w:rPr>
                  </w:pPr>
                  <w:r>
                    <w:rPr>
                      <w:rFonts w:hint="eastAsia" w:cs="Times New Roman"/>
                      <w:bCs/>
                      <w:color w:val="auto"/>
                      <w:sz w:val="21"/>
                      <w:szCs w:val="21"/>
                      <w:lang w:val="en-US" w:eastAsia="zh-CN"/>
                    </w:rPr>
                    <w:t>0.1t/2a</w:t>
                  </w:r>
                </w:p>
              </w:tc>
              <w:tc>
                <w:tcPr>
                  <w:tcW w:w="869" w:type="dxa"/>
                  <w:vMerge w:val="continue"/>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cs="Times New Roman"/>
                      <w:bCs/>
                      <w:color w:val="auto"/>
                      <w:sz w:val="21"/>
                      <w:szCs w:val="21"/>
                      <w:lang w:val="en-US" w:eastAsia="zh-CN"/>
                    </w:rPr>
                  </w:pPr>
                </w:p>
              </w:tc>
              <w:tc>
                <w:tcPr>
                  <w:tcW w:w="1071" w:type="dxa"/>
                  <w:vMerge w:val="continue"/>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cs="Times New Roman"/>
                      <w:bCs/>
                      <w:color w:val="auto"/>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59" w:type="dxa"/>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eastAsia" w:ascii="Times New Roman" w:hAnsi="Times New Roman" w:cs="Times New Roman"/>
                      <w:color w:val="auto"/>
                      <w:sz w:val="21"/>
                      <w:szCs w:val="21"/>
                      <w:lang w:val="en-US" w:eastAsia="zh-CN"/>
                    </w:rPr>
                  </w:pPr>
                  <w:r>
                    <w:rPr>
                      <w:rFonts w:hint="eastAsia" w:cs="Times New Roman"/>
                      <w:color w:val="auto"/>
                      <w:sz w:val="21"/>
                      <w:szCs w:val="21"/>
                      <w:lang w:val="en-US" w:eastAsia="zh-CN"/>
                    </w:rPr>
                    <w:t>废活性炭</w:t>
                  </w:r>
                </w:p>
              </w:tc>
              <w:tc>
                <w:tcPr>
                  <w:tcW w:w="901" w:type="dxa"/>
                  <w:tcBorders>
                    <w:tl2br w:val="nil"/>
                    <w:tr2bl w:val="nil"/>
                  </w:tcBorders>
                  <w:vAlign w:val="center"/>
                </w:tcPr>
                <w:p>
                  <w:pPr>
                    <w:keepNext w:val="0"/>
                    <w:keepLines w:val="0"/>
                    <w:pageBreakBefore w:val="0"/>
                    <w:widowControl w:val="0"/>
                    <w:suppressLineNumbers w:val="0"/>
                    <w:kinsoku/>
                    <w:wordWrap/>
                    <w:overflowPunct/>
                    <w:topLinePunct/>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HW49</w:t>
                  </w:r>
                </w:p>
              </w:tc>
              <w:tc>
                <w:tcPr>
                  <w:tcW w:w="1249" w:type="dxa"/>
                  <w:tcBorders>
                    <w:tl2br w:val="nil"/>
                    <w:tr2bl w:val="nil"/>
                  </w:tcBorders>
                  <w:vAlign w:val="center"/>
                </w:tcPr>
                <w:p>
                  <w:pPr>
                    <w:keepNext w:val="0"/>
                    <w:keepLines w:val="0"/>
                    <w:pageBreakBefore w:val="0"/>
                    <w:widowControl w:val="0"/>
                    <w:suppressLineNumbers w:val="0"/>
                    <w:kinsoku/>
                    <w:wordWrap/>
                    <w:overflowPunct/>
                    <w:topLinePunct/>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color w:val="auto"/>
                    </w:rPr>
                    <w:t>900-039-49</w:t>
                  </w:r>
                </w:p>
              </w:tc>
              <w:tc>
                <w:tcPr>
                  <w:tcW w:w="970" w:type="dxa"/>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cs="Times New Roman"/>
                      <w:bCs/>
                      <w:color w:val="auto"/>
                      <w:kern w:val="0"/>
                      <w:sz w:val="21"/>
                      <w:szCs w:val="21"/>
                      <w:lang w:val="en-US" w:eastAsia="zh-CN" w:bidi="ar-SA"/>
                    </w:rPr>
                  </w:pPr>
                  <w:r>
                    <w:rPr>
                      <w:rFonts w:hint="eastAsia" w:cs="Times New Roman"/>
                      <w:bCs/>
                      <w:color w:val="auto"/>
                      <w:kern w:val="0"/>
                      <w:sz w:val="21"/>
                      <w:szCs w:val="21"/>
                      <w:lang w:val="en-US" w:eastAsia="zh-CN" w:bidi="ar-SA"/>
                    </w:rPr>
                    <w:t>氨气等</w:t>
                  </w:r>
                </w:p>
              </w:tc>
              <w:tc>
                <w:tcPr>
                  <w:tcW w:w="659" w:type="dxa"/>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eastAsia" w:ascii="Times New Roman" w:hAnsi="Times New Roman" w:cs="Times New Roman"/>
                      <w:bCs/>
                      <w:color w:val="auto"/>
                      <w:sz w:val="21"/>
                      <w:szCs w:val="21"/>
                      <w:lang w:eastAsia="zh-CN"/>
                    </w:rPr>
                  </w:pPr>
                  <w:r>
                    <w:rPr>
                      <w:rFonts w:hint="eastAsia" w:ascii="Times New Roman" w:hAnsi="Times New Roman" w:cs="Times New Roman"/>
                      <w:bCs/>
                      <w:color w:val="auto"/>
                      <w:sz w:val="21"/>
                      <w:szCs w:val="21"/>
                      <w:lang w:eastAsia="zh-CN"/>
                    </w:rPr>
                    <w:t>固态</w:t>
                  </w:r>
                </w:p>
              </w:tc>
              <w:tc>
                <w:tcPr>
                  <w:tcW w:w="719" w:type="dxa"/>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T</w:t>
                  </w:r>
                </w:p>
              </w:tc>
              <w:tc>
                <w:tcPr>
                  <w:tcW w:w="1053" w:type="dxa"/>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cs="Times New Roman"/>
                      <w:bCs/>
                      <w:color w:val="auto"/>
                      <w:sz w:val="21"/>
                      <w:szCs w:val="21"/>
                      <w:lang w:val="en-US" w:eastAsia="zh-CN"/>
                    </w:rPr>
                  </w:pPr>
                  <w:r>
                    <w:rPr>
                      <w:rFonts w:hint="eastAsia" w:cs="Times New Roman"/>
                      <w:bCs/>
                      <w:color w:val="auto"/>
                      <w:sz w:val="21"/>
                      <w:szCs w:val="21"/>
                      <w:lang w:val="en-US" w:eastAsia="zh-CN"/>
                    </w:rPr>
                    <w:t>0.5t/2a</w:t>
                  </w:r>
                </w:p>
              </w:tc>
              <w:tc>
                <w:tcPr>
                  <w:tcW w:w="869" w:type="dxa"/>
                  <w:vMerge w:val="continue"/>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cs="Times New Roman"/>
                      <w:bCs/>
                      <w:color w:val="auto"/>
                      <w:sz w:val="21"/>
                      <w:szCs w:val="21"/>
                      <w:lang w:val="en-US" w:eastAsia="zh-CN"/>
                    </w:rPr>
                  </w:pPr>
                </w:p>
              </w:tc>
              <w:tc>
                <w:tcPr>
                  <w:tcW w:w="1071" w:type="dxa"/>
                  <w:vMerge w:val="continue"/>
                  <w:tcBorders>
                    <w:tl2br w:val="nil"/>
                    <w:tr2bl w:val="nil"/>
                  </w:tcBorders>
                  <w:vAlign w:val="center"/>
                </w:tcPr>
                <w:p>
                  <w:pPr>
                    <w:keepNext w:val="0"/>
                    <w:keepLines w:val="0"/>
                    <w:pageBreakBefore w:val="0"/>
                    <w:widowControl w:val="0"/>
                    <w:suppressLineNumbers w:val="0"/>
                    <w:kinsoku/>
                    <w:wordWrap/>
                    <w:overflowPunct/>
                    <w:autoSpaceDE/>
                    <w:autoSpaceDN/>
                    <w:bidi w:val="0"/>
                    <w:spacing w:before="0" w:beforeAutospacing="0" w:after="0" w:afterAutospacing="0" w:line="240" w:lineRule="auto"/>
                    <w:ind w:left="0" w:right="0"/>
                    <w:jc w:val="center"/>
                    <w:textAlignment w:val="auto"/>
                    <w:rPr>
                      <w:rFonts w:hint="default" w:ascii="Times New Roman" w:hAnsi="Times New Roman" w:cs="Times New Roman"/>
                      <w:bCs/>
                      <w:color w:val="auto"/>
                      <w:sz w:val="21"/>
                      <w:szCs w:val="21"/>
                      <w:lang w:val="en-US" w:eastAsia="zh-CN"/>
                    </w:rPr>
                  </w:pPr>
                </w:p>
              </w:tc>
            </w:tr>
          </w:tbl>
          <w:p>
            <w:pPr>
              <w:keepNext w:val="0"/>
              <w:keepLines w:val="0"/>
              <w:suppressLineNumbers w:val="0"/>
              <w:spacing w:before="0" w:beforeAutospacing="0" w:after="0" w:afterAutospacing="0"/>
              <w:ind w:left="0" w:right="0"/>
              <w:jc w:val="center"/>
              <w:rPr>
                <w:rFonts w:hint="eastAsia" w:ascii="Times New Roman" w:hAnsi="Times New Roman" w:eastAsia="宋体" w:cs="Times New Roman"/>
                <w:b/>
                <w:bCs w:val="0"/>
                <w:color w:val="auto"/>
                <w:sz w:val="24"/>
                <w:szCs w:val="24"/>
                <w:lang w:val="pt-BR"/>
              </w:rPr>
            </w:pPr>
            <w:r>
              <w:rPr>
                <w:rFonts w:hint="eastAsia" w:ascii="Times New Roman" w:hAnsi="Times New Roman" w:eastAsia="宋体" w:cs="Times New Roman"/>
                <w:b/>
                <w:bCs w:val="0"/>
                <w:color w:val="auto"/>
                <w:sz w:val="24"/>
                <w:szCs w:val="24"/>
                <w:lang w:val="pt-BR"/>
              </w:rPr>
              <w:t>建设项目危险废物贮存</w:t>
            </w:r>
            <w:r>
              <w:rPr>
                <w:rFonts w:hint="eastAsia" w:ascii="Times New Roman" w:hAnsi="Times New Roman" w:eastAsia="宋体" w:cs="Times New Roman"/>
                <w:b/>
                <w:bCs w:val="0"/>
                <w:color w:val="auto"/>
                <w:sz w:val="24"/>
                <w:szCs w:val="24"/>
                <w:lang w:val="pt-BR" w:eastAsia="zh-CN"/>
              </w:rPr>
              <w:t>场所</w:t>
            </w:r>
            <w:r>
              <w:rPr>
                <w:rFonts w:hint="eastAsia" w:ascii="Times New Roman" w:hAnsi="Times New Roman" w:eastAsia="宋体" w:cs="Times New Roman"/>
                <w:b/>
                <w:bCs w:val="0"/>
                <w:color w:val="auto"/>
                <w:sz w:val="24"/>
                <w:szCs w:val="24"/>
                <w:lang w:val="pt-BR"/>
              </w:rPr>
              <w:t>（设施）基本情况表</w:t>
            </w:r>
          </w:p>
          <w:tbl>
            <w:tblPr>
              <w:tblStyle w:val="27"/>
              <w:tblW w:w="8358" w:type="dxa"/>
              <w:jc w:val="center"/>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85" w:type="dxa"/>
                <w:bottom w:w="0" w:type="dxa"/>
                <w:right w:w="85" w:type="dxa"/>
              </w:tblCellMar>
            </w:tblPr>
            <w:tblGrid>
              <w:gridCol w:w="403"/>
              <w:gridCol w:w="1054"/>
              <w:gridCol w:w="1069"/>
              <w:gridCol w:w="1124"/>
              <w:gridCol w:w="1370"/>
              <w:gridCol w:w="554"/>
              <w:gridCol w:w="689"/>
              <w:gridCol w:w="693"/>
              <w:gridCol w:w="690"/>
              <w:gridCol w:w="71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85" w:type="dxa"/>
                  <w:bottom w:w="0" w:type="dxa"/>
                  <w:right w:w="85" w:type="dxa"/>
                </w:tblCellMar>
              </w:tblPrEx>
              <w:trPr>
                <w:trHeight w:val="397" w:hRule="atLeast"/>
                <w:jc w:val="center"/>
              </w:trPr>
              <w:tc>
                <w:tcPr>
                  <w:tcW w:w="403" w:type="dxa"/>
                  <w:tcBorders>
                    <w:tl2br w:val="nil"/>
                    <w:tr2bl w:val="nil"/>
                  </w:tcBorders>
                  <w:vAlign w:val="center"/>
                </w:tcPr>
                <w:p>
                  <w:pPr>
                    <w:keepNext w:val="0"/>
                    <w:keepLines w:val="0"/>
                    <w:suppressLineNumbers w:val="0"/>
                    <w:autoSpaceDE w:val="0"/>
                    <w:autoSpaceDN w:val="0"/>
                    <w:adjustRightInd w:val="0"/>
                    <w:snapToGrid w:val="0"/>
                    <w:spacing w:before="60" w:beforeAutospacing="0" w:after="0" w:afterAutospacing="0" w:line="276" w:lineRule="auto"/>
                    <w:ind w:left="0" w:right="0"/>
                    <w:jc w:val="center"/>
                    <w:textAlignment w:val="baseline"/>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序号</w:t>
                  </w:r>
                </w:p>
              </w:tc>
              <w:tc>
                <w:tcPr>
                  <w:tcW w:w="1054" w:type="dxa"/>
                  <w:tcBorders>
                    <w:tl2br w:val="nil"/>
                    <w:tr2bl w:val="nil"/>
                  </w:tcBorders>
                  <w:vAlign w:val="center"/>
                </w:tcPr>
                <w:p>
                  <w:pPr>
                    <w:keepNext w:val="0"/>
                    <w:keepLines w:val="0"/>
                    <w:suppressLineNumbers w:val="0"/>
                    <w:autoSpaceDE w:val="0"/>
                    <w:autoSpaceDN w:val="0"/>
                    <w:adjustRightInd w:val="0"/>
                    <w:snapToGrid w:val="0"/>
                    <w:spacing w:before="60" w:beforeAutospacing="0" w:after="0" w:afterAutospacing="0" w:line="276" w:lineRule="auto"/>
                    <w:ind w:left="0" w:right="0"/>
                    <w:jc w:val="center"/>
                    <w:textAlignment w:val="baseline"/>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贮存场所名称</w:t>
                  </w:r>
                </w:p>
              </w:tc>
              <w:tc>
                <w:tcPr>
                  <w:tcW w:w="1069" w:type="dxa"/>
                  <w:tcBorders>
                    <w:tl2br w:val="nil"/>
                    <w:tr2bl w:val="nil"/>
                  </w:tcBorders>
                  <w:vAlign w:val="center"/>
                </w:tcPr>
                <w:p>
                  <w:pPr>
                    <w:keepNext w:val="0"/>
                    <w:keepLines w:val="0"/>
                    <w:suppressLineNumbers w:val="0"/>
                    <w:autoSpaceDE w:val="0"/>
                    <w:autoSpaceDN w:val="0"/>
                    <w:adjustRightInd w:val="0"/>
                    <w:snapToGrid w:val="0"/>
                    <w:spacing w:before="60" w:beforeAutospacing="0" w:after="0" w:afterAutospacing="0" w:line="276" w:lineRule="auto"/>
                    <w:ind w:left="0" w:right="0"/>
                    <w:jc w:val="center"/>
                    <w:textAlignment w:val="baseline"/>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危废名称</w:t>
                  </w:r>
                </w:p>
              </w:tc>
              <w:tc>
                <w:tcPr>
                  <w:tcW w:w="1124" w:type="dxa"/>
                  <w:tcBorders>
                    <w:tl2br w:val="nil"/>
                    <w:tr2bl w:val="nil"/>
                  </w:tcBorders>
                  <w:vAlign w:val="center"/>
                </w:tcPr>
                <w:p>
                  <w:pPr>
                    <w:keepNext w:val="0"/>
                    <w:keepLines w:val="0"/>
                    <w:suppressLineNumbers w:val="0"/>
                    <w:autoSpaceDE w:val="0"/>
                    <w:autoSpaceDN w:val="0"/>
                    <w:adjustRightInd w:val="0"/>
                    <w:snapToGrid w:val="0"/>
                    <w:spacing w:before="60" w:beforeAutospacing="0" w:after="0" w:afterAutospacing="0" w:line="276" w:lineRule="auto"/>
                    <w:ind w:left="0" w:right="0"/>
                    <w:jc w:val="center"/>
                    <w:textAlignment w:val="baseline"/>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危废类别</w:t>
                  </w:r>
                </w:p>
              </w:tc>
              <w:tc>
                <w:tcPr>
                  <w:tcW w:w="1370" w:type="dxa"/>
                  <w:tcBorders>
                    <w:tl2br w:val="nil"/>
                    <w:tr2bl w:val="nil"/>
                  </w:tcBorders>
                  <w:vAlign w:val="center"/>
                </w:tcPr>
                <w:p>
                  <w:pPr>
                    <w:keepNext w:val="0"/>
                    <w:keepLines w:val="0"/>
                    <w:suppressLineNumbers w:val="0"/>
                    <w:autoSpaceDE w:val="0"/>
                    <w:autoSpaceDN w:val="0"/>
                    <w:adjustRightInd w:val="0"/>
                    <w:snapToGrid w:val="0"/>
                    <w:spacing w:before="60" w:beforeAutospacing="0" w:after="0" w:afterAutospacing="0" w:line="276" w:lineRule="auto"/>
                    <w:ind w:left="0" w:right="0"/>
                    <w:jc w:val="center"/>
                    <w:textAlignment w:val="baseline"/>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危险废物代码</w:t>
                  </w:r>
                </w:p>
              </w:tc>
              <w:tc>
                <w:tcPr>
                  <w:tcW w:w="554" w:type="dxa"/>
                  <w:tcBorders>
                    <w:tl2br w:val="nil"/>
                    <w:tr2bl w:val="nil"/>
                  </w:tcBorders>
                  <w:vAlign w:val="center"/>
                </w:tcPr>
                <w:p>
                  <w:pPr>
                    <w:keepNext w:val="0"/>
                    <w:keepLines w:val="0"/>
                    <w:suppressLineNumbers w:val="0"/>
                    <w:autoSpaceDE w:val="0"/>
                    <w:autoSpaceDN w:val="0"/>
                    <w:adjustRightInd w:val="0"/>
                    <w:snapToGrid w:val="0"/>
                    <w:spacing w:before="60" w:beforeAutospacing="0" w:after="0" w:afterAutospacing="0" w:line="276" w:lineRule="auto"/>
                    <w:ind w:left="0" w:right="0"/>
                    <w:jc w:val="center"/>
                    <w:textAlignment w:val="baseline"/>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位置</w:t>
                  </w:r>
                </w:p>
              </w:tc>
              <w:tc>
                <w:tcPr>
                  <w:tcW w:w="689" w:type="dxa"/>
                  <w:tcBorders>
                    <w:tl2br w:val="nil"/>
                    <w:tr2bl w:val="nil"/>
                  </w:tcBorders>
                  <w:vAlign w:val="center"/>
                </w:tcPr>
                <w:p>
                  <w:pPr>
                    <w:keepNext w:val="0"/>
                    <w:keepLines w:val="0"/>
                    <w:suppressLineNumbers w:val="0"/>
                    <w:autoSpaceDE w:val="0"/>
                    <w:autoSpaceDN w:val="0"/>
                    <w:adjustRightInd w:val="0"/>
                    <w:snapToGrid w:val="0"/>
                    <w:spacing w:before="60" w:beforeAutospacing="0" w:after="0" w:afterAutospacing="0" w:line="276" w:lineRule="auto"/>
                    <w:ind w:left="0" w:right="0"/>
                    <w:jc w:val="center"/>
                    <w:textAlignment w:val="baseline"/>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占地面积</w:t>
                  </w:r>
                </w:p>
              </w:tc>
              <w:tc>
                <w:tcPr>
                  <w:tcW w:w="693" w:type="dxa"/>
                  <w:tcBorders>
                    <w:tl2br w:val="nil"/>
                    <w:tr2bl w:val="nil"/>
                  </w:tcBorders>
                  <w:vAlign w:val="center"/>
                </w:tcPr>
                <w:p>
                  <w:pPr>
                    <w:keepNext w:val="0"/>
                    <w:keepLines w:val="0"/>
                    <w:suppressLineNumbers w:val="0"/>
                    <w:autoSpaceDE w:val="0"/>
                    <w:autoSpaceDN w:val="0"/>
                    <w:adjustRightInd w:val="0"/>
                    <w:snapToGrid w:val="0"/>
                    <w:spacing w:before="60" w:beforeAutospacing="0" w:after="0" w:afterAutospacing="0" w:line="276" w:lineRule="auto"/>
                    <w:ind w:left="0" w:right="0"/>
                    <w:jc w:val="center"/>
                    <w:textAlignment w:val="baseline"/>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贮存方式</w:t>
                  </w:r>
                </w:p>
              </w:tc>
              <w:tc>
                <w:tcPr>
                  <w:tcW w:w="690" w:type="dxa"/>
                  <w:tcBorders>
                    <w:tl2br w:val="nil"/>
                    <w:tr2bl w:val="nil"/>
                  </w:tcBorders>
                  <w:vAlign w:val="center"/>
                </w:tcPr>
                <w:p>
                  <w:pPr>
                    <w:keepNext w:val="0"/>
                    <w:keepLines w:val="0"/>
                    <w:suppressLineNumbers w:val="0"/>
                    <w:autoSpaceDE w:val="0"/>
                    <w:autoSpaceDN w:val="0"/>
                    <w:adjustRightInd w:val="0"/>
                    <w:snapToGrid w:val="0"/>
                    <w:spacing w:before="60" w:beforeAutospacing="0" w:after="0" w:afterAutospacing="0" w:line="276" w:lineRule="auto"/>
                    <w:ind w:left="0" w:right="0"/>
                    <w:jc w:val="center"/>
                    <w:textAlignment w:val="baseline"/>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贮存</w:t>
                  </w:r>
                </w:p>
                <w:p>
                  <w:pPr>
                    <w:keepNext w:val="0"/>
                    <w:keepLines w:val="0"/>
                    <w:suppressLineNumbers w:val="0"/>
                    <w:autoSpaceDE w:val="0"/>
                    <w:autoSpaceDN w:val="0"/>
                    <w:adjustRightInd w:val="0"/>
                    <w:snapToGrid w:val="0"/>
                    <w:spacing w:before="60" w:beforeAutospacing="0" w:after="0" w:afterAutospacing="0" w:line="276" w:lineRule="auto"/>
                    <w:ind w:left="0" w:right="0"/>
                    <w:jc w:val="center"/>
                    <w:textAlignment w:val="baseline"/>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能力</w:t>
                  </w:r>
                </w:p>
              </w:tc>
              <w:tc>
                <w:tcPr>
                  <w:tcW w:w="712" w:type="dxa"/>
                  <w:tcBorders>
                    <w:tl2br w:val="nil"/>
                    <w:tr2bl w:val="nil"/>
                  </w:tcBorders>
                  <w:vAlign w:val="center"/>
                </w:tcPr>
                <w:p>
                  <w:pPr>
                    <w:keepNext w:val="0"/>
                    <w:keepLines w:val="0"/>
                    <w:suppressLineNumbers w:val="0"/>
                    <w:autoSpaceDE w:val="0"/>
                    <w:autoSpaceDN w:val="0"/>
                    <w:adjustRightInd w:val="0"/>
                    <w:snapToGrid w:val="0"/>
                    <w:spacing w:before="60" w:beforeAutospacing="0" w:after="0" w:afterAutospacing="0" w:line="276" w:lineRule="auto"/>
                    <w:ind w:left="0" w:right="0"/>
                    <w:jc w:val="center"/>
                    <w:textAlignment w:val="baseline"/>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贮存周期</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85" w:type="dxa"/>
                  <w:bottom w:w="0" w:type="dxa"/>
                  <w:right w:w="85" w:type="dxa"/>
                </w:tblCellMar>
              </w:tblPrEx>
              <w:trPr>
                <w:trHeight w:val="544" w:hRule="atLeast"/>
                <w:jc w:val="center"/>
              </w:trPr>
              <w:tc>
                <w:tcPr>
                  <w:tcW w:w="403" w:type="dxa"/>
                  <w:tcBorders>
                    <w:tl2br w:val="nil"/>
                    <w:tr2bl w:val="nil"/>
                  </w:tcBorders>
                  <w:vAlign w:val="center"/>
                </w:tcPr>
                <w:p>
                  <w:pPr>
                    <w:keepNext w:val="0"/>
                    <w:keepLines w:val="0"/>
                    <w:suppressLineNumbers w:val="0"/>
                    <w:autoSpaceDE w:val="0"/>
                    <w:autoSpaceDN w:val="0"/>
                    <w:adjustRightInd w:val="0"/>
                    <w:snapToGrid w:val="0"/>
                    <w:spacing w:before="60" w:beforeAutospacing="0" w:after="0" w:afterAutospacing="0" w:line="276" w:lineRule="auto"/>
                    <w:ind w:left="0" w:right="0"/>
                    <w:jc w:val="center"/>
                    <w:textAlignment w:val="baseline"/>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1</w:t>
                  </w:r>
                </w:p>
              </w:tc>
              <w:tc>
                <w:tcPr>
                  <w:tcW w:w="1054" w:type="dxa"/>
                  <w:vMerge w:val="restart"/>
                  <w:tcBorders>
                    <w:tl2br w:val="nil"/>
                    <w:tr2bl w:val="nil"/>
                  </w:tcBorders>
                  <w:vAlign w:val="center"/>
                </w:tcPr>
                <w:p>
                  <w:pPr>
                    <w:keepNext w:val="0"/>
                    <w:keepLines w:val="0"/>
                    <w:suppressLineNumbers w:val="0"/>
                    <w:autoSpaceDE w:val="0"/>
                    <w:autoSpaceDN w:val="0"/>
                    <w:adjustRightInd w:val="0"/>
                    <w:snapToGrid w:val="0"/>
                    <w:spacing w:before="60" w:beforeAutospacing="0" w:after="0" w:afterAutospacing="0" w:line="276" w:lineRule="auto"/>
                    <w:ind w:left="0" w:right="0"/>
                    <w:jc w:val="center"/>
                    <w:textAlignment w:val="baseline"/>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危废暂存间</w:t>
                  </w:r>
                </w:p>
              </w:tc>
              <w:tc>
                <w:tcPr>
                  <w:tcW w:w="1069"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eastAsia="zh-CN"/>
                    </w:rPr>
                    <w:t>二次</w:t>
                  </w:r>
                  <w:r>
                    <w:rPr>
                      <w:rFonts w:hint="default" w:ascii="Times New Roman" w:hAnsi="Times New Roman" w:cs="Times New Roman"/>
                      <w:color w:val="auto"/>
                      <w:sz w:val="21"/>
                      <w:szCs w:val="21"/>
                      <w:lang w:eastAsia="zh-CN"/>
                    </w:rPr>
                    <w:t>熔炼渣</w:t>
                  </w:r>
                </w:p>
              </w:tc>
              <w:tc>
                <w:tcPr>
                  <w:tcW w:w="1124" w:type="dxa"/>
                  <w:tcBorders>
                    <w:tl2br w:val="nil"/>
                    <w:tr2bl w:val="nil"/>
                  </w:tcBorders>
                  <w:vAlign w:val="center"/>
                </w:tcPr>
                <w:p>
                  <w:pPr>
                    <w:keepNext w:val="0"/>
                    <w:keepLines w:val="0"/>
                    <w:suppressLineNumbers w:val="0"/>
                    <w:topLinePunct/>
                    <w:adjustRightInd w:val="0"/>
                    <w:snapToGrid w:val="0"/>
                    <w:spacing w:before="0" w:beforeAutospacing="0" w:after="0" w:afterAutospacing="0"/>
                    <w:ind w:left="0" w:right="0"/>
                    <w:jc w:val="center"/>
                    <w:rPr>
                      <w:rFonts w:hint="eastAsia"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val="en-US" w:eastAsia="zh-CN"/>
                    </w:rPr>
                    <w:t>HW48</w:t>
                  </w:r>
                </w:p>
              </w:tc>
              <w:tc>
                <w:tcPr>
                  <w:tcW w:w="1370" w:type="dxa"/>
                  <w:tcBorders>
                    <w:tl2br w:val="nil"/>
                    <w:tr2bl w:val="nil"/>
                  </w:tcBorders>
                  <w:vAlign w:val="center"/>
                </w:tcPr>
                <w:p>
                  <w:pPr>
                    <w:keepNext w:val="0"/>
                    <w:keepLines w:val="0"/>
                    <w:suppressLineNumbers w:val="0"/>
                    <w:topLinePunct/>
                    <w:adjustRightInd w:val="0"/>
                    <w:snapToGrid w:val="0"/>
                    <w:spacing w:before="0" w:beforeAutospacing="0" w:after="0" w:afterAutospacing="0"/>
                    <w:ind w:left="0" w:right="0"/>
                    <w:jc w:val="center"/>
                    <w:rPr>
                      <w:rFonts w:hint="eastAsia"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val="en-US" w:eastAsia="zh-CN"/>
                    </w:rPr>
                    <w:t>321-026-48</w:t>
                  </w:r>
                </w:p>
              </w:tc>
              <w:tc>
                <w:tcPr>
                  <w:tcW w:w="554" w:type="dxa"/>
                  <w:vMerge w:val="restart"/>
                  <w:tcBorders>
                    <w:tl2br w:val="nil"/>
                    <w:tr2bl w:val="nil"/>
                  </w:tcBorders>
                  <w:vAlign w:val="center"/>
                </w:tcPr>
                <w:p>
                  <w:pPr>
                    <w:keepNext w:val="0"/>
                    <w:keepLines w:val="0"/>
                    <w:suppressLineNumbers w:val="0"/>
                    <w:autoSpaceDE w:val="0"/>
                    <w:autoSpaceDN w:val="0"/>
                    <w:adjustRightInd w:val="0"/>
                    <w:snapToGrid w:val="0"/>
                    <w:spacing w:before="60" w:beforeAutospacing="0" w:after="0" w:afterAutospacing="0" w:line="276" w:lineRule="auto"/>
                    <w:ind w:left="0" w:right="0"/>
                    <w:jc w:val="center"/>
                    <w:textAlignment w:val="baseline"/>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cs="Times New Roman"/>
                      <w:color w:val="auto"/>
                      <w:kern w:val="0"/>
                      <w:sz w:val="21"/>
                      <w:szCs w:val="21"/>
                      <w:highlight w:val="none"/>
                      <w:lang w:val="en-US" w:eastAsia="zh-CN"/>
                    </w:rPr>
                    <w:t>厂区西北部</w:t>
                  </w:r>
                </w:p>
              </w:tc>
              <w:tc>
                <w:tcPr>
                  <w:tcW w:w="689" w:type="dxa"/>
                  <w:vMerge w:val="restart"/>
                  <w:tcBorders>
                    <w:tl2br w:val="nil"/>
                    <w:tr2bl w:val="nil"/>
                  </w:tcBorders>
                  <w:vAlign w:val="center"/>
                </w:tcPr>
                <w:p>
                  <w:pPr>
                    <w:keepNext w:val="0"/>
                    <w:keepLines w:val="0"/>
                    <w:suppressLineNumbers w:val="0"/>
                    <w:autoSpaceDE w:val="0"/>
                    <w:autoSpaceDN w:val="0"/>
                    <w:adjustRightInd w:val="0"/>
                    <w:snapToGrid w:val="0"/>
                    <w:spacing w:before="60" w:beforeAutospacing="0" w:after="0" w:afterAutospacing="0" w:line="276" w:lineRule="auto"/>
                    <w:ind w:left="0" w:right="0"/>
                    <w:jc w:val="center"/>
                    <w:textAlignment w:val="baseline"/>
                    <w:rPr>
                      <w:rFonts w:hint="default" w:ascii="Times New Roman" w:hAnsi="Times New Roman" w:cs="Times New Roman"/>
                      <w:color w:val="auto"/>
                      <w:kern w:val="0"/>
                      <w:sz w:val="21"/>
                      <w:szCs w:val="21"/>
                      <w:highlight w:val="none"/>
                    </w:rPr>
                  </w:pPr>
                  <w:r>
                    <w:rPr>
                      <w:rFonts w:hint="eastAsia" w:ascii="Times New Roman" w:hAnsi="Times New Roman" w:cs="Times New Roman"/>
                      <w:color w:val="auto"/>
                      <w:kern w:val="0"/>
                      <w:sz w:val="21"/>
                      <w:szCs w:val="21"/>
                      <w:highlight w:val="none"/>
                      <w:lang w:val="en-US" w:eastAsia="zh-CN"/>
                    </w:rPr>
                    <w:t>70</w:t>
                  </w:r>
                  <w:r>
                    <w:rPr>
                      <w:rFonts w:hint="default" w:ascii="Times New Roman" w:hAnsi="Times New Roman" w:cs="Times New Roman"/>
                      <w:color w:val="auto"/>
                      <w:kern w:val="0"/>
                      <w:sz w:val="21"/>
                      <w:szCs w:val="21"/>
                      <w:highlight w:val="none"/>
                    </w:rPr>
                    <w:t>m</w:t>
                  </w:r>
                  <w:r>
                    <w:rPr>
                      <w:rFonts w:hint="default" w:ascii="Times New Roman" w:hAnsi="Times New Roman" w:cs="Times New Roman"/>
                      <w:color w:val="auto"/>
                      <w:kern w:val="0"/>
                      <w:sz w:val="21"/>
                      <w:szCs w:val="21"/>
                      <w:highlight w:val="none"/>
                      <w:vertAlign w:val="superscript"/>
                    </w:rPr>
                    <w:t>2</w:t>
                  </w:r>
                </w:p>
              </w:tc>
              <w:tc>
                <w:tcPr>
                  <w:tcW w:w="693" w:type="dxa"/>
                  <w:vMerge w:val="restart"/>
                  <w:tcBorders>
                    <w:tl2br w:val="nil"/>
                    <w:tr2bl w:val="nil"/>
                  </w:tcBorders>
                  <w:vAlign w:val="center"/>
                </w:tcPr>
                <w:p>
                  <w:pPr>
                    <w:keepNext w:val="0"/>
                    <w:keepLines w:val="0"/>
                    <w:suppressLineNumbers w:val="0"/>
                    <w:autoSpaceDE w:val="0"/>
                    <w:autoSpaceDN w:val="0"/>
                    <w:adjustRightInd w:val="0"/>
                    <w:snapToGrid w:val="0"/>
                    <w:spacing w:before="60" w:beforeAutospacing="0" w:after="0" w:afterAutospacing="0" w:line="276" w:lineRule="auto"/>
                    <w:ind w:left="0" w:right="0"/>
                    <w:jc w:val="center"/>
                    <w:textAlignment w:val="baseline"/>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专用密闭容器</w:t>
                  </w:r>
                </w:p>
              </w:tc>
              <w:tc>
                <w:tcPr>
                  <w:tcW w:w="690" w:type="dxa"/>
                  <w:vMerge w:val="restart"/>
                  <w:tcBorders>
                    <w:tl2br w:val="nil"/>
                    <w:tr2bl w:val="nil"/>
                  </w:tcBorders>
                  <w:vAlign w:val="center"/>
                </w:tcPr>
                <w:p>
                  <w:pPr>
                    <w:keepNext w:val="0"/>
                    <w:keepLines w:val="0"/>
                    <w:suppressLineNumbers w:val="0"/>
                    <w:topLinePunct/>
                    <w:autoSpaceDE w:val="0"/>
                    <w:autoSpaceDN w:val="0"/>
                    <w:adjustRightInd w:val="0"/>
                    <w:snapToGrid w:val="0"/>
                    <w:spacing w:before="0" w:beforeAutospacing="0" w:after="0" w:afterAutospacing="0"/>
                    <w:ind w:left="0" w:right="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140t</w:t>
                  </w:r>
                </w:p>
              </w:tc>
              <w:tc>
                <w:tcPr>
                  <w:tcW w:w="712" w:type="dxa"/>
                  <w:vMerge w:val="restart"/>
                  <w:tcBorders>
                    <w:tl2br w:val="nil"/>
                    <w:tr2bl w:val="nil"/>
                  </w:tcBorders>
                  <w:vAlign w:val="center"/>
                </w:tcPr>
                <w:p>
                  <w:pPr>
                    <w:keepNext w:val="0"/>
                    <w:keepLines w:val="0"/>
                    <w:suppressLineNumbers w:val="0"/>
                    <w:topLinePunct/>
                    <w:autoSpaceDE w:val="0"/>
                    <w:autoSpaceDN w:val="0"/>
                    <w:adjustRightInd w:val="0"/>
                    <w:snapToGrid w:val="0"/>
                    <w:spacing w:before="0" w:beforeAutospacing="0" w:after="0" w:afterAutospacing="0"/>
                    <w:ind w:left="0" w:right="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不超1年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85" w:type="dxa"/>
                  <w:bottom w:w="0" w:type="dxa"/>
                  <w:right w:w="85" w:type="dxa"/>
                </w:tblCellMar>
              </w:tblPrEx>
              <w:trPr>
                <w:trHeight w:val="544" w:hRule="atLeast"/>
                <w:jc w:val="center"/>
              </w:trPr>
              <w:tc>
                <w:tcPr>
                  <w:tcW w:w="403" w:type="dxa"/>
                  <w:tcBorders>
                    <w:tl2br w:val="nil"/>
                    <w:tr2bl w:val="nil"/>
                  </w:tcBorders>
                  <w:vAlign w:val="center"/>
                </w:tcPr>
                <w:p>
                  <w:pPr>
                    <w:keepNext w:val="0"/>
                    <w:keepLines w:val="0"/>
                    <w:suppressLineNumbers w:val="0"/>
                    <w:autoSpaceDE w:val="0"/>
                    <w:autoSpaceDN w:val="0"/>
                    <w:adjustRightInd w:val="0"/>
                    <w:snapToGrid w:val="0"/>
                    <w:spacing w:before="60" w:beforeAutospacing="0" w:after="0" w:afterAutospacing="0" w:line="276" w:lineRule="auto"/>
                    <w:ind w:left="0" w:right="0"/>
                    <w:jc w:val="center"/>
                    <w:textAlignment w:val="baseline"/>
                    <w:rPr>
                      <w:rFonts w:hint="default" w:ascii="Times New Roman" w:hAnsi="Times New Roman" w:cs="Times New Roman"/>
                      <w:b/>
                      <w:bCs/>
                      <w:color w:val="auto"/>
                      <w:kern w:val="0"/>
                      <w:sz w:val="21"/>
                      <w:szCs w:val="21"/>
                      <w:highlight w:val="none"/>
                    </w:rPr>
                  </w:pPr>
                  <w:r>
                    <w:rPr>
                      <w:rFonts w:hint="default" w:ascii="Times New Roman" w:hAnsi="Times New Roman" w:cs="Times New Roman"/>
                      <w:color w:val="auto"/>
                      <w:kern w:val="0"/>
                      <w:sz w:val="21"/>
                      <w:szCs w:val="21"/>
                      <w:highlight w:val="none"/>
                    </w:rPr>
                    <w:t>2</w:t>
                  </w:r>
                </w:p>
              </w:tc>
              <w:tc>
                <w:tcPr>
                  <w:tcW w:w="1054" w:type="dxa"/>
                  <w:vMerge w:val="continue"/>
                  <w:tcBorders>
                    <w:tl2br w:val="nil"/>
                    <w:tr2bl w:val="nil"/>
                  </w:tcBorders>
                  <w:vAlign w:val="center"/>
                </w:tcPr>
                <w:p>
                  <w:pPr>
                    <w:keepNext w:val="0"/>
                    <w:keepLines w:val="0"/>
                    <w:suppressLineNumbers w:val="0"/>
                    <w:autoSpaceDE w:val="0"/>
                    <w:autoSpaceDN w:val="0"/>
                    <w:adjustRightInd w:val="0"/>
                    <w:snapToGrid w:val="0"/>
                    <w:spacing w:before="60" w:beforeAutospacing="0" w:after="0" w:afterAutospacing="0" w:line="276" w:lineRule="auto"/>
                    <w:ind w:left="0" w:right="0"/>
                    <w:jc w:val="center"/>
                    <w:textAlignment w:val="baseline"/>
                    <w:rPr>
                      <w:rFonts w:hint="default" w:ascii="Times New Roman" w:hAnsi="Times New Roman" w:cs="Times New Roman"/>
                      <w:color w:val="auto"/>
                      <w:kern w:val="0"/>
                      <w:sz w:val="21"/>
                      <w:szCs w:val="21"/>
                      <w:highlight w:val="none"/>
                    </w:rPr>
                  </w:pPr>
                </w:p>
              </w:tc>
              <w:tc>
                <w:tcPr>
                  <w:tcW w:w="1069"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 w:val="21"/>
                      <w:szCs w:val="21"/>
                      <w:lang w:eastAsia="zh-CN"/>
                    </w:rPr>
                    <w:t>除尘灰</w:t>
                  </w:r>
                </w:p>
              </w:tc>
              <w:tc>
                <w:tcPr>
                  <w:tcW w:w="1124" w:type="dxa"/>
                  <w:tcBorders>
                    <w:tl2br w:val="nil"/>
                    <w:tr2bl w:val="nil"/>
                  </w:tcBorders>
                  <w:vAlign w:val="center"/>
                </w:tcPr>
                <w:p>
                  <w:pPr>
                    <w:keepNext w:val="0"/>
                    <w:keepLines w:val="0"/>
                    <w:suppressLineNumbers w:val="0"/>
                    <w:topLinePunct/>
                    <w:adjustRightInd w:val="0"/>
                    <w:snapToGrid w:val="0"/>
                    <w:spacing w:before="0" w:beforeAutospacing="0" w:after="0" w:afterAutospacing="0"/>
                    <w:ind w:left="0" w:right="0"/>
                    <w:jc w:val="center"/>
                    <w:rPr>
                      <w:rFonts w:hint="eastAsia"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val="en-US" w:eastAsia="zh-CN"/>
                    </w:rPr>
                    <w:t>HW48</w:t>
                  </w:r>
                </w:p>
              </w:tc>
              <w:tc>
                <w:tcPr>
                  <w:tcW w:w="1370" w:type="dxa"/>
                  <w:tcBorders>
                    <w:tl2br w:val="nil"/>
                    <w:tr2bl w:val="nil"/>
                  </w:tcBorders>
                  <w:vAlign w:val="center"/>
                </w:tcPr>
                <w:p>
                  <w:pPr>
                    <w:keepNext w:val="0"/>
                    <w:keepLines w:val="0"/>
                    <w:suppressLineNumbers w:val="0"/>
                    <w:topLinePunct/>
                    <w:adjustRightInd w:val="0"/>
                    <w:snapToGrid w:val="0"/>
                    <w:spacing w:before="0" w:beforeAutospacing="0" w:after="0" w:afterAutospacing="0"/>
                    <w:ind w:left="0" w:right="0"/>
                    <w:jc w:val="center"/>
                    <w:rPr>
                      <w:rFonts w:hint="eastAsia"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val="en-US" w:eastAsia="zh-CN"/>
                    </w:rPr>
                    <w:t>321-034-48</w:t>
                  </w:r>
                </w:p>
              </w:tc>
              <w:tc>
                <w:tcPr>
                  <w:tcW w:w="554" w:type="dxa"/>
                  <w:vMerge w:val="continue"/>
                  <w:tcBorders>
                    <w:tl2br w:val="nil"/>
                    <w:tr2bl w:val="nil"/>
                  </w:tcBorders>
                  <w:vAlign w:val="center"/>
                </w:tcPr>
                <w:p>
                  <w:pPr>
                    <w:keepNext w:val="0"/>
                    <w:keepLines w:val="0"/>
                    <w:suppressLineNumbers w:val="0"/>
                    <w:autoSpaceDE w:val="0"/>
                    <w:autoSpaceDN w:val="0"/>
                    <w:adjustRightInd w:val="0"/>
                    <w:snapToGrid w:val="0"/>
                    <w:spacing w:before="60" w:beforeAutospacing="0" w:after="0" w:afterAutospacing="0" w:line="276" w:lineRule="auto"/>
                    <w:ind w:left="0" w:right="0"/>
                    <w:jc w:val="center"/>
                    <w:textAlignment w:val="baseline"/>
                    <w:rPr>
                      <w:rFonts w:hint="default" w:ascii="Times New Roman" w:hAnsi="Times New Roman" w:cs="Times New Roman"/>
                      <w:color w:val="auto"/>
                      <w:kern w:val="0"/>
                      <w:sz w:val="21"/>
                      <w:szCs w:val="21"/>
                      <w:highlight w:val="none"/>
                    </w:rPr>
                  </w:pPr>
                </w:p>
              </w:tc>
              <w:tc>
                <w:tcPr>
                  <w:tcW w:w="689" w:type="dxa"/>
                  <w:vMerge w:val="continue"/>
                  <w:tcBorders>
                    <w:tl2br w:val="nil"/>
                    <w:tr2bl w:val="nil"/>
                  </w:tcBorders>
                  <w:vAlign w:val="center"/>
                </w:tcPr>
                <w:p>
                  <w:pPr>
                    <w:keepNext w:val="0"/>
                    <w:keepLines w:val="0"/>
                    <w:suppressLineNumbers w:val="0"/>
                    <w:autoSpaceDE w:val="0"/>
                    <w:autoSpaceDN w:val="0"/>
                    <w:adjustRightInd w:val="0"/>
                    <w:snapToGrid w:val="0"/>
                    <w:spacing w:before="60" w:beforeAutospacing="0" w:after="0" w:afterAutospacing="0" w:line="276" w:lineRule="auto"/>
                    <w:ind w:left="0" w:right="0"/>
                    <w:jc w:val="center"/>
                    <w:textAlignment w:val="baseline"/>
                    <w:rPr>
                      <w:rFonts w:hint="default" w:ascii="Times New Roman" w:hAnsi="Times New Roman" w:cs="Times New Roman"/>
                      <w:color w:val="auto"/>
                      <w:kern w:val="0"/>
                      <w:sz w:val="21"/>
                      <w:szCs w:val="21"/>
                      <w:highlight w:val="none"/>
                    </w:rPr>
                  </w:pPr>
                </w:p>
              </w:tc>
              <w:tc>
                <w:tcPr>
                  <w:tcW w:w="693" w:type="dxa"/>
                  <w:vMerge w:val="continue"/>
                  <w:tcBorders>
                    <w:tl2br w:val="nil"/>
                    <w:tr2bl w:val="nil"/>
                  </w:tcBorders>
                  <w:vAlign w:val="center"/>
                </w:tcPr>
                <w:p>
                  <w:pPr>
                    <w:keepNext w:val="0"/>
                    <w:keepLines w:val="0"/>
                    <w:suppressLineNumbers w:val="0"/>
                    <w:autoSpaceDE w:val="0"/>
                    <w:autoSpaceDN w:val="0"/>
                    <w:adjustRightInd w:val="0"/>
                    <w:snapToGrid w:val="0"/>
                    <w:spacing w:before="60" w:beforeAutospacing="0" w:after="0" w:afterAutospacing="0" w:line="276" w:lineRule="auto"/>
                    <w:ind w:left="0" w:right="0"/>
                    <w:jc w:val="center"/>
                    <w:textAlignment w:val="baseline"/>
                    <w:rPr>
                      <w:rFonts w:hint="default" w:ascii="Times New Roman" w:hAnsi="Times New Roman" w:cs="Times New Roman"/>
                      <w:color w:val="auto"/>
                      <w:kern w:val="0"/>
                      <w:sz w:val="21"/>
                      <w:szCs w:val="21"/>
                      <w:highlight w:val="none"/>
                    </w:rPr>
                  </w:pPr>
                </w:p>
              </w:tc>
              <w:tc>
                <w:tcPr>
                  <w:tcW w:w="690" w:type="dxa"/>
                  <w:vMerge w:val="continue"/>
                  <w:tcBorders>
                    <w:tl2br w:val="nil"/>
                    <w:tr2bl w:val="nil"/>
                  </w:tcBorders>
                  <w:vAlign w:val="center"/>
                </w:tcPr>
                <w:p>
                  <w:pPr>
                    <w:keepNext w:val="0"/>
                    <w:keepLines w:val="0"/>
                    <w:suppressLineNumbers w:val="0"/>
                    <w:topLinePunct/>
                    <w:autoSpaceDE w:val="0"/>
                    <w:autoSpaceDN w:val="0"/>
                    <w:adjustRightInd w:val="0"/>
                    <w:snapToGrid w:val="0"/>
                    <w:spacing w:before="0" w:beforeAutospacing="0" w:after="0" w:afterAutospacing="0"/>
                    <w:ind w:left="0" w:right="0"/>
                    <w:jc w:val="center"/>
                    <w:textAlignment w:val="baseline"/>
                    <w:rPr>
                      <w:rFonts w:hint="default" w:ascii="Times New Roman" w:hAnsi="Times New Roman" w:eastAsia="宋体" w:cs="Times New Roman"/>
                      <w:color w:val="auto"/>
                      <w:sz w:val="21"/>
                      <w:szCs w:val="21"/>
                      <w:highlight w:val="none"/>
                      <w:lang w:val="en-US" w:eastAsia="zh-CN"/>
                    </w:rPr>
                  </w:pPr>
                </w:p>
              </w:tc>
              <w:tc>
                <w:tcPr>
                  <w:tcW w:w="712" w:type="dxa"/>
                  <w:vMerge w:val="continue"/>
                  <w:tcBorders>
                    <w:tl2br w:val="nil"/>
                    <w:tr2bl w:val="nil"/>
                  </w:tcBorders>
                  <w:vAlign w:val="center"/>
                </w:tcPr>
                <w:p>
                  <w:pPr>
                    <w:keepNext w:val="0"/>
                    <w:keepLines w:val="0"/>
                    <w:suppressLineNumbers w:val="0"/>
                    <w:topLinePunct/>
                    <w:autoSpaceDE w:val="0"/>
                    <w:autoSpaceDN w:val="0"/>
                    <w:adjustRightInd w:val="0"/>
                    <w:snapToGrid w:val="0"/>
                    <w:spacing w:before="0" w:beforeAutospacing="0" w:after="0" w:afterAutospacing="0"/>
                    <w:ind w:left="0" w:right="0"/>
                    <w:jc w:val="center"/>
                    <w:textAlignment w:val="baseline"/>
                    <w:rPr>
                      <w:rFonts w:hint="default" w:ascii="Times New Roman" w:hAnsi="Times New Roman" w:eastAsia="宋体" w:cs="Times New Roman"/>
                      <w:color w:val="auto"/>
                      <w:sz w:val="21"/>
                      <w:szCs w:val="21"/>
                      <w:highlight w:val="no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85" w:type="dxa"/>
                  <w:bottom w:w="0" w:type="dxa"/>
                  <w:right w:w="85" w:type="dxa"/>
                </w:tblCellMar>
              </w:tblPrEx>
              <w:trPr>
                <w:trHeight w:val="544" w:hRule="atLeast"/>
                <w:jc w:val="center"/>
              </w:trPr>
              <w:tc>
                <w:tcPr>
                  <w:tcW w:w="403" w:type="dxa"/>
                  <w:tcBorders>
                    <w:tl2br w:val="nil"/>
                    <w:tr2bl w:val="nil"/>
                  </w:tcBorders>
                  <w:vAlign w:val="center"/>
                </w:tcPr>
                <w:p>
                  <w:pPr>
                    <w:keepNext w:val="0"/>
                    <w:keepLines w:val="0"/>
                    <w:suppressLineNumbers w:val="0"/>
                    <w:autoSpaceDE w:val="0"/>
                    <w:autoSpaceDN w:val="0"/>
                    <w:adjustRightInd w:val="0"/>
                    <w:snapToGrid w:val="0"/>
                    <w:spacing w:before="60" w:beforeAutospacing="0" w:after="0" w:afterAutospacing="0" w:line="276" w:lineRule="auto"/>
                    <w:ind w:left="0" w:right="0"/>
                    <w:jc w:val="center"/>
                    <w:textAlignment w:val="baseline"/>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cs="Times New Roman"/>
                      <w:color w:val="auto"/>
                      <w:kern w:val="0"/>
                      <w:sz w:val="21"/>
                      <w:szCs w:val="21"/>
                      <w:highlight w:val="none"/>
                      <w:lang w:val="en-US" w:eastAsia="zh-CN"/>
                    </w:rPr>
                    <w:t>3</w:t>
                  </w:r>
                </w:p>
              </w:tc>
              <w:tc>
                <w:tcPr>
                  <w:tcW w:w="1054" w:type="dxa"/>
                  <w:vMerge w:val="continue"/>
                  <w:tcBorders>
                    <w:tl2br w:val="nil"/>
                    <w:tr2bl w:val="nil"/>
                  </w:tcBorders>
                  <w:vAlign w:val="center"/>
                </w:tcPr>
                <w:p>
                  <w:pPr>
                    <w:keepNext w:val="0"/>
                    <w:keepLines w:val="0"/>
                    <w:suppressLineNumbers w:val="0"/>
                    <w:autoSpaceDE w:val="0"/>
                    <w:autoSpaceDN w:val="0"/>
                    <w:adjustRightInd w:val="0"/>
                    <w:snapToGrid w:val="0"/>
                    <w:spacing w:before="60" w:beforeAutospacing="0" w:after="0" w:afterAutospacing="0" w:line="276" w:lineRule="auto"/>
                    <w:ind w:left="0" w:right="0"/>
                    <w:jc w:val="center"/>
                    <w:textAlignment w:val="baseline"/>
                    <w:rPr>
                      <w:rFonts w:hint="default" w:ascii="Times New Roman" w:hAnsi="Times New Roman" w:cs="Times New Roman"/>
                      <w:color w:val="auto"/>
                      <w:kern w:val="0"/>
                      <w:sz w:val="21"/>
                      <w:szCs w:val="21"/>
                      <w:highlight w:val="none"/>
                    </w:rPr>
                  </w:pPr>
                </w:p>
              </w:tc>
              <w:tc>
                <w:tcPr>
                  <w:tcW w:w="1069"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废除尘滤袋</w:t>
                  </w:r>
                </w:p>
              </w:tc>
              <w:tc>
                <w:tcPr>
                  <w:tcW w:w="1124" w:type="dxa"/>
                  <w:tcBorders>
                    <w:tl2br w:val="nil"/>
                    <w:tr2bl w:val="nil"/>
                  </w:tcBorders>
                  <w:vAlign w:val="center"/>
                </w:tcPr>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HW49</w:t>
                  </w:r>
                </w:p>
              </w:tc>
              <w:tc>
                <w:tcPr>
                  <w:tcW w:w="1370" w:type="dxa"/>
                  <w:tcBorders>
                    <w:tl2br w:val="nil"/>
                    <w:tr2bl w:val="nil"/>
                  </w:tcBorders>
                  <w:vAlign w:val="center"/>
                </w:tcPr>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900-041-49</w:t>
                  </w:r>
                </w:p>
              </w:tc>
              <w:tc>
                <w:tcPr>
                  <w:tcW w:w="554" w:type="dxa"/>
                  <w:vMerge w:val="continue"/>
                  <w:tcBorders>
                    <w:tl2br w:val="nil"/>
                    <w:tr2bl w:val="nil"/>
                  </w:tcBorders>
                  <w:vAlign w:val="center"/>
                </w:tcPr>
                <w:p>
                  <w:pPr>
                    <w:keepNext w:val="0"/>
                    <w:keepLines w:val="0"/>
                    <w:suppressLineNumbers w:val="0"/>
                    <w:autoSpaceDE w:val="0"/>
                    <w:autoSpaceDN w:val="0"/>
                    <w:adjustRightInd w:val="0"/>
                    <w:snapToGrid w:val="0"/>
                    <w:spacing w:before="60" w:beforeAutospacing="0" w:after="0" w:afterAutospacing="0" w:line="276" w:lineRule="auto"/>
                    <w:ind w:left="0" w:right="0"/>
                    <w:jc w:val="center"/>
                    <w:textAlignment w:val="baseline"/>
                    <w:rPr>
                      <w:rFonts w:hint="default" w:ascii="Times New Roman" w:hAnsi="Times New Roman" w:cs="Times New Roman"/>
                      <w:color w:val="auto"/>
                      <w:kern w:val="0"/>
                      <w:sz w:val="21"/>
                      <w:szCs w:val="21"/>
                      <w:highlight w:val="none"/>
                    </w:rPr>
                  </w:pPr>
                </w:p>
              </w:tc>
              <w:tc>
                <w:tcPr>
                  <w:tcW w:w="689" w:type="dxa"/>
                  <w:vMerge w:val="continue"/>
                  <w:tcBorders>
                    <w:tl2br w:val="nil"/>
                    <w:tr2bl w:val="nil"/>
                  </w:tcBorders>
                  <w:vAlign w:val="center"/>
                </w:tcPr>
                <w:p>
                  <w:pPr>
                    <w:keepNext w:val="0"/>
                    <w:keepLines w:val="0"/>
                    <w:suppressLineNumbers w:val="0"/>
                    <w:autoSpaceDE w:val="0"/>
                    <w:autoSpaceDN w:val="0"/>
                    <w:adjustRightInd w:val="0"/>
                    <w:snapToGrid w:val="0"/>
                    <w:spacing w:before="60" w:beforeAutospacing="0" w:after="0" w:afterAutospacing="0" w:line="276" w:lineRule="auto"/>
                    <w:ind w:left="0" w:right="0"/>
                    <w:jc w:val="center"/>
                    <w:textAlignment w:val="baseline"/>
                    <w:rPr>
                      <w:rFonts w:hint="default" w:ascii="Times New Roman" w:hAnsi="Times New Roman" w:cs="Times New Roman"/>
                      <w:color w:val="auto"/>
                      <w:kern w:val="0"/>
                      <w:sz w:val="21"/>
                      <w:szCs w:val="21"/>
                      <w:highlight w:val="none"/>
                    </w:rPr>
                  </w:pPr>
                </w:p>
              </w:tc>
              <w:tc>
                <w:tcPr>
                  <w:tcW w:w="693" w:type="dxa"/>
                  <w:vMerge w:val="continue"/>
                  <w:tcBorders>
                    <w:tl2br w:val="nil"/>
                    <w:tr2bl w:val="nil"/>
                  </w:tcBorders>
                  <w:vAlign w:val="center"/>
                </w:tcPr>
                <w:p>
                  <w:pPr>
                    <w:keepNext w:val="0"/>
                    <w:keepLines w:val="0"/>
                    <w:suppressLineNumbers w:val="0"/>
                    <w:autoSpaceDE w:val="0"/>
                    <w:autoSpaceDN w:val="0"/>
                    <w:adjustRightInd w:val="0"/>
                    <w:snapToGrid w:val="0"/>
                    <w:spacing w:before="60" w:beforeAutospacing="0" w:after="0" w:afterAutospacing="0" w:line="276" w:lineRule="auto"/>
                    <w:ind w:left="0" w:right="0"/>
                    <w:jc w:val="center"/>
                    <w:textAlignment w:val="baseline"/>
                    <w:rPr>
                      <w:rFonts w:hint="default" w:ascii="Times New Roman" w:hAnsi="Times New Roman" w:cs="Times New Roman"/>
                      <w:color w:val="auto"/>
                      <w:kern w:val="0"/>
                      <w:sz w:val="21"/>
                      <w:szCs w:val="21"/>
                      <w:highlight w:val="none"/>
                    </w:rPr>
                  </w:pPr>
                </w:p>
              </w:tc>
              <w:tc>
                <w:tcPr>
                  <w:tcW w:w="690" w:type="dxa"/>
                  <w:vMerge w:val="continue"/>
                  <w:tcBorders>
                    <w:tl2br w:val="nil"/>
                    <w:tr2bl w:val="nil"/>
                  </w:tcBorders>
                  <w:vAlign w:val="center"/>
                </w:tcPr>
                <w:p>
                  <w:pPr>
                    <w:keepNext w:val="0"/>
                    <w:keepLines w:val="0"/>
                    <w:suppressLineNumbers w:val="0"/>
                    <w:topLinePunct/>
                    <w:autoSpaceDE w:val="0"/>
                    <w:autoSpaceDN w:val="0"/>
                    <w:adjustRightInd w:val="0"/>
                    <w:snapToGrid w:val="0"/>
                    <w:spacing w:before="0" w:beforeAutospacing="0" w:after="0" w:afterAutospacing="0"/>
                    <w:ind w:left="0" w:right="0"/>
                    <w:jc w:val="center"/>
                    <w:textAlignment w:val="baseline"/>
                    <w:rPr>
                      <w:rFonts w:hint="eastAsia" w:ascii="Times New Roman" w:hAnsi="Times New Roman" w:cs="Times New Roman"/>
                      <w:color w:val="auto"/>
                      <w:sz w:val="21"/>
                      <w:szCs w:val="21"/>
                      <w:highlight w:val="none"/>
                      <w:lang w:val="en-US" w:eastAsia="zh-CN"/>
                    </w:rPr>
                  </w:pPr>
                </w:p>
              </w:tc>
              <w:tc>
                <w:tcPr>
                  <w:tcW w:w="712" w:type="dxa"/>
                  <w:vMerge w:val="continue"/>
                  <w:tcBorders>
                    <w:tl2br w:val="nil"/>
                    <w:tr2bl w:val="nil"/>
                  </w:tcBorders>
                  <w:vAlign w:val="center"/>
                </w:tcPr>
                <w:p>
                  <w:pPr>
                    <w:keepNext w:val="0"/>
                    <w:keepLines w:val="0"/>
                    <w:suppressLineNumbers w:val="0"/>
                    <w:topLinePunct/>
                    <w:autoSpaceDE w:val="0"/>
                    <w:autoSpaceDN w:val="0"/>
                    <w:adjustRightInd w:val="0"/>
                    <w:snapToGrid w:val="0"/>
                    <w:spacing w:before="0" w:beforeAutospacing="0" w:after="0" w:afterAutospacing="0"/>
                    <w:ind w:left="0" w:right="0"/>
                    <w:jc w:val="center"/>
                    <w:textAlignment w:val="baseline"/>
                    <w:rPr>
                      <w:rFonts w:hint="eastAsia" w:ascii="Times New Roman" w:hAnsi="Times New Roman" w:eastAsia="宋体" w:cs="Times New Roman"/>
                      <w:bCs/>
                      <w:color w:val="auto"/>
                      <w:sz w:val="21"/>
                      <w:szCs w:val="21"/>
                      <w:highlight w:val="no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85" w:type="dxa"/>
                  <w:bottom w:w="0" w:type="dxa"/>
                  <w:right w:w="85" w:type="dxa"/>
                </w:tblCellMar>
              </w:tblPrEx>
              <w:trPr>
                <w:trHeight w:val="544" w:hRule="atLeast"/>
                <w:jc w:val="center"/>
              </w:trPr>
              <w:tc>
                <w:tcPr>
                  <w:tcW w:w="403" w:type="dxa"/>
                  <w:tcBorders>
                    <w:tl2br w:val="nil"/>
                    <w:tr2bl w:val="nil"/>
                  </w:tcBorders>
                  <w:vAlign w:val="center"/>
                </w:tcPr>
                <w:p>
                  <w:pPr>
                    <w:keepNext w:val="0"/>
                    <w:keepLines w:val="0"/>
                    <w:suppressLineNumbers w:val="0"/>
                    <w:autoSpaceDE w:val="0"/>
                    <w:autoSpaceDN w:val="0"/>
                    <w:adjustRightInd w:val="0"/>
                    <w:snapToGrid w:val="0"/>
                    <w:spacing w:before="60" w:beforeAutospacing="0" w:after="0" w:afterAutospacing="0" w:line="276" w:lineRule="auto"/>
                    <w:ind w:left="0" w:right="0"/>
                    <w:jc w:val="center"/>
                    <w:textAlignment w:val="baseline"/>
                    <w:rPr>
                      <w:rFonts w:hint="default" w:ascii="Times New Roman" w:hAnsi="Times New Roman"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4</w:t>
                  </w:r>
                </w:p>
              </w:tc>
              <w:tc>
                <w:tcPr>
                  <w:tcW w:w="1054" w:type="dxa"/>
                  <w:vMerge w:val="continue"/>
                  <w:tcBorders>
                    <w:tl2br w:val="nil"/>
                    <w:tr2bl w:val="nil"/>
                  </w:tcBorders>
                  <w:vAlign w:val="center"/>
                </w:tcPr>
                <w:p>
                  <w:pPr>
                    <w:keepNext w:val="0"/>
                    <w:keepLines w:val="0"/>
                    <w:suppressLineNumbers w:val="0"/>
                    <w:autoSpaceDE w:val="0"/>
                    <w:autoSpaceDN w:val="0"/>
                    <w:adjustRightInd w:val="0"/>
                    <w:snapToGrid w:val="0"/>
                    <w:spacing w:before="60" w:beforeAutospacing="0" w:after="0" w:afterAutospacing="0" w:line="276" w:lineRule="auto"/>
                    <w:ind w:left="0" w:right="0"/>
                    <w:jc w:val="center"/>
                    <w:textAlignment w:val="baseline"/>
                    <w:rPr>
                      <w:rFonts w:hint="default" w:ascii="Times New Roman" w:hAnsi="Times New Roman" w:cs="Times New Roman"/>
                      <w:color w:val="auto"/>
                      <w:kern w:val="0"/>
                      <w:sz w:val="21"/>
                      <w:szCs w:val="21"/>
                      <w:highlight w:val="none"/>
                    </w:rPr>
                  </w:pPr>
                </w:p>
              </w:tc>
              <w:tc>
                <w:tcPr>
                  <w:tcW w:w="1069" w:type="dxa"/>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废UV灯管</w:t>
                  </w:r>
                </w:p>
              </w:tc>
              <w:tc>
                <w:tcPr>
                  <w:tcW w:w="1124" w:type="dxa"/>
                  <w:tcBorders>
                    <w:tl2br w:val="nil"/>
                    <w:tr2bl w:val="nil"/>
                  </w:tcBorders>
                  <w:vAlign w:val="center"/>
                </w:tcPr>
                <w:p>
                  <w:pPr>
                    <w:keepNext w:val="0"/>
                    <w:keepLines w:val="0"/>
                    <w:suppressLineNumbers w:val="0"/>
                    <w:topLinePunct/>
                    <w:adjustRightInd w:val="0"/>
                    <w:snapToGrid w:val="0"/>
                    <w:spacing w:before="0" w:beforeAutospacing="0" w:after="0" w:afterAutospacing="0"/>
                    <w:ind w:left="0" w:right="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HW29</w:t>
                  </w:r>
                </w:p>
              </w:tc>
              <w:tc>
                <w:tcPr>
                  <w:tcW w:w="1370" w:type="dxa"/>
                  <w:tcBorders>
                    <w:tl2br w:val="nil"/>
                    <w:tr2bl w:val="nil"/>
                  </w:tcBorders>
                  <w:vAlign w:val="center"/>
                </w:tcPr>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900-023-29</w:t>
                  </w:r>
                </w:p>
              </w:tc>
              <w:tc>
                <w:tcPr>
                  <w:tcW w:w="554" w:type="dxa"/>
                  <w:vMerge w:val="continue"/>
                  <w:tcBorders>
                    <w:tl2br w:val="nil"/>
                    <w:tr2bl w:val="nil"/>
                  </w:tcBorders>
                  <w:vAlign w:val="center"/>
                </w:tcPr>
                <w:p>
                  <w:pPr>
                    <w:keepNext w:val="0"/>
                    <w:keepLines w:val="0"/>
                    <w:suppressLineNumbers w:val="0"/>
                    <w:autoSpaceDE w:val="0"/>
                    <w:autoSpaceDN w:val="0"/>
                    <w:adjustRightInd w:val="0"/>
                    <w:snapToGrid w:val="0"/>
                    <w:spacing w:before="60" w:beforeAutospacing="0" w:after="0" w:afterAutospacing="0" w:line="276" w:lineRule="auto"/>
                    <w:ind w:left="0" w:right="0"/>
                    <w:jc w:val="center"/>
                    <w:textAlignment w:val="baseline"/>
                    <w:rPr>
                      <w:rFonts w:hint="default" w:ascii="Times New Roman" w:hAnsi="Times New Roman" w:cs="Times New Roman"/>
                      <w:color w:val="auto"/>
                      <w:kern w:val="0"/>
                      <w:sz w:val="21"/>
                      <w:szCs w:val="21"/>
                      <w:highlight w:val="none"/>
                    </w:rPr>
                  </w:pPr>
                </w:p>
              </w:tc>
              <w:tc>
                <w:tcPr>
                  <w:tcW w:w="689" w:type="dxa"/>
                  <w:vMerge w:val="continue"/>
                  <w:tcBorders>
                    <w:tl2br w:val="nil"/>
                    <w:tr2bl w:val="nil"/>
                  </w:tcBorders>
                  <w:vAlign w:val="center"/>
                </w:tcPr>
                <w:p>
                  <w:pPr>
                    <w:keepNext w:val="0"/>
                    <w:keepLines w:val="0"/>
                    <w:suppressLineNumbers w:val="0"/>
                    <w:autoSpaceDE w:val="0"/>
                    <w:autoSpaceDN w:val="0"/>
                    <w:adjustRightInd w:val="0"/>
                    <w:snapToGrid w:val="0"/>
                    <w:spacing w:before="60" w:beforeAutospacing="0" w:after="0" w:afterAutospacing="0" w:line="276" w:lineRule="auto"/>
                    <w:ind w:left="0" w:right="0"/>
                    <w:jc w:val="center"/>
                    <w:textAlignment w:val="baseline"/>
                    <w:rPr>
                      <w:rFonts w:hint="default" w:ascii="Times New Roman" w:hAnsi="Times New Roman" w:cs="Times New Roman"/>
                      <w:color w:val="auto"/>
                      <w:kern w:val="0"/>
                      <w:sz w:val="21"/>
                      <w:szCs w:val="21"/>
                      <w:highlight w:val="none"/>
                    </w:rPr>
                  </w:pPr>
                </w:p>
              </w:tc>
              <w:tc>
                <w:tcPr>
                  <w:tcW w:w="693" w:type="dxa"/>
                  <w:vMerge w:val="continue"/>
                  <w:tcBorders>
                    <w:tl2br w:val="nil"/>
                    <w:tr2bl w:val="nil"/>
                  </w:tcBorders>
                  <w:vAlign w:val="center"/>
                </w:tcPr>
                <w:p>
                  <w:pPr>
                    <w:keepNext w:val="0"/>
                    <w:keepLines w:val="0"/>
                    <w:suppressLineNumbers w:val="0"/>
                    <w:autoSpaceDE w:val="0"/>
                    <w:autoSpaceDN w:val="0"/>
                    <w:adjustRightInd w:val="0"/>
                    <w:snapToGrid w:val="0"/>
                    <w:spacing w:before="60" w:beforeAutospacing="0" w:after="0" w:afterAutospacing="0" w:line="276" w:lineRule="auto"/>
                    <w:ind w:left="0" w:right="0"/>
                    <w:jc w:val="center"/>
                    <w:textAlignment w:val="baseline"/>
                    <w:rPr>
                      <w:rFonts w:hint="default" w:ascii="Times New Roman" w:hAnsi="Times New Roman" w:cs="Times New Roman"/>
                      <w:color w:val="auto"/>
                      <w:kern w:val="0"/>
                      <w:sz w:val="21"/>
                      <w:szCs w:val="21"/>
                      <w:highlight w:val="none"/>
                    </w:rPr>
                  </w:pPr>
                </w:p>
              </w:tc>
              <w:tc>
                <w:tcPr>
                  <w:tcW w:w="690" w:type="dxa"/>
                  <w:vMerge w:val="continue"/>
                  <w:tcBorders>
                    <w:tl2br w:val="nil"/>
                    <w:tr2bl w:val="nil"/>
                  </w:tcBorders>
                  <w:vAlign w:val="center"/>
                </w:tcPr>
                <w:p>
                  <w:pPr>
                    <w:keepNext w:val="0"/>
                    <w:keepLines w:val="0"/>
                    <w:suppressLineNumbers w:val="0"/>
                    <w:topLinePunct/>
                    <w:autoSpaceDE w:val="0"/>
                    <w:autoSpaceDN w:val="0"/>
                    <w:adjustRightInd w:val="0"/>
                    <w:snapToGrid w:val="0"/>
                    <w:spacing w:before="0" w:beforeAutospacing="0" w:after="0" w:afterAutospacing="0"/>
                    <w:ind w:left="0" w:right="0"/>
                    <w:jc w:val="center"/>
                    <w:textAlignment w:val="baseline"/>
                    <w:rPr>
                      <w:rFonts w:hint="eastAsia" w:ascii="Times New Roman" w:hAnsi="Times New Roman" w:cs="Times New Roman"/>
                      <w:color w:val="auto"/>
                      <w:sz w:val="21"/>
                      <w:szCs w:val="21"/>
                      <w:highlight w:val="none"/>
                      <w:lang w:val="en-US" w:eastAsia="zh-CN"/>
                    </w:rPr>
                  </w:pPr>
                </w:p>
              </w:tc>
              <w:tc>
                <w:tcPr>
                  <w:tcW w:w="712" w:type="dxa"/>
                  <w:vMerge w:val="continue"/>
                  <w:tcBorders>
                    <w:tl2br w:val="nil"/>
                    <w:tr2bl w:val="nil"/>
                  </w:tcBorders>
                  <w:vAlign w:val="center"/>
                </w:tcPr>
                <w:p>
                  <w:pPr>
                    <w:keepNext w:val="0"/>
                    <w:keepLines w:val="0"/>
                    <w:suppressLineNumbers w:val="0"/>
                    <w:topLinePunct/>
                    <w:autoSpaceDE w:val="0"/>
                    <w:autoSpaceDN w:val="0"/>
                    <w:adjustRightInd w:val="0"/>
                    <w:snapToGrid w:val="0"/>
                    <w:spacing w:before="0" w:beforeAutospacing="0" w:after="0" w:afterAutospacing="0"/>
                    <w:ind w:left="0" w:right="0"/>
                    <w:jc w:val="center"/>
                    <w:textAlignment w:val="baseline"/>
                    <w:rPr>
                      <w:rFonts w:hint="eastAsia" w:ascii="Times New Roman" w:hAnsi="Times New Roman" w:eastAsia="宋体" w:cs="Times New Roman"/>
                      <w:bCs/>
                      <w:color w:val="auto"/>
                      <w:sz w:val="21"/>
                      <w:szCs w:val="21"/>
                      <w:highlight w:val="no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85" w:type="dxa"/>
                  <w:bottom w:w="0" w:type="dxa"/>
                  <w:right w:w="85" w:type="dxa"/>
                </w:tblCellMar>
              </w:tblPrEx>
              <w:trPr>
                <w:trHeight w:val="544" w:hRule="atLeast"/>
                <w:jc w:val="center"/>
              </w:trPr>
              <w:tc>
                <w:tcPr>
                  <w:tcW w:w="403" w:type="dxa"/>
                  <w:tcBorders>
                    <w:tl2br w:val="nil"/>
                    <w:tr2bl w:val="nil"/>
                  </w:tcBorders>
                  <w:vAlign w:val="center"/>
                </w:tcPr>
                <w:p>
                  <w:pPr>
                    <w:keepNext w:val="0"/>
                    <w:keepLines w:val="0"/>
                    <w:suppressLineNumbers w:val="0"/>
                    <w:autoSpaceDE w:val="0"/>
                    <w:autoSpaceDN w:val="0"/>
                    <w:adjustRightInd w:val="0"/>
                    <w:snapToGrid w:val="0"/>
                    <w:spacing w:before="60" w:beforeAutospacing="0" w:after="0" w:afterAutospacing="0" w:line="276" w:lineRule="auto"/>
                    <w:ind w:left="0" w:right="0"/>
                    <w:jc w:val="center"/>
                    <w:textAlignment w:val="baseline"/>
                    <w:rPr>
                      <w:rFonts w:hint="default" w:ascii="Times New Roman" w:hAnsi="Times New Roman"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5</w:t>
                  </w:r>
                </w:p>
              </w:tc>
              <w:tc>
                <w:tcPr>
                  <w:tcW w:w="1054" w:type="dxa"/>
                  <w:vMerge w:val="continue"/>
                  <w:tcBorders>
                    <w:tl2br w:val="nil"/>
                    <w:tr2bl w:val="nil"/>
                  </w:tcBorders>
                  <w:vAlign w:val="center"/>
                </w:tcPr>
                <w:p>
                  <w:pPr>
                    <w:keepNext w:val="0"/>
                    <w:keepLines w:val="0"/>
                    <w:suppressLineNumbers w:val="0"/>
                    <w:autoSpaceDE w:val="0"/>
                    <w:autoSpaceDN w:val="0"/>
                    <w:adjustRightInd w:val="0"/>
                    <w:snapToGrid w:val="0"/>
                    <w:spacing w:before="60" w:beforeAutospacing="0" w:after="0" w:afterAutospacing="0" w:line="276" w:lineRule="auto"/>
                    <w:ind w:left="0" w:right="0"/>
                    <w:jc w:val="center"/>
                    <w:textAlignment w:val="baseline"/>
                    <w:rPr>
                      <w:rFonts w:hint="default" w:ascii="Times New Roman" w:hAnsi="Times New Roman" w:cs="Times New Roman"/>
                      <w:color w:val="auto"/>
                      <w:kern w:val="0"/>
                      <w:sz w:val="21"/>
                      <w:szCs w:val="21"/>
                      <w:highlight w:val="none"/>
                    </w:rPr>
                  </w:pPr>
                </w:p>
              </w:tc>
              <w:tc>
                <w:tcPr>
                  <w:tcW w:w="1069" w:type="dxa"/>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废活性炭</w:t>
                  </w:r>
                </w:p>
              </w:tc>
              <w:tc>
                <w:tcPr>
                  <w:tcW w:w="1124" w:type="dxa"/>
                  <w:tcBorders>
                    <w:tl2br w:val="nil"/>
                    <w:tr2bl w:val="nil"/>
                  </w:tcBorders>
                  <w:vAlign w:val="center"/>
                </w:tcPr>
                <w:p>
                  <w:pPr>
                    <w:keepNext w:val="0"/>
                    <w:keepLines w:val="0"/>
                    <w:suppressLineNumbers w:val="0"/>
                    <w:topLinePunct/>
                    <w:adjustRightInd w:val="0"/>
                    <w:snapToGrid w:val="0"/>
                    <w:spacing w:before="0" w:beforeAutospacing="0" w:after="0" w:afterAutospacing="0"/>
                    <w:ind w:left="0" w:right="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HW49</w:t>
                  </w:r>
                </w:p>
              </w:tc>
              <w:tc>
                <w:tcPr>
                  <w:tcW w:w="1370" w:type="dxa"/>
                  <w:tcBorders>
                    <w:tl2br w:val="nil"/>
                    <w:tr2bl w:val="nil"/>
                  </w:tcBorders>
                  <w:vAlign w:val="center"/>
                </w:tcPr>
                <w:p>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900-039-49</w:t>
                  </w:r>
                </w:p>
              </w:tc>
              <w:tc>
                <w:tcPr>
                  <w:tcW w:w="554" w:type="dxa"/>
                  <w:vMerge w:val="continue"/>
                  <w:tcBorders>
                    <w:tl2br w:val="nil"/>
                    <w:tr2bl w:val="nil"/>
                  </w:tcBorders>
                  <w:vAlign w:val="center"/>
                </w:tcPr>
                <w:p>
                  <w:pPr>
                    <w:keepNext w:val="0"/>
                    <w:keepLines w:val="0"/>
                    <w:suppressLineNumbers w:val="0"/>
                    <w:autoSpaceDE w:val="0"/>
                    <w:autoSpaceDN w:val="0"/>
                    <w:adjustRightInd w:val="0"/>
                    <w:snapToGrid w:val="0"/>
                    <w:spacing w:before="60" w:beforeAutospacing="0" w:after="0" w:afterAutospacing="0" w:line="276" w:lineRule="auto"/>
                    <w:ind w:left="0" w:right="0"/>
                    <w:jc w:val="center"/>
                    <w:textAlignment w:val="baseline"/>
                    <w:rPr>
                      <w:rFonts w:hint="default" w:ascii="Times New Roman" w:hAnsi="Times New Roman" w:cs="Times New Roman"/>
                      <w:color w:val="auto"/>
                      <w:kern w:val="0"/>
                      <w:sz w:val="21"/>
                      <w:szCs w:val="21"/>
                      <w:highlight w:val="none"/>
                    </w:rPr>
                  </w:pPr>
                </w:p>
              </w:tc>
              <w:tc>
                <w:tcPr>
                  <w:tcW w:w="689" w:type="dxa"/>
                  <w:vMerge w:val="continue"/>
                  <w:tcBorders>
                    <w:tl2br w:val="nil"/>
                    <w:tr2bl w:val="nil"/>
                  </w:tcBorders>
                  <w:vAlign w:val="center"/>
                </w:tcPr>
                <w:p>
                  <w:pPr>
                    <w:keepNext w:val="0"/>
                    <w:keepLines w:val="0"/>
                    <w:suppressLineNumbers w:val="0"/>
                    <w:autoSpaceDE w:val="0"/>
                    <w:autoSpaceDN w:val="0"/>
                    <w:adjustRightInd w:val="0"/>
                    <w:snapToGrid w:val="0"/>
                    <w:spacing w:before="60" w:beforeAutospacing="0" w:after="0" w:afterAutospacing="0" w:line="276" w:lineRule="auto"/>
                    <w:ind w:left="0" w:right="0"/>
                    <w:jc w:val="center"/>
                    <w:textAlignment w:val="baseline"/>
                    <w:rPr>
                      <w:rFonts w:hint="default" w:ascii="Times New Roman" w:hAnsi="Times New Roman" w:cs="Times New Roman"/>
                      <w:color w:val="auto"/>
                      <w:kern w:val="0"/>
                      <w:sz w:val="21"/>
                      <w:szCs w:val="21"/>
                      <w:highlight w:val="none"/>
                    </w:rPr>
                  </w:pPr>
                </w:p>
              </w:tc>
              <w:tc>
                <w:tcPr>
                  <w:tcW w:w="693" w:type="dxa"/>
                  <w:vMerge w:val="continue"/>
                  <w:tcBorders>
                    <w:tl2br w:val="nil"/>
                    <w:tr2bl w:val="nil"/>
                  </w:tcBorders>
                  <w:vAlign w:val="center"/>
                </w:tcPr>
                <w:p>
                  <w:pPr>
                    <w:keepNext w:val="0"/>
                    <w:keepLines w:val="0"/>
                    <w:suppressLineNumbers w:val="0"/>
                    <w:autoSpaceDE w:val="0"/>
                    <w:autoSpaceDN w:val="0"/>
                    <w:adjustRightInd w:val="0"/>
                    <w:snapToGrid w:val="0"/>
                    <w:spacing w:before="60" w:beforeAutospacing="0" w:after="0" w:afterAutospacing="0" w:line="276" w:lineRule="auto"/>
                    <w:ind w:left="0" w:right="0"/>
                    <w:jc w:val="center"/>
                    <w:textAlignment w:val="baseline"/>
                    <w:rPr>
                      <w:rFonts w:hint="default" w:ascii="Times New Roman" w:hAnsi="Times New Roman" w:cs="Times New Roman"/>
                      <w:color w:val="auto"/>
                      <w:kern w:val="0"/>
                      <w:sz w:val="21"/>
                      <w:szCs w:val="21"/>
                      <w:highlight w:val="none"/>
                    </w:rPr>
                  </w:pPr>
                </w:p>
              </w:tc>
              <w:tc>
                <w:tcPr>
                  <w:tcW w:w="690" w:type="dxa"/>
                  <w:vMerge w:val="continue"/>
                  <w:tcBorders>
                    <w:tl2br w:val="nil"/>
                    <w:tr2bl w:val="nil"/>
                  </w:tcBorders>
                  <w:vAlign w:val="center"/>
                </w:tcPr>
                <w:p>
                  <w:pPr>
                    <w:keepNext w:val="0"/>
                    <w:keepLines w:val="0"/>
                    <w:suppressLineNumbers w:val="0"/>
                    <w:topLinePunct/>
                    <w:autoSpaceDE w:val="0"/>
                    <w:autoSpaceDN w:val="0"/>
                    <w:adjustRightInd w:val="0"/>
                    <w:snapToGrid w:val="0"/>
                    <w:spacing w:before="0" w:beforeAutospacing="0" w:after="0" w:afterAutospacing="0"/>
                    <w:ind w:left="0" w:right="0"/>
                    <w:jc w:val="center"/>
                    <w:textAlignment w:val="baseline"/>
                    <w:rPr>
                      <w:rFonts w:hint="eastAsia" w:ascii="Times New Roman" w:hAnsi="Times New Roman" w:cs="Times New Roman"/>
                      <w:color w:val="auto"/>
                      <w:sz w:val="21"/>
                      <w:szCs w:val="21"/>
                      <w:highlight w:val="none"/>
                      <w:lang w:val="en-US" w:eastAsia="zh-CN"/>
                    </w:rPr>
                  </w:pPr>
                </w:p>
              </w:tc>
              <w:tc>
                <w:tcPr>
                  <w:tcW w:w="712" w:type="dxa"/>
                  <w:vMerge w:val="continue"/>
                  <w:tcBorders>
                    <w:tl2br w:val="nil"/>
                    <w:tr2bl w:val="nil"/>
                  </w:tcBorders>
                  <w:vAlign w:val="center"/>
                </w:tcPr>
                <w:p>
                  <w:pPr>
                    <w:keepNext w:val="0"/>
                    <w:keepLines w:val="0"/>
                    <w:suppressLineNumbers w:val="0"/>
                    <w:topLinePunct/>
                    <w:autoSpaceDE w:val="0"/>
                    <w:autoSpaceDN w:val="0"/>
                    <w:adjustRightInd w:val="0"/>
                    <w:snapToGrid w:val="0"/>
                    <w:spacing w:before="0" w:beforeAutospacing="0" w:after="0" w:afterAutospacing="0"/>
                    <w:ind w:left="0" w:right="0"/>
                    <w:jc w:val="center"/>
                    <w:textAlignment w:val="baseline"/>
                    <w:rPr>
                      <w:rFonts w:hint="eastAsia" w:ascii="Times New Roman" w:hAnsi="Times New Roman" w:eastAsia="宋体" w:cs="Times New Roman"/>
                      <w:bCs/>
                      <w:color w:val="auto"/>
                      <w:sz w:val="21"/>
                      <w:szCs w:val="21"/>
                      <w:highlight w:val="none"/>
                      <w:lang w:val="en-US" w:eastAsia="zh-CN"/>
                    </w:rPr>
                  </w:pPr>
                </w:p>
              </w:tc>
            </w:tr>
          </w:tbl>
          <w:p>
            <w:pPr>
              <w:pStyle w:val="3"/>
              <w:suppressLineNumbers w:val="0"/>
              <w:spacing w:before="0" w:beforeAutospacing="0" w:after="0" w:afterAutospacing="0" w:line="360" w:lineRule="auto"/>
              <w:ind w:left="0" w:right="0" w:firstLine="241" w:firstLineChars="100"/>
              <w:outlineLvl w:val="1"/>
              <w:rPr>
                <w:rFonts w:hint="default" w:ascii="Times New Roman" w:hAnsi="Times New Roman" w:eastAsia="宋体" w:cs="Times New Roman"/>
                <w:b w:val="0"/>
                <w:bCs/>
                <w:color w:val="auto"/>
                <w:sz w:val="24"/>
                <w:szCs w:val="24"/>
                <w:lang w:val="en-US" w:eastAsia="zh-CN"/>
              </w:rPr>
            </w:pPr>
            <w:r>
              <w:rPr>
                <w:rFonts w:hint="eastAsia" w:ascii="Times New Roman" w:hAnsi="Times New Roman" w:eastAsia="宋体" w:cs="Times New Roman"/>
                <w:b/>
                <w:bCs w:val="0"/>
                <w:color w:val="auto"/>
                <w:sz w:val="24"/>
                <w:szCs w:val="24"/>
                <w:lang w:val="en-US" w:eastAsia="zh-CN"/>
              </w:rPr>
              <w:t>4.2固废管理要求</w:t>
            </w:r>
          </w:p>
          <w:p>
            <w:pPr>
              <w:keepNext w:val="0"/>
              <w:keepLines w:val="0"/>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eastAsia="宋体" w:cs="Times New Roman"/>
                <w:b/>
                <w:color w:val="auto"/>
                <w:sz w:val="24"/>
                <w:szCs w:val="24"/>
                <w:highlight w:val="none"/>
              </w:rPr>
            </w:pPr>
            <w:r>
              <w:rPr>
                <w:rFonts w:hint="eastAsia" w:ascii="Times New Roman" w:hAnsi="Times New Roman" w:eastAsia="宋体" w:cs="Times New Roman"/>
                <w:b/>
                <w:bCs w:val="0"/>
                <w:color w:val="auto"/>
                <w:kern w:val="2"/>
                <w:sz w:val="24"/>
                <w:szCs w:val="24"/>
                <w:highlight w:val="none"/>
                <w:lang w:val="en-US" w:eastAsia="zh-CN" w:bidi="ar-SA"/>
              </w:rPr>
              <w:t>4.</w:t>
            </w:r>
            <w:r>
              <w:rPr>
                <w:rFonts w:hint="eastAsia" w:cs="Times New Roman"/>
                <w:b/>
                <w:bCs w:val="0"/>
                <w:color w:val="auto"/>
                <w:kern w:val="2"/>
                <w:sz w:val="24"/>
                <w:szCs w:val="24"/>
                <w:highlight w:val="none"/>
                <w:lang w:val="en-US" w:eastAsia="zh-CN" w:bidi="ar-SA"/>
              </w:rPr>
              <w:t>2</w:t>
            </w:r>
            <w:r>
              <w:rPr>
                <w:rFonts w:hint="eastAsia" w:ascii="Times New Roman" w:hAnsi="Times New Roman" w:eastAsia="宋体" w:cs="Times New Roman"/>
                <w:b/>
                <w:bCs w:val="0"/>
                <w:color w:val="auto"/>
                <w:kern w:val="2"/>
                <w:sz w:val="24"/>
                <w:szCs w:val="24"/>
                <w:highlight w:val="none"/>
                <w:lang w:val="en-US" w:eastAsia="zh-CN" w:bidi="ar-SA"/>
              </w:rPr>
              <w:t>.1</w:t>
            </w:r>
            <w:r>
              <w:rPr>
                <w:rFonts w:hint="default" w:ascii="Times New Roman" w:hAnsi="Times New Roman" w:eastAsia="宋体" w:cs="Times New Roman"/>
                <w:b/>
                <w:color w:val="auto"/>
                <w:sz w:val="24"/>
                <w:szCs w:val="24"/>
                <w:highlight w:val="none"/>
              </w:rPr>
              <w:t>危险废物环境影响及防治措施分析</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对照《国家危险废物名录》（202</w:t>
            </w:r>
            <w:r>
              <w:rPr>
                <w:rFonts w:hint="eastAsia"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年版），本项目产生的工业有害废物主要有：</w:t>
            </w:r>
            <w:r>
              <w:rPr>
                <w:rFonts w:hint="eastAsia" w:ascii="Times New Roman" w:hAnsi="Times New Roman" w:eastAsia="宋体" w:cs="Times New Roman"/>
                <w:color w:val="auto"/>
                <w:sz w:val="24"/>
                <w:szCs w:val="24"/>
                <w:highlight w:val="none"/>
                <w:lang w:eastAsia="zh-CN"/>
              </w:rPr>
              <w:t>二次熔炼渣、除尘灰、废除尘滤袋</w:t>
            </w:r>
            <w:r>
              <w:rPr>
                <w:rFonts w:hint="eastAsia" w:cs="Times New Roman"/>
                <w:color w:val="auto"/>
                <w:sz w:val="24"/>
                <w:szCs w:val="24"/>
                <w:highlight w:val="none"/>
                <w:lang w:eastAsia="zh-CN"/>
              </w:rPr>
              <w:t>、废</w:t>
            </w:r>
            <w:r>
              <w:rPr>
                <w:rFonts w:hint="eastAsia" w:cs="Times New Roman"/>
                <w:color w:val="auto"/>
                <w:sz w:val="24"/>
                <w:szCs w:val="24"/>
                <w:highlight w:val="none"/>
                <w:lang w:val="en-US" w:eastAsia="zh-CN"/>
              </w:rPr>
              <w:t>UV灯管、废活性炭</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eastAsia="zh-CN"/>
              </w:rPr>
              <w:t>产生后在危废间内暂存，定期由有处置资质的单位拉运处理。</w:t>
            </w:r>
            <w:r>
              <w:rPr>
                <w:rFonts w:hint="default" w:ascii="Times New Roman" w:hAnsi="Times New Roman" w:eastAsia="宋体" w:cs="Times New Roman"/>
                <w:color w:val="auto"/>
                <w:sz w:val="24"/>
                <w:szCs w:val="24"/>
                <w:highlight w:val="none"/>
              </w:rPr>
              <w:t>贮存场所的建设根据《危险废物贮存污染控制标准》（GB18597-2023）、《建设项目危险废物环境影响评价指南》、《危险废物识别标志设置技术规范》（HJ1276-2022）要求进行规范化设置要求进行规范化设置。</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根据《建设项目危险废物环境影响评价指南》，对建设项目危险废物的产生、收集、贮存</w:t>
            </w:r>
            <w:r>
              <w:rPr>
                <w:rFonts w:hint="eastAsia" w:ascii="Times New Roman" w:hAnsi="Times New Roman" w:eastAsia="宋体" w:cs="Times New Roman"/>
                <w:color w:val="auto"/>
                <w:sz w:val="24"/>
                <w:szCs w:val="24"/>
                <w:highlight w:val="none"/>
                <w:lang w:eastAsia="zh-CN"/>
              </w:rPr>
              <w:t>等</w:t>
            </w:r>
            <w:r>
              <w:rPr>
                <w:rFonts w:hint="default" w:ascii="Times New Roman" w:hAnsi="Times New Roman" w:eastAsia="宋体" w:cs="Times New Roman"/>
                <w:color w:val="auto"/>
                <w:sz w:val="24"/>
                <w:szCs w:val="24"/>
                <w:highlight w:val="none"/>
              </w:rPr>
              <w:t>进行分析评价，严格落实危险废物各项法律制度，促进危险废物的规范化监督管理。</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综上所述，本项目危险废物的管理要求如下：</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1</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危险废物收集管理要求</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本项目危废间位于</w:t>
            </w:r>
            <w:r>
              <w:rPr>
                <w:rFonts w:hint="eastAsia" w:ascii="Times New Roman" w:hAnsi="Times New Roman" w:eastAsia="宋体" w:cs="Times New Roman"/>
                <w:color w:val="auto"/>
                <w:sz w:val="24"/>
                <w:szCs w:val="24"/>
                <w:highlight w:val="none"/>
                <w:lang w:eastAsia="zh-CN"/>
              </w:rPr>
              <w:t>厂区西北部</w:t>
            </w:r>
            <w:r>
              <w:rPr>
                <w:rFonts w:hint="default" w:ascii="Times New Roman" w:hAnsi="Times New Roman" w:eastAsia="宋体" w:cs="Times New Roman"/>
                <w:color w:val="auto"/>
                <w:sz w:val="24"/>
                <w:szCs w:val="24"/>
                <w:highlight w:val="none"/>
              </w:rPr>
              <w:t>，本项目危废</w:t>
            </w:r>
            <w:r>
              <w:rPr>
                <w:rFonts w:hint="eastAsia" w:cs="Times New Roman"/>
                <w:color w:val="auto"/>
                <w:sz w:val="24"/>
                <w:szCs w:val="24"/>
                <w:highlight w:val="none"/>
                <w:lang w:eastAsia="zh-CN"/>
              </w:rPr>
              <w:t>最大</w:t>
            </w:r>
            <w:r>
              <w:rPr>
                <w:rFonts w:hint="default" w:ascii="Times New Roman" w:hAnsi="Times New Roman" w:eastAsia="宋体" w:cs="Times New Roman"/>
                <w:color w:val="auto"/>
                <w:sz w:val="24"/>
                <w:szCs w:val="24"/>
                <w:highlight w:val="none"/>
              </w:rPr>
              <w:t>产生量约为</w:t>
            </w:r>
            <w:r>
              <w:rPr>
                <w:rFonts w:hint="eastAsia" w:cs="Times New Roman"/>
                <w:color w:val="auto"/>
                <w:sz w:val="24"/>
                <w:szCs w:val="24"/>
                <w:highlight w:val="none"/>
                <w:lang w:val="en-US" w:eastAsia="zh-CN"/>
              </w:rPr>
              <w:t>491.1933</w:t>
            </w:r>
            <w:r>
              <w:rPr>
                <w:rFonts w:hint="default" w:ascii="Times New Roman" w:hAnsi="Times New Roman" w:eastAsia="宋体" w:cs="Times New Roman"/>
                <w:color w:val="auto"/>
                <w:sz w:val="24"/>
                <w:szCs w:val="24"/>
                <w:highlight w:val="none"/>
              </w:rPr>
              <w:t>t，危废暂存间内的危废每</w:t>
            </w:r>
            <w:r>
              <w:rPr>
                <w:rFonts w:hint="eastAsia" w:ascii="Times New Roman" w:hAnsi="Times New Roman" w:eastAsia="宋体" w:cs="Times New Roman"/>
                <w:color w:val="auto"/>
                <w:sz w:val="24"/>
                <w:szCs w:val="24"/>
                <w:highlight w:val="none"/>
                <w:lang w:eastAsia="zh-CN"/>
              </w:rPr>
              <w:t>月转运一次</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eastAsia="zh-CN"/>
              </w:rPr>
              <w:t>则二次熔炼渣最大储存量约为</w:t>
            </w:r>
            <w:r>
              <w:rPr>
                <w:rFonts w:hint="eastAsia" w:cs="Times New Roman"/>
                <w:color w:val="auto"/>
                <w:sz w:val="24"/>
                <w:szCs w:val="24"/>
                <w:highlight w:val="none"/>
                <w:lang w:val="en-US" w:eastAsia="zh-CN"/>
              </w:rPr>
              <w:t>40.8626</w:t>
            </w:r>
            <w:r>
              <w:rPr>
                <w:rFonts w:hint="eastAsia" w:ascii="Times New Roman" w:hAnsi="Times New Roman" w:eastAsia="宋体" w:cs="Times New Roman"/>
                <w:color w:val="auto"/>
                <w:sz w:val="24"/>
                <w:szCs w:val="24"/>
                <w:highlight w:val="none"/>
                <w:lang w:eastAsia="zh-CN"/>
              </w:rPr>
              <w:t>t；废除尘滤袋每年更换一次，废除尘滤袋最大储存量为0.1t，除尘灰最大储存量为</w:t>
            </w:r>
            <w:r>
              <w:rPr>
                <w:rFonts w:hint="eastAsia" w:cs="Times New Roman"/>
                <w:color w:val="auto"/>
                <w:sz w:val="24"/>
                <w:szCs w:val="24"/>
                <w:highlight w:val="none"/>
                <w:lang w:eastAsia="zh-CN"/>
              </w:rPr>
              <w:t>0.1419</w:t>
            </w:r>
            <w:r>
              <w:rPr>
                <w:rFonts w:hint="eastAsia" w:ascii="Times New Roman" w:hAnsi="Times New Roman" w:eastAsia="宋体" w:cs="Times New Roman"/>
                <w:color w:val="auto"/>
                <w:sz w:val="24"/>
                <w:szCs w:val="24"/>
                <w:highlight w:val="none"/>
                <w:lang w:eastAsia="zh-CN"/>
              </w:rPr>
              <w:t>t</w:t>
            </w:r>
            <w:r>
              <w:rPr>
                <w:rFonts w:hint="eastAsia" w:cs="Times New Roman"/>
                <w:color w:val="auto"/>
                <w:sz w:val="24"/>
                <w:szCs w:val="24"/>
                <w:highlight w:val="none"/>
                <w:lang w:eastAsia="zh-CN"/>
              </w:rPr>
              <w:t>，废</w:t>
            </w:r>
            <w:r>
              <w:rPr>
                <w:rFonts w:hint="eastAsia" w:cs="Times New Roman"/>
                <w:color w:val="auto"/>
                <w:sz w:val="24"/>
                <w:szCs w:val="24"/>
                <w:highlight w:val="none"/>
                <w:lang w:val="en-US" w:eastAsia="zh-CN"/>
              </w:rPr>
              <w:t>UV灯管最大储存量为0.1t，废活性炭最大储存量约为0.5t</w:t>
            </w:r>
            <w:r>
              <w:rPr>
                <w:rFonts w:hint="eastAsia" w:ascii="Times New Roman" w:hAnsi="Times New Roman" w:eastAsia="宋体" w:cs="Times New Roman"/>
                <w:color w:val="auto"/>
                <w:sz w:val="24"/>
                <w:szCs w:val="24"/>
                <w:highlight w:val="none"/>
                <w:lang w:eastAsia="zh-CN"/>
              </w:rPr>
              <w:t>。则危废暂存间最大储存量约为</w:t>
            </w:r>
            <w:r>
              <w:rPr>
                <w:rFonts w:hint="eastAsia" w:cs="Times New Roman"/>
                <w:color w:val="auto"/>
                <w:sz w:val="24"/>
                <w:szCs w:val="24"/>
                <w:highlight w:val="none"/>
                <w:lang w:val="en-US" w:eastAsia="zh-CN"/>
              </w:rPr>
              <w:t>41.7045</w:t>
            </w:r>
            <w:r>
              <w:rPr>
                <w:rFonts w:hint="eastAsia" w:ascii="Times New Roman" w:hAnsi="Times New Roman" w:eastAsia="宋体" w:cs="Times New Roman"/>
                <w:color w:val="auto"/>
                <w:sz w:val="24"/>
                <w:szCs w:val="24"/>
                <w:highlight w:val="none"/>
                <w:lang w:val="en-US" w:eastAsia="zh-CN"/>
              </w:rPr>
              <w:t>t，该危废间面积为70m</w:t>
            </w:r>
            <w:r>
              <w:rPr>
                <w:rFonts w:hint="eastAsia" w:ascii="Times New Roman" w:hAnsi="Times New Roman" w:eastAsia="宋体" w:cs="Times New Roman"/>
                <w:color w:val="auto"/>
                <w:sz w:val="24"/>
                <w:szCs w:val="24"/>
                <w:highlight w:val="none"/>
                <w:vertAlign w:val="superscript"/>
                <w:lang w:val="en-US" w:eastAsia="zh-CN"/>
              </w:rPr>
              <w:t>2</w:t>
            </w:r>
            <w:r>
              <w:rPr>
                <w:rFonts w:hint="eastAsia" w:ascii="Times New Roman" w:hAnsi="Times New Roman" w:eastAsia="宋体" w:cs="Times New Roman"/>
                <w:color w:val="auto"/>
                <w:sz w:val="24"/>
                <w:szCs w:val="24"/>
                <w:highlight w:val="none"/>
                <w:vertAlign w:val="baseline"/>
                <w:lang w:val="en-US" w:eastAsia="zh-CN"/>
              </w:rPr>
              <w:t>，可暂存140t危险废物，该危废间原计划暂存在建项目产生的熔炼渣，本项目建成后，熔炼渣全部进入炒灰机中回收利用，不再用于熔炼渣的储存。</w:t>
            </w:r>
            <w:r>
              <w:rPr>
                <w:rFonts w:hint="default" w:ascii="Times New Roman" w:hAnsi="Times New Roman" w:eastAsia="宋体" w:cs="Times New Roman"/>
                <w:color w:val="auto"/>
                <w:sz w:val="24"/>
                <w:szCs w:val="24"/>
                <w:highlight w:val="none"/>
              </w:rPr>
              <w:t>故危废暂存间完全有能力暂存本项目产生的危险废物。危险废物在收集时，应清楚废物的类别及主要成份，以方便委托处理单位处理，根据危险废物的性质和形态，可采用不同大小和不同材质的容器进行包装，所有包装容器应足够安全，并经过周密检查，严防在装载、搬移或运输途中出现渗漏、溢出、抛洒或挥发等情况。</w:t>
            </w:r>
          </w:p>
          <w:p>
            <w:pPr>
              <w:keepNext w:val="0"/>
              <w:keepLines w:val="0"/>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本项目所用危废间位于厂区西北部，危废间内二次熔炼渣、除尘灰、废除尘滤袋采用专用密闭容器存放。正常情况下不会有废气产生，对环境影响较小。</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2</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危险废物暂存污染防治管理要求</w:t>
            </w:r>
          </w:p>
          <w:p>
            <w:pPr>
              <w:keepNext w:val="0"/>
              <w:keepLines w:val="0"/>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企业</w:t>
            </w:r>
            <w:r>
              <w:rPr>
                <w:rFonts w:hint="default" w:ascii="Times New Roman" w:hAnsi="Times New Roman" w:eastAsia="宋体" w:cs="Times New Roman"/>
                <w:color w:val="auto"/>
                <w:sz w:val="24"/>
                <w:szCs w:val="24"/>
                <w:highlight w:val="none"/>
              </w:rPr>
              <w:t>危险废物</w:t>
            </w:r>
            <w:r>
              <w:rPr>
                <w:rFonts w:hint="eastAsia" w:ascii="Times New Roman" w:hAnsi="Times New Roman" w:eastAsia="宋体" w:cs="Times New Roman"/>
                <w:color w:val="auto"/>
                <w:sz w:val="24"/>
                <w:szCs w:val="24"/>
                <w:highlight w:val="none"/>
                <w:lang w:eastAsia="zh-CN"/>
              </w:rPr>
              <w:t>定期由有处置资质的</w:t>
            </w:r>
            <w:r>
              <w:rPr>
                <w:rFonts w:hint="default" w:ascii="Times New Roman" w:hAnsi="Times New Roman" w:eastAsia="宋体" w:cs="Times New Roman"/>
                <w:color w:val="auto"/>
                <w:sz w:val="24"/>
                <w:szCs w:val="24"/>
                <w:highlight w:val="none"/>
              </w:rPr>
              <w:t>单位</w:t>
            </w:r>
            <w:r>
              <w:rPr>
                <w:rFonts w:hint="eastAsia" w:ascii="Times New Roman" w:hAnsi="Times New Roman" w:eastAsia="宋体" w:cs="Times New Roman"/>
                <w:color w:val="auto"/>
                <w:sz w:val="24"/>
                <w:szCs w:val="24"/>
                <w:highlight w:val="none"/>
                <w:lang w:eastAsia="zh-CN"/>
              </w:rPr>
              <w:t>拉运</w:t>
            </w:r>
            <w:r>
              <w:rPr>
                <w:rFonts w:hint="default" w:ascii="Times New Roman" w:hAnsi="Times New Roman" w:eastAsia="宋体" w:cs="Times New Roman"/>
                <w:color w:val="auto"/>
                <w:sz w:val="24"/>
                <w:szCs w:val="24"/>
                <w:highlight w:val="none"/>
              </w:rPr>
              <w:t>处理，</w:t>
            </w:r>
            <w:r>
              <w:rPr>
                <w:rFonts w:hint="eastAsia" w:ascii="Times New Roman" w:hAnsi="Times New Roman" w:eastAsia="宋体" w:cs="Times New Roman"/>
                <w:color w:val="auto"/>
                <w:sz w:val="24"/>
                <w:szCs w:val="24"/>
                <w:highlight w:val="none"/>
                <w:lang w:eastAsia="zh-CN"/>
              </w:rPr>
              <w:t>正常生产情况下为一</w:t>
            </w:r>
            <w:r>
              <w:rPr>
                <w:rFonts w:hint="eastAsia" w:cs="Times New Roman"/>
                <w:color w:val="auto"/>
                <w:sz w:val="24"/>
                <w:szCs w:val="24"/>
                <w:highlight w:val="none"/>
                <w:lang w:eastAsia="zh-CN"/>
              </w:rPr>
              <w:t>个月</w:t>
            </w:r>
            <w:r>
              <w:rPr>
                <w:rFonts w:hint="eastAsia" w:ascii="Times New Roman" w:hAnsi="Times New Roman" w:eastAsia="宋体" w:cs="Times New Roman"/>
                <w:color w:val="auto"/>
                <w:sz w:val="24"/>
                <w:szCs w:val="24"/>
                <w:highlight w:val="none"/>
                <w:lang w:eastAsia="zh-CN"/>
              </w:rPr>
              <w:t>清运一次，具体以实际生产情况为准，做到及时清理；</w:t>
            </w:r>
            <w:r>
              <w:rPr>
                <w:rFonts w:hint="default" w:ascii="Times New Roman" w:hAnsi="Times New Roman" w:eastAsia="宋体" w:cs="Times New Roman"/>
                <w:color w:val="auto"/>
                <w:sz w:val="24"/>
                <w:szCs w:val="24"/>
                <w:highlight w:val="none"/>
              </w:rPr>
              <w:t>厂区</w:t>
            </w:r>
            <w:r>
              <w:rPr>
                <w:rFonts w:hint="eastAsia" w:ascii="Times New Roman" w:hAnsi="Times New Roman" w:eastAsia="宋体" w:cs="Times New Roman"/>
                <w:color w:val="auto"/>
                <w:sz w:val="24"/>
                <w:szCs w:val="24"/>
                <w:highlight w:val="none"/>
                <w:lang w:eastAsia="zh-CN"/>
              </w:rPr>
              <w:t>危废间均按照《环境保护图形标志固体废物贮存（处置）场》（GB15562.2-1995）及修改单和危险废物识别标识设置规范设置标志，配备通讯设备、照明设施和消防设施。</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危险废物贮存场所的建设必须符合《危险废物贮存污染控制标准》（GB18597-2023）、《危险废物识别标志设置技术规范》（HJ1276-2022）的要求，具体如下：</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企业根据危险废物特性进行分区、分类贮存，地面进行防腐、防渗、防逸散措施。贮存场所符合消防要求：地面与裙脚要用坚固、防渗的材料建造，建筑材料与危险废物相容；贮存场所严格按照防风、防晒、防雨、防漏、防渗、防腐等要求进行设置，有集排水设施且贮存场所符合消防要求，贮存场所内采用安全照明设施。</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危险废物管理计划和管理台账制定技术导则》（HJ1259—2022），产生危险废物的单位，应当按照本标准规定的分类管理要求，制定危险废物管理计划，内容应当包括减少危险废物产生量和降低危险废物危害性的措施以及危险废物贮存、利用、处置措施；建立危险废物管理台账，如实记录危险废物的种类、产生量、流向、贮存、利用、处置等有关信息；通过国家危险废物信息管理系统向所在地生态环境主管部门备案危险废物管理计划，申报危险废物有关资料。</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eastAsia="zh-CN"/>
              </w:rPr>
              <w:t>企业</w:t>
            </w:r>
            <w:r>
              <w:rPr>
                <w:rFonts w:hint="default" w:ascii="Times New Roman" w:hAnsi="Times New Roman" w:eastAsia="宋体" w:cs="Times New Roman"/>
                <w:color w:val="auto"/>
                <w:sz w:val="24"/>
                <w:szCs w:val="24"/>
                <w:highlight w:val="none"/>
              </w:rPr>
              <w:t>按照实际情况填写记录有关内容，并对内容的真实性、准确性和完整性负责。保存时间存档5年以上。</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3</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危险废物运输管理要求</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eastAsia="zh-CN"/>
              </w:rPr>
              <w:t>企业不涉及危险废物的运输，均由有相应危废处置资质的单位拉运处理。</w:t>
            </w:r>
          </w:p>
          <w:p>
            <w:pPr>
              <w:keepNext w:val="0"/>
              <w:keepLines w:val="0"/>
              <w:pageBreakBefore w:val="0"/>
              <w:widowControl w:val="0"/>
              <w:suppressLineNumbers w:val="0"/>
              <w:tabs>
                <w:tab w:val="left" w:pos="3052"/>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b/>
                <w:color w:val="auto"/>
                <w:sz w:val="24"/>
                <w:szCs w:val="24"/>
                <w:highlight w:val="none"/>
                <w:lang w:val="en-US" w:eastAsia="zh-CN"/>
              </w:rPr>
            </w:pPr>
            <w:r>
              <w:rPr>
                <w:rFonts w:hint="default" w:ascii="Times New Roman" w:hAnsi="Times New Roman" w:eastAsia="宋体" w:cs="Times New Roman"/>
                <w:color w:val="auto"/>
                <w:sz w:val="24"/>
                <w:szCs w:val="24"/>
                <w:highlight w:val="none"/>
              </w:rPr>
              <w:t>综上所述，本项目在采取上述治理措施的情况下，固废均得到综合利用或妥善处置，不会产生二次污染，对周边环境影响较小。</w:t>
            </w:r>
          </w:p>
          <w:p>
            <w:pPr>
              <w:keepNext w:val="0"/>
              <w:keepLines w:val="0"/>
              <w:pageBreakBefore w:val="0"/>
              <w:widowControl w:val="0"/>
              <w:suppressLineNumbers w:val="0"/>
              <w:tabs>
                <w:tab w:val="left" w:pos="3052"/>
              </w:tabs>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lang w:val="en-US" w:eastAsia="zh-CN"/>
              </w:rPr>
              <w:t>4</w:t>
            </w:r>
            <w:r>
              <w:rPr>
                <w:rFonts w:hint="eastAsia" w:ascii="Times New Roman" w:hAnsi="Times New Roman" w:eastAsia="宋体" w:cs="Times New Roman"/>
                <w:b/>
                <w:color w:val="auto"/>
                <w:sz w:val="24"/>
                <w:szCs w:val="24"/>
                <w:highlight w:val="none"/>
                <w:lang w:val="en-US" w:eastAsia="zh-CN"/>
              </w:rPr>
              <w:t>.</w:t>
            </w:r>
            <w:r>
              <w:rPr>
                <w:rFonts w:hint="eastAsia" w:cs="Times New Roman"/>
                <w:b/>
                <w:color w:val="auto"/>
                <w:sz w:val="24"/>
                <w:szCs w:val="24"/>
                <w:highlight w:val="none"/>
                <w:lang w:val="en-US" w:eastAsia="zh-CN"/>
              </w:rPr>
              <w:t>2</w:t>
            </w:r>
            <w:r>
              <w:rPr>
                <w:rFonts w:hint="eastAsia" w:ascii="Times New Roman" w:hAnsi="Times New Roman" w:eastAsia="宋体" w:cs="Times New Roman"/>
                <w:b/>
                <w:color w:val="auto"/>
                <w:sz w:val="24"/>
                <w:szCs w:val="24"/>
                <w:highlight w:val="none"/>
                <w:lang w:val="en-US" w:eastAsia="zh-CN"/>
              </w:rPr>
              <w:t>.</w:t>
            </w:r>
            <w:r>
              <w:rPr>
                <w:rFonts w:hint="eastAsia" w:cs="Times New Roman"/>
                <w:b/>
                <w:color w:val="auto"/>
                <w:sz w:val="24"/>
                <w:szCs w:val="24"/>
                <w:highlight w:val="none"/>
                <w:lang w:val="en-US" w:eastAsia="zh-CN"/>
              </w:rPr>
              <w:t>2</w:t>
            </w:r>
            <w:r>
              <w:rPr>
                <w:rFonts w:hint="default" w:ascii="Times New Roman" w:hAnsi="Times New Roman" w:eastAsia="宋体" w:cs="Times New Roman"/>
                <w:b/>
                <w:color w:val="auto"/>
                <w:sz w:val="24"/>
                <w:szCs w:val="24"/>
                <w:highlight w:val="none"/>
              </w:rPr>
              <w:t>其他要求</w:t>
            </w:r>
          </w:p>
          <w:p>
            <w:pPr>
              <w:keepNext w:val="0"/>
              <w:keepLines w:val="0"/>
              <w:pageBreakBefore w:val="0"/>
              <w:widowControl w:val="0"/>
              <w:suppressLineNumbers w:val="0"/>
              <w:tabs>
                <w:tab w:val="left" w:pos="3052"/>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按照《中华人民共和国固体废物污染环境防治法》、《排污许可证申请与核发技术规范 工业固体废物（试行）》（HJ1200-2021）相关要求，评价要求企业应做到以下几点要求：</w:t>
            </w:r>
          </w:p>
          <w:p>
            <w:pPr>
              <w:keepNext w:val="0"/>
              <w:keepLines w:val="0"/>
              <w:pageBreakBefore w:val="0"/>
              <w:widowControl w:val="0"/>
              <w:suppressLineNumbers w:val="0"/>
              <w:tabs>
                <w:tab w:val="left" w:pos="3052"/>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a</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对工业固体废物采取防扬散、防流失、防渗漏或者其他防止污染环境的措施，不得擅自倾倒、堆放、丢弃、遗撒工业固体废物。</w:t>
            </w:r>
          </w:p>
          <w:p>
            <w:pPr>
              <w:keepNext w:val="0"/>
              <w:keepLines w:val="0"/>
              <w:pageBreakBefore w:val="0"/>
              <w:widowControl w:val="0"/>
              <w:suppressLineNumbers w:val="0"/>
              <w:tabs>
                <w:tab w:val="left" w:pos="3052"/>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b</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建立健全工业固体废物产生、收集、贮存、运输、利用、处置全过程的污染环境防治责任制度，建立工业固体废物管理台账，如实记录产生工业固体废物的种类、数量、流向、贮存、利用、处置等信息，实现工业固体废物可追溯、可查询，并采取防治工业固体废物污染环境的措施。</w:t>
            </w:r>
          </w:p>
          <w:p>
            <w:pPr>
              <w:keepNext w:val="0"/>
              <w:keepLines w:val="0"/>
              <w:pageBreakBefore w:val="0"/>
              <w:widowControl w:val="0"/>
              <w:suppressLineNumbers w:val="0"/>
              <w:tabs>
                <w:tab w:val="left" w:pos="3052"/>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c</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禁止向生活垃圾收集设施中投放工业固体废物。</w:t>
            </w:r>
          </w:p>
          <w:p>
            <w:pPr>
              <w:keepNext w:val="0"/>
              <w:keepLines w:val="0"/>
              <w:pageBreakBefore w:val="0"/>
              <w:widowControl w:val="0"/>
              <w:suppressLineNumbers w:val="0"/>
              <w:tabs>
                <w:tab w:val="left" w:pos="3052"/>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d</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应当向所在地生态环境主管部门提供工业固体废物的种类、数量、流向、贮存、利用、处置等有关资料，以及减少工业固体废物产生、促进综合利用的具体措施，并执行排污许可管理制度的相关规定。</w:t>
            </w:r>
          </w:p>
          <w:p>
            <w:pPr>
              <w:pStyle w:val="3"/>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outlineLvl w:val="1"/>
              <w:rPr>
                <w:rFonts w:hint="eastAsia" w:ascii="Times New Roman" w:hAnsi="Times New Roman" w:eastAsia="宋体" w:cs="Times New Roman"/>
                <w:b w:val="0"/>
                <w:bCs/>
                <w:color w:val="auto"/>
                <w:kern w:val="2"/>
                <w:sz w:val="24"/>
                <w:szCs w:val="24"/>
                <w:highlight w:val="none"/>
                <w:u w:val="none" w:color="auto"/>
                <w:lang w:val="en-US" w:eastAsia="zh-CN" w:bidi="ar-SA"/>
              </w:rPr>
            </w:pPr>
            <w:r>
              <w:rPr>
                <w:rFonts w:hint="default" w:ascii="Times New Roman" w:hAnsi="Times New Roman" w:eastAsia="宋体" w:cs="Times New Roman"/>
                <w:b w:val="0"/>
                <w:bCs/>
                <w:color w:val="auto"/>
                <w:sz w:val="24"/>
                <w:szCs w:val="24"/>
                <w:highlight w:val="none"/>
                <w:lang w:val="en-US" w:eastAsia="zh-CN"/>
              </w:rPr>
              <w:t>e</w:t>
            </w:r>
            <w:r>
              <w:rPr>
                <w:rFonts w:hint="eastAsia" w:ascii="Times New Roman" w:hAnsi="Times New Roman" w:eastAsia="宋体" w:cs="Times New Roman"/>
                <w:b w:val="0"/>
                <w:bCs/>
                <w:color w:val="auto"/>
                <w:sz w:val="24"/>
                <w:szCs w:val="24"/>
                <w:highlight w:val="none"/>
                <w:lang w:val="en-US" w:eastAsia="zh-CN"/>
              </w:rPr>
              <w:t>.</w:t>
            </w:r>
            <w:r>
              <w:rPr>
                <w:rFonts w:hint="default" w:ascii="Times New Roman" w:hAnsi="Times New Roman" w:eastAsia="宋体" w:cs="Times New Roman"/>
                <w:b w:val="0"/>
                <w:bCs/>
                <w:color w:val="auto"/>
                <w:sz w:val="24"/>
                <w:szCs w:val="24"/>
                <w:highlight w:val="none"/>
              </w:rPr>
              <w:t>企业固体废物涉及危险废物，依据《中华人民共和国固体废物污染环境防治法（2020年修订）》（中华人民共和国主席令第四十三号）要求，需制定危险废物意外事故防范措施和应急预案。</w:t>
            </w:r>
          </w:p>
          <w:p>
            <w:pPr>
              <w:keepNext w:val="0"/>
              <w:keepLines w:val="0"/>
              <w:suppressLineNumbers w:val="0"/>
              <w:autoSpaceDE w:val="0"/>
              <w:autoSpaceDN w:val="0"/>
              <w:spacing w:before="0" w:beforeAutospacing="0" w:after="0" w:afterAutospacing="0" w:line="360" w:lineRule="auto"/>
              <w:ind w:left="0" w:right="0" w:firstLine="482" w:firstLineChars="200"/>
              <w:rPr>
                <w:rFonts w:hint="default" w:ascii="Times New Roman" w:hAnsi="Times New Roman" w:eastAsia="宋体" w:cs="Times New Roman"/>
                <w:b/>
                <w:bCs/>
                <w:color w:val="auto"/>
                <w:kern w:val="2"/>
                <w:sz w:val="24"/>
                <w:szCs w:val="24"/>
                <w:highlight w:val="none"/>
                <w:u w:val="none" w:color="auto"/>
                <w:lang w:val="en-US" w:eastAsia="zh-CN" w:bidi="ar-SA"/>
              </w:rPr>
            </w:pPr>
            <w:r>
              <w:rPr>
                <w:rFonts w:hint="default" w:ascii="Times New Roman" w:hAnsi="Times New Roman" w:eastAsia="宋体" w:cs="Times New Roman"/>
                <w:b/>
                <w:color w:val="auto"/>
                <w:sz w:val="24"/>
                <w:szCs w:val="24"/>
                <w:highlight w:val="none"/>
                <w:lang w:val="en-US" w:eastAsia="zh-CN"/>
              </w:rPr>
              <w:t>4</w:t>
            </w:r>
            <w:r>
              <w:rPr>
                <w:rFonts w:hint="eastAsia" w:ascii="Times New Roman" w:hAnsi="Times New Roman" w:eastAsia="宋体" w:cs="Times New Roman"/>
                <w:b/>
                <w:color w:val="auto"/>
                <w:sz w:val="24"/>
                <w:szCs w:val="24"/>
                <w:highlight w:val="none"/>
                <w:lang w:val="en-US" w:eastAsia="zh-CN"/>
              </w:rPr>
              <w:t>.</w:t>
            </w:r>
            <w:r>
              <w:rPr>
                <w:rFonts w:hint="eastAsia" w:cs="Times New Roman"/>
                <w:b/>
                <w:color w:val="auto"/>
                <w:sz w:val="24"/>
                <w:szCs w:val="24"/>
                <w:highlight w:val="none"/>
                <w:lang w:val="en-US" w:eastAsia="zh-CN"/>
              </w:rPr>
              <w:t>2</w:t>
            </w:r>
            <w:r>
              <w:rPr>
                <w:rFonts w:hint="eastAsia" w:ascii="Times New Roman" w:hAnsi="Times New Roman" w:eastAsia="宋体" w:cs="Times New Roman"/>
                <w:b/>
                <w:color w:val="auto"/>
                <w:sz w:val="24"/>
                <w:szCs w:val="24"/>
                <w:highlight w:val="none"/>
                <w:lang w:val="en-US" w:eastAsia="zh-CN"/>
              </w:rPr>
              <w:t>.</w:t>
            </w:r>
            <w:r>
              <w:rPr>
                <w:rFonts w:hint="eastAsia" w:cs="Times New Roman"/>
                <w:b/>
                <w:color w:val="auto"/>
                <w:sz w:val="24"/>
                <w:szCs w:val="24"/>
                <w:highlight w:val="none"/>
                <w:lang w:val="en-US" w:eastAsia="zh-CN"/>
              </w:rPr>
              <w:t>3</w:t>
            </w:r>
            <w:r>
              <w:rPr>
                <w:rFonts w:hint="eastAsia" w:ascii="Times New Roman" w:hAnsi="Times New Roman" w:eastAsia="宋体" w:cs="Times New Roman"/>
                <w:b/>
                <w:color w:val="auto"/>
                <w:sz w:val="24"/>
                <w:szCs w:val="24"/>
                <w:highlight w:val="none"/>
                <w:lang w:val="en-US" w:eastAsia="zh-CN"/>
              </w:rPr>
              <w:t>固废环境影响结论</w:t>
            </w:r>
          </w:p>
          <w:p>
            <w:pPr>
              <w:keepNext w:val="0"/>
              <w:keepLines w:val="0"/>
              <w:suppressLineNumbers w:val="0"/>
              <w:tabs>
                <w:tab w:val="left" w:pos="720"/>
              </w:tabs>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rPr>
            </w:pPr>
            <w:r>
              <w:rPr>
                <w:rFonts w:hint="eastAsia" w:ascii="Times New Roman" w:hAnsi="Times New Roman" w:eastAsia="宋体" w:cs="Times New Roman"/>
                <w:bCs/>
                <w:color w:val="auto"/>
                <w:sz w:val="24"/>
                <w:szCs w:val="24"/>
              </w:rPr>
              <w:t>本项目固体废物全部得到综合利用和安全处置，措施可行。项目产生的固废经妥善处理后，能达到零排放，不会对当地环境造成明显的影响。</w:t>
            </w:r>
          </w:p>
          <w:p>
            <w:pPr>
              <w:pStyle w:val="3"/>
              <w:suppressLineNumbers w:val="0"/>
              <w:spacing w:before="0" w:beforeAutospacing="0" w:after="0" w:afterAutospacing="0" w:line="360" w:lineRule="auto"/>
              <w:ind w:left="0" w:right="0"/>
              <w:outlineLvl w:val="1"/>
              <w:rPr>
                <w:rFonts w:hint="eastAsia" w:ascii="Times New Roman" w:hAnsi="Times New Roman" w:eastAsia="宋体" w:cs="Times New Roman"/>
                <w:b/>
                <w:bCs/>
                <w:color w:val="auto"/>
                <w:kern w:val="2"/>
                <w:sz w:val="24"/>
                <w:szCs w:val="24"/>
                <w:highlight w:val="none"/>
                <w:u w:val="none" w:color="auto"/>
                <w:lang w:val="en-US" w:eastAsia="zh-CN" w:bidi="ar-SA"/>
              </w:rPr>
            </w:pPr>
            <w:r>
              <w:rPr>
                <w:rFonts w:hint="eastAsia" w:ascii="Times New Roman" w:hAnsi="Times New Roman" w:eastAsia="宋体" w:cs="Times New Roman"/>
                <w:b/>
                <w:bCs/>
                <w:color w:val="auto"/>
                <w:kern w:val="2"/>
                <w:sz w:val="24"/>
                <w:szCs w:val="24"/>
                <w:highlight w:val="none"/>
                <w:u w:val="none" w:color="auto"/>
                <w:lang w:val="en-US" w:eastAsia="zh-CN" w:bidi="ar-SA"/>
              </w:rPr>
              <w:t>5.地下水、土壤分析</w:t>
            </w:r>
          </w:p>
          <w:p>
            <w:pPr>
              <w:pStyle w:val="3"/>
              <w:suppressLineNumbers w:val="0"/>
              <w:spacing w:before="0" w:beforeAutospacing="0" w:after="0" w:afterAutospacing="0" w:line="360" w:lineRule="auto"/>
              <w:ind w:left="0" w:right="0" w:firstLine="241" w:firstLineChars="100"/>
              <w:outlineLvl w:val="1"/>
              <w:rPr>
                <w:rFonts w:hint="default" w:ascii="Times New Roman" w:hAnsi="Times New Roman" w:eastAsia="宋体" w:cs="Times New Roman"/>
                <w:b/>
                <w:bCs w:val="0"/>
                <w:color w:val="auto"/>
                <w:sz w:val="24"/>
                <w:szCs w:val="24"/>
                <w:lang w:val="en-US" w:eastAsia="zh-CN"/>
              </w:rPr>
            </w:pPr>
            <w:r>
              <w:rPr>
                <w:rFonts w:hint="eastAsia" w:ascii="Times New Roman" w:hAnsi="Times New Roman" w:eastAsia="宋体" w:cs="Times New Roman"/>
                <w:b/>
                <w:bCs w:val="0"/>
                <w:color w:val="auto"/>
                <w:sz w:val="24"/>
                <w:szCs w:val="24"/>
                <w:lang w:val="en-US" w:eastAsia="zh-CN"/>
              </w:rPr>
              <w:t>5.1污染状况</w:t>
            </w:r>
          </w:p>
          <w:p>
            <w:pPr>
              <w:pStyle w:val="3"/>
              <w:suppressLineNumbers w:val="0"/>
              <w:spacing w:before="0" w:beforeAutospacing="0" w:after="0" w:afterAutospacing="0" w:line="360" w:lineRule="auto"/>
              <w:ind w:left="0" w:right="0" w:firstLine="480" w:firstLineChars="200"/>
              <w:outlineLvl w:val="1"/>
              <w:rPr>
                <w:rFonts w:hint="eastAsia" w:ascii="Times New Roman" w:hAnsi="Times New Roman" w:eastAsia="宋体" w:cs="Times New Roman"/>
                <w:b w:val="0"/>
                <w:bCs/>
                <w:color w:val="auto"/>
                <w:sz w:val="24"/>
                <w:szCs w:val="24"/>
                <w:lang w:val="en-US" w:eastAsia="zh-CN"/>
              </w:rPr>
            </w:pPr>
            <w:r>
              <w:rPr>
                <w:rFonts w:hint="eastAsia" w:ascii="Times New Roman" w:hAnsi="Times New Roman" w:eastAsia="宋体" w:cs="Times New Roman"/>
                <w:b w:val="0"/>
                <w:bCs/>
                <w:color w:val="auto"/>
                <w:sz w:val="24"/>
                <w:szCs w:val="24"/>
                <w:lang w:val="en-US" w:eastAsia="zh-CN"/>
              </w:rPr>
              <w:t>根据本项目污染物特点按照“源头控制、分区防控、污染监控、应急响应”的原则，为了防止运营期地下水及土壤污染，本项目进行划分重点防渗区、一般防渗区和简单防渗区三个区域，分别采取防渗措施，正常情况下不存在土壤、地下水污染途径。</w:t>
            </w:r>
          </w:p>
          <w:p>
            <w:pPr>
              <w:keepNext w:val="0"/>
              <w:keepLines w:val="0"/>
              <w:suppressLineNumbers w:val="0"/>
              <w:spacing w:before="0" w:beforeAutospacing="0" w:after="0" w:afterAutospacing="0" w:line="360" w:lineRule="auto"/>
              <w:ind w:left="0" w:right="0" w:firstLine="241" w:firstLineChars="100"/>
              <w:rPr>
                <w:rFonts w:hint="eastAsia" w:ascii="Times New Roman" w:hAnsi="Times New Roman" w:cs="Times New Roman"/>
                <w:b/>
                <w:bCs/>
                <w:color w:val="auto"/>
                <w:sz w:val="24"/>
                <w:szCs w:val="24"/>
                <w:lang w:val="en-US" w:eastAsia="zh-CN"/>
              </w:rPr>
            </w:pPr>
          </w:p>
          <w:p>
            <w:pPr>
              <w:keepNext w:val="0"/>
              <w:keepLines w:val="0"/>
              <w:suppressLineNumbers w:val="0"/>
              <w:spacing w:before="0" w:beforeAutospacing="0" w:after="0" w:afterAutospacing="0" w:line="360" w:lineRule="auto"/>
              <w:ind w:left="0" w:right="0" w:firstLine="241" w:firstLineChars="100"/>
              <w:rPr>
                <w:rFonts w:hint="eastAsia" w:ascii="Times New Roman" w:hAnsi="Times New Roman" w:cs="Times New Roman"/>
                <w:b/>
                <w:bCs/>
                <w:color w:val="auto"/>
                <w:sz w:val="24"/>
                <w:szCs w:val="24"/>
                <w:lang w:val="en-US" w:eastAsia="zh-CN"/>
              </w:rPr>
            </w:pPr>
          </w:p>
          <w:p>
            <w:pPr>
              <w:keepNext w:val="0"/>
              <w:keepLines w:val="0"/>
              <w:suppressLineNumbers w:val="0"/>
              <w:spacing w:before="0" w:beforeAutospacing="0" w:after="0" w:afterAutospacing="0" w:line="360" w:lineRule="auto"/>
              <w:ind w:left="0" w:right="0" w:firstLine="241" w:firstLineChars="100"/>
              <w:rPr>
                <w:rFonts w:hint="default" w:ascii="Times New Roman" w:hAnsi="Times New Roman" w:eastAsia="宋体" w:cs="Times New Roman"/>
                <w:color w:val="auto"/>
                <w:sz w:val="24"/>
                <w:szCs w:val="24"/>
                <w:lang w:val="en-US" w:eastAsia="zh-CN"/>
              </w:rPr>
            </w:pPr>
            <w:r>
              <w:rPr>
                <w:rFonts w:hint="eastAsia" w:ascii="Times New Roman" w:hAnsi="Times New Roman" w:cs="Times New Roman"/>
                <w:b/>
                <w:bCs/>
                <w:color w:val="auto"/>
                <w:sz w:val="24"/>
                <w:szCs w:val="24"/>
                <w:lang w:val="en-US" w:eastAsia="zh-CN"/>
              </w:rPr>
              <w:t>5.2分区防渗措施</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both"/>
              <w:rPr>
                <w:rFonts w:hint="eastAsia" w:ascii="宋体" w:hAnsi="宋体" w:eastAsia="宋体" w:cs="宋体"/>
                <w:b w:val="0"/>
                <w:bCs/>
                <w:color w:val="auto"/>
                <w:kern w:val="2"/>
                <w:sz w:val="24"/>
                <w:szCs w:val="24"/>
                <w:lang w:val="en-US" w:eastAsia="zh-CN" w:bidi="ar"/>
              </w:rPr>
            </w:pPr>
            <w:r>
              <w:rPr>
                <w:rFonts w:hint="eastAsia" w:ascii="宋体" w:hAnsi="宋体" w:eastAsia="宋体" w:cs="宋体"/>
                <w:b w:val="0"/>
                <w:bCs/>
                <w:color w:val="auto"/>
                <w:kern w:val="2"/>
                <w:sz w:val="24"/>
                <w:szCs w:val="24"/>
                <w:lang w:val="en-US" w:eastAsia="zh-CN" w:bidi="ar"/>
              </w:rPr>
              <w:t>本项目原料来自年产</w:t>
            </w:r>
            <w:r>
              <w:rPr>
                <w:rFonts w:hint="default" w:ascii="Times New Roman" w:hAnsi="Times New Roman" w:eastAsia="宋体" w:cs="Times New Roman"/>
                <w:b w:val="0"/>
                <w:bCs/>
                <w:color w:val="auto"/>
                <w:kern w:val="2"/>
                <w:sz w:val="24"/>
                <w:szCs w:val="24"/>
                <w:lang w:val="en-US" w:eastAsia="zh-CN" w:bidi="ar"/>
              </w:rPr>
              <w:t>6</w:t>
            </w:r>
            <w:r>
              <w:rPr>
                <w:rFonts w:hint="eastAsia" w:ascii="宋体" w:hAnsi="宋体" w:eastAsia="宋体" w:cs="宋体"/>
                <w:b w:val="0"/>
                <w:bCs/>
                <w:color w:val="auto"/>
                <w:kern w:val="2"/>
                <w:sz w:val="24"/>
                <w:szCs w:val="24"/>
                <w:lang w:val="en-US" w:eastAsia="zh-CN" w:bidi="ar"/>
              </w:rPr>
              <w:t>万吨铝锌合金生产线扒渣工序产生的熔炼渣，根据《国家危险废物名录》（</w:t>
            </w:r>
            <w:r>
              <w:rPr>
                <w:rFonts w:hint="default" w:ascii="Times New Roman" w:hAnsi="Times New Roman" w:eastAsia="宋体" w:cs="Times New Roman"/>
                <w:b w:val="0"/>
                <w:bCs/>
                <w:color w:val="auto"/>
                <w:kern w:val="2"/>
                <w:sz w:val="24"/>
                <w:szCs w:val="24"/>
                <w:lang w:val="en-US" w:eastAsia="zh-CN" w:bidi="ar"/>
              </w:rPr>
              <w:t>2025</w:t>
            </w:r>
            <w:r>
              <w:rPr>
                <w:rFonts w:hint="eastAsia" w:ascii="宋体" w:hAnsi="宋体" w:eastAsia="宋体" w:cs="宋体"/>
                <w:b w:val="0"/>
                <w:bCs/>
                <w:color w:val="auto"/>
                <w:kern w:val="2"/>
                <w:sz w:val="24"/>
                <w:szCs w:val="24"/>
                <w:lang w:val="en-US" w:eastAsia="zh-CN" w:bidi="ar"/>
              </w:rPr>
              <w:t>年版），本项目使用的原料熔炼渣及产生的废物二次熔炼渣均属于危险废物，其类别是</w:t>
            </w:r>
            <w:r>
              <w:rPr>
                <w:rFonts w:hint="default" w:ascii="Times New Roman" w:hAnsi="Times New Roman" w:eastAsia="宋体" w:cs="Times New Roman"/>
                <w:b w:val="0"/>
                <w:bCs/>
                <w:color w:val="auto"/>
                <w:kern w:val="2"/>
                <w:sz w:val="24"/>
                <w:szCs w:val="24"/>
                <w:lang w:val="en-US" w:eastAsia="zh-CN" w:bidi="ar"/>
              </w:rPr>
              <w:t>HW48</w:t>
            </w:r>
            <w:r>
              <w:rPr>
                <w:rFonts w:hint="eastAsia" w:ascii="宋体" w:hAnsi="宋体" w:eastAsia="宋体" w:cs="宋体"/>
                <w:b w:val="0"/>
                <w:bCs/>
                <w:color w:val="auto"/>
                <w:kern w:val="2"/>
                <w:sz w:val="24"/>
                <w:szCs w:val="24"/>
                <w:lang w:val="en-US" w:eastAsia="zh-CN" w:bidi="ar"/>
              </w:rPr>
              <w:t>，危废代码：</w:t>
            </w:r>
            <w:r>
              <w:rPr>
                <w:rFonts w:hint="default" w:ascii="Times New Roman" w:hAnsi="Times New Roman" w:eastAsia="宋体" w:cs="Times New Roman"/>
                <w:b w:val="0"/>
                <w:bCs/>
                <w:color w:val="auto"/>
                <w:kern w:val="2"/>
                <w:sz w:val="24"/>
                <w:szCs w:val="24"/>
                <w:lang w:val="en-US" w:eastAsia="zh-CN" w:bidi="ar"/>
              </w:rPr>
              <w:t>321-026-48</w:t>
            </w:r>
            <w:r>
              <w:rPr>
                <w:rFonts w:hint="eastAsia" w:ascii="宋体" w:hAnsi="宋体" w:eastAsia="宋体" w:cs="宋体"/>
                <w:b w:val="0"/>
                <w:bCs/>
                <w:color w:val="auto"/>
                <w:kern w:val="2"/>
                <w:sz w:val="24"/>
                <w:szCs w:val="24"/>
                <w:lang w:val="en-US" w:eastAsia="zh-CN" w:bidi="ar"/>
              </w:rPr>
              <w:t>。则需对项目所在生产车间、危废间做出相应的防渗措施。</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both"/>
              <w:rPr>
                <w:rFonts w:hint="eastAsia" w:ascii="宋体" w:hAnsi="宋体" w:eastAsia="宋体" w:cs="宋体"/>
                <w:b w:val="0"/>
                <w:bCs/>
                <w:color w:val="auto"/>
                <w:kern w:val="2"/>
                <w:sz w:val="24"/>
                <w:szCs w:val="24"/>
                <w:lang w:val="en-US" w:eastAsia="zh-CN" w:bidi="ar"/>
              </w:rPr>
            </w:pPr>
            <w:r>
              <w:rPr>
                <w:rFonts w:hint="eastAsia" w:ascii="宋体" w:hAnsi="宋体" w:eastAsia="宋体" w:cs="宋体"/>
                <w:b w:val="0"/>
                <w:bCs/>
                <w:color w:val="auto"/>
                <w:kern w:val="2"/>
                <w:sz w:val="24"/>
                <w:szCs w:val="24"/>
                <w:lang w:val="en-US" w:eastAsia="zh-CN" w:bidi="ar"/>
              </w:rPr>
              <w:t>控制措施如下：</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color w:val="auto"/>
                <w:kern w:val="2"/>
                <w:sz w:val="24"/>
                <w:szCs w:val="24"/>
                <w:lang w:val="en-US" w:eastAsia="zh-CN" w:bidi="ar"/>
              </w:rPr>
            </w:pPr>
            <w:r>
              <w:rPr>
                <w:rFonts w:hint="default" w:ascii="Times New Roman" w:hAnsi="Times New Roman" w:eastAsia="宋体" w:cs="Times New Roman"/>
                <w:b w:val="0"/>
                <w:bCs/>
                <w:color w:val="auto"/>
                <w:kern w:val="2"/>
                <w:sz w:val="24"/>
                <w:szCs w:val="24"/>
                <w:lang w:val="en-US" w:eastAsia="zh-CN" w:bidi="ar"/>
              </w:rPr>
              <w:t>（1）从源头控制，为防止颗粒物（</w:t>
            </w:r>
            <w:r>
              <w:rPr>
                <w:rFonts w:hint="eastAsia" w:ascii="Times New Roman" w:hAnsi="Times New Roman" w:eastAsia="宋体" w:cs="Times New Roman"/>
                <w:b w:val="0"/>
                <w:bCs/>
                <w:color w:val="auto"/>
                <w:kern w:val="2"/>
                <w:sz w:val="24"/>
                <w:szCs w:val="24"/>
                <w:lang w:val="en-US" w:eastAsia="zh-CN" w:bidi="ar"/>
              </w:rPr>
              <w:t>氮</w:t>
            </w:r>
            <w:r>
              <w:rPr>
                <w:rFonts w:hint="default" w:ascii="Times New Roman" w:hAnsi="Times New Roman" w:eastAsia="宋体" w:cs="Times New Roman"/>
                <w:b w:val="0"/>
                <w:bCs/>
                <w:color w:val="auto"/>
                <w:kern w:val="2"/>
                <w:sz w:val="24"/>
                <w:szCs w:val="24"/>
                <w:lang w:val="en-US" w:eastAsia="zh-CN" w:bidi="ar"/>
              </w:rPr>
              <w:t>化铝等)对土壤造成影响，应对废气污染治理设施定期进行维护，根据生产记录定期检查袋式除尘器中布袋是否破损。</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宋体" w:hAnsi="宋体" w:eastAsia="宋体" w:cs="宋体"/>
                <w:color w:val="auto"/>
                <w:kern w:val="2"/>
                <w:sz w:val="24"/>
                <w:szCs w:val="24"/>
                <w:lang w:val="en-US" w:eastAsia="zh-CN" w:bidi="ar"/>
              </w:rPr>
            </w:pPr>
            <w:r>
              <w:rPr>
                <w:rFonts w:hint="default" w:ascii="Times New Roman" w:hAnsi="Times New Roman" w:eastAsia="宋体" w:cs="Times New Roman"/>
                <w:b w:val="0"/>
                <w:bCs/>
                <w:color w:val="auto"/>
                <w:kern w:val="2"/>
                <w:sz w:val="24"/>
                <w:szCs w:val="24"/>
                <w:lang w:val="en-US" w:eastAsia="zh-CN" w:bidi="ar"/>
              </w:rPr>
              <w:t>（2）本项目</w:t>
            </w:r>
            <w:r>
              <w:rPr>
                <w:rFonts w:hint="eastAsia" w:ascii="Times New Roman" w:hAnsi="Times New Roman" w:eastAsia="宋体" w:cs="Times New Roman"/>
                <w:b w:val="0"/>
                <w:bCs/>
                <w:color w:val="auto"/>
                <w:kern w:val="2"/>
                <w:sz w:val="24"/>
                <w:szCs w:val="24"/>
                <w:lang w:val="en-US" w:eastAsia="zh-CN" w:bidi="ar"/>
              </w:rPr>
              <w:t>利用</w:t>
            </w:r>
            <w:r>
              <w:rPr>
                <w:rFonts w:hint="default" w:ascii="Times New Roman" w:hAnsi="Times New Roman" w:eastAsia="宋体" w:cs="Times New Roman"/>
                <w:b w:val="0"/>
                <w:bCs/>
                <w:color w:val="auto"/>
                <w:kern w:val="2"/>
                <w:sz w:val="24"/>
                <w:szCs w:val="24"/>
                <w:lang w:val="en-US" w:eastAsia="zh-CN" w:bidi="ar"/>
              </w:rPr>
              <w:t>厂区现有生产车间进行建设，车间</w:t>
            </w:r>
            <w:r>
              <w:rPr>
                <w:rFonts w:hint="eastAsia" w:ascii="Times New Roman" w:hAnsi="Times New Roman" w:eastAsia="宋体" w:cs="Times New Roman"/>
                <w:b w:val="0"/>
                <w:bCs/>
                <w:color w:val="auto"/>
                <w:kern w:val="2"/>
                <w:sz w:val="24"/>
                <w:szCs w:val="24"/>
                <w:lang w:val="en-US" w:eastAsia="zh-CN" w:bidi="ar"/>
              </w:rPr>
              <w:t>、危废间</w:t>
            </w:r>
            <w:r>
              <w:rPr>
                <w:rFonts w:hint="default" w:ascii="Times New Roman" w:hAnsi="Times New Roman" w:eastAsia="宋体" w:cs="Times New Roman"/>
                <w:b w:val="0"/>
                <w:bCs/>
                <w:color w:val="auto"/>
                <w:kern w:val="2"/>
                <w:sz w:val="24"/>
                <w:szCs w:val="24"/>
                <w:lang w:val="en-US" w:eastAsia="zh-CN" w:bidi="ar"/>
              </w:rPr>
              <w:t>地面已做防渗措施，渗透系数≤10</w:t>
            </w:r>
            <w:r>
              <w:rPr>
                <w:rFonts w:hint="default" w:ascii="Times New Roman" w:hAnsi="Times New Roman" w:eastAsia="宋体" w:cs="Times New Roman"/>
                <w:b w:val="0"/>
                <w:bCs/>
                <w:color w:val="auto"/>
                <w:kern w:val="2"/>
                <w:sz w:val="24"/>
                <w:szCs w:val="24"/>
                <w:vertAlign w:val="superscript"/>
                <w:lang w:val="en-US" w:eastAsia="zh-CN" w:bidi="ar"/>
              </w:rPr>
              <w:t>-10</w:t>
            </w:r>
            <w:r>
              <w:rPr>
                <w:rFonts w:hint="default" w:ascii="Times New Roman" w:hAnsi="Times New Roman" w:eastAsia="宋体" w:cs="Times New Roman"/>
                <w:b w:val="0"/>
                <w:bCs/>
                <w:color w:val="auto"/>
                <w:kern w:val="2"/>
                <w:sz w:val="24"/>
                <w:szCs w:val="24"/>
                <w:lang w:val="en-US" w:eastAsia="zh-CN" w:bidi="ar"/>
              </w:rPr>
              <w:t>cm/s，防渗层为2mm高密度聚乙烯和环氧树脂防腐。</w:t>
            </w:r>
            <w:r>
              <w:rPr>
                <w:rFonts w:hint="eastAsia" w:ascii="Times New Roman" w:hAnsi="Times New Roman" w:eastAsia="宋体" w:cs="Times New Roman"/>
                <w:b w:val="0"/>
                <w:bCs/>
                <w:color w:val="auto"/>
                <w:kern w:val="2"/>
                <w:sz w:val="24"/>
                <w:szCs w:val="24"/>
                <w:lang w:val="en-US" w:eastAsia="zh-CN" w:bidi="ar"/>
              </w:rPr>
              <w:t>各建筑</w:t>
            </w:r>
            <w:r>
              <w:rPr>
                <w:rFonts w:hint="eastAsia" w:ascii="宋体" w:hAnsi="宋体" w:eastAsia="宋体" w:cs="宋体"/>
                <w:color w:val="auto"/>
                <w:kern w:val="2"/>
                <w:sz w:val="24"/>
                <w:szCs w:val="24"/>
                <w:lang w:val="en-US" w:eastAsia="zh-CN" w:bidi="ar"/>
              </w:rPr>
              <w:t>均已做防渗措施。</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241" w:firstLineChars="1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b/>
                <w:bCs/>
                <w:color w:val="auto"/>
                <w:sz w:val="24"/>
                <w:szCs w:val="24"/>
                <w:lang w:val="en-US" w:eastAsia="zh-CN"/>
              </w:rPr>
              <w:t>5.3环境管理要求</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①对生产车间等区域进行硬化，其他区域采取绿化或硬化措施；</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②制定土壤、地下水污染防治管理制度；</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③定期巡检车间、危险废物暂存间地面，一旦发现地面破损等情况要及时处理，确保地面满足《危险废物贮存污染控制标准》（GB18597-2023）要求，地面基础必须防渗；</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iCs/>
                <w:color w:val="auto"/>
                <w:sz w:val="24"/>
                <w:szCs w:val="24"/>
                <w:lang w:eastAsia="zh-CN"/>
              </w:rPr>
            </w:pPr>
            <w:r>
              <w:rPr>
                <w:rFonts w:hint="eastAsia" w:ascii="Times New Roman" w:hAnsi="Times New Roman" w:cs="Times New Roman"/>
                <w:color w:val="auto"/>
                <w:sz w:val="24"/>
                <w:szCs w:val="24"/>
                <w:lang w:val="en-US" w:eastAsia="zh-CN"/>
              </w:rPr>
              <w:t>④加强生产过程中的管理，预防污染土壤、地下水环境突发事件的发生。</w:t>
            </w:r>
          </w:p>
          <w:p>
            <w:pPr>
              <w:keepNext w:val="0"/>
              <w:keepLines w:val="0"/>
              <w:pageBreakBefore w:val="0"/>
              <w:widowControl w:val="0"/>
              <w:suppressLineNumbers w:val="0"/>
              <w:tabs>
                <w:tab w:val="left" w:pos="720"/>
              </w:tabs>
              <w:kinsoku/>
              <w:wordWrap/>
              <w:overflowPunct/>
              <w:topLinePunct w:val="0"/>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6.</w:t>
            </w:r>
            <w:r>
              <w:rPr>
                <w:rFonts w:hint="default" w:ascii="Times New Roman" w:hAnsi="Times New Roman" w:eastAsia="宋体" w:cs="Times New Roman"/>
                <w:b/>
                <w:bCs/>
                <w:color w:val="auto"/>
                <w:sz w:val="24"/>
                <w:szCs w:val="24"/>
                <w:highlight w:val="none"/>
                <w:u w:val="none" w:color="auto"/>
                <w:lang w:val="en-US" w:eastAsia="zh-CN"/>
              </w:rPr>
              <w:t>生态</w:t>
            </w:r>
          </w:p>
          <w:p>
            <w:pPr>
              <w:keepNext w:val="0"/>
              <w:keepLines w:val="0"/>
              <w:suppressLineNumbers w:val="0"/>
              <w:autoSpaceDE w:val="0"/>
              <w:autoSpaceDN w:val="0"/>
              <w:spacing w:before="0" w:beforeAutospacing="0" w:after="0" w:afterAutospacing="0" w:line="360" w:lineRule="auto"/>
              <w:ind w:left="0" w:right="0" w:firstLine="480" w:firstLineChars="200"/>
              <w:rPr>
                <w:rFonts w:hint="default" w:ascii="Times New Roman" w:hAnsi="Times New Roman" w:eastAsia="宋体" w:cs="Times New Roman"/>
                <w:b/>
                <w:bCs/>
                <w:color w:val="auto"/>
                <w:kern w:val="2"/>
                <w:sz w:val="24"/>
                <w:szCs w:val="24"/>
                <w:highlight w:val="none"/>
                <w:u w:val="none" w:color="auto"/>
                <w:lang w:val="en-US" w:eastAsia="zh-CN" w:bidi="ar-SA"/>
              </w:rPr>
            </w:pPr>
            <w:r>
              <w:rPr>
                <w:rFonts w:hint="default" w:ascii="Times New Roman" w:hAnsi="Times New Roman" w:eastAsia="宋体" w:cs="Times New Roman"/>
                <w:b w:val="0"/>
                <w:bCs w:val="0"/>
                <w:color w:val="auto"/>
                <w:kern w:val="2"/>
                <w:sz w:val="24"/>
                <w:szCs w:val="24"/>
                <w:highlight w:val="none"/>
                <w:u w:val="none" w:color="auto"/>
                <w:lang w:val="en-US" w:eastAsia="zh-CN" w:bidi="ar-SA"/>
              </w:rPr>
              <w:t>本工程在现有厂区内建设，不涉及新增土地，且用地范围内无生态环境保护目标，根据《建设项目环境影响报告表编制技术指南》（污染影响类）（试行），本工程不开展生态环境影响分析。</w:t>
            </w:r>
          </w:p>
          <w:p>
            <w:pPr>
              <w:keepNext w:val="0"/>
              <w:keepLines w:val="0"/>
              <w:pageBreakBefore w:val="0"/>
              <w:widowControl w:val="0"/>
              <w:numPr>
                <w:ilvl w:val="0"/>
                <w:numId w:val="0"/>
              </w:numPr>
              <w:suppressLineNumbers w:val="0"/>
              <w:tabs>
                <w:tab w:val="left" w:pos="720"/>
                <w:tab w:val="clear" w:pos="0"/>
                <w:tab w:val="clear" w:pos="2040"/>
              </w:tabs>
              <w:kinsoku/>
              <w:wordWrap/>
              <w:overflowPunct/>
              <w:topLinePunct w:val="0"/>
              <w:bidi w:val="0"/>
              <w:adjustRightInd w:val="0"/>
              <w:snapToGrid w:val="0"/>
              <w:spacing w:before="0" w:beforeAutospacing="0" w:after="0" w:afterAutospacing="0" w:line="360" w:lineRule="auto"/>
              <w:ind w:left="0" w:right="0"/>
              <w:textAlignment w:val="auto"/>
              <w:rPr>
                <w:rFonts w:hint="eastAsia"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kern w:val="2"/>
                <w:sz w:val="24"/>
                <w:szCs w:val="24"/>
                <w:lang w:val="en-US" w:eastAsia="zh-CN" w:bidi="ar-SA"/>
              </w:rPr>
              <w:t>7.</w:t>
            </w:r>
            <w:r>
              <w:rPr>
                <w:rFonts w:hint="eastAsia" w:ascii="Times New Roman" w:hAnsi="Times New Roman" w:eastAsia="宋体" w:cs="Times New Roman"/>
                <w:b/>
                <w:bCs/>
                <w:color w:val="auto"/>
                <w:sz w:val="24"/>
                <w:szCs w:val="24"/>
                <w:highlight w:val="none"/>
                <w:u w:val="none" w:color="auto"/>
                <w:lang w:val="en-US" w:eastAsia="zh-CN"/>
              </w:rPr>
              <w:t>环境风险</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241" w:firstLineChars="100"/>
              <w:textAlignment w:val="auto"/>
              <w:rPr>
                <w:rFonts w:hint="eastAsia" w:ascii="Times New Roman" w:hAnsi="Times New Roman" w:eastAsia="宋体" w:cs="Times New Roman"/>
                <w:b/>
                <w:bCs/>
                <w:color w:val="auto"/>
                <w:sz w:val="24"/>
                <w:szCs w:val="24"/>
                <w:highlight w:val="none"/>
                <w:u w:val="none" w:color="auto"/>
                <w:lang w:val="en-US" w:eastAsia="zh-CN"/>
              </w:rPr>
            </w:pPr>
            <w:r>
              <w:rPr>
                <w:rFonts w:hint="default" w:ascii="Times New Roman" w:hAnsi="Times New Roman" w:eastAsia="宋体" w:cs="Times New Roman"/>
                <w:b/>
                <w:bCs/>
                <w:color w:val="auto"/>
                <w:kern w:val="2"/>
                <w:sz w:val="24"/>
                <w:szCs w:val="24"/>
                <w:highlight w:val="none"/>
                <w:u w:val="none" w:color="auto"/>
                <w:lang w:val="en-US" w:eastAsia="zh-CN" w:bidi="ar-SA"/>
              </w:rPr>
              <w:t>7</w:t>
            </w:r>
            <w:r>
              <w:rPr>
                <w:rFonts w:hint="eastAsia" w:ascii="Times New Roman" w:hAnsi="Times New Roman" w:eastAsia="宋体" w:cs="Times New Roman"/>
                <w:b/>
                <w:bCs/>
                <w:color w:val="auto"/>
                <w:kern w:val="2"/>
                <w:sz w:val="24"/>
                <w:szCs w:val="24"/>
                <w:highlight w:val="none"/>
                <w:u w:val="none" w:color="auto"/>
                <w:lang w:val="en-US" w:eastAsia="zh-CN" w:bidi="ar-SA"/>
              </w:rPr>
              <w:t>.</w:t>
            </w:r>
            <w:r>
              <w:rPr>
                <w:rFonts w:hint="default" w:ascii="Times New Roman" w:hAnsi="Times New Roman" w:eastAsia="宋体" w:cs="Times New Roman"/>
                <w:b/>
                <w:bCs/>
                <w:color w:val="auto"/>
                <w:kern w:val="2"/>
                <w:sz w:val="24"/>
                <w:szCs w:val="24"/>
                <w:highlight w:val="none"/>
                <w:u w:val="none" w:color="auto"/>
                <w:lang w:val="en-US" w:eastAsia="zh-CN" w:bidi="ar-SA"/>
              </w:rPr>
              <w:t>1物质危险性识别</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sz w:val="24"/>
                <w:szCs w:val="24"/>
                <w:lang w:val="en-US" w:eastAsia="zh-CN"/>
              </w:rPr>
              <w:t>本项目生产过程及储存区涉及到的危险物质主要为原料、废气及危险废物，风险源分布见下表。本项目熔炼渣产生量为700t/a，年工作时间为200d，每天产生量为3.5t/d，产生后进入铝灰炒灰机进行回收利用，则最大储存量为3.5t；二次熔炼渣产生量为</w:t>
            </w:r>
            <w:r>
              <w:rPr>
                <w:rFonts w:hint="eastAsia" w:cs="Times New Roman"/>
                <w:bCs/>
                <w:color w:val="auto"/>
                <w:sz w:val="24"/>
                <w:szCs w:val="24"/>
                <w:lang w:val="en-US" w:eastAsia="zh-CN"/>
              </w:rPr>
              <w:t>490.3514</w:t>
            </w:r>
            <w:r>
              <w:rPr>
                <w:rFonts w:hint="eastAsia" w:ascii="Times New Roman" w:hAnsi="Times New Roman" w:eastAsia="宋体" w:cs="Times New Roman"/>
                <w:bCs/>
                <w:color w:val="auto"/>
                <w:sz w:val="24"/>
                <w:szCs w:val="24"/>
                <w:lang w:val="en-US" w:eastAsia="zh-CN"/>
              </w:rPr>
              <w:t>t/a，除尘灰产生量为</w:t>
            </w:r>
            <w:r>
              <w:rPr>
                <w:rFonts w:hint="eastAsia" w:cs="Times New Roman"/>
                <w:bCs/>
                <w:color w:val="auto"/>
                <w:sz w:val="24"/>
                <w:szCs w:val="24"/>
                <w:lang w:val="en-US" w:eastAsia="zh-CN"/>
              </w:rPr>
              <w:t>0.1419</w:t>
            </w:r>
            <w:r>
              <w:rPr>
                <w:rFonts w:hint="eastAsia" w:ascii="Times New Roman" w:hAnsi="Times New Roman" w:eastAsia="宋体" w:cs="Times New Roman"/>
                <w:bCs/>
                <w:color w:val="auto"/>
                <w:sz w:val="24"/>
                <w:szCs w:val="24"/>
                <w:lang w:val="en-US" w:eastAsia="zh-CN"/>
              </w:rPr>
              <w:t>t/a，废除尘滤袋产生量为0.1t/a，</w:t>
            </w:r>
            <w:r>
              <w:rPr>
                <w:rFonts w:hint="eastAsia" w:cs="Times New Roman"/>
                <w:bCs/>
                <w:color w:val="auto"/>
                <w:sz w:val="24"/>
                <w:szCs w:val="24"/>
                <w:lang w:val="en-US" w:eastAsia="zh-CN"/>
              </w:rPr>
              <w:t>废UV灯管产生量为0.1t/2a，废活性炭产生量为0.5t/2a，</w:t>
            </w:r>
            <w:r>
              <w:rPr>
                <w:rFonts w:hint="eastAsia" w:ascii="Times New Roman" w:hAnsi="Times New Roman" w:eastAsia="宋体" w:cs="Times New Roman"/>
                <w:bCs/>
                <w:color w:val="auto"/>
                <w:sz w:val="24"/>
                <w:szCs w:val="24"/>
                <w:lang w:val="en-US" w:eastAsia="zh-CN"/>
              </w:rPr>
              <w:t>危废每月转运一次，则二次熔炼渣最大储存量为</w:t>
            </w:r>
            <w:r>
              <w:rPr>
                <w:rFonts w:hint="eastAsia" w:cs="Times New Roman"/>
                <w:bCs/>
                <w:color w:val="auto"/>
                <w:sz w:val="24"/>
                <w:szCs w:val="24"/>
                <w:lang w:val="en-US" w:eastAsia="zh-CN"/>
              </w:rPr>
              <w:t>40.8626</w:t>
            </w:r>
            <w:r>
              <w:rPr>
                <w:rFonts w:hint="eastAsia" w:ascii="Times New Roman" w:hAnsi="Times New Roman" w:eastAsia="宋体" w:cs="Times New Roman"/>
                <w:bCs/>
                <w:color w:val="auto"/>
                <w:sz w:val="24"/>
                <w:szCs w:val="24"/>
                <w:lang w:val="en-US" w:eastAsia="zh-CN"/>
              </w:rPr>
              <w:t>t；废除尘滤袋每年更换一次，废除尘滤袋最大储存量为0.1t</w:t>
            </w:r>
            <w:r>
              <w:rPr>
                <w:rFonts w:hint="eastAsia" w:cs="Times New Roman"/>
                <w:bCs/>
                <w:color w:val="auto"/>
                <w:sz w:val="24"/>
                <w:szCs w:val="24"/>
                <w:lang w:val="en-US" w:eastAsia="zh-CN"/>
              </w:rPr>
              <w:t>，</w:t>
            </w:r>
            <w:r>
              <w:rPr>
                <w:rFonts w:hint="eastAsia" w:ascii="Times New Roman" w:hAnsi="Times New Roman" w:eastAsia="宋体" w:cs="Times New Roman"/>
                <w:bCs/>
                <w:color w:val="auto"/>
                <w:sz w:val="24"/>
                <w:szCs w:val="24"/>
                <w:lang w:val="en-US" w:eastAsia="zh-CN"/>
              </w:rPr>
              <w:t>除尘灰最大储存量为</w:t>
            </w:r>
            <w:r>
              <w:rPr>
                <w:rFonts w:hint="eastAsia" w:cs="Times New Roman"/>
                <w:bCs/>
                <w:color w:val="auto"/>
                <w:sz w:val="24"/>
                <w:szCs w:val="24"/>
                <w:lang w:val="en-US" w:eastAsia="zh-CN"/>
              </w:rPr>
              <w:t>0.1419</w:t>
            </w:r>
            <w:r>
              <w:rPr>
                <w:rFonts w:hint="eastAsia" w:ascii="Times New Roman" w:hAnsi="Times New Roman" w:eastAsia="宋体" w:cs="Times New Roman"/>
                <w:bCs/>
                <w:color w:val="auto"/>
                <w:sz w:val="24"/>
                <w:szCs w:val="24"/>
                <w:lang w:val="en-US" w:eastAsia="zh-CN"/>
              </w:rPr>
              <w:t>t</w:t>
            </w:r>
            <w:r>
              <w:rPr>
                <w:rFonts w:hint="eastAsia" w:cs="Times New Roman"/>
                <w:bCs/>
                <w:color w:val="auto"/>
                <w:sz w:val="24"/>
                <w:szCs w:val="24"/>
                <w:lang w:val="en-US" w:eastAsia="zh-CN"/>
              </w:rPr>
              <w:t>；废UV灯管每2年更换一次，废UV灯管最大储存量为0.1t/2a；废活性炭每2年更换一次，废活性炭最大储存量为0.5t/a</w:t>
            </w:r>
            <w:r>
              <w:rPr>
                <w:rFonts w:hint="eastAsia" w:ascii="Times New Roman" w:hAnsi="Times New Roman" w:eastAsia="宋体" w:cs="Times New Roman"/>
                <w:bCs/>
                <w:color w:val="auto"/>
                <w:sz w:val="24"/>
                <w:szCs w:val="24"/>
                <w:lang w:val="en-US" w:eastAsia="zh-CN"/>
              </w:rPr>
              <w:t>。</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bCs/>
                <w:color w:val="auto"/>
                <w:sz w:val="24"/>
                <w:szCs w:val="24"/>
                <w:lang w:val="en-US" w:eastAsia="zh-CN"/>
              </w:rPr>
            </w:pPr>
            <w:r>
              <w:rPr>
                <w:rFonts w:hint="eastAsia" w:cs="Times New Roman"/>
                <w:bCs/>
                <w:color w:val="auto"/>
                <w:sz w:val="24"/>
                <w:szCs w:val="24"/>
                <w:lang w:val="en-US" w:eastAsia="zh-CN"/>
              </w:rPr>
              <w:t>根据《国家危险废物名录》（2025年版），二次熔炼渣及除尘灰均属于反应性危险废物，其中含有的AlN易与空气中的水反应产生氨气，采用专用防水吨包进行包装，严禁上述物料遇水，收集在封闭危险废物暂存间内。</w:t>
            </w:r>
          </w:p>
          <w:p>
            <w:pPr>
              <w:pStyle w:val="6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right="0"/>
              <w:textAlignment w:val="baseline"/>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项目</w:t>
            </w:r>
            <w:r>
              <w:rPr>
                <w:rFonts w:hint="eastAsia" w:ascii="Times New Roman" w:hAnsi="Times New Roman" w:eastAsia="宋体" w:cs="Times New Roman"/>
                <w:color w:val="auto"/>
                <w:kern w:val="2"/>
                <w:sz w:val="24"/>
                <w:szCs w:val="24"/>
                <w:lang w:val="en-US" w:eastAsia="zh-CN" w:bidi="ar-SA"/>
              </w:rPr>
              <w:t>风险</w:t>
            </w:r>
            <w:r>
              <w:rPr>
                <w:rFonts w:hint="default" w:ascii="Times New Roman" w:hAnsi="Times New Roman" w:eastAsia="宋体" w:cs="Times New Roman"/>
                <w:color w:val="auto"/>
                <w:kern w:val="2"/>
                <w:sz w:val="24"/>
                <w:szCs w:val="24"/>
                <w:lang w:val="en-US" w:eastAsia="zh-CN" w:bidi="ar-SA"/>
              </w:rPr>
              <w:t>物质存在情况一览表</w:t>
            </w:r>
          </w:p>
          <w:tbl>
            <w:tblPr>
              <w:tblStyle w:val="27"/>
              <w:tblW w:w="8236" w:type="dxa"/>
              <w:jc w:val="center"/>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23"/>
              <w:gridCol w:w="1523"/>
              <w:gridCol w:w="1458"/>
              <w:gridCol w:w="1469"/>
              <w:gridCol w:w="1180"/>
              <w:gridCol w:w="108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2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i w:val="0"/>
                      <w:iCs w:val="0"/>
                      <w:color w:val="auto"/>
                      <w:sz w:val="21"/>
                      <w:szCs w:val="21"/>
                      <w:u w:val="none"/>
                      <w:lang w:val="en-US" w:eastAsia="zh-CN"/>
                    </w:rPr>
                  </w:pPr>
                  <w:r>
                    <w:rPr>
                      <w:rFonts w:hint="default" w:ascii="Times New Roman" w:hAnsi="Times New Roman" w:eastAsia="宋体" w:cs="Times New Roman"/>
                      <w:b/>
                      <w:bCs/>
                      <w:i w:val="0"/>
                      <w:iCs w:val="0"/>
                      <w:color w:val="auto"/>
                      <w:sz w:val="21"/>
                      <w:szCs w:val="21"/>
                      <w:u w:val="none"/>
                      <w:lang w:val="en-US" w:eastAsia="zh-CN"/>
                    </w:rPr>
                    <w:t>类别</w:t>
                  </w:r>
                </w:p>
              </w:tc>
              <w:tc>
                <w:tcPr>
                  <w:tcW w:w="152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i w:val="0"/>
                      <w:iCs w:val="0"/>
                      <w:color w:val="auto"/>
                      <w:sz w:val="21"/>
                      <w:szCs w:val="21"/>
                      <w:u w:val="none"/>
                      <w:lang w:val="en-US" w:eastAsia="zh-CN"/>
                    </w:rPr>
                  </w:pPr>
                  <w:r>
                    <w:rPr>
                      <w:rFonts w:hint="default" w:ascii="Times New Roman" w:hAnsi="Times New Roman" w:eastAsia="宋体" w:cs="Times New Roman"/>
                      <w:b/>
                      <w:bCs/>
                      <w:i w:val="0"/>
                      <w:iCs w:val="0"/>
                      <w:color w:val="auto"/>
                      <w:sz w:val="21"/>
                      <w:szCs w:val="21"/>
                      <w:u w:val="none"/>
                      <w:lang w:val="en-US" w:eastAsia="zh-CN"/>
                    </w:rPr>
                    <w:t>风险物质</w:t>
                  </w:r>
                </w:p>
              </w:tc>
              <w:tc>
                <w:tcPr>
                  <w:tcW w:w="1458"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i w:val="0"/>
                      <w:iCs w:val="0"/>
                      <w:color w:val="auto"/>
                      <w:sz w:val="21"/>
                      <w:szCs w:val="21"/>
                      <w:u w:val="none"/>
                      <w:lang w:val="en-US" w:eastAsia="zh-CN"/>
                    </w:rPr>
                  </w:pPr>
                  <w:r>
                    <w:rPr>
                      <w:rFonts w:hint="default" w:ascii="Times New Roman" w:hAnsi="Times New Roman" w:eastAsia="宋体" w:cs="Times New Roman"/>
                      <w:b/>
                      <w:bCs/>
                      <w:i w:val="0"/>
                      <w:iCs w:val="0"/>
                      <w:color w:val="auto"/>
                      <w:sz w:val="21"/>
                      <w:szCs w:val="21"/>
                      <w:u w:val="none"/>
                      <w:lang w:val="en-US" w:eastAsia="zh-CN"/>
                    </w:rPr>
                    <w:t>风险源分布</w:t>
                  </w:r>
                </w:p>
              </w:tc>
              <w:tc>
                <w:tcPr>
                  <w:tcW w:w="1469"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i w:val="0"/>
                      <w:iCs w:val="0"/>
                      <w:color w:val="auto"/>
                      <w:sz w:val="21"/>
                      <w:szCs w:val="21"/>
                      <w:u w:val="none"/>
                      <w:lang w:val="en-US" w:eastAsia="zh-CN"/>
                    </w:rPr>
                  </w:pPr>
                  <w:r>
                    <w:rPr>
                      <w:rFonts w:hint="default" w:ascii="Times New Roman" w:hAnsi="Times New Roman" w:eastAsia="宋体" w:cs="Times New Roman"/>
                      <w:b/>
                      <w:bCs/>
                      <w:i w:val="0"/>
                      <w:iCs w:val="0"/>
                      <w:color w:val="auto"/>
                      <w:sz w:val="21"/>
                      <w:szCs w:val="21"/>
                      <w:u w:val="none"/>
                      <w:lang w:val="en-US" w:eastAsia="zh-CN"/>
                    </w:rPr>
                    <w:t>最大存储量/t</w:t>
                  </w:r>
                </w:p>
              </w:tc>
              <w:tc>
                <w:tcPr>
                  <w:tcW w:w="118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i w:val="0"/>
                      <w:iCs w:val="0"/>
                      <w:color w:val="auto"/>
                      <w:sz w:val="21"/>
                      <w:szCs w:val="21"/>
                      <w:u w:val="none"/>
                      <w:lang w:val="en-US" w:eastAsia="zh-CN"/>
                    </w:rPr>
                  </w:pPr>
                  <w:r>
                    <w:rPr>
                      <w:rFonts w:hint="default" w:ascii="Times New Roman" w:hAnsi="Times New Roman" w:eastAsia="宋体" w:cs="Times New Roman"/>
                      <w:b/>
                      <w:bCs/>
                      <w:i w:val="0"/>
                      <w:iCs w:val="0"/>
                      <w:color w:val="auto"/>
                      <w:sz w:val="21"/>
                      <w:szCs w:val="21"/>
                      <w:u w:val="none"/>
                      <w:lang w:val="en-US" w:eastAsia="zh-CN"/>
                    </w:rPr>
                    <w:t>*临界量/t</w:t>
                  </w:r>
                </w:p>
              </w:tc>
              <w:tc>
                <w:tcPr>
                  <w:tcW w:w="108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i w:val="0"/>
                      <w:iCs w:val="0"/>
                      <w:color w:val="auto"/>
                      <w:sz w:val="21"/>
                      <w:szCs w:val="21"/>
                      <w:u w:val="none"/>
                      <w:lang w:val="en-US" w:eastAsia="zh-CN"/>
                    </w:rPr>
                  </w:pPr>
                  <w:r>
                    <w:rPr>
                      <w:rFonts w:hint="default" w:ascii="Times New Roman" w:hAnsi="Times New Roman" w:cs="Times New Roman"/>
                      <w:b/>
                      <w:bCs/>
                      <w:color w:val="auto"/>
                      <w:sz w:val="21"/>
                      <w:szCs w:val="21"/>
                      <w:u w:val="none"/>
                    </w:rPr>
                    <w:t>Q值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yellow"/>
                      <w:u w:val="none"/>
                      <w:lang w:val="en-US" w:eastAsia="zh-CN" w:bidi="ar-SA"/>
                    </w:rPr>
                  </w:pPr>
                  <w:r>
                    <w:rPr>
                      <w:rFonts w:hint="default" w:ascii="Times New Roman" w:hAnsi="Times New Roman" w:eastAsia="宋体" w:cs="Times New Roman"/>
                      <w:color w:val="auto"/>
                      <w:kern w:val="2"/>
                      <w:sz w:val="21"/>
                      <w:szCs w:val="21"/>
                      <w:highlight w:val="none"/>
                      <w:u w:val="none"/>
                      <w:lang w:val="en-US" w:eastAsia="zh-CN" w:bidi="ar-SA"/>
                    </w:rPr>
                    <w:t>原辅料</w:t>
                  </w:r>
                </w:p>
              </w:tc>
              <w:tc>
                <w:tcPr>
                  <w:tcW w:w="152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u w:val="none"/>
                      <w:lang w:eastAsia="zh-CN"/>
                    </w:rPr>
                  </w:pPr>
                  <w:r>
                    <w:rPr>
                      <w:rFonts w:hint="default" w:ascii="Times New Roman" w:hAnsi="Times New Roman" w:cs="Times New Roman"/>
                      <w:color w:val="auto"/>
                      <w:sz w:val="21"/>
                      <w:szCs w:val="21"/>
                      <w:u w:val="none"/>
                      <w:lang w:eastAsia="zh-CN"/>
                    </w:rPr>
                    <w:t>熔炼渣</w:t>
                  </w:r>
                </w:p>
              </w:tc>
              <w:tc>
                <w:tcPr>
                  <w:tcW w:w="1458"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u w:val="none"/>
                      <w:lang w:val="en-US" w:eastAsia="zh-CN" w:bidi="ar-SA"/>
                    </w:rPr>
                  </w:pPr>
                  <w:r>
                    <w:rPr>
                      <w:rFonts w:hint="default" w:ascii="Times New Roman" w:hAnsi="Times New Roman" w:eastAsia="宋体" w:cs="Times New Roman"/>
                      <w:color w:val="auto"/>
                      <w:kern w:val="2"/>
                      <w:sz w:val="21"/>
                      <w:szCs w:val="21"/>
                      <w:highlight w:val="none"/>
                      <w:u w:val="none"/>
                      <w:lang w:val="en-US" w:eastAsia="zh-CN" w:bidi="ar-SA"/>
                    </w:rPr>
                    <w:t>生产设施</w:t>
                  </w:r>
                </w:p>
              </w:tc>
              <w:tc>
                <w:tcPr>
                  <w:tcW w:w="1469"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2"/>
                      <w:sz w:val="21"/>
                      <w:szCs w:val="21"/>
                      <w:u w:val="none"/>
                      <w:lang w:val="en-US" w:eastAsia="zh-CN" w:bidi="ar-SA"/>
                    </w:rPr>
                  </w:pPr>
                  <w:r>
                    <w:rPr>
                      <w:rFonts w:hint="default" w:ascii="Times New Roman" w:hAnsi="Times New Roman" w:cs="Times New Roman"/>
                      <w:bCs/>
                      <w:color w:val="auto"/>
                      <w:kern w:val="2"/>
                      <w:sz w:val="21"/>
                      <w:szCs w:val="21"/>
                      <w:u w:val="none"/>
                      <w:lang w:val="en-US" w:eastAsia="zh-CN" w:bidi="ar-SA"/>
                    </w:rPr>
                    <w:t>3.5</w:t>
                  </w:r>
                </w:p>
              </w:tc>
              <w:tc>
                <w:tcPr>
                  <w:tcW w:w="118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auto"/>
                      <w:sz w:val="21"/>
                      <w:szCs w:val="21"/>
                      <w:u w:val="none"/>
                      <w:lang w:val="en-US" w:eastAsia="zh-CN"/>
                    </w:rPr>
                  </w:pPr>
                  <w:r>
                    <w:rPr>
                      <w:rFonts w:hint="default" w:ascii="Times New Roman" w:hAnsi="Times New Roman" w:eastAsia="宋体" w:cs="Times New Roman"/>
                      <w:i w:val="0"/>
                      <w:iCs w:val="0"/>
                      <w:color w:val="auto"/>
                      <w:sz w:val="21"/>
                      <w:szCs w:val="21"/>
                      <w:u w:val="none"/>
                      <w:lang w:val="en-US" w:eastAsia="zh-CN"/>
                    </w:rPr>
                    <w:t>50</w:t>
                  </w:r>
                </w:p>
              </w:tc>
              <w:tc>
                <w:tcPr>
                  <w:tcW w:w="1083" w:type="dxa"/>
                  <w:tcBorders>
                    <w:tl2br w:val="nil"/>
                    <w:tr2bl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color w:val="auto"/>
                      <w:sz w:val="21"/>
                      <w:szCs w:val="21"/>
                      <w:u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0.07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23" w:type="dxa"/>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u w:val="none"/>
                      <w:lang w:eastAsia="zh-CN"/>
                    </w:rPr>
                  </w:pPr>
                  <w:r>
                    <w:rPr>
                      <w:rFonts w:hint="default" w:ascii="Times New Roman" w:hAnsi="Times New Roman" w:cs="Times New Roman"/>
                      <w:color w:val="auto"/>
                      <w:sz w:val="21"/>
                      <w:szCs w:val="21"/>
                      <w:u w:val="none"/>
                      <w:lang w:eastAsia="zh-CN"/>
                    </w:rPr>
                    <w:t>危险废物</w:t>
                  </w:r>
                </w:p>
              </w:tc>
              <w:tc>
                <w:tcPr>
                  <w:tcW w:w="1523" w:type="dxa"/>
                  <w:tcBorders>
                    <w:tl2br w:val="nil"/>
                    <w:tr2bl w:val="nil"/>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u w:val="none"/>
                      <w:lang w:eastAsia="zh-CN"/>
                    </w:rPr>
                  </w:pPr>
                  <w:r>
                    <w:rPr>
                      <w:rFonts w:hint="default" w:ascii="Times New Roman" w:hAnsi="Times New Roman" w:eastAsia="宋体" w:cs="Times New Roman"/>
                      <w:color w:val="auto"/>
                      <w:kern w:val="2"/>
                      <w:sz w:val="21"/>
                      <w:szCs w:val="21"/>
                      <w:lang w:val="en-US" w:eastAsia="zh-CN" w:bidi="ar"/>
                    </w:rPr>
                    <w:t>二次熔炼渣</w:t>
                  </w:r>
                </w:p>
              </w:tc>
              <w:tc>
                <w:tcPr>
                  <w:tcW w:w="1458" w:type="dxa"/>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u w:val="none"/>
                      <w:lang w:val="en-US" w:eastAsia="zh-CN" w:bidi="ar-SA"/>
                    </w:rPr>
                  </w:pPr>
                  <w:r>
                    <w:rPr>
                      <w:rFonts w:hint="default" w:ascii="Times New Roman" w:hAnsi="Times New Roman" w:eastAsia="宋体" w:cs="Times New Roman"/>
                      <w:color w:val="auto"/>
                      <w:kern w:val="2"/>
                      <w:sz w:val="21"/>
                      <w:szCs w:val="21"/>
                      <w:highlight w:val="none"/>
                      <w:u w:val="none"/>
                      <w:lang w:val="en-US" w:eastAsia="zh-CN" w:bidi="ar-SA"/>
                    </w:rPr>
                    <w:t>危险废物暂存间</w:t>
                  </w:r>
                </w:p>
              </w:tc>
              <w:tc>
                <w:tcPr>
                  <w:tcW w:w="1469"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2"/>
                      <w:sz w:val="21"/>
                      <w:szCs w:val="21"/>
                      <w:u w:val="none"/>
                      <w:lang w:val="en-US" w:eastAsia="zh-CN" w:bidi="ar-SA"/>
                    </w:rPr>
                  </w:pPr>
                  <w:r>
                    <w:rPr>
                      <w:rFonts w:hint="default" w:ascii="Times New Roman" w:hAnsi="Times New Roman" w:cs="Times New Roman"/>
                      <w:bCs/>
                      <w:color w:val="auto"/>
                      <w:kern w:val="2"/>
                      <w:sz w:val="21"/>
                      <w:szCs w:val="21"/>
                      <w:u w:val="none"/>
                      <w:lang w:val="en-US" w:eastAsia="zh-CN" w:bidi="ar-SA"/>
                    </w:rPr>
                    <w:t>40.8626</w:t>
                  </w:r>
                </w:p>
              </w:tc>
              <w:tc>
                <w:tcPr>
                  <w:tcW w:w="118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auto"/>
                      <w:sz w:val="21"/>
                      <w:szCs w:val="21"/>
                      <w:u w:val="none"/>
                      <w:lang w:val="en-US" w:eastAsia="zh-CN"/>
                    </w:rPr>
                  </w:pPr>
                  <w:r>
                    <w:rPr>
                      <w:rFonts w:hint="default" w:ascii="Times New Roman" w:hAnsi="Times New Roman" w:eastAsia="宋体" w:cs="Times New Roman"/>
                      <w:i w:val="0"/>
                      <w:iCs w:val="0"/>
                      <w:color w:val="auto"/>
                      <w:sz w:val="21"/>
                      <w:szCs w:val="21"/>
                      <w:u w:val="none"/>
                      <w:lang w:val="en-US" w:eastAsia="zh-CN"/>
                    </w:rPr>
                    <w:t>50</w:t>
                  </w:r>
                </w:p>
              </w:tc>
              <w:tc>
                <w:tcPr>
                  <w:tcW w:w="1083" w:type="dxa"/>
                  <w:tcBorders>
                    <w:tl2br w:val="nil"/>
                    <w:tr2bl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0.817252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23" w:type="dxa"/>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u w:val="none"/>
                      <w:lang w:val="en-US" w:eastAsia="zh-CN" w:bidi="ar-SA"/>
                    </w:rPr>
                  </w:pPr>
                </w:p>
              </w:tc>
              <w:tc>
                <w:tcPr>
                  <w:tcW w:w="1523" w:type="dxa"/>
                  <w:tcBorders>
                    <w:tl2br w:val="nil"/>
                    <w:tr2bl w:val="nil"/>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u w:val="none"/>
                      <w:lang w:eastAsia="zh-CN"/>
                    </w:rPr>
                  </w:pPr>
                  <w:r>
                    <w:rPr>
                      <w:rFonts w:hint="default" w:ascii="Times New Roman" w:hAnsi="Times New Roman" w:eastAsia="宋体" w:cs="Times New Roman"/>
                      <w:color w:val="auto"/>
                      <w:kern w:val="2"/>
                      <w:sz w:val="21"/>
                      <w:szCs w:val="21"/>
                      <w:lang w:val="en-US" w:eastAsia="zh-CN" w:bidi="ar"/>
                    </w:rPr>
                    <w:t>除尘灰</w:t>
                  </w:r>
                </w:p>
              </w:tc>
              <w:tc>
                <w:tcPr>
                  <w:tcW w:w="1458" w:type="dxa"/>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u w:val="none"/>
                      <w:lang w:eastAsia="zh-CN"/>
                    </w:rPr>
                  </w:pPr>
                </w:p>
              </w:tc>
              <w:tc>
                <w:tcPr>
                  <w:tcW w:w="1469"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kern w:val="2"/>
                      <w:sz w:val="21"/>
                      <w:szCs w:val="21"/>
                      <w:u w:val="none"/>
                      <w:lang w:val="en-US" w:eastAsia="zh-CN" w:bidi="ar-SA"/>
                    </w:rPr>
                  </w:pPr>
                  <w:r>
                    <w:rPr>
                      <w:rFonts w:hint="default" w:ascii="Times New Roman" w:hAnsi="Times New Roman" w:cs="Times New Roman"/>
                      <w:bCs/>
                      <w:color w:val="auto"/>
                      <w:kern w:val="2"/>
                      <w:sz w:val="21"/>
                      <w:szCs w:val="21"/>
                      <w:u w:val="none"/>
                      <w:lang w:val="en-US" w:eastAsia="zh-CN" w:bidi="ar-SA"/>
                    </w:rPr>
                    <w:t>0.1419</w:t>
                  </w:r>
                </w:p>
              </w:tc>
              <w:tc>
                <w:tcPr>
                  <w:tcW w:w="118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auto"/>
                      <w:sz w:val="21"/>
                      <w:szCs w:val="21"/>
                      <w:u w:val="none"/>
                      <w:lang w:val="en-US" w:eastAsia="zh-CN"/>
                    </w:rPr>
                  </w:pPr>
                  <w:r>
                    <w:rPr>
                      <w:rFonts w:hint="default" w:ascii="Times New Roman" w:hAnsi="Times New Roman" w:eastAsia="宋体" w:cs="Times New Roman"/>
                      <w:i w:val="0"/>
                      <w:iCs w:val="0"/>
                      <w:color w:val="auto"/>
                      <w:sz w:val="21"/>
                      <w:szCs w:val="21"/>
                      <w:u w:val="none"/>
                      <w:lang w:val="en-US" w:eastAsia="zh-CN"/>
                    </w:rPr>
                    <w:t>50</w:t>
                  </w:r>
                </w:p>
              </w:tc>
              <w:tc>
                <w:tcPr>
                  <w:tcW w:w="1083" w:type="dxa"/>
                  <w:tcBorders>
                    <w:tl2br w:val="nil"/>
                    <w:tr2bl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color w:val="auto"/>
                      <w:sz w:val="21"/>
                      <w:szCs w:val="21"/>
                      <w:u w:val="none"/>
                      <w:lang w:val="en-US" w:eastAsia="zh-CN"/>
                    </w:rPr>
                  </w:pPr>
                  <w:r>
                    <w:rPr>
                      <w:rFonts w:hint="default" w:ascii="Times New Roman" w:hAnsi="Times New Roman" w:cs="Times New Roman"/>
                      <w:color w:val="auto"/>
                      <w:sz w:val="21"/>
                      <w:szCs w:val="21"/>
                    </w:rPr>
                    <w:t>0.002838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23" w:type="dxa"/>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u w:val="none"/>
                      <w:lang w:eastAsia="zh-CN"/>
                    </w:rPr>
                  </w:pPr>
                </w:p>
              </w:tc>
              <w:tc>
                <w:tcPr>
                  <w:tcW w:w="1523" w:type="dxa"/>
                  <w:tcBorders>
                    <w:tl2br w:val="nil"/>
                    <w:tr2bl w:val="nil"/>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u w:val="none"/>
                      <w:lang w:eastAsia="zh-CN"/>
                    </w:rPr>
                  </w:pPr>
                  <w:r>
                    <w:rPr>
                      <w:rFonts w:hint="default" w:ascii="Times New Roman" w:hAnsi="Times New Roman" w:eastAsia="宋体" w:cs="Times New Roman"/>
                      <w:color w:val="auto"/>
                      <w:kern w:val="2"/>
                      <w:sz w:val="21"/>
                      <w:szCs w:val="21"/>
                      <w:lang w:val="en-US" w:eastAsia="zh-CN" w:bidi="ar"/>
                    </w:rPr>
                    <w:t>废除尘滤袋</w:t>
                  </w:r>
                </w:p>
              </w:tc>
              <w:tc>
                <w:tcPr>
                  <w:tcW w:w="1458" w:type="dxa"/>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u w:val="none"/>
                      <w:lang w:eastAsia="zh-CN"/>
                    </w:rPr>
                  </w:pPr>
                </w:p>
              </w:tc>
              <w:tc>
                <w:tcPr>
                  <w:tcW w:w="1469"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sz w:val="21"/>
                      <w:szCs w:val="21"/>
                      <w:u w:val="none"/>
                      <w:lang w:val="en-US" w:eastAsia="zh-CN"/>
                    </w:rPr>
                  </w:pPr>
                  <w:r>
                    <w:rPr>
                      <w:rFonts w:hint="default" w:ascii="Times New Roman" w:hAnsi="Times New Roman" w:cs="Times New Roman"/>
                      <w:bCs/>
                      <w:color w:val="auto"/>
                      <w:sz w:val="21"/>
                      <w:szCs w:val="21"/>
                      <w:u w:val="none"/>
                      <w:lang w:val="en-US" w:eastAsia="zh-CN"/>
                    </w:rPr>
                    <w:t>0.1</w:t>
                  </w:r>
                </w:p>
              </w:tc>
              <w:tc>
                <w:tcPr>
                  <w:tcW w:w="118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auto"/>
                      <w:sz w:val="21"/>
                      <w:szCs w:val="21"/>
                      <w:u w:val="none"/>
                      <w:lang w:val="en-US" w:eastAsia="zh-CN"/>
                    </w:rPr>
                  </w:pPr>
                  <w:r>
                    <w:rPr>
                      <w:rFonts w:hint="default" w:ascii="Times New Roman" w:hAnsi="Times New Roman" w:eastAsia="宋体" w:cs="Times New Roman"/>
                      <w:i w:val="0"/>
                      <w:iCs w:val="0"/>
                      <w:color w:val="auto"/>
                      <w:sz w:val="21"/>
                      <w:szCs w:val="21"/>
                      <w:u w:val="none"/>
                      <w:lang w:val="en-US" w:eastAsia="zh-CN"/>
                    </w:rPr>
                    <w:t>50</w:t>
                  </w:r>
                </w:p>
              </w:tc>
              <w:tc>
                <w:tcPr>
                  <w:tcW w:w="1083" w:type="dxa"/>
                  <w:tcBorders>
                    <w:tl2br w:val="nil"/>
                    <w:tr2bl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23" w:type="dxa"/>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u w:val="none"/>
                      <w:lang w:eastAsia="zh-CN"/>
                    </w:rPr>
                  </w:pPr>
                </w:p>
              </w:tc>
              <w:tc>
                <w:tcPr>
                  <w:tcW w:w="1523" w:type="dxa"/>
                  <w:tcBorders>
                    <w:tl2br w:val="nil"/>
                    <w:tr2bl w:val="nil"/>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
                    </w:rPr>
                  </w:pPr>
                  <w:r>
                    <w:rPr>
                      <w:rFonts w:hint="default" w:ascii="Times New Roman" w:hAnsi="Times New Roman" w:cs="Times New Roman"/>
                      <w:color w:val="auto"/>
                      <w:kern w:val="2"/>
                      <w:sz w:val="21"/>
                      <w:szCs w:val="21"/>
                      <w:lang w:val="en-US" w:eastAsia="zh-CN" w:bidi="ar"/>
                    </w:rPr>
                    <w:t>废UV灯管</w:t>
                  </w:r>
                </w:p>
              </w:tc>
              <w:tc>
                <w:tcPr>
                  <w:tcW w:w="1458" w:type="dxa"/>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u w:val="none"/>
                      <w:lang w:eastAsia="zh-CN"/>
                    </w:rPr>
                  </w:pPr>
                </w:p>
              </w:tc>
              <w:tc>
                <w:tcPr>
                  <w:tcW w:w="1469"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sz w:val="21"/>
                      <w:szCs w:val="21"/>
                      <w:u w:val="none"/>
                      <w:lang w:val="en-US" w:eastAsia="zh-CN"/>
                    </w:rPr>
                  </w:pPr>
                  <w:r>
                    <w:rPr>
                      <w:rFonts w:hint="default" w:ascii="Times New Roman" w:hAnsi="Times New Roman" w:cs="Times New Roman"/>
                      <w:bCs/>
                      <w:color w:val="auto"/>
                      <w:sz w:val="21"/>
                      <w:szCs w:val="21"/>
                      <w:u w:val="none"/>
                      <w:lang w:val="en-US" w:eastAsia="zh-CN"/>
                    </w:rPr>
                    <w:t>0.1</w:t>
                  </w:r>
                </w:p>
              </w:tc>
              <w:tc>
                <w:tcPr>
                  <w:tcW w:w="118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auto"/>
                      <w:sz w:val="21"/>
                      <w:szCs w:val="21"/>
                      <w:u w:val="none"/>
                      <w:lang w:val="en-US" w:eastAsia="zh-CN"/>
                    </w:rPr>
                  </w:pPr>
                  <w:r>
                    <w:rPr>
                      <w:rFonts w:hint="default" w:ascii="Times New Roman" w:hAnsi="Times New Roman" w:cs="Times New Roman"/>
                      <w:i w:val="0"/>
                      <w:iCs w:val="0"/>
                      <w:color w:val="auto"/>
                      <w:sz w:val="21"/>
                      <w:szCs w:val="21"/>
                      <w:u w:val="none"/>
                      <w:lang w:val="en-US" w:eastAsia="zh-CN"/>
                    </w:rPr>
                    <w:t>50</w:t>
                  </w:r>
                </w:p>
              </w:tc>
              <w:tc>
                <w:tcPr>
                  <w:tcW w:w="1083" w:type="dxa"/>
                  <w:tcBorders>
                    <w:tl2br w:val="nil"/>
                    <w:tr2bl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23" w:type="dxa"/>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u w:val="none"/>
                      <w:lang w:eastAsia="zh-CN"/>
                    </w:rPr>
                  </w:pPr>
                </w:p>
              </w:tc>
              <w:tc>
                <w:tcPr>
                  <w:tcW w:w="1523" w:type="dxa"/>
                  <w:tcBorders>
                    <w:tl2br w:val="nil"/>
                    <w:tr2bl w:val="nil"/>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
                    </w:rPr>
                  </w:pPr>
                  <w:r>
                    <w:rPr>
                      <w:rFonts w:hint="default" w:ascii="Times New Roman" w:hAnsi="Times New Roman" w:cs="Times New Roman"/>
                      <w:color w:val="auto"/>
                      <w:kern w:val="2"/>
                      <w:sz w:val="21"/>
                      <w:szCs w:val="21"/>
                      <w:lang w:val="en-US" w:eastAsia="zh-CN" w:bidi="ar"/>
                    </w:rPr>
                    <w:t>废活性炭</w:t>
                  </w:r>
                </w:p>
              </w:tc>
              <w:tc>
                <w:tcPr>
                  <w:tcW w:w="1458" w:type="dxa"/>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u w:val="none"/>
                      <w:lang w:eastAsia="zh-CN"/>
                    </w:rPr>
                  </w:pPr>
                </w:p>
              </w:tc>
              <w:tc>
                <w:tcPr>
                  <w:tcW w:w="1469"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sz w:val="21"/>
                      <w:szCs w:val="21"/>
                      <w:u w:val="none"/>
                      <w:lang w:val="en-US" w:eastAsia="zh-CN"/>
                    </w:rPr>
                  </w:pPr>
                  <w:r>
                    <w:rPr>
                      <w:rFonts w:hint="default" w:ascii="Times New Roman" w:hAnsi="Times New Roman" w:cs="Times New Roman"/>
                      <w:bCs/>
                      <w:color w:val="auto"/>
                      <w:sz w:val="21"/>
                      <w:szCs w:val="21"/>
                      <w:u w:val="none"/>
                      <w:lang w:val="en-US" w:eastAsia="zh-CN"/>
                    </w:rPr>
                    <w:t>0.5</w:t>
                  </w:r>
                </w:p>
              </w:tc>
              <w:tc>
                <w:tcPr>
                  <w:tcW w:w="118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auto"/>
                      <w:sz w:val="21"/>
                      <w:szCs w:val="21"/>
                      <w:u w:val="none"/>
                      <w:lang w:val="en-US" w:eastAsia="zh-CN"/>
                    </w:rPr>
                  </w:pPr>
                  <w:r>
                    <w:rPr>
                      <w:rFonts w:hint="default" w:ascii="Times New Roman" w:hAnsi="Times New Roman" w:cs="Times New Roman"/>
                      <w:i w:val="0"/>
                      <w:iCs w:val="0"/>
                      <w:color w:val="auto"/>
                      <w:sz w:val="21"/>
                      <w:szCs w:val="21"/>
                      <w:u w:val="none"/>
                      <w:lang w:val="en-US" w:eastAsia="zh-CN"/>
                    </w:rPr>
                    <w:t>50</w:t>
                  </w:r>
                </w:p>
              </w:tc>
              <w:tc>
                <w:tcPr>
                  <w:tcW w:w="1083" w:type="dxa"/>
                  <w:tcBorders>
                    <w:tl2br w:val="nil"/>
                    <w:tr2bl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23" w:type="dxa"/>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u w:val="none"/>
                      <w:lang w:eastAsia="zh-CN"/>
                    </w:rPr>
                  </w:pPr>
                  <w:r>
                    <w:rPr>
                      <w:rFonts w:hint="default" w:ascii="Times New Roman" w:hAnsi="Times New Roman" w:cs="Times New Roman"/>
                      <w:color w:val="auto"/>
                      <w:sz w:val="21"/>
                      <w:szCs w:val="21"/>
                      <w:u w:val="none"/>
                      <w:lang w:eastAsia="zh-CN"/>
                    </w:rPr>
                    <w:t>废气</w:t>
                  </w:r>
                </w:p>
              </w:tc>
              <w:tc>
                <w:tcPr>
                  <w:tcW w:w="1523" w:type="dxa"/>
                  <w:tcBorders>
                    <w:tl2br w:val="nil"/>
                    <w:tr2bl w:val="nil"/>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color w:val="auto"/>
                      <w:kern w:val="2"/>
                      <w:sz w:val="21"/>
                      <w:szCs w:val="21"/>
                      <w:lang w:val="en-US" w:eastAsia="zh-CN" w:bidi="ar"/>
                    </w:rPr>
                    <w:t>氯化氢</w:t>
                  </w:r>
                </w:p>
              </w:tc>
              <w:tc>
                <w:tcPr>
                  <w:tcW w:w="1458"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u w:val="none"/>
                      <w:lang w:eastAsia="zh-CN"/>
                    </w:rPr>
                  </w:pPr>
                  <w:r>
                    <w:rPr>
                      <w:rFonts w:hint="default" w:ascii="Times New Roman" w:hAnsi="Times New Roman" w:cs="Times New Roman"/>
                      <w:color w:val="auto"/>
                      <w:sz w:val="21"/>
                      <w:szCs w:val="21"/>
                      <w:u w:val="none"/>
                      <w:lang w:eastAsia="zh-CN"/>
                    </w:rPr>
                    <w:t>车间</w:t>
                  </w:r>
                </w:p>
              </w:tc>
              <w:tc>
                <w:tcPr>
                  <w:tcW w:w="1469"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sz w:val="21"/>
                      <w:szCs w:val="21"/>
                      <w:u w:val="none"/>
                      <w:lang w:val="en-US" w:eastAsia="zh-CN"/>
                    </w:rPr>
                  </w:pPr>
                  <w:r>
                    <w:rPr>
                      <w:rFonts w:hint="default" w:ascii="Times New Roman" w:hAnsi="Times New Roman" w:cs="Times New Roman"/>
                      <w:bCs/>
                      <w:color w:val="auto"/>
                      <w:sz w:val="21"/>
                      <w:szCs w:val="21"/>
                      <w:u w:val="none"/>
                      <w:lang w:val="en-US" w:eastAsia="zh-CN"/>
                    </w:rPr>
                    <w:t>0.0009</w:t>
                  </w:r>
                </w:p>
              </w:tc>
              <w:tc>
                <w:tcPr>
                  <w:tcW w:w="118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auto"/>
                      <w:sz w:val="21"/>
                      <w:szCs w:val="21"/>
                      <w:u w:val="none"/>
                      <w:lang w:val="en-US" w:eastAsia="zh-CN"/>
                    </w:rPr>
                  </w:pPr>
                  <w:r>
                    <w:rPr>
                      <w:rFonts w:hint="default" w:ascii="Times New Roman" w:hAnsi="Times New Roman" w:eastAsia="宋体" w:cs="Times New Roman"/>
                      <w:i w:val="0"/>
                      <w:iCs w:val="0"/>
                      <w:color w:val="auto"/>
                      <w:sz w:val="21"/>
                      <w:szCs w:val="21"/>
                      <w:u w:val="none"/>
                      <w:lang w:val="en-US" w:eastAsia="zh-CN"/>
                    </w:rPr>
                    <w:t>2.5</w:t>
                  </w:r>
                </w:p>
              </w:tc>
              <w:tc>
                <w:tcPr>
                  <w:tcW w:w="1083" w:type="dxa"/>
                  <w:tcBorders>
                    <w:tl2br w:val="nil"/>
                    <w:tr2bl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0.00036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23" w:type="dxa"/>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u w:val="none"/>
                      <w:lang w:eastAsia="zh-CN"/>
                    </w:rPr>
                  </w:pPr>
                </w:p>
              </w:tc>
              <w:tc>
                <w:tcPr>
                  <w:tcW w:w="1523" w:type="dxa"/>
                  <w:tcBorders>
                    <w:tl2br w:val="nil"/>
                    <w:tr2bl w:val="nil"/>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color w:val="auto"/>
                      <w:kern w:val="2"/>
                      <w:sz w:val="21"/>
                      <w:szCs w:val="21"/>
                      <w:lang w:val="en-US" w:eastAsia="zh-CN" w:bidi="ar"/>
                    </w:rPr>
                    <w:t>氨气</w:t>
                  </w:r>
                </w:p>
              </w:tc>
              <w:tc>
                <w:tcPr>
                  <w:tcW w:w="1458"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u w:val="none"/>
                      <w:lang w:eastAsia="zh-CN"/>
                    </w:rPr>
                  </w:pPr>
                  <w:r>
                    <w:rPr>
                      <w:rFonts w:hint="default" w:ascii="Times New Roman" w:hAnsi="Times New Roman" w:cs="Times New Roman"/>
                      <w:color w:val="auto"/>
                      <w:sz w:val="21"/>
                      <w:szCs w:val="21"/>
                      <w:u w:val="none"/>
                      <w:lang w:eastAsia="zh-CN"/>
                    </w:rPr>
                    <w:t>危险废物暂存间</w:t>
                  </w:r>
                </w:p>
              </w:tc>
              <w:tc>
                <w:tcPr>
                  <w:tcW w:w="1469"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auto"/>
                      <w:sz w:val="21"/>
                      <w:szCs w:val="21"/>
                      <w:u w:val="none"/>
                      <w:lang w:val="en-US" w:eastAsia="zh-CN"/>
                    </w:rPr>
                  </w:pPr>
                  <w:r>
                    <w:rPr>
                      <w:rFonts w:hint="eastAsia" w:ascii="Times New Roman" w:hAnsi="Times New Roman" w:cs="Times New Roman"/>
                      <w:bCs/>
                      <w:color w:val="auto"/>
                      <w:sz w:val="21"/>
                      <w:szCs w:val="21"/>
                      <w:u w:val="none"/>
                      <w:lang w:val="en-US" w:eastAsia="zh-CN"/>
                    </w:rPr>
                    <w:t>0.0218</w:t>
                  </w:r>
                </w:p>
              </w:tc>
              <w:tc>
                <w:tcPr>
                  <w:tcW w:w="118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auto"/>
                      <w:sz w:val="21"/>
                      <w:szCs w:val="21"/>
                      <w:u w:val="none"/>
                      <w:lang w:val="en-US" w:eastAsia="zh-CN"/>
                    </w:rPr>
                  </w:pPr>
                  <w:r>
                    <w:rPr>
                      <w:rFonts w:hint="default" w:ascii="Times New Roman" w:hAnsi="Times New Roman" w:eastAsia="宋体" w:cs="Times New Roman"/>
                      <w:i w:val="0"/>
                      <w:iCs w:val="0"/>
                      <w:color w:val="auto"/>
                      <w:sz w:val="21"/>
                      <w:szCs w:val="21"/>
                      <w:u w:val="none"/>
                      <w:lang w:val="en-US" w:eastAsia="zh-CN"/>
                    </w:rPr>
                    <w:t>5</w:t>
                  </w:r>
                </w:p>
              </w:tc>
              <w:tc>
                <w:tcPr>
                  <w:tcW w:w="1083" w:type="dxa"/>
                  <w:tcBorders>
                    <w:tl2br w:val="nil"/>
                    <w:tr2bl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0.00436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3" w:type="dxa"/>
                  <w:gridSpan w:val="5"/>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auto"/>
                      <w:sz w:val="21"/>
                      <w:szCs w:val="21"/>
                      <w:u w:val="none"/>
                      <w:lang w:val="en-US" w:eastAsia="zh-CN"/>
                    </w:rPr>
                  </w:pPr>
                  <w:r>
                    <w:rPr>
                      <w:rFonts w:hint="default" w:ascii="Times New Roman" w:hAnsi="Times New Roman" w:cs="Times New Roman"/>
                      <w:color w:val="auto"/>
                      <w:sz w:val="21"/>
                      <w:szCs w:val="21"/>
                      <w:u w:val="none"/>
                    </w:rPr>
                    <w:t>合计</w:t>
                  </w:r>
                </w:p>
              </w:tc>
              <w:tc>
                <w:tcPr>
                  <w:tcW w:w="1083" w:type="dxa"/>
                  <w:tcBorders>
                    <w:tl2br w:val="nil"/>
                    <w:tr2bl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color w:val="auto"/>
                      <w:sz w:val="21"/>
                      <w:szCs w:val="21"/>
                      <w:u w:val="none"/>
                      <w:lang w:val="en-US" w:eastAsia="zh-CN"/>
                    </w:rPr>
                  </w:pPr>
                  <w:r>
                    <w:rPr>
                      <w:rFonts w:hint="default" w:ascii="Times New Roman" w:hAnsi="Times New Roman" w:eastAsia="宋体" w:cs="Times New Roman"/>
                      <w:bCs/>
                      <w:color w:val="auto"/>
                      <w:sz w:val="21"/>
                      <w:szCs w:val="21"/>
                      <w:u w:val="none"/>
                      <w:lang w:val="en-US" w:eastAsia="zh-CN"/>
                    </w:rPr>
                    <w:t>0.90881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236" w:type="dxa"/>
                  <w:gridSpan w:val="6"/>
                  <w:tcBorders>
                    <w:tl2br w:val="nil"/>
                    <w:tr2bl w:val="nil"/>
                  </w:tcBorders>
                  <w:vAlign w:val="center"/>
                </w:tcPr>
                <w:p>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注：*参照《建设项目环境风险评价技术导则》（HJ169-2018）、《浙江省企业环境风险评估技术指南（2015修订版）》；</w:t>
                  </w:r>
                </w:p>
              </w:tc>
            </w:tr>
          </w:tbl>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根据</w:t>
            </w:r>
            <w:r>
              <w:rPr>
                <w:rFonts w:hint="eastAsia" w:ascii="Times New Roman" w:hAnsi="Times New Roman" w:eastAsia="宋体" w:cs="Times New Roman"/>
                <w:bCs/>
                <w:color w:val="auto"/>
                <w:sz w:val="24"/>
                <w:szCs w:val="24"/>
                <w:lang w:eastAsia="zh-CN"/>
              </w:rPr>
              <w:t>上</w:t>
            </w:r>
            <w:r>
              <w:rPr>
                <w:rFonts w:hint="eastAsia" w:ascii="Times New Roman" w:hAnsi="Times New Roman" w:eastAsia="宋体" w:cs="Times New Roman"/>
                <w:bCs/>
                <w:color w:val="auto"/>
                <w:sz w:val="24"/>
                <w:szCs w:val="24"/>
                <w:u w:val="none"/>
                <w:lang w:eastAsia="zh-CN"/>
              </w:rPr>
              <w:t>表可知，项目环境风险危险物质存储量未超过临界量，经计算得</w:t>
            </w:r>
            <w:r>
              <w:rPr>
                <w:rFonts w:hint="default" w:ascii="Times New Roman" w:hAnsi="Times New Roman" w:eastAsia="宋体" w:cs="Times New Roman"/>
                <w:bCs/>
                <w:color w:val="auto"/>
                <w:sz w:val="24"/>
                <w:szCs w:val="24"/>
                <w:u w:val="none"/>
              </w:rPr>
              <w:t>Q值</w:t>
            </w:r>
            <w:r>
              <w:rPr>
                <w:rFonts w:hint="eastAsia" w:ascii="Times New Roman" w:hAnsi="Times New Roman" w:eastAsia="宋体" w:cs="Times New Roman"/>
                <w:bCs/>
                <w:color w:val="auto"/>
                <w:sz w:val="24"/>
                <w:szCs w:val="24"/>
                <w:u w:val="none"/>
                <w:lang w:val="en-US" w:eastAsia="zh-CN"/>
              </w:rPr>
              <w:t>＜1</w:t>
            </w:r>
            <w:r>
              <w:rPr>
                <w:rFonts w:hint="default" w:ascii="Times New Roman" w:hAnsi="Times New Roman" w:eastAsia="宋体" w:cs="Times New Roman"/>
                <w:bCs/>
                <w:color w:val="auto"/>
                <w:sz w:val="24"/>
                <w:szCs w:val="24"/>
                <w:u w:val="none"/>
              </w:rPr>
              <w:t>，</w:t>
            </w:r>
            <w:r>
              <w:rPr>
                <w:rFonts w:hint="default" w:ascii="Times New Roman" w:hAnsi="Times New Roman" w:eastAsia="宋体" w:cs="Times New Roman"/>
                <w:bCs/>
                <w:color w:val="auto"/>
                <w:sz w:val="24"/>
                <w:szCs w:val="24"/>
                <w:u w:val="none"/>
                <w:lang w:eastAsia="zh-CN"/>
              </w:rPr>
              <w:t>根据《</w:t>
            </w:r>
            <w:r>
              <w:rPr>
                <w:rFonts w:hint="default" w:ascii="Times New Roman" w:hAnsi="Times New Roman" w:eastAsia="宋体" w:cs="Times New Roman"/>
                <w:bCs/>
                <w:color w:val="auto"/>
                <w:sz w:val="24"/>
                <w:szCs w:val="24"/>
                <w:lang w:eastAsia="zh-CN"/>
              </w:rPr>
              <w:t>建设项目环境影响报告表编制技术指南（污染影响类）（试行）》，无需进行专题评价，仅明确有毒有害和易燃易爆等危险物质和风险源分布情况及可能影响途径，并提出相应环境风险防范措施。</w:t>
            </w:r>
          </w:p>
          <w:p>
            <w:pPr>
              <w:keepNext w:val="0"/>
              <w:keepLines w:val="0"/>
              <w:suppressLineNumbers w:val="0"/>
              <w:adjustRightInd w:val="0"/>
              <w:snapToGrid w:val="0"/>
              <w:spacing w:before="0" w:beforeAutospacing="0" w:after="0" w:afterAutospacing="0" w:line="360" w:lineRule="auto"/>
              <w:ind w:left="0" w:right="0" w:firstLine="241" w:firstLineChars="100"/>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s="Times New Roman"/>
                <w:b/>
                <w:bCs w:val="0"/>
                <w:color w:val="auto"/>
                <w:sz w:val="24"/>
                <w:szCs w:val="24"/>
                <w:lang w:val="en-US" w:eastAsia="zh-CN"/>
              </w:rPr>
              <w:t>7.2环境风险识别</w:t>
            </w:r>
          </w:p>
          <w:p>
            <w:pPr>
              <w:keepNext w:val="0"/>
              <w:keepLines w:val="0"/>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s="Times New Roman"/>
                <w:b w:val="0"/>
                <w:bCs/>
                <w:color w:val="auto"/>
                <w:sz w:val="24"/>
                <w:szCs w:val="24"/>
                <w:lang w:val="en-US" w:eastAsia="zh-CN"/>
              </w:rPr>
              <w:t>结合项目情况，项目建成后企业可能发生的突发环境事件包括：废气污染治理设施故障事件、危险废物污染事件和火灾爆炸次生衍生污染事件。</w:t>
            </w:r>
          </w:p>
          <w:p>
            <w:pPr>
              <w:keepNext w:val="0"/>
              <w:keepLines w:val="0"/>
              <w:suppressLineNumbers w:val="0"/>
              <w:adjustRightInd w:val="0"/>
              <w:snapToGrid w:val="0"/>
              <w:spacing w:before="0" w:beforeAutospacing="0" w:after="0" w:afterAutospacing="0" w:line="240" w:lineRule="auto"/>
              <w:ind w:left="0" w:right="0" w:firstLine="482" w:firstLineChars="200"/>
              <w:jc w:val="center"/>
              <w:rPr>
                <w:rFonts w:hint="default" w:ascii="Times New Roman" w:hAnsi="Times New Roman" w:eastAsia="宋体" w:cs="Times New Roman"/>
                <w:b/>
                <w:bCs w:val="0"/>
                <w:color w:val="auto"/>
                <w:kern w:val="2"/>
                <w:sz w:val="24"/>
                <w:szCs w:val="24"/>
                <w:lang w:val="en-US" w:eastAsia="zh-CN" w:bidi="ar"/>
              </w:rPr>
            </w:pPr>
          </w:p>
          <w:p>
            <w:pPr>
              <w:keepNext w:val="0"/>
              <w:keepLines w:val="0"/>
              <w:suppressLineNumbers w:val="0"/>
              <w:adjustRightInd w:val="0"/>
              <w:snapToGrid w:val="0"/>
              <w:spacing w:before="0" w:beforeAutospacing="0" w:after="0" w:afterAutospacing="0" w:line="240" w:lineRule="auto"/>
              <w:ind w:left="0" w:right="0" w:firstLine="482" w:firstLineChars="200"/>
              <w:jc w:val="center"/>
              <w:rPr>
                <w:rFonts w:hint="default" w:ascii="Times New Roman" w:hAnsi="Times New Roman" w:eastAsia="宋体" w:cs="Times New Roman"/>
                <w:b/>
                <w:bCs w:val="0"/>
                <w:color w:val="auto"/>
                <w:kern w:val="2"/>
                <w:sz w:val="24"/>
                <w:szCs w:val="24"/>
                <w:lang w:val="en-US" w:eastAsia="zh-CN" w:bidi="ar"/>
              </w:rPr>
            </w:pPr>
          </w:p>
          <w:p>
            <w:pPr>
              <w:keepNext w:val="0"/>
              <w:keepLines w:val="0"/>
              <w:suppressLineNumbers w:val="0"/>
              <w:adjustRightInd w:val="0"/>
              <w:snapToGrid w:val="0"/>
              <w:spacing w:before="0" w:beforeAutospacing="0" w:after="0" w:afterAutospacing="0" w:line="240" w:lineRule="auto"/>
              <w:ind w:left="0" w:right="0" w:firstLine="482" w:firstLineChars="200"/>
              <w:jc w:val="center"/>
              <w:rPr>
                <w:rFonts w:hint="default" w:ascii="Times New Roman" w:hAnsi="Times New Roman" w:eastAsia="宋体" w:cs="Times New Roman"/>
                <w:b/>
                <w:bCs w:val="0"/>
                <w:color w:val="auto"/>
                <w:kern w:val="2"/>
                <w:sz w:val="24"/>
                <w:szCs w:val="24"/>
                <w:lang w:val="en-US" w:eastAsia="zh-CN" w:bidi="ar"/>
              </w:rPr>
            </w:pPr>
          </w:p>
          <w:p>
            <w:pPr>
              <w:keepNext w:val="0"/>
              <w:keepLines w:val="0"/>
              <w:suppressLineNumbers w:val="0"/>
              <w:adjustRightInd w:val="0"/>
              <w:snapToGrid w:val="0"/>
              <w:spacing w:before="0" w:beforeAutospacing="0" w:after="0" w:afterAutospacing="0" w:line="240" w:lineRule="auto"/>
              <w:ind w:left="0" w:right="0" w:firstLine="482" w:firstLineChars="200"/>
              <w:jc w:val="center"/>
              <w:rPr>
                <w:rFonts w:hint="default" w:ascii="Times New Roman" w:hAnsi="Times New Roman" w:eastAsia="宋体" w:cs="Times New Roman"/>
                <w:b/>
                <w:bCs w:val="0"/>
                <w:color w:val="auto"/>
                <w:kern w:val="2"/>
                <w:sz w:val="24"/>
                <w:szCs w:val="24"/>
                <w:lang w:val="en-US" w:eastAsia="zh-CN" w:bidi="ar"/>
              </w:rPr>
            </w:pPr>
            <w:r>
              <w:rPr>
                <w:rFonts w:hint="default" w:ascii="Times New Roman" w:hAnsi="Times New Roman" w:eastAsia="宋体" w:cs="Times New Roman"/>
                <w:b/>
                <w:bCs w:val="0"/>
                <w:color w:val="auto"/>
                <w:kern w:val="2"/>
                <w:sz w:val="24"/>
                <w:szCs w:val="24"/>
                <w:lang w:val="en-US" w:eastAsia="zh-CN" w:bidi="ar"/>
              </w:rPr>
              <w:t>环境影响途径及危害后果一览表</w:t>
            </w:r>
          </w:p>
          <w:tbl>
            <w:tblPr>
              <w:tblStyle w:val="28"/>
              <w:tblW w:w="8355" w:type="dxa"/>
              <w:tblInd w:w="-113"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25"/>
              <w:gridCol w:w="1162"/>
              <w:gridCol w:w="1193"/>
              <w:gridCol w:w="1193"/>
              <w:gridCol w:w="418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625" w:type="dxa"/>
                  <w:tcBorders>
                    <w:top w:val="single" w:color="auto" w:sz="4" w:space="0"/>
                    <w:bottom w:val="single" w:color="auto" w:sz="4" w:space="0"/>
                    <w:right w:val="single" w:color="auto" w:sz="4" w:space="0"/>
                  </w:tcBorders>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b/>
                      <w:bCs w:val="0"/>
                      <w:color w:val="auto"/>
                      <w:kern w:val="2"/>
                      <w:sz w:val="21"/>
                      <w:szCs w:val="21"/>
                      <w:lang w:val="en-US" w:eastAsia="zh-CN"/>
                    </w:rPr>
                  </w:pPr>
                  <w:r>
                    <w:rPr>
                      <w:rFonts w:hint="eastAsia" w:ascii="宋体" w:hAnsi="宋体" w:eastAsia="宋体" w:cs="宋体"/>
                      <w:b/>
                      <w:bCs w:val="0"/>
                      <w:color w:val="auto"/>
                      <w:kern w:val="2"/>
                      <w:sz w:val="21"/>
                      <w:szCs w:val="21"/>
                      <w:lang w:val="en-US" w:eastAsia="zh-CN" w:bidi="ar"/>
                    </w:rPr>
                    <w:t>序号</w:t>
                  </w:r>
                </w:p>
              </w:tc>
              <w:tc>
                <w:tcPr>
                  <w:tcW w:w="11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b/>
                      <w:bCs w:val="0"/>
                      <w:color w:val="auto"/>
                      <w:kern w:val="2"/>
                      <w:sz w:val="21"/>
                      <w:szCs w:val="21"/>
                      <w:lang w:val="en-US" w:eastAsia="zh-CN"/>
                    </w:rPr>
                  </w:pPr>
                  <w:r>
                    <w:rPr>
                      <w:rFonts w:hint="eastAsia" w:ascii="宋体" w:hAnsi="宋体" w:eastAsia="宋体" w:cs="宋体"/>
                      <w:b/>
                      <w:bCs w:val="0"/>
                      <w:color w:val="auto"/>
                      <w:kern w:val="2"/>
                      <w:sz w:val="21"/>
                      <w:szCs w:val="21"/>
                      <w:lang w:val="en-US" w:eastAsia="zh-CN" w:bidi="ar"/>
                    </w:rPr>
                    <w:t>事故类型</w:t>
                  </w:r>
                </w:p>
              </w:tc>
              <w:tc>
                <w:tcPr>
                  <w:tcW w:w="119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b/>
                      <w:bCs w:val="0"/>
                      <w:color w:val="auto"/>
                      <w:kern w:val="2"/>
                      <w:sz w:val="21"/>
                      <w:szCs w:val="21"/>
                      <w:lang w:val="en-US" w:eastAsia="zh-CN"/>
                    </w:rPr>
                  </w:pPr>
                  <w:r>
                    <w:rPr>
                      <w:rFonts w:hint="eastAsia" w:ascii="宋体" w:hAnsi="宋体" w:eastAsia="宋体" w:cs="宋体"/>
                      <w:b/>
                      <w:bCs/>
                      <w:color w:val="auto"/>
                      <w:kern w:val="2"/>
                      <w:sz w:val="21"/>
                      <w:szCs w:val="21"/>
                      <w:lang w:val="en-US" w:eastAsia="zh-CN" w:bidi="ar"/>
                    </w:rPr>
                    <w:t>风险物质</w:t>
                  </w:r>
                </w:p>
              </w:tc>
              <w:tc>
                <w:tcPr>
                  <w:tcW w:w="119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b/>
                      <w:bCs w:val="0"/>
                      <w:color w:val="auto"/>
                      <w:kern w:val="2"/>
                      <w:sz w:val="21"/>
                      <w:szCs w:val="21"/>
                      <w:lang w:val="en-US" w:eastAsia="zh-CN"/>
                    </w:rPr>
                  </w:pPr>
                  <w:r>
                    <w:rPr>
                      <w:rFonts w:hint="eastAsia" w:ascii="宋体" w:hAnsi="宋体" w:eastAsia="宋体" w:cs="宋体"/>
                      <w:b/>
                      <w:bCs w:val="0"/>
                      <w:color w:val="auto"/>
                      <w:kern w:val="2"/>
                      <w:sz w:val="21"/>
                      <w:szCs w:val="21"/>
                      <w:lang w:val="en-US" w:eastAsia="zh-CN" w:bidi="ar"/>
                    </w:rPr>
                    <w:t>影响途径</w:t>
                  </w:r>
                </w:p>
              </w:tc>
              <w:tc>
                <w:tcPr>
                  <w:tcW w:w="4182" w:type="dxa"/>
                  <w:tcBorders>
                    <w:top w:val="single" w:color="auto" w:sz="4" w:space="0"/>
                    <w:left w:val="single" w:color="auto" w:sz="4" w:space="0"/>
                    <w:bottom w:val="single" w:color="auto" w:sz="4" w:space="0"/>
                  </w:tcBorders>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b/>
                      <w:bCs w:val="0"/>
                      <w:color w:val="auto"/>
                      <w:kern w:val="2"/>
                      <w:sz w:val="21"/>
                      <w:szCs w:val="21"/>
                      <w:lang w:val="en-US" w:eastAsia="zh-CN"/>
                    </w:rPr>
                  </w:pPr>
                  <w:r>
                    <w:rPr>
                      <w:rFonts w:hint="eastAsia" w:ascii="宋体" w:hAnsi="宋体" w:eastAsia="宋体" w:cs="宋体"/>
                      <w:b/>
                      <w:bCs w:val="0"/>
                      <w:color w:val="auto"/>
                      <w:kern w:val="2"/>
                      <w:sz w:val="21"/>
                      <w:szCs w:val="21"/>
                      <w:lang w:val="en-US" w:eastAsia="zh-CN" w:bidi="ar"/>
                    </w:rPr>
                    <w:t>危害后果</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625" w:type="dxa"/>
                  <w:tcBorders>
                    <w:top w:val="single" w:color="auto" w:sz="4" w:space="0"/>
                    <w:bottom w:val="single" w:color="auto" w:sz="4" w:space="0"/>
                    <w:right w:val="single" w:color="auto" w:sz="4" w:space="0"/>
                  </w:tcBorders>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bidi="ar"/>
                    </w:rPr>
                    <w:t>1</w:t>
                  </w:r>
                </w:p>
              </w:tc>
              <w:tc>
                <w:tcPr>
                  <w:tcW w:w="11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bCs/>
                      <w:color w:val="auto"/>
                      <w:spacing w:val="6"/>
                      <w:kern w:val="2"/>
                      <w:sz w:val="21"/>
                      <w:szCs w:val="21"/>
                      <w:lang w:val="en-US" w:eastAsia="zh-CN"/>
                    </w:rPr>
                  </w:pPr>
                  <w:r>
                    <w:rPr>
                      <w:rFonts w:hint="eastAsia" w:ascii="宋体" w:hAnsi="宋体" w:eastAsia="宋体" w:cs="宋体"/>
                      <w:color w:val="auto"/>
                      <w:kern w:val="0"/>
                      <w:sz w:val="21"/>
                      <w:szCs w:val="21"/>
                      <w:lang w:val="en-US" w:eastAsia="zh-CN" w:bidi="ar"/>
                    </w:rPr>
                    <w:t>废气污染治理设施故障事件</w:t>
                  </w:r>
                </w:p>
              </w:tc>
              <w:tc>
                <w:tcPr>
                  <w:tcW w:w="119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rPr>
                  </w:pPr>
                  <w:r>
                    <w:rPr>
                      <w:rFonts w:hint="eastAsia" w:ascii="宋体" w:hAnsi="宋体" w:eastAsia="宋体" w:cs="宋体"/>
                      <w:bCs/>
                      <w:color w:val="auto"/>
                      <w:kern w:val="2"/>
                      <w:sz w:val="21"/>
                      <w:szCs w:val="21"/>
                      <w:lang w:val="en-US" w:eastAsia="zh-CN" w:bidi="ar"/>
                    </w:rPr>
                    <w:t>颗粒物</w:t>
                  </w:r>
                  <w:r>
                    <w:rPr>
                      <w:rFonts w:hint="eastAsia" w:ascii="宋体" w:hAnsi="宋体" w:cs="宋体"/>
                      <w:bCs/>
                      <w:color w:val="auto"/>
                      <w:kern w:val="2"/>
                      <w:sz w:val="21"/>
                      <w:szCs w:val="21"/>
                      <w:lang w:val="en-US" w:eastAsia="zh-CN" w:bidi="ar"/>
                    </w:rPr>
                    <w:t>、氨气</w:t>
                  </w:r>
                </w:p>
              </w:tc>
              <w:tc>
                <w:tcPr>
                  <w:tcW w:w="119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rPr>
                  </w:pPr>
                  <w:r>
                    <w:rPr>
                      <w:rFonts w:hint="eastAsia" w:ascii="宋体" w:hAnsi="宋体" w:eastAsia="宋体" w:cs="宋体"/>
                      <w:color w:val="auto"/>
                      <w:kern w:val="0"/>
                      <w:sz w:val="21"/>
                      <w:szCs w:val="21"/>
                      <w:lang w:val="en-US" w:eastAsia="zh-CN" w:bidi="ar"/>
                    </w:rPr>
                    <w:t>大气</w:t>
                  </w:r>
                </w:p>
              </w:tc>
              <w:tc>
                <w:tcPr>
                  <w:tcW w:w="4182" w:type="dxa"/>
                  <w:tcBorders>
                    <w:top w:val="single" w:color="auto" w:sz="4" w:space="0"/>
                    <w:left w:val="single" w:color="auto" w:sz="4" w:space="0"/>
                    <w:bottom w:val="single" w:color="auto" w:sz="4" w:space="0"/>
                  </w:tcBorders>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rPr>
                  </w:pPr>
                  <w:r>
                    <w:rPr>
                      <w:rFonts w:hint="eastAsia" w:ascii="宋体" w:hAnsi="宋体" w:eastAsia="宋体" w:cs="宋体"/>
                      <w:color w:val="auto"/>
                      <w:kern w:val="0"/>
                      <w:sz w:val="21"/>
                      <w:szCs w:val="21"/>
                      <w:lang w:val="en-US" w:eastAsia="zh-CN" w:bidi="ar"/>
                    </w:rPr>
                    <w:t>可能导致大气污染物超标排放，污染周围环境空气。</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trPr>
              <w:tc>
                <w:tcPr>
                  <w:tcW w:w="625" w:type="dxa"/>
                  <w:tcBorders>
                    <w:top w:val="single" w:color="auto" w:sz="4" w:space="0"/>
                    <w:bottom w:val="single" w:color="auto" w:sz="4" w:space="0"/>
                    <w:right w:val="single" w:color="auto" w:sz="4" w:space="0"/>
                  </w:tcBorders>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bidi="ar"/>
                    </w:rPr>
                    <w:t>2</w:t>
                  </w:r>
                </w:p>
              </w:tc>
              <w:tc>
                <w:tcPr>
                  <w:tcW w:w="11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bCs/>
                      <w:color w:val="auto"/>
                      <w:kern w:val="2"/>
                      <w:sz w:val="21"/>
                      <w:szCs w:val="21"/>
                      <w:lang w:val="en-US" w:eastAsia="zh-CN"/>
                    </w:rPr>
                  </w:pPr>
                  <w:r>
                    <w:rPr>
                      <w:rFonts w:hint="eastAsia" w:ascii="宋体" w:hAnsi="宋体" w:eastAsia="宋体" w:cs="宋体"/>
                      <w:bCs/>
                      <w:color w:val="auto"/>
                      <w:kern w:val="2"/>
                      <w:sz w:val="21"/>
                      <w:szCs w:val="21"/>
                      <w:lang w:val="en-US" w:eastAsia="zh-CN" w:bidi="ar"/>
                    </w:rPr>
                    <w:t>危险废物污染事件</w:t>
                  </w:r>
                </w:p>
              </w:tc>
              <w:tc>
                <w:tcPr>
                  <w:tcW w:w="119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bCs/>
                      <w:color w:val="auto"/>
                      <w:kern w:val="2"/>
                      <w:sz w:val="21"/>
                      <w:szCs w:val="21"/>
                      <w:lang w:val="en-US" w:eastAsia="zh-CN"/>
                    </w:rPr>
                  </w:pPr>
                  <w:r>
                    <w:rPr>
                      <w:rFonts w:hint="eastAsia" w:ascii="宋体" w:hAnsi="宋体" w:eastAsia="宋体" w:cs="宋体"/>
                      <w:bCs/>
                      <w:color w:val="auto"/>
                      <w:kern w:val="2"/>
                      <w:sz w:val="21"/>
                      <w:szCs w:val="21"/>
                      <w:lang w:val="en-US" w:eastAsia="zh-CN" w:bidi="ar"/>
                    </w:rPr>
                    <w:t>危险废物</w:t>
                  </w:r>
                </w:p>
              </w:tc>
              <w:tc>
                <w:tcPr>
                  <w:tcW w:w="119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bCs/>
                      <w:color w:val="auto"/>
                      <w:kern w:val="2"/>
                      <w:sz w:val="21"/>
                      <w:szCs w:val="21"/>
                      <w:lang w:val="en-US" w:eastAsia="zh-CN"/>
                    </w:rPr>
                  </w:pPr>
                  <w:r>
                    <w:rPr>
                      <w:rFonts w:hint="eastAsia" w:ascii="宋体" w:hAnsi="宋体" w:eastAsia="宋体" w:cs="宋体"/>
                      <w:bCs/>
                      <w:color w:val="auto"/>
                      <w:kern w:val="2"/>
                      <w:sz w:val="21"/>
                      <w:szCs w:val="21"/>
                      <w:lang w:val="en-US" w:eastAsia="zh-CN" w:bidi="ar"/>
                    </w:rPr>
                    <w:t>空气、水、土壤</w:t>
                  </w:r>
                </w:p>
              </w:tc>
              <w:tc>
                <w:tcPr>
                  <w:tcW w:w="4182" w:type="dxa"/>
                  <w:tcBorders>
                    <w:top w:val="single" w:color="auto" w:sz="4" w:space="0"/>
                    <w:left w:val="single" w:color="auto" w:sz="4" w:space="0"/>
                    <w:bottom w:val="single" w:color="auto" w:sz="4" w:space="0"/>
                  </w:tcBorders>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bCs/>
                      <w:color w:val="auto"/>
                      <w:kern w:val="2"/>
                      <w:sz w:val="21"/>
                      <w:szCs w:val="21"/>
                      <w:lang w:val="en-US" w:eastAsia="zh-CN"/>
                    </w:rPr>
                  </w:pPr>
                  <w:r>
                    <w:rPr>
                      <w:rFonts w:hint="eastAsia" w:ascii="宋体" w:hAnsi="宋体" w:eastAsia="宋体" w:cs="宋体"/>
                      <w:bCs/>
                      <w:color w:val="auto"/>
                      <w:kern w:val="2"/>
                      <w:sz w:val="21"/>
                      <w:szCs w:val="21"/>
                      <w:lang w:val="en-US" w:eastAsia="zh-CN" w:bidi="ar"/>
                    </w:rPr>
                    <w:t>危险废物泄漏、防范措施失效等，导致危险废物进入外环境，污染空气、土壤、水环境。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625" w:type="dxa"/>
                  <w:vMerge w:val="restart"/>
                  <w:tcBorders>
                    <w:top w:val="nil"/>
                    <w:right w:val="single" w:color="auto" w:sz="4" w:space="0"/>
                  </w:tcBorders>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bidi="ar"/>
                    </w:rPr>
                    <w:t>3</w:t>
                  </w:r>
                </w:p>
              </w:tc>
              <w:tc>
                <w:tcPr>
                  <w:tcW w:w="1162" w:type="dxa"/>
                  <w:vMerge w:val="restart"/>
                  <w:tcBorders>
                    <w:top w:val="nil"/>
                    <w:left w:val="single" w:color="auto" w:sz="4" w:space="0"/>
                    <w:right w:val="single" w:color="auto" w:sz="4" w:space="0"/>
                  </w:tcBorders>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rPr>
                  </w:pPr>
                  <w:r>
                    <w:rPr>
                      <w:rFonts w:hint="eastAsia" w:ascii="宋体" w:hAnsi="宋体" w:eastAsia="宋体" w:cs="宋体"/>
                      <w:color w:val="auto"/>
                      <w:kern w:val="2"/>
                      <w:sz w:val="21"/>
                      <w:szCs w:val="21"/>
                      <w:lang w:val="en-US" w:eastAsia="zh-CN" w:bidi="ar"/>
                    </w:rPr>
                    <w:t>火灾爆炸次生衍生污染</w:t>
                  </w:r>
                  <w:r>
                    <w:rPr>
                      <w:rFonts w:hint="eastAsia" w:ascii="宋体" w:hAnsi="宋体" w:eastAsia="宋体" w:cs="宋体"/>
                      <w:color w:val="auto"/>
                      <w:kern w:val="0"/>
                      <w:sz w:val="21"/>
                      <w:szCs w:val="21"/>
                      <w:lang w:val="en-US" w:eastAsia="zh-CN" w:bidi="ar"/>
                    </w:rPr>
                    <w:t>事件</w:t>
                  </w:r>
                </w:p>
              </w:tc>
              <w:tc>
                <w:tcPr>
                  <w:tcW w:w="119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rPr>
                  </w:pPr>
                  <w:r>
                    <w:rPr>
                      <w:rFonts w:hint="eastAsia" w:ascii="宋体" w:hAnsi="宋体" w:eastAsia="宋体" w:cs="宋体"/>
                      <w:color w:val="auto"/>
                      <w:kern w:val="0"/>
                      <w:sz w:val="21"/>
                      <w:szCs w:val="21"/>
                      <w:lang w:val="en-US" w:eastAsia="zh-CN" w:bidi="ar"/>
                    </w:rPr>
                    <w:t>燃烧废气</w:t>
                  </w:r>
                </w:p>
              </w:tc>
              <w:tc>
                <w:tcPr>
                  <w:tcW w:w="119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rPr>
                  </w:pPr>
                  <w:r>
                    <w:rPr>
                      <w:rFonts w:hint="eastAsia" w:ascii="宋体" w:hAnsi="宋体" w:eastAsia="宋体" w:cs="宋体"/>
                      <w:color w:val="auto"/>
                      <w:kern w:val="0"/>
                      <w:sz w:val="21"/>
                      <w:szCs w:val="21"/>
                      <w:lang w:val="en-US" w:eastAsia="zh-CN" w:bidi="ar"/>
                    </w:rPr>
                    <w:t>大气</w:t>
                  </w:r>
                </w:p>
              </w:tc>
              <w:tc>
                <w:tcPr>
                  <w:tcW w:w="4182" w:type="dxa"/>
                  <w:tcBorders>
                    <w:top w:val="single" w:color="auto" w:sz="4" w:space="0"/>
                    <w:left w:val="single" w:color="auto" w:sz="4" w:space="0"/>
                    <w:bottom w:val="single" w:color="auto" w:sz="4" w:space="0"/>
                  </w:tcBorders>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rPr>
                  </w:pPr>
                  <w:r>
                    <w:rPr>
                      <w:rFonts w:hint="eastAsia" w:ascii="宋体" w:hAnsi="宋体" w:eastAsia="宋体" w:cs="宋体"/>
                      <w:color w:val="auto"/>
                      <w:kern w:val="0"/>
                      <w:sz w:val="21"/>
                      <w:szCs w:val="21"/>
                      <w:lang w:val="en-US" w:eastAsia="zh-CN" w:bidi="ar"/>
                    </w:rPr>
                    <w:t>燃烧废气会污染区域环境空气。</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trPr>
              <w:tc>
                <w:tcPr>
                  <w:tcW w:w="625" w:type="dxa"/>
                  <w:vMerge w:val="continue"/>
                  <w:tcBorders>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0"/>
                      <w:szCs w:val="20"/>
                      <w:lang w:val="en-US" w:eastAsia="zh-CN"/>
                    </w:rPr>
                  </w:pPr>
                </w:p>
              </w:tc>
              <w:tc>
                <w:tcPr>
                  <w:tcW w:w="1162"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0"/>
                      <w:szCs w:val="20"/>
                      <w:lang w:val="en-US" w:eastAsia="zh-CN"/>
                    </w:rPr>
                  </w:pPr>
                </w:p>
              </w:tc>
              <w:tc>
                <w:tcPr>
                  <w:tcW w:w="119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rPr>
                  </w:pPr>
                  <w:r>
                    <w:rPr>
                      <w:rFonts w:hint="eastAsia" w:ascii="宋体" w:hAnsi="宋体" w:eastAsia="宋体" w:cs="宋体"/>
                      <w:color w:val="auto"/>
                      <w:kern w:val="0"/>
                      <w:sz w:val="21"/>
                      <w:szCs w:val="21"/>
                      <w:lang w:val="en-US" w:eastAsia="zh-CN" w:bidi="ar"/>
                    </w:rPr>
                    <w:t>消防固废</w:t>
                  </w:r>
                </w:p>
              </w:tc>
              <w:tc>
                <w:tcPr>
                  <w:tcW w:w="119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rPr>
                  </w:pPr>
                  <w:r>
                    <w:rPr>
                      <w:rFonts w:hint="eastAsia" w:ascii="宋体" w:hAnsi="宋体" w:eastAsia="宋体" w:cs="宋体"/>
                      <w:color w:val="auto"/>
                      <w:kern w:val="2"/>
                      <w:sz w:val="21"/>
                      <w:szCs w:val="21"/>
                      <w:lang w:val="en-US" w:eastAsia="zh-CN" w:bidi="ar"/>
                    </w:rPr>
                    <w:t>水、土壤</w:t>
                  </w:r>
                </w:p>
              </w:tc>
              <w:tc>
                <w:tcPr>
                  <w:tcW w:w="4182" w:type="dxa"/>
                  <w:tcBorders>
                    <w:top w:val="single" w:color="auto" w:sz="4" w:space="0"/>
                    <w:left w:val="single" w:color="auto" w:sz="4" w:space="0"/>
                    <w:bottom w:val="single" w:color="auto" w:sz="4" w:space="0"/>
                  </w:tcBorders>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rPr>
                  </w:pPr>
                  <w:r>
                    <w:rPr>
                      <w:rFonts w:hint="eastAsia" w:ascii="宋体" w:hAnsi="宋体" w:eastAsia="宋体" w:cs="宋体"/>
                      <w:color w:val="auto"/>
                      <w:kern w:val="0"/>
                      <w:sz w:val="21"/>
                      <w:szCs w:val="21"/>
                      <w:lang w:val="en-US" w:eastAsia="zh-CN" w:bidi="ar"/>
                    </w:rPr>
                    <w:t>消防固废未合理处理，可能污染周边土壤、水环境。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trPr>
              <w:tc>
                <w:tcPr>
                  <w:tcW w:w="625" w:type="dxa"/>
                  <w:vMerge w:val="continue"/>
                  <w:tcBorders>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0"/>
                      <w:szCs w:val="20"/>
                      <w:lang w:val="en-US" w:eastAsia="zh-CN"/>
                    </w:rPr>
                  </w:pPr>
                </w:p>
              </w:tc>
              <w:tc>
                <w:tcPr>
                  <w:tcW w:w="1162" w:type="dxa"/>
                  <w:vMerge w:val="continue"/>
                  <w:tcBorders>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0"/>
                      <w:szCs w:val="20"/>
                      <w:lang w:val="en-US" w:eastAsia="zh-CN"/>
                    </w:rPr>
                  </w:pPr>
                </w:p>
              </w:tc>
              <w:tc>
                <w:tcPr>
                  <w:tcW w:w="119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napToGrid w:val="0"/>
                    <w:spacing w:before="0" w:beforeAutospacing="0" w:after="0" w:afterAutospacing="0"/>
                    <w:ind w:left="0" w:right="0"/>
                    <w:jc w:val="center"/>
                    <w:rPr>
                      <w:rFonts w:hint="eastAsia" w:ascii="宋体" w:hAnsi="宋体" w:eastAsia="宋体" w:cs="宋体"/>
                      <w:color w:val="auto"/>
                      <w:kern w:val="0"/>
                      <w:sz w:val="21"/>
                      <w:szCs w:val="21"/>
                      <w:lang w:val="en-US" w:eastAsia="zh-CN" w:bidi="ar"/>
                    </w:rPr>
                  </w:pPr>
                  <w:r>
                    <w:rPr>
                      <w:rFonts w:hint="eastAsia" w:ascii="宋体" w:hAnsi="宋体" w:cs="宋体"/>
                      <w:color w:val="auto"/>
                      <w:kern w:val="0"/>
                      <w:sz w:val="21"/>
                      <w:szCs w:val="21"/>
                      <w:lang w:val="en-US" w:eastAsia="zh-CN" w:bidi="ar"/>
                    </w:rPr>
                    <w:t>消防废水</w:t>
                  </w:r>
                </w:p>
              </w:tc>
              <w:tc>
                <w:tcPr>
                  <w:tcW w:w="119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eastAsia="zh-CN" w:bidi="ar"/>
                    </w:rPr>
                  </w:pPr>
                  <w:r>
                    <w:rPr>
                      <w:rFonts w:hint="eastAsia" w:ascii="宋体" w:hAnsi="宋体" w:cs="宋体"/>
                      <w:color w:val="auto"/>
                      <w:kern w:val="2"/>
                      <w:sz w:val="21"/>
                      <w:szCs w:val="21"/>
                      <w:lang w:val="en-US" w:eastAsia="zh-CN" w:bidi="ar"/>
                    </w:rPr>
                    <w:t>水、土壤</w:t>
                  </w:r>
                </w:p>
              </w:tc>
              <w:tc>
                <w:tcPr>
                  <w:tcW w:w="4182" w:type="dxa"/>
                  <w:tcBorders>
                    <w:top w:val="single" w:color="auto" w:sz="4" w:space="0"/>
                    <w:left w:val="single" w:color="auto" w:sz="4" w:space="0"/>
                    <w:bottom w:val="single" w:color="auto" w:sz="4" w:space="0"/>
                  </w:tcBorders>
                  <w:vAlign w:val="center"/>
                </w:tcPr>
                <w:p>
                  <w:pPr>
                    <w:keepNext w:val="0"/>
                    <w:keepLines w:val="0"/>
                    <w:widowControl w:val="0"/>
                    <w:suppressLineNumbers w:val="0"/>
                    <w:snapToGrid w:val="0"/>
                    <w:spacing w:before="0" w:beforeAutospacing="0" w:after="0" w:afterAutospacing="0"/>
                    <w:ind w:left="0" w:right="0"/>
                    <w:jc w:val="center"/>
                    <w:rPr>
                      <w:rFonts w:hint="eastAsia" w:ascii="宋体" w:hAnsi="宋体" w:eastAsia="宋体" w:cs="宋体"/>
                      <w:color w:val="auto"/>
                      <w:kern w:val="0"/>
                      <w:sz w:val="21"/>
                      <w:szCs w:val="21"/>
                      <w:lang w:val="en-US" w:eastAsia="zh-CN" w:bidi="ar"/>
                    </w:rPr>
                  </w:pPr>
                  <w:r>
                    <w:rPr>
                      <w:rFonts w:hint="eastAsia" w:ascii="宋体" w:hAnsi="宋体" w:cs="宋体"/>
                      <w:color w:val="auto"/>
                      <w:kern w:val="0"/>
                      <w:sz w:val="21"/>
                      <w:szCs w:val="21"/>
                      <w:lang w:val="en-US" w:eastAsia="zh-CN" w:bidi="ar"/>
                    </w:rPr>
                    <w:t>消防废水未合理处理，可能污染周边土壤、水环境。</w:t>
                  </w:r>
                </w:p>
              </w:tc>
            </w:tr>
          </w:tbl>
          <w:p>
            <w:pPr>
              <w:keepNext w:val="0"/>
              <w:keepLines w:val="0"/>
              <w:suppressLineNumbers w:val="0"/>
              <w:adjustRightInd w:val="0"/>
              <w:snapToGrid w:val="0"/>
              <w:spacing w:before="120" w:beforeLines="50" w:beforeAutospacing="0" w:after="0" w:afterAutospacing="0" w:line="360" w:lineRule="auto"/>
              <w:ind w:left="0" w:right="0" w:firstLine="241" w:firstLineChars="100"/>
              <w:rPr>
                <w:rFonts w:hint="default" w:ascii="Times New Roman" w:hAnsi="Times New Roman" w:eastAsia="宋体" w:cs="Times New Roman"/>
                <w:b/>
                <w:color w:val="auto"/>
                <w:kern w:val="24"/>
                <w:sz w:val="24"/>
                <w:szCs w:val="24"/>
                <w:highlight w:val="none"/>
              </w:rPr>
            </w:pPr>
            <w:r>
              <w:rPr>
                <w:rFonts w:hint="default" w:ascii="Times New Roman" w:hAnsi="Times New Roman" w:eastAsia="宋体" w:cs="Times New Roman"/>
                <w:b/>
                <w:color w:val="auto"/>
                <w:kern w:val="24"/>
                <w:sz w:val="24"/>
                <w:szCs w:val="24"/>
                <w:highlight w:val="none"/>
                <w:lang w:val="en-US" w:eastAsia="zh-CN"/>
              </w:rPr>
              <w:t>7</w:t>
            </w:r>
            <w:r>
              <w:rPr>
                <w:rFonts w:hint="eastAsia" w:ascii="Times New Roman" w:hAnsi="Times New Roman" w:eastAsia="宋体" w:cs="Times New Roman"/>
                <w:b/>
                <w:color w:val="auto"/>
                <w:kern w:val="24"/>
                <w:sz w:val="24"/>
                <w:szCs w:val="24"/>
                <w:highlight w:val="none"/>
                <w:lang w:val="en-US" w:eastAsia="zh-CN"/>
              </w:rPr>
              <w:t>.</w:t>
            </w:r>
            <w:r>
              <w:rPr>
                <w:rFonts w:hint="default" w:ascii="Times New Roman" w:hAnsi="Times New Roman" w:eastAsia="宋体" w:cs="Times New Roman"/>
                <w:b/>
                <w:color w:val="auto"/>
                <w:kern w:val="24"/>
                <w:sz w:val="24"/>
                <w:szCs w:val="24"/>
                <w:highlight w:val="none"/>
                <w:lang w:val="en-US" w:eastAsia="zh-CN"/>
              </w:rPr>
              <w:t>3</w:t>
            </w:r>
            <w:r>
              <w:rPr>
                <w:rFonts w:hint="default" w:ascii="Times New Roman" w:hAnsi="Times New Roman" w:eastAsia="宋体" w:cs="Times New Roman"/>
                <w:b/>
                <w:color w:val="auto"/>
                <w:kern w:val="24"/>
                <w:sz w:val="24"/>
                <w:szCs w:val="24"/>
                <w:highlight w:val="none"/>
              </w:rPr>
              <w:t>环境风险防范措施及应急要求</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left"/>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7</w:t>
            </w:r>
            <w:r>
              <w:rPr>
                <w:rFonts w:hint="eastAsia" w:ascii="Times New Roman" w:hAnsi="Times New Roman" w:eastAsia="宋体" w:cs="Times New Roman"/>
                <w:b/>
                <w:bCs/>
                <w:color w:val="auto"/>
                <w:sz w:val="24"/>
                <w:szCs w:val="24"/>
                <w:lang w:val="en-US" w:eastAsia="zh-CN"/>
              </w:rPr>
              <w:t>.</w:t>
            </w:r>
            <w:r>
              <w:rPr>
                <w:rFonts w:hint="default" w:ascii="Times New Roman" w:hAnsi="Times New Roman" w:eastAsia="宋体" w:cs="Times New Roman"/>
                <w:b/>
                <w:bCs/>
                <w:color w:val="auto"/>
                <w:sz w:val="24"/>
                <w:szCs w:val="24"/>
                <w:lang w:val="en-US" w:eastAsia="zh-CN"/>
              </w:rPr>
              <w:t>3</w:t>
            </w:r>
            <w:r>
              <w:rPr>
                <w:rFonts w:hint="eastAsia" w:ascii="Times New Roman" w:hAnsi="Times New Roman" w:eastAsia="宋体" w:cs="Times New Roman"/>
                <w:b/>
                <w:bCs/>
                <w:color w:val="auto"/>
                <w:sz w:val="24"/>
                <w:szCs w:val="24"/>
                <w:lang w:val="en-US" w:eastAsia="zh-CN"/>
              </w:rPr>
              <w:t>.</w:t>
            </w:r>
            <w:r>
              <w:rPr>
                <w:rFonts w:hint="default" w:ascii="Times New Roman" w:hAnsi="Times New Roman" w:eastAsia="宋体" w:cs="Times New Roman"/>
                <w:b/>
                <w:bCs/>
                <w:color w:val="auto"/>
                <w:sz w:val="24"/>
                <w:szCs w:val="24"/>
                <w:lang w:val="en-US" w:eastAsia="zh-CN"/>
              </w:rPr>
              <w:t>1生产操作规范化措施</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①生产车间应按规范配置灭火器材和消防装备。</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②制定巡查制度，对有事故迹象的部位及时采取处理措施。</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③加强火源管理，杜绝各种火种，严禁闲杂人员入内。</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④全厂建立健全健康/安全/环境管理制度，并严格予以执行；建立健全档案管理制度，做好产品和生产工艺有关的设计资料，指导安全生产运行的资料，设备购置、运行、维修和维护、检测、报废、处置的信息和资料，事故统计、分析、处理、整改措施落实的音像、实物、文件等资料的严格管理；建立汇报、抽查、定期检查相结合的安全检查制度，及时发现安全隐患并采取有效措施消除；建立严格的从业人员上岗培训制度，依法参加工伤保险，为从业人员缴纳保险费，为从业人员配备符合国家或行业标准规定的劳动防护用品；应按照《安全标志及其使用导则》(GB2894-2008)、《安全色》(GB2893-2008)的要求设置并管理安全标识，主要安全标识包括：禁止标志有</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禁止吸烟</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禁止烟火</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禁止带火种</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等；警告标志如</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当心火灾</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标志；消防安全标志如</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灭火器</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灭火设备或报警装置方向</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；应急疏散指示标志如</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安全出口</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消防通道</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等；使损失和对环境污染降到最低。</w:t>
            </w:r>
          </w:p>
          <w:p>
            <w:pPr>
              <w:keepNext w:val="0"/>
              <w:keepLines w:val="0"/>
              <w:suppressLineNumbers w:val="0"/>
              <w:autoSpaceDE w:val="0"/>
              <w:autoSpaceDN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⑤企业应当备有消防设施配置图、现场平面布置图、排水管网分布图。</w:t>
            </w:r>
          </w:p>
          <w:p>
            <w:pPr>
              <w:keepNext w:val="0"/>
              <w:keepLines w:val="0"/>
              <w:suppressLineNumbers w:val="0"/>
              <w:autoSpaceDE w:val="0"/>
              <w:autoSpaceDN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⑥消防废水依托厂区现有消防废水池，位于厂区东侧偏南，建筑面积为345.6m</w:t>
            </w:r>
            <w:r>
              <w:rPr>
                <w:rFonts w:hint="eastAsia" w:cs="Times New Roman"/>
                <w:color w:val="auto"/>
                <w:sz w:val="24"/>
                <w:szCs w:val="24"/>
                <w:vertAlign w:val="superscript"/>
                <w:lang w:val="en-US" w:eastAsia="zh-CN"/>
              </w:rPr>
              <w:t>2</w:t>
            </w:r>
            <w:r>
              <w:rPr>
                <w:rFonts w:hint="eastAsia" w:cs="Times New Roman"/>
                <w:color w:val="auto"/>
                <w:sz w:val="24"/>
                <w:szCs w:val="24"/>
                <w:lang w:val="en-US" w:eastAsia="zh-CN"/>
              </w:rPr>
              <w:t>。</w:t>
            </w:r>
          </w:p>
          <w:p>
            <w:pPr>
              <w:keepNext w:val="0"/>
              <w:keepLines w:val="0"/>
              <w:widowControl w:val="0"/>
              <w:suppressLineNumbers w:val="0"/>
              <w:adjustRightInd w:val="0"/>
              <w:snapToGrid w:val="0"/>
              <w:spacing w:before="0" w:beforeAutospacing="0" w:after="0" w:afterAutospacing="0" w:line="360" w:lineRule="auto"/>
              <w:ind w:left="0" w:right="0" w:firstLine="482" w:firstLineChars="200"/>
              <w:jc w:val="both"/>
              <w:outlineLvl w:val="1"/>
              <w:rPr>
                <w:rFonts w:hint="default" w:ascii="Times New Roman" w:hAnsi="Times New Roman" w:eastAsia="宋体" w:cs="Times New Roman"/>
                <w:b/>
                <w:bCs/>
                <w:color w:val="auto"/>
                <w:kern w:val="0"/>
                <w:sz w:val="24"/>
                <w:szCs w:val="24"/>
              </w:rPr>
            </w:pPr>
            <w:r>
              <w:rPr>
                <w:rFonts w:hint="default" w:ascii="Times New Roman" w:hAnsi="Times New Roman" w:eastAsia="宋体" w:cs="Times New Roman"/>
                <w:b/>
                <w:bCs/>
                <w:color w:val="auto"/>
                <w:kern w:val="0"/>
                <w:sz w:val="24"/>
                <w:szCs w:val="24"/>
                <w:lang w:val="en-US" w:eastAsia="zh-CN" w:bidi="ar"/>
              </w:rPr>
              <w:t>7</w:t>
            </w:r>
            <w:r>
              <w:rPr>
                <w:rFonts w:hint="eastAsia" w:ascii="Times New Roman" w:hAnsi="Times New Roman" w:eastAsia="宋体" w:cs="Times New Roman"/>
                <w:b/>
                <w:bCs/>
                <w:color w:val="auto"/>
                <w:kern w:val="0"/>
                <w:sz w:val="24"/>
                <w:szCs w:val="24"/>
                <w:lang w:val="en-US" w:eastAsia="zh-CN" w:bidi="ar"/>
              </w:rPr>
              <w:t>.</w:t>
            </w:r>
            <w:r>
              <w:rPr>
                <w:rFonts w:hint="default" w:ascii="Times New Roman" w:hAnsi="Times New Roman" w:eastAsia="宋体" w:cs="Times New Roman"/>
                <w:b/>
                <w:bCs/>
                <w:color w:val="auto"/>
                <w:kern w:val="0"/>
                <w:sz w:val="24"/>
                <w:szCs w:val="24"/>
                <w:lang w:val="en-US" w:eastAsia="zh-CN" w:bidi="ar"/>
              </w:rPr>
              <w:t>3</w:t>
            </w:r>
            <w:r>
              <w:rPr>
                <w:rFonts w:hint="eastAsia" w:ascii="Times New Roman" w:hAnsi="Times New Roman" w:eastAsia="宋体" w:cs="Times New Roman"/>
                <w:b/>
                <w:bCs/>
                <w:color w:val="auto"/>
                <w:kern w:val="0"/>
                <w:sz w:val="24"/>
                <w:szCs w:val="24"/>
                <w:lang w:val="en-US" w:eastAsia="zh-CN" w:bidi="ar"/>
              </w:rPr>
              <w:t>.2</w:t>
            </w:r>
            <w:r>
              <w:rPr>
                <w:rFonts w:hint="default" w:ascii="Times New Roman" w:hAnsi="Times New Roman" w:eastAsia="宋体" w:cs="Times New Roman"/>
                <w:b/>
                <w:bCs/>
                <w:color w:val="auto"/>
                <w:kern w:val="0"/>
                <w:sz w:val="24"/>
                <w:szCs w:val="24"/>
                <w:lang w:val="en-US" w:eastAsia="zh-CN" w:bidi="ar"/>
              </w:rPr>
              <w:t>环保设施发生故障的防范措施</w:t>
            </w:r>
          </w:p>
          <w:p>
            <w:pPr>
              <w:keepNext w:val="0"/>
              <w:keepLines w:val="0"/>
              <w:widowControl w:val="0"/>
              <w:suppressLineNumbers w:val="0"/>
              <w:autoSpaceDE w:val="0"/>
              <w:autoSpaceDN/>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lang w:val="en-US" w:eastAsia="zh-CN" w:bidi="ar"/>
              </w:rPr>
              <w:t>①各生产环节严格执行生产管理的有关规定，加强设备的检修及保养，提高管理人员素质，并设置机器事故应急措施及管理制度，确保设备长期处在良好状态，使设备达到预期的处理效果。</w:t>
            </w:r>
          </w:p>
          <w:p>
            <w:pPr>
              <w:keepNext w:val="0"/>
              <w:keepLines w:val="0"/>
              <w:widowControl w:val="0"/>
              <w:suppressLineNumbers w:val="0"/>
              <w:autoSpaceDE w:val="0"/>
              <w:autoSpaceDN/>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lang w:val="en-US" w:eastAsia="zh-CN" w:bidi="ar"/>
              </w:rPr>
              <w:t>②现场作业人员定时记录废气处理状况，如对废气处理设备、风机等设备进行定期检查，并派专人巡视，遇不良工作状况应立即停止车间相关作业，维修正常后再开始作业，杜绝事故性废气直排，并及时呈报单位主管。</w:t>
            </w:r>
          </w:p>
          <w:p>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outlineLvl w:val="1"/>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lang w:val="en-US" w:eastAsia="zh-CN" w:bidi="ar"/>
              </w:rPr>
              <w:t>③</w:t>
            </w:r>
            <w:r>
              <w:rPr>
                <w:rFonts w:hint="eastAsia" w:ascii="Times New Roman" w:hAnsi="Times New Roman" w:eastAsia="宋体" w:cs="Times New Roman"/>
                <w:color w:val="auto"/>
                <w:kern w:val="0"/>
                <w:sz w:val="24"/>
                <w:szCs w:val="24"/>
                <w:lang w:val="en-US" w:eastAsia="zh-CN" w:bidi="ar"/>
              </w:rPr>
              <w:t>废气污染治理设施</w:t>
            </w:r>
            <w:r>
              <w:rPr>
                <w:rFonts w:hint="default" w:ascii="Times New Roman" w:hAnsi="Times New Roman" w:eastAsia="宋体" w:cs="Times New Roman"/>
                <w:color w:val="auto"/>
                <w:kern w:val="0"/>
                <w:sz w:val="24"/>
                <w:szCs w:val="24"/>
                <w:lang w:val="en-US" w:eastAsia="zh-CN" w:bidi="ar"/>
              </w:rPr>
              <w:t>应在安装前进行全面的漏气检测，运行过程中，需定期对设备中的气体压力及设备本身进行检测，发现气体压力异常、设备压力测试异常时应及时排查并维修，定期清理气体管路，注意更换活性炭及过滤棉，以防造成堵塞。</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left"/>
              <w:textAlignment w:val="auto"/>
              <w:rPr>
                <w:rFonts w:hint="eastAsia" w:cs="Times New Roman"/>
                <w:b/>
                <w:bCs/>
                <w:color w:val="auto"/>
                <w:sz w:val="24"/>
                <w:szCs w:val="24"/>
                <w:lang w:val="en-US" w:eastAsia="zh-CN"/>
              </w:rPr>
            </w:pPr>
            <w:r>
              <w:rPr>
                <w:rFonts w:hint="eastAsia" w:cs="Times New Roman"/>
                <w:b/>
                <w:bCs/>
                <w:color w:val="auto"/>
                <w:sz w:val="24"/>
                <w:szCs w:val="24"/>
                <w:lang w:val="en-US" w:eastAsia="zh-CN"/>
              </w:rPr>
              <w:t>7.3.3危险废物污染防范措施</w:t>
            </w:r>
          </w:p>
          <w:p>
            <w:pPr>
              <w:keepNext w:val="0"/>
              <w:keepLines w:val="0"/>
              <w:pageBreakBefore w:val="0"/>
              <w:widowControl w:val="0"/>
              <w:numPr>
                <w:ilvl w:val="0"/>
                <w:numId w:val="0"/>
              </w:numPr>
              <w:suppressLineNumbers w:val="0"/>
              <w:tabs>
                <w:tab w:val="clear" w:pos="0"/>
                <w:tab w:val="clear" w:pos="2040"/>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eastAsia="宋体"/>
                <w:b w:val="0"/>
                <w:bCs/>
                <w:color w:val="auto"/>
                <w:sz w:val="24"/>
                <w:szCs w:val="24"/>
                <w:highlight w:val="none"/>
              </w:rPr>
            </w:pPr>
            <w:r>
              <w:rPr>
                <w:rFonts w:hint="eastAsia" w:eastAsia="宋体"/>
                <w:b w:val="0"/>
                <w:bCs/>
                <w:color w:val="auto"/>
                <w:sz w:val="24"/>
                <w:szCs w:val="24"/>
                <w:highlight w:val="none"/>
                <w:lang w:val="en-US" w:eastAsia="zh-CN"/>
              </w:rPr>
              <w:t>①危险废物暂存间</w:t>
            </w:r>
            <w:r>
              <w:rPr>
                <w:rFonts w:hint="eastAsia" w:eastAsia="宋体"/>
                <w:b w:val="0"/>
                <w:bCs/>
                <w:color w:val="auto"/>
                <w:sz w:val="24"/>
                <w:szCs w:val="24"/>
                <w:highlight w:val="none"/>
              </w:rPr>
              <w:t>内地面、墙面裙脚、堵截泄漏的围堰、接触危险废物的隔板和墙体采用坚固的材料建造，表面无裂缝；</w:t>
            </w:r>
          </w:p>
          <w:p>
            <w:pPr>
              <w:keepNext w:val="0"/>
              <w:keepLines w:val="0"/>
              <w:pageBreakBefore w:val="0"/>
              <w:widowControl w:val="0"/>
              <w:numPr>
                <w:ilvl w:val="0"/>
                <w:numId w:val="0"/>
              </w:numPr>
              <w:suppressLineNumbers w:val="0"/>
              <w:tabs>
                <w:tab w:val="clear" w:pos="0"/>
                <w:tab w:val="clear" w:pos="2040"/>
              </w:tabs>
              <w:kinsoku/>
              <w:wordWrap/>
              <w:overflowPunct/>
              <w:topLinePunct w:val="0"/>
              <w:autoSpaceDE/>
              <w:autoSpaceDN/>
              <w:bidi w:val="0"/>
              <w:adjustRightInd w:val="0"/>
              <w:snapToGrid w:val="0"/>
              <w:spacing w:before="0" w:beforeAutospacing="0" w:after="0" w:afterAutospacing="0" w:line="360" w:lineRule="auto"/>
              <w:ind w:left="420" w:leftChars="200" w:right="0"/>
              <w:textAlignment w:val="auto"/>
              <w:rPr>
                <w:rFonts w:hint="default" w:eastAsia="宋体"/>
                <w:b w:val="0"/>
                <w:bCs/>
                <w:color w:val="auto"/>
                <w:sz w:val="24"/>
                <w:szCs w:val="24"/>
                <w:highlight w:val="none"/>
              </w:rPr>
            </w:pPr>
            <w:r>
              <w:rPr>
                <w:rFonts w:hint="eastAsia" w:eastAsia="宋体"/>
                <w:b w:val="0"/>
                <w:bCs/>
                <w:color w:val="auto"/>
                <w:sz w:val="24"/>
                <w:szCs w:val="24"/>
                <w:highlight w:val="none"/>
                <w:lang w:val="en-US" w:eastAsia="zh-CN"/>
              </w:rPr>
              <w:t>②危险废物暂存间</w:t>
            </w:r>
            <w:r>
              <w:rPr>
                <w:rFonts w:hint="eastAsia" w:eastAsia="宋体"/>
                <w:b w:val="0"/>
                <w:bCs/>
                <w:color w:val="auto"/>
                <w:sz w:val="24"/>
                <w:szCs w:val="24"/>
                <w:highlight w:val="none"/>
              </w:rPr>
              <w:t>地面与裙脚</w:t>
            </w:r>
            <w:r>
              <w:rPr>
                <w:rFonts w:hint="eastAsia" w:eastAsia="宋体"/>
                <w:b w:val="0"/>
                <w:bCs/>
                <w:color w:val="auto"/>
                <w:sz w:val="24"/>
                <w:szCs w:val="24"/>
                <w:highlight w:val="none"/>
                <w:lang w:eastAsia="zh-CN"/>
              </w:rPr>
              <w:t>均</w:t>
            </w:r>
            <w:r>
              <w:rPr>
                <w:rFonts w:hint="eastAsia" w:eastAsia="宋体"/>
                <w:b w:val="0"/>
                <w:bCs/>
                <w:color w:val="auto"/>
                <w:sz w:val="24"/>
                <w:szCs w:val="24"/>
                <w:highlight w:val="none"/>
              </w:rPr>
              <w:t>采取表面防渗措施；</w:t>
            </w:r>
          </w:p>
          <w:p>
            <w:pPr>
              <w:keepNext w:val="0"/>
              <w:keepLines w:val="0"/>
              <w:pageBreakBefore w:val="0"/>
              <w:widowControl w:val="0"/>
              <w:numPr>
                <w:ilvl w:val="0"/>
                <w:numId w:val="0"/>
              </w:numPr>
              <w:suppressLineNumbers w:val="0"/>
              <w:tabs>
                <w:tab w:val="clear" w:pos="0"/>
                <w:tab w:val="clear" w:pos="2040"/>
              </w:tabs>
              <w:kinsoku/>
              <w:wordWrap/>
              <w:overflowPunct/>
              <w:topLinePunct w:val="0"/>
              <w:autoSpaceDE/>
              <w:autoSpaceDN/>
              <w:bidi w:val="0"/>
              <w:adjustRightInd w:val="0"/>
              <w:snapToGrid w:val="0"/>
              <w:spacing w:before="0" w:beforeAutospacing="0" w:after="0" w:afterAutospacing="0" w:line="360" w:lineRule="auto"/>
              <w:ind w:left="420" w:leftChars="200" w:right="0"/>
              <w:textAlignment w:val="auto"/>
              <w:rPr>
                <w:rFonts w:hint="default" w:eastAsia="宋体"/>
                <w:b w:val="0"/>
                <w:bCs/>
                <w:color w:val="auto"/>
                <w:sz w:val="24"/>
                <w:szCs w:val="24"/>
                <w:highlight w:val="none"/>
              </w:rPr>
            </w:pPr>
            <w:r>
              <w:rPr>
                <w:rFonts w:hint="eastAsia" w:eastAsia="宋体"/>
                <w:b w:val="0"/>
                <w:bCs/>
                <w:color w:val="auto"/>
                <w:sz w:val="24"/>
                <w:szCs w:val="24"/>
                <w:highlight w:val="none"/>
                <w:lang w:val="en-US" w:eastAsia="zh-CN"/>
              </w:rPr>
              <w:t>③危险废物暂存间禁止</w:t>
            </w:r>
            <w:r>
              <w:rPr>
                <w:rFonts w:hint="eastAsia" w:eastAsia="宋体"/>
                <w:b w:val="0"/>
                <w:bCs/>
                <w:color w:val="auto"/>
                <w:sz w:val="24"/>
                <w:szCs w:val="24"/>
                <w:highlight w:val="none"/>
              </w:rPr>
              <w:t>无关人员进入；</w:t>
            </w:r>
          </w:p>
          <w:p>
            <w:pPr>
              <w:keepNext w:val="0"/>
              <w:keepLines w:val="0"/>
              <w:pageBreakBefore w:val="0"/>
              <w:widowControl w:val="0"/>
              <w:numPr>
                <w:ilvl w:val="0"/>
                <w:numId w:val="0"/>
              </w:numPr>
              <w:suppressLineNumbers w:val="0"/>
              <w:tabs>
                <w:tab w:val="clear" w:pos="0"/>
                <w:tab w:val="clear" w:pos="2040"/>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eastAsia="宋体"/>
                <w:b w:val="0"/>
                <w:bCs/>
                <w:color w:val="auto"/>
                <w:sz w:val="24"/>
                <w:szCs w:val="24"/>
                <w:highlight w:val="none"/>
              </w:rPr>
            </w:pPr>
            <w:r>
              <w:rPr>
                <w:rFonts w:hint="eastAsia" w:eastAsia="宋体"/>
                <w:b w:val="0"/>
                <w:bCs/>
                <w:color w:val="auto"/>
                <w:sz w:val="24"/>
                <w:szCs w:val="24"/>
                <w:highlight w:val="none"/>
                <w:lang w:val="en-US" w:eastAsia="zh-CN"/>
              </w:rPr>
              <w:t>④危险废物暂存间</w:t>
            </w:r>
            <w:r>
              <w:rPr>
                <w:rFonts w:hint="eastAsia" w:eastAsia="宋体"/>
                <w:b w:val="0"/>
                <w:bCs/>
                <w:color w:val="auto"/>
                <w:sz w:val="24"/>
                <w:szCs w:val="24"/>
                <w:highlight w:val="none"/>
              </w:rPr>
              <w:t>内不同贮存分区之间采取隔离措施。隔离措施可根据危险废物特性采用过道、隔板或隔墙等方式；</w:t>
            </w:r>
          </w:p>
          <w:p>
            <w:pPr>
              <w:keepNext w:val="0"/>
              <w:keepLines w:val="0"/>
              <w:pageBreakBefore w:val="0"/>
              <w:widowControl w:val="0"/>
              <w:numPr>
                <w:ilvl w:val="0"/>
                <w:numId w:val="0"/>
              </w:numPr>
              <w:suppressLineNumbers w:val="0"/>
              <w:tabs>
                <w:tab w:val="clear" w:pos="0"/>
                <w:tab w:val="clear" w:pos="2040"/>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eastAsia="宋体"/>
                <w:b w:val="0"/>
                <w:bCs/>
                <w:color w:val="auto"/>
                <w:sz w:val="24"/>
                <w:szCs w:val="24"/>
                <w:highlight w:val="none"/>
              </w:rPr>
            </w:pPr>
            <w:r>
              <w:rPr>
                <w:rFonts w:hint="eastAsia" w:eastAsia="宋体"/>
                <w:b w:val="0"/>
                <w:bCs/>
                <w:color w:val="auto"/>
                <w:sz w:val="24"/>
                <w:szCs w:val="24"/>
                <w:highlight w:val="none"/>
                <w:lang w:eastAsia="zh-CN"/>
              </w:rPr>
              <w:t>⑤</w:t>
            </w:r>
            <w:r>
              <w:rPr>
                <w:rFonts w:hint="eastAsia" w:eastAsia="宋体"/>
                <w:b w:val="0"/>
                <w:bCs/>
                <w:color w:val="auto"/>
                <w:sz w:val="24"/>
                <w:szCs w:val="24"/>
                <w:highlight w:val="none"/>
              </w:rPr>
              <w:t>危险废物存入贮存设施前对危险废物类别和特性与危险废物标签等危险废物识别标志的一致性进行核验，不一致的或类别、特性不明的不</w:t>
            </w:r>
            <w:r>
              <w:rPr>
                <w:rFonts w:hint="eastAsia" w:eastAsia="宋体"/>
                <w:b w:val="0"/>
                <w:bCs/>
                <w:color w:val="auto"/>
                <w:sz w:val="24"/>
                <w:szCs w:val="24"/>
                <w:highlight w:val="none"/>
                <w:lang w:eastAsia="zh-CN"/>
              </w:rPr>
              <w:t>予</w:t>
            </w:r>
            <w:r>
              <w:rPr>
                <w:rFonts w:hint="eastAsia" w:eastAsia="宋体"/>
                <w:b w:val="0"/>
                <w:bCs/>
                <w:color w:val="auto"/>
                <w:sz w:val="24"/>
                <w:szCs w:val="24"/>
                <w:highlight w:val="none"/>
              </w:rPr>
              <w:t>存入</w:t>
            </w:r>
            <w:r>
              <w:rPr>
                <w:rFonts w:hint="default" w:eastAsia="宋体"/>
                <w:b w:val="0"/>
                <w:bCs/>
                <w:color w:val="auto"/>
                <w:sz w:val="24"/>
                <w:szCs w:val="24"/>
                <w:highlight w:val="none"/>
              </w:rPr>
              <w:t>；</w:t>
            </w:r>
          </w:p>
          <w:p>
            <w:pPr>
              <w:keepNext w:val="0"/>
              <w:keepLines w:val="0"/>
              <w:pageBreakBefore w:val="0"/>
              <w:widowControl w:val="0"/>
              <w:numPr>
                <w:ilvl w:val="0"/>
                <w:numId w:val="0"/>
              </w:numPr>
              <w:suppressLineNumbers w:val="0"/>
              <w:tabs>
                <w:tab w:val="clear" w:pos="0"/>
                <w:tab w:val="clear" w:pos="2040"/>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eastAsia="宋体"/>
                <w:b w:val="0"/>
                <w:bCs/>
                <w:color w:val="auto"/>
                <w:sz w:val="24"/>
                <w:szCs w:val="24"/>
                <w:highlight w:val="none"/>
              </w:rPr>
            </w:pPr>
            <w:r>
              <w:rPr>
                <w:rFonts w:hint="eastAsia" w:eastAsia="宋体"/>
                <w:b w:val="0"/>
                <w:bCs/>
                <w:color w:val="auto"/>
                <w:sz w:val="24"/>
                <w:szCs w:val="24"/>
                <w:highlight w:val="none"/>
                <w:lang w:eastAsia="zh-CN"/>
              </w:rPr>
              <w:t>⑥</w:t>
            </w:r>
            <w:r>
              <w:rPr>
                <w:rFonts w:hint="eastAsia" w:eastAsia="宋体"/>
                <w:b w:val="0"/>
                <w:bCs/>
                <w:color w:val="auto"/>
                <w:sz w:val="24"/>
                <w:szCs w:val="24"/>
                <w:highlight w:val="none"/>
              </w:rPr>
              <w:t>定期检查危险废物的贮存状况，及时清理贮存设施地面，更换破损泄漏的危险废物贮存容器和包装物，保证堆存危险废物的防雨、防风、防扬尘等设施功能完好；</w:t>
            </w:r>
          </w:p>
          <w:p>
            <w:pPr>
              <w:keepNext w:val="0"/>
              <w:keepLines w:val="0"/>
              <w:pageBreakBefore w:val="0"/>
              <w:widowControl w:val="0"/>
              <w:numPr>
                <w:ilvl w:val="0"/>
                <w:numId w:val="0"/>
              </w:numPr>
              <w:suppressLineNumbers w:val="0"/>
              <w:tabs>
                <w:tab w:val="clear" w:pos="0"/>
                <w:tab w:val="clear" w:pos="2040"/>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eastAsia="宋体"/>
                <w:b w:val="0"/>
                <w:bCs/>
                <w:color w:val="auto"/>
                <w:sz w:val="24"/>
                <w:szCs w:val="24"/>
                <w:highlight w:val="none"/>
                <w:lang w:eastAsia="zh-CN"/>
              </w:rPr>
            </w:pPr>
            <w:r>
              <w:rPr>
                <w:rFonts w:hint="eastAsia" w:eastAsia="宋体"/>
                <w:b w:val="0"/>
                <w:bCs/>
                <w:color w:val="auto"/>
                <w:sz w:val="24"/>
                <w:szCs w:val="24"/>
                <w:highlight w:val="none"/>
                <w:lang w:eastAsia="zh-CN"/>
              </w:rPr>
              <w:t>⑦</w:t>
            </w:r>
            <w:r>
              <w:rPr>
                <w:rFonts w:hint="eastAsia" w:eastAsia="宋体"/>
                <w:b w:val="0"/>
                <w:bCs/>
                <w:color w:val="auto"/>
                <w:sz w:val="24"/>
                <w:szCs w:val="24"/>
                <w:highlight w:val="none"/>
                <w:lang w:val="en-US" w:eastAsia="zh-CN"/>
              </w:rPr>
              <w:t>危险废物暂存间</w:t>
            </w:r>
            <w:r>
              <w:rPr>
                <w:rFonts w:hint="eastAsia" w:eastAsia="宋体"/>
                <w:b w:val="0"/>
                <w:bCs/>
                <w:color w:val="auto"/>
                <w:sz w:val="24"/>
                <w:szCs w:val="24"/>
                <w:highlight w:val="none"/>
              </w:rPr>
              <w:t>运行期间，按国家有关标准和规定建立危险废物管理台账并保存</w:t>
            </w:r>
            <w:r>
              <w:rPr>
                <w:rFonts w:hint="eastAsia" w:eastAsia="宋体"/>
                <w:b w:val="0"/>
                <w:bCs/>
                <w:color w:val="auto"/>
                <w:sz w:val="24"/>
                <w:szCs w:val="24"/>
                <w:highlight w:val="none"/>
                <w:lang w:eastAsia="zh-CN"/>
              </w:rPr>
              <w:t>；</w:t>
            </w:r>
          </w:p>
          <w:p>
            <w:pPr>
              <w:keepNext w:val="0"/>
              <w:keepLines w:val="0"/>
              <w:pageBreakBefore w:val="0"/>
              <w:widowControl w:val="0"/>
              <w:numPr>
                <w:ilvl w:val="0"/>
                <w:numId w:val="0"/>
              </w:numPr>
              <w:suppressLineNumbers w:val="0"/>
              <w:tabs>
                <w:tab w:val="clear" w:pos="0"/>
                <w:tab w:val="clear" w:pos="2040"/>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eastAsia="宋体"/>
                <w:b w:val="0"/>
                <w:bCs/>
                <w:color w:val="auto"/>
                <w:sz w:val="24"/>
                <w:szCs w:val="24"/>
                <w:highlight w:val="none"/>
              </w:rPr>
            </w:pPr>
            <w:r>
              <w:rPr>
                <w:rFonts w:hint="eastAsia" w:eastAsia="宋体"/>
                <w:b w:val="0"/>
                <w:bCs/>
                <w:color w:val="auto"/>
                <w:sz w:val="24"/>
                <w:szCs w:val="24"/>
                <w:highlight w:val="none"/>
                <w:lang w:val="en-US" w:eastAsia="zh-CN"/>
              </w:rPr>
              <w:t>⑧</w:t>
            </w:r>
            <w:r>
              <w:rPr>
                <w:rFonts w:hint="eastAsia" w:eastAsia="宋体"/>
                <w:b w:val="0"/>
                <w:bCs/>
                <w:color w:val="auto"/>
                <w:sz w:val="24"/>
                <w:szCs w:val="24"/>
                <w:highlight w:val="none"/>
              </w:rPr>
              <w:t>建立</w:t>
            </w:r>
            <w:r>
              <w:rPr>
                <w:rFonts w:hint="eastAsia" w:eastAsia="宋体"/>
                <w:b w:val="0"/>
                <w:bCs/>
                <w:color w:val="auto"/>
                <w:sz w:val="24"/>
                <w:szCs w:val="24"/>
                <w:highlight w:val="none"/>
                <w:lang w:val="en-US" w:eastAsia="zh-CN"/>
              </w:rPr>
              <w:t>危险废物暂存间</w:t>
            </w:r>
            <w:r>
              <w:rPr>
                <w:rFonts w:hint="eastAsia" w:eastAsia="宋体"/>
                <w:b w:val="0"/>
                <w:bCs/>
                <w:color w:val="auto"/>
                <w:sz w:val="24"/>
                <w:szCs w:val="24"/>
                <w:highlight w:val="none"/>
              </w:rPr>
              <w:t>环境管理制度、管理人员岗位职责制度、设施运行操作制度、人员岗位培训制度等；</w:t>
            </w:r>
          </w:p>
          <w:p>
            <w:pPr>
              <w:keepNext w:val="0"/>
              <w:keepLines w:val="0"/>
              <w:pageBreakBefore w:val="0"/>
              <w:widowControl w:val="0"/>
              <w:numPr>
                <w:ilvl w:val="0"/>
                <w:numId w:val="0"/>
              </w:numPr>
              <w:suppressLineNumbers w:val="0"/>
              <w:tabs>
                <w:tab w:val="clear" w:pos="0"/>
                <w:tab w:val="clear" w:pos="2040"/>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eastAsia="宋体"/>
                <w:b w:val="0"/>
                <w:bCs/>
                <w:color w:val="auto"/>
                <w:sz w:val="24"/>
                <w:szCs w:val="24"/>
                <w:highlight w:val="none"/>
                <w:lang w:eastAsia="zh-CN"/>
              </w:rPr>
            </w:pPr>
            <w:r>
              <w:rPr>
                <w:rFonts w:hint="eastAsia" w:eastAsia="宋体"/>
                <w:b w:val="0"/>
                <w:bCs/>
                <w:color w:val="auto"/>
                <w:sz w:val="24"/>
                <w:szCs w:val="24"/>
                <w:highlight w:val="none"/>
                <w:lang w:eastAsia="zh-CN"/>
              </w:rPr>
              <w:t>⑨</w:t>
            </w:r>
            <w:r>
              <w:rPr>
                <w:rFonts w:hint="eastAsia" w:ascii="Times New Roman" w:hAnsi="Times New Roman" w:eastAsia="宋体" w:cs="Times New Roman"/>
                <w:b w:val="0"/>
                <w:bCs/>
                <w:color w:val="auto"/>
                <w:sz w:val="24"/>
                <w:szCs w:val="24"/>
                <w:highlight w:val="none"/>
              </w:rPr>
              <w:t>应按照国家有关规定编制突发环境事件应急预案，定期开展必要的培训和环境应急演练，并做好培训、演练记录</w:t>
            </w:r>
            <w:r>
              <w:rPr>
                <w:rFonts w:hint="eastAsia" w:cs="Times New Roman"/>
                <w:b w:val="0"/>
                <w:bCs/>
                <w:color w:val="auto"/>
                <w:sz w:val="24"/>
                <w:szCs w:val="24"/>
                <w:highlight w:val="none"/>
                <w:lang w:eastAsia="zh-CN"/>
              </w:rPr>
              <w:t>；</w:t>
            </w:r>
          </w:p>
          <w:p>
            <w:pPr>
              <w:keepNext w:val="0"/>
              <w:keepLines w:val="0"/>
              <w:pageBreakBefore w:val="0"/>
              <w:widowControl w:val="0"/>
              <w:numPr>
                <w:ilvl w:val="0"/>
                <w:numId w:val="0"/>
              </w:numPr>
              <w:suppressLineNumbers w:val="0"/>
              <w:tabs>
                <w:tab w:val="clear" w:pos="0"/>
                <w:tab w:val="clear" w:pos="2040"/>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b w:val="0"/>
                <w:bCs/>
                <w:color w:val="auto"/>
                <w:sz w:val="24"/>
                <w:szCs w:val="24"/>
                <w:highlight w:val="none"/>
                <w:lang w:eastAsia="zh-CN"/>
              </w:rPr>
            </w:pPr>
            <w:r>
              <w:rPr>
                <w:rFonts w:hint="eastAsia" w:eastAsia="宋体" w:cs="Times New Roman"/>
                <w:b w:val="0"/>
                <w:bCs/>
                <w:color w:val="auto"/>
                <w:sz w:val="24"/>
                <w:szCs w:val="24"/>
                <w:highlight w:val="none"/>
                <w:lang w:eastAsia="zh-CN"/>
              </w:rPr>
              <w:t>⑩</w:t>
            </w:r>
            <w:r>
              <w:rPr>
                <w:rFonts w:hint="eastAsia" w:ascii="Times New Roman" w:hAnsi="Times New Roman" w:eastAsia="宋体" w:cs="Times New Roman"/>
                <w:b w:val="0"/>
                <w:bCs/>
                <w:color w:val="auto"/>
                <w:sz w:val="24"/>
                <w:szCs w:val="24"/>
                <w:highlight w:val="none"/>
              </w:rPr>
              <w:t>应配备满足其突发环境事件应急要求的应急人员、装备和物资，并应设置应急照明系统</w:t>
            </w:r>
            <w:r>
              <w:rPr>
                <w:rFonts w:hint="eastAsia" w:cs="Times New Roman"/>
                <w:b w:val="0"/>
                <w:bCs/>
                <w:color w:val="auto"/>
                <w:sz w:val="24"/>
                <w:szCs w:val="24"/>
                <w:highlight w:val="none"/>
                <w:lang w:eastAsia="zh-CN"/>
              </w:rPr>
              <w:t>；</w:t>
            </w:r>
          </w:p>
          <w:p>
            <w:pPr>
              <w:keepNext w:val="0"/>
              <w:keepLines w:val="0"/>
              <w:pageBreakBefore w:val="0"/>
              <w:widowControl w:val="0"/>
              <w:numPr>
                <w:ilvl w:val="0"/>
                <w:numId w:val="0"/>
              </w:numPr>
              <w:suppressLineNumbers w:val="0"/>
              <w:tabs>
                <w:tab w:val="clear" w:pos="0"/>
                <w:tab w:val="clear" w:pos="2040"/>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eastAsia="宋体"/>
                <w:b w:val="0"/>
                <w:bCs/>
                <w:color w:val="auto"/>
                <w:sz w:val="24"/>
                <w:szCs w:val="24"/>
                <w:highlight w:val="none"/>
                <w:lang w:eastAsia="zh-CN"/>
              </w:rPr>
            </w:pPr>
            <w:r>
              <w:rPr>
                <w:rFonts w:hint="default" w:ascii="Times New Roman" w:hAnsi="Times New Roman" w:eastAsia="宋体" w:cs="Times New Roman"/>
                <w:b w:val="0"/>
                <w:bCs/>
                <w:color w:val="auto"/>
                <w:sz w:val="24"/>
                <w:szCs w:val="24"/>
                <w:highlight w:val="none"/>
              </w:rPr>
              <w:t>⑪</w:t>
            </w:r>
            <w:r>
              <w:rPr>
                <w:rFonts w:hint="eastAsia" w:eastAsia="宋体"/>
                <w:b w:val="0"/>
                <w:bCs/>
                <w:color w:val="auto"/>
                <w:sz w:val="24"/>
                <w:szCs w:val="24"/>
                <w:highlight w:val="none"/>
              </w:rPr>
              <w:t>相关部门发布自然灾害或恶劣天气预警后，应启动相应防控措施，若有必要可将危险废物转移至其他具有防护条件的地点贮存</w:t>
            </w:r>
            <w:r>
              <w:rPr>
                <w:rFonts w:hint="eastAsia"/>
                <w:b w:val="0"/>
                <w:bCs/>
                <w:color w:val="auto"/>
                <w:sz w:val="24"/>
                <w:szCs w:val="24"/>
                <w:highlight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eastAsia="宋体"/>
                <w:color w:val="auto"/>
                <w:sz w:val="24"/>
                <w:szCs w:val="24"/>
                <w:lang w:val="en-US" w:eastAsia="zh-CN"/>
              </w:rPr>
            </w:pPr>
            <w:r>
              <w:rPr>
                <w:rFonts w:hint="eastAsia" w:eastAsia="宋体"/>
                <w:b w:val="0"/>
                <w:bCs/>
                <w:color w:val="auto"/>
                <w:sz w:val="24"/>
                <w:szCs w:val="24"/>
                <w:highlight w:val="none"/>
              </w:rPr>
              <w:t>⑫</w:t>
            </w:r>
            <w:r>
              <w:rPr>
                <w:rFonts w:hint="eastAsia" w:eastAsia="宋体"/>
                <w:color w:val="auto"/>
                <w:sz w:val="24"/>
                <w:szCs w:val="24"/>
                <w:lang w:val="en-US" w:eastAsia="zh-CN"/>
              </w:rPr>
              <w:t>本项目二次熔炼渣</w:t>
            </w:r>
            <w:r>
              <w:rPr>
                <w:rFonts w:hint="eastAsia"/>
                <w:color w:val="auto"/>
                <w:sz w:val="24"/>
                <w:szCs w:val="24"/>
                <w:lang w:val="en-US" w:eastAsia="zh-CN"/>
              </w:rPr>
              <w:t>、除尘灰</w:t>
            </w:r>
            <w:r>
              <w:rPr>
                <w:rFonts w:hint="eastAsia" w:eastAsia="宋体"/>
                <w:color w:val="auto"/>
                <w:sz w:val="24"/>
                <w:szCs w:val="24"/>
                <w:lang w:val="en-US" w:eastAsia="zh-CN"/>
              </w:rPr>
              <w:t>等采用专用防水吨包进行包装，严禁上述物料遇水，收集在封闭危险废物暂存间</w:t>
            </w:r>
            <w:r>
              <w:rPr>
                <w:rFonts w:hint="eastAsia"/>
                <w:color w:val="auto"/>
                <w:sz w:val="24"/>
                <w:szCs w:val="24"/>
                <w:lang w:val="en-US" w:eastAsia="zh-CN"/>
              </w:rPr>
              <w:t>内</w:t>
            </w:r>
            <w:r>
              <w:rPr>
                <w:rFonts w:hint="eastAsia" w:eastAsia="宋体"/>
                <w:b w:val="0"/>
                <w:bCs w:val="0"/>
                <w:color w:val="auto"/>
                <w:sz w:val="24"/>
                <w:szCs w:val="24"/>
                <w:lang w:val="en-US" w:eastAsia="zh-CN"/>
              </w:rPr>
              <w:t>。</w:t>
            </w:r>
            <w:r>
              <w:rPr>
                <w:rFonts w:hint="eastAsia" w:eastAsia="宋体"/>
                <w:color w:val="auto"/>
                <w:sz w:val="24"/>
                <w:szCs w:val="24"/>
                <w:lang w:val="en-US" w:eastAsia="zh-CN"/>
              </w:rPr>
              <w:t>危险废物暂存间进行封闭并设有废气收集管道，对二次熔炼渣暂存过程中产生的废气收集后引入</w:t>
            </w:r>
            <w:r>
              <w:rPr>
                <w:rFonts w:hint="eastAsia"/>
                <w:color w:val="auto"/>
                <w:sz w:val="24"/>
                <w:szCs w:val="24"/>
                <w:lang w:val="en-US" w:eastAsia="zh-CN"/>
              </w:rPr>
              <w:t>UV光氧+活性炭吸附一体机</w:t>
            </w:r>
            <w:r>
              <w:rPr>
                <w:rFonts w:hint="eastAsia" w:eastAsia="宋体"/>
                <w:color w:val="auto"/>
                <w:sz w:val="24"/>
                <w:szCs w:val="24"/>
                <w:lang w:val="en-US" w:eastAsia="zh-CN"/>
              </w:rPr>
              <w:t>处理后达标排放。</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7</w:t>
            </w:r>
            <w:r>
              <w:rPr>
                <w:rFonts w:hint="eastAsia" w:ascii="Times New Roman" w:hAnsi="Times New Roman" w:eastAsia="宋体" w:cs="Times New Roman"/>
                <w:b/>
                <w:bCs/>
                <w:color w:val="auto"/>
                <w:sz w:val="24"/>
                <w:szCs w:val="24"/>
                <w:lang w:val="en-US" w:eastAsia="zh-CN"/>
              </w:rPr>
              <w:t>.</w:t>
            </w:r>
            <w:r>
              <w:rPr>
                <w:rFonts w:hint="default" w:ascii="Times New Roman" w:hAnsi="Times New Roman" w:eastAsia="宋体" w:cs="Times New Roman"/>
                <w:b/>
                <w:bCs/>
                <w:color w:val="auto"/>
                <w:sz w:val="24"/>
                <w:szCs w:val="24"/>
                <w:lang w:val="en-US" w:eastAsia="zh-CN"/>
              </w:rPr>
              <w:t>3</w:t>
            </w:r>
            <w:r>
              <w:rPr>
                <w:rFonts w:hint="eastAsia" w:ascii="Times New Roman" w:hAnsi="Times New Roman" w:eastAsia="宋体" w:cs="Times New Roman"/>
                <w:b/>
                <w:bCs/>
                <w:color w:val="auto"/>
                <w:sz w:val="24"/>
                <w:szCs w:val="24"/>
                <w:lang w:val="en-US" w:eastAsia="zh-CN"/>
              </w:rPr>
              <w:t>.</w:t>
            </w:r>
            <w:r>
              <w:rPr>
                <w:rFonts w:hint="eastAsia" w:cs="Times New Roman"/>
                <w:b/>
                <w:bCs/>
                <w:color w:val="auto"/>
                <w:sz w:val="24"/>
                <w:szCs w:val="24"/>
                <w:lang w:val="en-US" w:eastAsia="zh-CN"/>
              </w:rPr>
              <w:t>4</w:t>
            </w:r>
            <w:r>
              <w:rPr>
                <w:rFonts w:hint="default" w:ascii="Times New Roman" w:hAnsi="Times New Roman" w:eastAsia="宋体" w:cs="Times New Roman"/>
                <w:b/>
                <w:bCs/>
                <w:color w:val="auto"/>
                <w:sz w:val="24"/>
                <w:szCs w:val="24"/>
                <w:lang w:val="en-US" w:eastAsia="zh-CN"/>
              </w:rPr>
              <w:t>火灾事故风险防范措施</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①在车间和原料仓库的明显位置张贴禁用明火的告示，原料仓和车间内设置移动式泡沫灭火器；</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②储存辅助材料的桶上应注明物质的名称、危险特性、安全使用说明以及事故应对措施等内容；</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③搬运和装卸时，应轻拿轻放，防止撞击；</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④仓库应选择阴凉通风无阳光直射的位置，仓库内应设置空调设备，防止仓库温度过高；</w:t>
            </w:r>
          </w:p>
          <w:p>
            <w:pPr>
              <w:keepNext w:val="0"/>
              <w:keepLines w:val="0"/>
              <w:widowControl w:val="0"/>
              <w:suppressLineNumbers w:val="0"/>
              <w:autoSpaceDE w:val="0"/>
              <w:autoSpaceDN w:val="0"/>
              <w:spacing w:before="0" w:beforeAutospacing="0" w:after="0" w:afterAutospacing="0" w:line="360" w:lineRule="auto"/>
              <w:ind w:left="0" w:right="0" w:firstLine="460" w:firstLineChars="192"/>
              <w:jc w:val="both"/>
              <w:rPr>
                <w:rFonts w:hint="default" w:ascii="Times New Roman" w:hAnsi="Times New Roman" w:eastAsia="宋体" w:cs="Times New Roman"/>
                <w:b w:val="0"/>
                <w:bCs w:val="0"/>
                <w:color w:val="auto"/>
                <w:kern w:val="2"/>
                <w:sz w:val="24"/>
                <w:szCs w:val="24"/>
                <w:highlight w:val="none"/>
                <w:u w:val="none" w:color="auto"/>
                <w:lang w:val="en-US" w:eastAsia="zh-CN" w:bidi="ar-SA"/>
              </w:rPr>
            </w:pPr>
            <w:r>
              <w:rPr>
                <w:rFonts w:hint="default" w:ascii="Times New Roman" w:hAnsi="Times New Roman" w:eastAsia="宋体" w:cs="Times New Roman"/>
                <w:b w:val="0"/>
                <w:bCs w:val="0"/>
                <w:color w:val="auto"/>
                <w:kern w:val="2"/>
                <w:sz w:val="24"/>
                <w:szCs w:val="24"/>
                <w:highlight w:val="none"/>
                <w:u w:val="none" w:color="auto"/>
                <w:lang w:val="en-US" w:eastAsia="zh-CN" w:bidi="ar-SA"/>
              </w:rPr>
              <w:t>综上所述，本项目不存在重大危险源，最大可信事故为</w:t>
            </w:r>
            <w:r>
              <w:rPr>
                <w:rFonts w:hint="eastAsia" w:ascii="Times New Roman" w:hAnsi="Times New Roman" w:eastAsia="宋体" w:cs="Times New Roman"/>
                <w:b w:val="0"/>
                <w:bCs w:val="0"/>
                <w:color w:val="auto"/>
                <w:kern w:val="2"/>
                <w:sz w:val="24"/>
                <w:szCs w:val="24"/>
                <w:highlight w:val="none"/>
                <w:u w:val="none" w:color="auto"/>
                <w:lang w:val="en-US" w:eastAsia="zh-CN" w:bidi="ar-SA"/>
              </w:rPr>
              <w:t>环保设施异常导致废气外逸</w:t>
            </w:r>
            <w:r>
              <w:rPr>
                <w:rFonts w:hint="default" w:ascii="Times New Roman" w:hAnsi="Times New Roman" w:eastAsia="宋体" w:cs="Times New Roman"/>
                <w:b w:val="0"/>
                <w:bCs w:val="0"/>
                <w:color w:val="auto"/>
                <w:kern w:val="2"/>
                <w:sz w:val="24"/>
                <w:szCs w:val="24"/>
                <w:highlight w:val="none"/>
                <w:u w:val="none" w:color="auto"/>
                <w:lang w:val="en-US" w:eastAsia="zh-CN" w:bidi="ar-SA"/>
              </w:rPr>
              <w:t>，只要项目严格落实上述措施，做好预防和应急措施，并加强防范意识，则项目运营期间发生环境风险的概率较小。建设单位对事故的预先判断准确及时，并采取正确的方法应对，则风险事故对周围大气环境的影响将大大降低。因此，项目的建设，从风险评价的角度分析是可行的。</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360" w:lineRule="auto"/>
              <w:ind w:left="0" w:right="0"/>
              <w:jc w:val="both"/>
              <w:textAlignment w:val="auto"/>
              <w:rPr>
                <w:rFonts w:hint="default" w:ascii="Times New Roman" w:hAnsi="Times New Roman" w:eastAsia="宋体" w:cs="Times New Roman"/>
                <w:b/>
                <w:bCs/>
                <w:snapToGrid w:val="0"/>
                <w:color w:val="auto"/>
                <w:kern w:val="2"/>
                <w:sz w:val="24"/>
                <w:szCs w:val="24"/>
              </w:rPr>
            </w:pPr>
            <w:r>
              <w:rPr>
                <w:rFonts w:hint="default" w:ascii="Times New Roman" w:hAnsi="Times New Roman" w:eastAsia="宋体" w:cs="Times New Roman"/>
                <w:b/>
                <w:bCs/>
                <w:snapToGrid w:val="0"/>
                <w:color w:val="auto"/>
                <w:kern w:val="2"/>
                <w:sz w:val="24"/>
                <w:szCs w:val="24"/>
                <w:lang w:val="en-US" w:eastAsia="zh-CN" w:bidi="ar"/>
              </w:rPr>
              <w:t>8</w:t>
            </w:r>
            <w:r>
              <w:rPr>
                <w:rFonts w:hint="eastAsia" w:ascii="Times New Roman" w:hAnsi="Times New Roman" w:eastAsia="宋体" w:cs="Times New Roman"/>
                <w:b/>
                <w:bCs/>
                <w:snapToGrid w:val="0"/>
                <w:color w:val="auto"/>
                <w:kern w:val="2"/>
                <w:sz w:val="24"/>
                <w:szCs w:val="24"/>
                <w:lang w:val="en-US" w:eastAsia="zh-CN" w:bidi="ar"/>
              </w:rPr>
              <w:t>.</w:t>
            </w:r>
            <w:r>
              <w:rPr>
                <w:rFonts w:hint="default" w:ascii="Times New Roman" w:hAnsi="Times New Roman" w:eastAsia="宋体" w:cs="Times New Roman"/>
                <w:b/>
                <w:bCs/>
                <w:snapToGrid w:val="0"/>
                <w:color w:val="auto"/>
                <w:kern w:val="2"/>
                <w:sz w:val="24"/>
                <w:szCs w:val="24"/>
                <w:lang w:val="en-US" w:eastAsia="zh-CN" w:bidi="ar"/>
              </w:rPr>
              <w:t>环保设施安全生产工作要求</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360" w:lineRule="auto"/>
              <w:ind w:left="0" w:right="0" w:firstLine="241" w:firstLineChars="100"/>
              <w:jc w:val="both"/>
              <w:textAlignment w:val="auto"/>
              <w:rPr>
                <w:rFonts w:hint="default" w:ascii="Times New Roman" w:hAnsi="Times New Roman" w:eastAsia="宋体" w:cs="Times New Roman"/>
                <w:b/>
                <w:bCs/>
                <w:snapToGrid w:val="0"/>
                <w:color w:val="auto"/>
                <w:kern w:val="2"/>
                <w:sz w:val="24"/>
                <w:szCs w:val="24"/>
              </w:rPr>
            </w:pPr>
            <w:r>
              <w:rPr>
                <w:rFonts w:hint="default" w:ascii="Times New Roman" w:hAnsi="Times New Roman" w:eastAsia="宋体" w:cs="Times New Roman"/>
                <w:b/>
                <w:bCs/>
                <w:snapToGrid w:val="0"/>
                <w:color w:val="auto"/>
                <w:kern w:val="2"/>
                <w:sz w:val="24"/>
                <w:szCs w:val="24"/>
                <w:lang w:val="en-US" w:eastAsia="zh-CN" w:bidi="ar"/>
              </w:rPr>
              <w:t>8</w:t>
            </w:r>
            <w:r>
              <w:rPr>
                <w:rFonts w:hint="eastAsia" w:ascii="Times New Roman" w:hAnsi="Times New Roman" w:eastAsia="宋体" w:cs="Times New Roman"/>
                <w:b/>
                <w:bCs/>
                <w:snapToGrid w:val="0"/>
                <w:color w:val="auto"/>
                <w:kern w:val="2"/>
                <w:sz w:val="24"/>
                <w:szCs w:val="24"/>
                <w:lang w:val="en-US" w:eastAsia="zh-CN" w:bidi="ar"/>
              </w:rPr>
              <w:t>.</w:t>
            </w:r>
            <w:r>
              <w:rPr>
                <w:rFonts w:hint="default" w:ascii="Times New Roman" w:hAnsi="Times New Roman" w:eastAsia="宋体" w:cs="Times New Roman"/>
                <w:b/>
                <w:bCs/>
                <w:snapToGrid w:val="0"/>
                <w:color w:val="auto"/>
                <w:kern w:val="2"/>
                <w:sz w:val="24"/>
                <w:szCs w:val="24"/>
                <w:lang w:val="en-US" w:eastAsia="zh-CN" w:bidi="ar"/>
              </w:rPr>
              <w:t>1设施安全设计</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snapToGrid w:val="0"/>
                <w:color w:val="auto"/>
                <w:kern w:val="2"/>
                <w:sz w:val="24"/>
                <w:szCs w:val="24"/>
              </w:rPr>
            </w:pPr>
            <w:r>
              <w:rPr>
                <w:rFonts w:hint="default" w:ascii="Times New Roman" w:hAnsi="Times New Roman" w:eastAsia="宋体" w:cs="Times New Roman"/>
                <w:snapToGrid w:val="0"/>
                <w:color w:val="auto"/>
                <w:kern w:val="2"/>
                <w:sz w:val="24"/>
                <w:szCs w:val="24"/>
                <w:lang w:val="en-US" w:eastAsia="zh-CN" w:bidi="ar"/>
              </w:rPr>
              <w:t>环保设施应符合相关安全规范和标准，设计和建造时应采取安全措施，以预防事故和减少对环境的不良影响。</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360" w:lineRule="auto"/>
              <w:ind w:left="0" w:right="0" w:firstLine="241" w:firstLineChars="100"/>
              <w:jc w:val="both"/>
              <w:textAlignment w:val="auto"/>
              <w:rPr>
                <w:rFonts w:hint="default" w:ascii="Times New Roman" w:hAnsi="Times New Roman" w:eastAsia="宋体" w:cs="Times New Roman"/>
                <w:b/>
                <w:bCs/>
                <w:snapToGrid w:val="0"/>
                <w:color w:val="auto"/>
                <w:kern w:val="2"/>
                <w:sz w:val="24"/>
                <w:szCs w:val="24"/>
              </w:rPr>
            </w:pPr>
            <w:r>
              <w:rPr>
                <w:rFonts w:hint="default" w:ascii="Times New Roman" w:hAnsi="Times New Roman" w:eastAsia="宋体" w:cs="Times New Roman"/>
                <w:b/>
                <w:bCs/>
                <w:snapToGrid w:val="0"/>
                <w:color w:val="auto"/>
                <w:kern w:val="2"/>
                <w:sz w:val="24"/>
                <w:szCs w:val="24"/>
                <w:lang w:val="en-US" w:eastAsia="zh-CN" w:bidi="ar"/>
              </w:rPr>
              <w:t>8</w:t>
            </w:r>
            <w:r>
              <w:rPr>
                <w:rFonts w:hint="eastAsia" w:ascii="Times New Roman" w:hAnsi="Times New Roman" w:eastAsia="宋体" w:cs="Times New Roman"/>
                <w:b/>
                <w:bCs/>
                <w:snapToGrid w:val="0"/>
                <w:color w:val="auto"/>
                <w:kern w:val="2"/>
                <w:sz w:val="24"/>
                <w:szCs w:val="24"/>
                <w:lang w:val="en-US" w:eastAsia="zh-CN" w:bidi="ar"/>
              </w:rPr>
              <w:t>.</w:t>
            </w:r>
            <w:r>
              <w:rPr>
                <w:rFonts w:hint="default" w:ascii="Times New Roman" w:hAnsi="Times New Roman" w:eastAsia="宋体" w:cs="Times New Roman"/>
                <w:b/>
                <w:bCs/>
                <w:snapToGrid w:val="0"/>
                <w:color w:val="auto"/>
                <w:kern w:val="2"/>
                <w:sz w:val="24"/>
                <w:szCs w:val="24"/>
                <w:lang w:val="en-US" w:eastAsia="zh-CN" w:bidi="ar"/>
              </w:rPr>
              <w:t>2安全设施和装备</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snapToGrid w:val="0"/>
                <w:color w:val="auto"/>
                <w:kern w:val="2"/>
                <w:sz w:val="24"/>
                <w:szCs w:val="24"/>
              </w:rPr>
            </w:pPr>
            <w:r>
              <w:rPr>
                <w:rFonts w:hint="default" w:ascii="Times New Roman" w:hAnsi="Times New Roman" w:eastAsia="宋体" w:cs="Times New Roman"/>
                <w:snapToGrid w:val="0"/>
                <w:color w:val="auto"/>
                <w:kern w:val="2"/>
                <w:sz w:val="24"/>
                <w:szCs w:val="24"/>
                <w:lang w:val="en-US" w:eastAsia="zh-CN" w:bidi="ar"/>
              </w:rPr>
              <w:t>环保设施应配备必要的安全设施和装备，如防爆装置、泄漏控制设备、紧急救援设备等，以防止事故发生和及时响应。</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360" w:lineRule="auto"/>
              <w:ind w:left="0" w:right="0" w:firstLine="241" w:firstLineChars="100"/>
              <w:jc w:val="both"/>
              <w:textAlignment w:val="auto"/>
              <w:rPr>
                <w:rFonts w:hint="default" w:ascii="Times New Roman" w:hAnsi="Times New Roman" w:eastAsia="宋体" w:cs="Times New Roman"/>
                <w:b/>
                <w:bCs/>
                <w:snapToGrid w:val="0"/>
                <w:color w:val="auto"/>
                <w:kern w:val="2"/>
                <w:sz w:val="24"/>
                <w:szCs w:val="24"/>
              </w:rPr>
            </w:pPr>
            <w:r>
              <w:rPr>
                <w:rFonts w:hint="default" w:ascii="Times New Roman" w:hAnsi="Times New Roman" w:eastAsia="宋体" w:cs="Times New Roman"/>
                <w:b/>
                <w:bCs/>
                <w:snapToGrid w:val="0"/>
                <w:color w:val="auto"/>
                <w:kern w:val="2"/>
                <w:sz w:val="24"/>
                <w:szCs w:val="24"/>
                <w:lang w:val="en-US" w:eastAsia="zh-CN" w:bidi="ar"/>
              </w:rPr>
              <w:t>8</w:t>
            </w:r>
            <w:r>
              <w:rPr>
                <w:rFonts w:hint="eastAsia" w:ascii="Times New Roman" w:hAnsi="Times New Roman" w:eastAsia="宋体" w:cs="Times New Roman"/>
                <w:b/>
                <w:bCs/>
                <w:snapToGrid w:val="0"/>
                <w:color w:val="auto"/>
                <w:kern w:val="2"/>
                <w:sz w:val="24"/>
                <w:szCs w:val="24"/>
                <w:lang w:val="en-US" w:eastAsia="zh-CN" w:bidi="ar"/>
              </w:rPr>
              <w:t>.</w:t>
            </w:r>
            <w:r>
              <w:rPr>
                <w:rFonts w:hint="default" w:ascii="Times New Roman" w:hAnsi="Times New Roman" w:eastAsia="宋体" w:cs="Times New Roman"/>
                <w:b/>
                <w:bCs/>
                <w:snapToGrid w:val="0"/>
                <w:color w:val="auto"/>
                <w:kern w:val="2"/>
                <w:sz w:val="24"/>
                <w:szCs w:val="24"/>
                <w:lang w:val="en-US" w:eastAsia="zh-CN" w:bidi="ar"/>
              </w:rPr>
              <w:t>3安全管理制度</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snapToGrid w:val="0"/>
                <w:color w:val="auto"/>
                <w:kern w:val="2"/>
                <w:sz w:val="24"/>
                <w:szCs w:val="24"/>
              </w:rPr>
            </w:pPr>
            <w:r>
              <w:rPr>
                <w:rFonts w:hint="default" w:ascii="Times New Roman" w:hAnsi="Times New Roman" w:eastAsia="宋体" w:cs="Times New Roman"/>
                <w:snapToGrid w:val="0"/>
                <w:color w:val="auto"/>
                <w:kern w:val="2"/>
                <w:sz w:val="24"/>
                <w:szCs w:val="24"/>
                <w:lang w:val="en-US" w:eastAsia="zh-CN" w:bidi="ar"/>
              </w:rPr>
              <w:t>环保设施管理者应建立和落实一套完整的安全管理制度，包括设施操作规程、应急预案、事故报告和调查程序等，以确保设施的安全运营。</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360" w:lineRule="auto"/>
              <w:ind w:left="0" w:right="0" w:firstLine="241" w:firstLineChars="100"/>
              <w:jc w:val="both"/>
              <w:textAlignment w:val="auto"/>
              <w:rPr>
                <w:rFonts w:hint="default" w:ascii="Times New Roman" w:hAnsi="Times New Roman" w:eastAsia="宋体" w:cs="Times New Roman"/>
                <w:b/>
                <w:bCs/>
                <w:snapToGrid w:val="0"/>
                <w:color w:val="auto"/>
                <w:kern w:val="2"/>
                <w:sz w:val="24"/>
                <w:szCs w:val="24"/>
              </w:rPr>
            </w:pPr>
            <w:r>
              <w:rPr>
                <w:rFonts w:hint="default" w:ascii="Times New Roman" w:hAnsi="Times New Roman" w:eastAsia="宋体" w:cs="Times New Roman"/>
                <w:b/>
                <w:bCs/>
                <w:snapToGrid w:val="0"/>
                <w:color w:val="auto"/>
                <w:kern w:val="2"/>
                <w:sz w:val="24"/>
                <w:szCs w:val="24"/>
                <w:lang w:val="en-US" w:eastAsia="zh-CN" w:bidi="ar"/>
              </w:rPr>
              <w:t>8</w:t>
            </w:r>
            <w:r>
              <w:rPr>
                <w:rFonts w:hint="eastAsia" w:ascii="Times New Roman" w:hAnsi="Times New Roman" w:eastAsia="宋体" w:cs="Times New Roman"/>
                <w:b/>
                <w:bCs/>
                <w:snapToGrid w:val="0"/>
                <w:color w:val="auto"/>
                <w:kern w:val="2"/>
                <w:sz w:val="24"/>
                <w:szCs w:val="24"/>
                <w:lang w:val="en-US" w:eastAsia="zh-CN" w:bidi="ar"/>
              </w:rPr>
              <w:t>.</w:t>
            </w:r>
            <w:r>
              <w:rPr>
                <w:rFonts w:hint="default" w:ascii="Times New Roman" w:hAnsi="Times New Roman" w:eastAsia="宋体" w:cs="Times New Roman"/>
                <w:b/>
                <w:bCs/>
                <w:snapToGrid w:val="0"/>
                <w:color w:val="auto"/>
                <w:kern w:val="2"/>
                <w:sz w:val="24"/>
                <w:szCs w:val="24"/>
                <w:lang w:val="en-US" w:eastAsia="zh-CN" w:bidi="ar"/>
              </w:rPr>
              <w:t>4安全培训和教育</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snapToGrid w:val="0"/>
                <w:color w:val="auto"/>
                <w:kern w:val="2"/>
                <w:sz w:val="24"/>
                <w:szCs w:val="24"/>
              </w:rPr>
            </w:pPr>
            <w:r>
              <w:rPr>
                <w:rFonts w:hint="default" w:ascii="Times New Roman" w:hAnsi="Times New Roman" w:eastAsia="宋体" w:cs="Times New Roman"/>
                <w:snapToGrid w:val="0"/>
                <w:color w:val="auto"/>
                <w:kern w:val="2"/>
                <w:sz w:val="24"/>
                <w:szCs w:val="24"/>
                <w:lang w:val="en-US" w:eastAsia="zh-CN" w:bidi="ar"/>
              </w:rPr>
              <w:t>应确保设施操作人员接收必要的安全培训和教育，了解设施的安全操作规程、紧急情况下的应对措施等。</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360" w:lineRule="auto"/>
              <w:ind w:left="0" w:right="0" w:firstLine="241" w:firstLineChars="100"/>
              <w:jc w:val="both"/>
              <w:textAlignment w:val="auto"/>
              <w:rPr>
                <w:rFonts w:hint="default" w:ascii="Times New Roman" w:hAnsi="Times New Roman" w:eastAsia="宋体" w:cs="Times New Roman"/>
                <w:b/>
                <w:bCs/>
                <w:snapToGrid w:val="0"/>
                <w:color w:val="auto"/>
                <w:kern w:val="2"/>
                <w:sz w:val="24"/>
                <w:szCs w:val="24"/>
              </w:rPr>
            </w:pPr>
            <w:r>
              <w:rPr>
                <w:rFonts w:hint="default" w:ascii="Times New Roman" w:hAnsi="Times New Roman" w:eastAsia="宋体" w:cs="Times New Roman"/>
                <w:b/>
                <w:bCs/>
                <w:snapToGrid w:val="0"/>
                <w:color w:val="auto"/>
                <w:kern w:val="2"/>
                <w:sz w:val="24"/>
                <w:szCs w:val="24"/>
                <w:lang w:val="en-US" w:eastAsia="zh-CN" w:bidi="ar"/>
              </w:rPr>
              <w:t>8</w:t>
            </w:r>
            <w:r>
              <w:rPr>
                <w:rFonts w:hint="eastAsia" w:ascii="Times New Roman" w:hAnsi="Times New Roman" w:eastAsia="宋体" w:cs="Times New Roman"/>
                <w:b/>
                <w:bCs/>
                <w:snapToGrid w:val="0"/>
                <w:color w:val="auto"/>
                <w:kern w:val="2"/>
                <w:sz w:val="24"/>
                <w:szCs w:val="24"/>
                <w:lang w:val="en-US" w:eastAsia="zh-CN" w:bidi="ar"/>
              </w:rPr>
              <w:t>.</w:t>
            </w:r>
            <w:r>
              <w:rPr>
                <w:rFonts w:hint="default" w:ascii="Times New Roman" w:hAnsi="Times New Roman" w:eastAsia="宋体" w:cs="Times New Roman"/>
                <w:b/>
                <w:bCs/>
                <w:snapToGrid w:val="0"/>
                <w:color w:val="auto"/>
                <w:kern w:val="2"/>
                <w:sz w:val="24"/>
                <w:szCs w:val="24"/>
                <w:lang w:val="en-US" w:eastAsia="zh-CN" w:bidi="ar"/>
              </w:rPr>
              <w:t>5安全监测和检查</w:t>
            </w:r>
          </w:p>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snapToGrid w:val="0"/>
                <w:color w:val="auto"/>
                <w:kern w:val="2"/>
                <w:sz w:val="24"/>
                <w:szCs w:val="24"/>
                <w:lang w:val="en-US" w:eastAsia="zh-CN" w:bidi="ar"/>
              </w:rPr>
            </w:pPr>
            <w:r>
              <w:rPr>
                <w:rFonts w:hint="default" w:ascii="Times New Roman" w:hAnsi="Times New Roman" w:eastAsia="宋体" w:cs="Times New Roman"/>
                <w:snapToGrid w:val="0"/>
                <w:color w:val="auto"/>
                <w:kern w:val="2"/>
                <w:sz w:val="24"/>
                <w:szCs w:val="24"/>
                <w:lang w:val="en-US" w:eastAsia="zh-CN" w:bidi="ar"/>
              </w:rPr>
              <w:t>对环保设施应定期进行安全监测和检查，包括对设备状态、冷库制冷剂泄漏情况等，确保设施处于安全运行状态。</w:t>
            </w:r>
          </w:p>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snapToGrid w:val="0"/>
                <w:color w:val="auto"/>
                <w:kern w:val="2"/>
                <w:sz w:val="24"/>
                <w:szCs w:val="24"/>
                <w:lang w:val="en-US" w:eastAsia="zh-CN" w:bidi="ar"/>
              </w:rPr>
            </w:pPr>
            <w:r>
              <w:rPr>
                <w:rFonts w:hint="default" w:ascii="Times New Roman" w:hAnsi="Times New Roman" w:eastAsia="宋体" w:cs="Times New Roman"/>
                <w:snapToGrid w:val="0"/>
                <w:color w:val="auto"/>
                <w:kern w:val="2"/>
                <w:sz w:val="24"/>
                <w:szCs w:val="24"/>
                <w:lang w:val="en-US" w:eastAsia="zh-CN" w:bidi="ar"/>
              </w:rPr>
              <w:t>定期对环保设施进行维护保养，遵循使用说明书及时更换及其他关键部件，减少设备故障率，保障设备的正常运行。</w:t>
            </w:r>
          </w:p>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snapToGrid w:val="0"/>
                <w:color w:val="auto"/>
                <w:kern w:val="2"/>
                <w:sz w:val="24"/>
                <w:szCs w:val="24"/>
                <w:lang w:val="en-US" w:eastAsia="zh-CN" w:bidi="ar"/>
              </w:rPr>
            </w:pPr>
            <w:r>
              <w:rPr>
                <w:rFonts w:hint="eastAsia" w:ascii="Times New Roman" w:hAnsi="Times New Roman" w:eastAsia="宋体" w:cs="Times New Roman"/>
                <w:snapToGrid w:val="0"/>
                <w:color w:val="auto"/>
                <w:kern w:val="2"/>
                <w:sz w:val="24"/>
                <w:szCs w:val="24"/>
                <w:lang w:val="en-US" w:eastAsia="zh-CN" w:bidi="ar"/>
              </w:rPr>
              <w:t>“耐高温高效覆膜袋式除尘器”及“</w:t>
            </w:r>
            <w:r>
              <w:rPr>
                <w:rFonts w:hint="eastAsia" w:cs="Times New Roman"/>
                <w:snapToGrid w:val="0"/>
                <w:color w:val="auto"/>
                <w:kern w:val="2"/>
                <w:sz w:val="24"/>
                <w:szCs w:val="24"/>
                <w:lang w:val="en-US" w:eastAsia="zh-CN" w:bidi="ar"/>
              </w:rPr>
              <w:t>UV光氧+活性炭吸附一体机</w:t>
            </w:r>
            <w:r>
              <w:rPr>
                <w:rFonts w:hint="eastAsia" w:ascii="Times New Roman" w:hAnsi="Times New Roman" w:eastAsia="宋体" w:cs="Times New Roman"/>
                <w:snapToGrid w:val="0"/>
                <w:color w:val="auto"/>
                <w:kern w:val="2"/>
                <w:sz w:val="24"/>
                <w:szCs w:val="24"/>
                <w:lang w:val="en-US" w:eastAsia="zh-CN" w:bidi="ar"/>
              </w:rPr>
              <w:t>”</w:t>
            </w:r>
            <w:r>
              <w:rPr>
                <w:rFonts w:hint="default" w:ascii="Times New Roman" w:hAnsi="Times New Roman" w:eastAsia="宋体" w:cs="Times New Roman"/>
                <w:snapToGrid w:val="0"/>
                <w:color w:val="auto"/>
                <w:kern w:val="2"/>
                <w:sz w:val="24"/>
                <w:szCs w:val="24"/>
                <w:lang w:val="en-US" w:eastAsia="zh-CN" w:bidi="ar"/>
              </w:rPr>
              <w:t>在生产过程中，气体泄漏、气体管道堵塞、高温高压引发爆炸等是较为常见的安全隐患。可采取的措施有：</w:t>
            </w:r>
          </w:p>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snapToGrid w:val="0"/>
                <w:color w:val="auto"/>
                <w:kern w:val="2"/>
                <w:sz w:val="24"/>
                <w:szCs w:val="24"/>
                <w:lang w:val="en-US" w:eastAsia="zh-CN" w:bidi="ar"/>
              </w:rPr>
            </w:pPr>
            <w:r>
              <w:rPr>
                <w:rFonts w:hint="default" w:ascii="Times New Roman" w:hAnsi="Times New Roman" w:eastAsia="宋体" w:cs="Times New Roman"/>
                <w:snapToGrid w:val="0"/>
                <w:color w:val="auto"/>
                <w:kern w:val="2"/>
                <w:sz w:val="24"/>
                <w:szCs w:val="24"/>
                <w:lang w:val="en-US" w:eastAsia="zh-CN" w:bidi="ar"/>
              </w:rPr>
              <w:t>（1）严格操作规程</w:t>
            </w:r>
          </w:p>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snapToGrid w:val="0"/>
                <w:color w:val="auto"/>
                <w:kern w:val="2"/>
                <w:sz w:val="24"/>
                <w:szCs w:val="24"/>
                <w:lang w:val="en-US" w:eastAsia="zh-CN" w:bidi="ar"/>
              </w:rPr>
            </w:pPr>
            <w:r>
              <w:rPr>
                <w:rFonts w:hint="default" w:ascii="Times New Roman" w:hAnsi="Times New Roman" w:eastAsia="宋体" w:cs="Times New Roman"/>
                <w:snapToGrid w:val="0"/>
                <w:color w:val="auto"/>
                <w:kern w:val="2"/>
                <w:sz w:val="24"/>
                <w:szCs w:val="24"/>
                <w:lang w:val="en-US" w:eastAsia="zh-CN" w:bidi="ar"/>
              </w:rPr>
              <w:t>加强对操作人员的培训，确保操作规程的严格执行，避免操作失误引发事故。</w:t>
            </w:r>
          </w:p>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snapToGrid w:val="0"/>
                <w:color w:val="auto"/>
                <w:kern w:val="2"/>
                <w:sz w:val="24"/>
                <w:szCs w:val="24"/>
                <w:lang w:val="en-US" w:eastAsia="zh-CN" w:bidi="ar"/>
              </w:rPr>
            </w:pPr>
            <w:r>
              <w:rPr>
                <w:rFonts w:hint="default" w:ascii="Times New Roman" w:hAnsi="Times New Roman" w:eastAsia="宋体" w:cs="Times New Roman"/>
                <w:snapToGrid w:val="0"/>
                <w:color w:val="auto"/>
                <w:kern w:val="2"/>
                <w:sz w:val="24"/>
                <w:szCs w:val="24"/>
                <w:lang w:val="en-US" w:eastAsia="zh-CN" w:bidi="ar"/>
              </w:rPr>
              <w:t>（2）定期检查维护</w:t>
            </w:r>
          </w:p>
          <w:p>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snapToGrid w:val="0"/>
                <w:color w:val="auto"/>
                <w:kern w:val="2"/>
                <w:sz w:val="24"/>
                <w:szCs w:val="24"/>
                <w:lang w:val="en-US" w:eastAsia="zh-CN" w:bidi="ar"/>
              </w:rPr>
              <w:t>定期对废气处理设备进行检查和维护，定期更换过滤棉、活性炭</w:t>
            </w:r>
            <w:r>
              <w:rPr>
                <w:rFonts w:hint="eastAsia" w:ascii="Times New Roman" w:hAnsi="Times New Roman" w:eastAsia="宋体" w:cs="Times New Roman"/>
                <w:snapToGrid w:val="0"/>
                <w:color w:val="auto"/>
                <w:kern w:val="2"/>
                <w:sz w:val="24"/>
                <w:szCs w:val="24"/>
                <w:lang w:val="en-US" w:eastAsia="zh-CN" w:bidi="ar"/>
              </w:rPr>
              <w:t>、除尘滤袋</w:t>
            </w:r>
            <w:r>
              <w:rPr>
                <w:rFonts w:hint="default" w:ascii="Times New Roman" w:hAnsi="Times New Roman" w:eastAsia="宋体" w:cs="Times New Roman"/>
                <w:snapToGrid w:val="0"/>
                <w:color w:val="auto"/>
                <w:kern w:val="2"/>
                <w:sz w:val="24"/>
                <w:szCs w:val="24"/>
                <w:lang w:val="en-US" w:eastAsia="zh-CN" w:bidi="ar"/>
              </w:rPr>
              <w:t>等，发现问题及时处理，预防设备老化等问题</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241" w:firstLineChars="100"/>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8</w:t>
            </w:r>
            <w:r>
              <w:rPr>
                <w:rFonts w:hint="eastAsia" w:ascii="Times New Roman" w:hAnsi="Times New Roman" w:eastAsia="宋体" w:cs="Times New Roman"/>
                <w:b/>
                <w:bCs/>
                <w:color w:val="auto"/>
                <w:sz w:val="24"/>
                <w:szCs w:val="24"/>
                <w:lang w:val="en-US" w:eastAsia="zh-CN"/>
              </w:rPr>
              <w:t>.</w:t>
            </w:r>
            <w:r>
              <w:rPr>
                <w:rFonts w:hint="default" w:ascii="Times New Roman" w:hAnsi="Times New Roman" w:eastAsia="宋体" w:cs="Times New Roman"/>
                <w:b/>
                <w:bCs/>
                <w:color w:val="auto"/>
                <w:sz w:val="24"/>
                <w:szCs w:val="24"/>
                <w:lang w:val="en-US" w:eastAsia="zh-CN"/>
              </w:rPr>
              <w:t>6事故应急管理</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设施管理者应制定和实施应急预案，包括事故报告和调查、事故处置措施、群众疏散等，以应对可能发生的事故情况。</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241" w:firstLineChars="100"/>
              <w:textAlignment w:val="auto"/>
              <w:rPr>
                <w:rFonts w:hint="default" w:ascii="Times New Roman" w:hAnsi="Times New Roman" w:eastAsia="宋体" w:cs="Times New Roman"/>
                <w:b/>
                <w:bCs/>
                <w:color w:val="auto"/>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241" w:firstLineChars="100"/>
              <w:textAlignment w:val="auto"/>
              <w:rPr>
                <w:rFonts w:hint="default" w:ascii="Times New Roman" w:hAnsi="Times New Roman" w:eastAsia="宋体" w:cs="Times New Roman"/>
                <w:b/>
                <w:bCs/>
                <w:color w:val="auto"/>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241" w:firstLineChars="100"/>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8</w:t>
            </w:r>
            <w:r>
              <w:rPr>
                <w:rFonts w:hint="eastAsia" w:ascii="Times New Roman" w:hAnsi="Times New Roman" w:eastAsia="宋体" w:cs="Times New Roman"/>
                <w:b/>
                <w:bCs/>
                <w:color w:val="auto"/>
                <w:sz w:val="24"/>
                <w:szCs w:val="24"/>
                <w:lang w:val="en-US" w:eastAsia="zh-CN"/>
              </w:rPr>
              <w:t>.</w:t>
            </w:r>
            <w:r>
              <w:rPr>
                <w:rFonts w:hint="default" w:ascii="Times New Roman" w:hAnsi="Times New Roman" w:eastAsia="宋体" w:cs="Times New Roman"/>
                <w:b/>
                <w:bCs/>
                <w:color w:val="auto"/>
                <w:sz w:val="24"/>
                <w:szCs w:val="24"/>
                <w:lang w:val="en-US" w:eastAsia="zh-CN"/>
              </w:rPr>
              <w:t>7安全评估和审查</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color w:val="auto"/>
                <w:sz w:val="24"/>
                <w:szCs w:val="24"/>
              </w:rPr>
            </w:pPr>
            <w:r>
              <w:rPr>
                <w:rFonts w:hint="default" w:ascii="Times New Roman" w:hAnsi="Times New Roman" w:eastAsia="宋体" w:cs="Times New Roman"/>
                <w:color w:val="auto"/>
                <w:sz w:val="24"/>
                <w:szCs w:val="24"/>
                <w:lang w:val="en-US" w:eastAsia="zh-CN"/>
              </w:rPr>
              <w:t>对新建或改建的环保设施，应进行安全评估和审查，确保设施具备安全性和可持续性。</w:t>
            </w:r>
          </w:p>
          <w:p>
            <w:pPr>
              <w:keepNext w:val="0"/>
              <w:keepLines w:val="0"/>
              <w:suppressLineNumbers w:val="0"/>
              <w:tabs>
                <w:tab w:val="left" w:pos="720"/>
              </w:tabs>
              <w:adjustRightInd w:val="0"/>
              <w:snapToGrid w:val="0"/>
              <w:spacing w:before="0" w:beforeAutospacing="0" w:after="0" w:afterAutospacing="0" w:line="360" w:lineRule="auto"/>
              <w:ind w:left="0" w:right="0"/>
              <w:jc w:val="left"/>
              <w:rPr>
                <w:rFonts w:hint="default" w:ascii="Times New Roman" w:hAnsi="Times New Roman" w:cs="Times New Roman"/>
                <w:b/>
                <w:bCs/>
                <w:color w:val="auto"/>
                <w:sz w:val="24"/>
                <w:szCs w:val="24"/>
              </w:rPr>
            </w:pPr>
            <w:r>
              <w:rPr>
                <w:rFonts w:hint="eastAsia" w:ascii="Times New Roman" w:hAnsi="Times New Roman" w:cs="Times New Roman"/>
                <w:b/>
                <w:bCs/>
                <w:color w:val="auto"/>
                <w:sz w:val="24"/>
                <w:szCs w:val="24"/>
                <w:lang w:val="en-US" w:eastAsia="zh-CN"/>
              </w:rPr>
              <w:t>9.</w:t>
            </w:r>
            <w:r>
              <w:rPr>
                <w:rFonts w:hint="eastAsia" w:ascii="Times New Roman" w:hAnsi="Times New Roman" w:cs="Times New Roman"/>
                <w:b/>
                <w:bCs/>
                <w:color w:val="auto"/>
                <w:sz w:val="24"/>
                <w:szCs w:val="24"/>
              </w:rPr>
              <w:t>电磁辐射</w:t>
            </w:r>
          </w:p>
          <w:p>
            <w:pPr>
              <w:keepNext w:val="0"/>
              <w:keepLines w:val="0"/>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本项目不涉及电磁辐射环境影响。</w:t>
            </w:r>
          </w:p>
          <w:p>
            <w:pPr>
              <w:keepNext w:val="0"/>
              <w:keepLines w:val="0"/>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cs="Times New Roman"/>
                <w:color w:val="auto"/>
                <w:sz w:val="24"/>
                <w:szCs w:val="24"/>
              </w:rPr>
            </w:pPr>
          </w:p>
          <w:p>
            <w:pPr>
              <w:keepNext w:val="0"/>
              <w:keepLines w:val="0"/>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cs="Times New Roman"/>
                <w:color w:val="auto"/>
                <w:sz w:val="24"/>
                <w:szCs w:val="24"/>
              </w:rPr>
            </w:pPr>
          </w:p>
          <w:p>
            <w:pPr>
              <w:keepNext w:val="0"/>
              <w:keepLines w:val="0"/>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cs="Times New Roman"/>
                <w:color w:val="auto"/>
                <w:sz w:val="24"/>
                <w:szCs w:val="24"/>
              </w:rPr>
            </w:pPr>
          </w:p>
          <w:p>
            <w:pPr>
              <w:keepNext w:val="0"/>
              <w:keepLines w:val="0"/>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cs="Times New Roman"/>
                <w:color w:val="auto"/>
                <w:sz w:val="24"/>
                <w:szCs w:val="24"/>
              </w:rPr>
            </w:pPr>
          </w:p>
          <w:p>
            <w:pPr>
              <w:pStyle w:val="29"/>
              <w:keepNext w:val="0"/>
              <w:keepLines w:val="0"/>
              <w:suppressLineNumbers w:val="0"/>
              <w:spacing w:before="0" w:beforeAutospacing="0" w:after="0" w:afterAutospacing="0"/>
              <w:ind w:left="0" w:right="0"/>
              <w:rPr>
                <w:rFonts w:hint="default"/>
                <w:color w:val="auto"/>
                <w:lang w:val="en-US" w:eastAsia="zh-CN"/>
              </w:rPr>
            </w:pPr>
          </w:p>
          <w:p>
            <w:pPr>
              <w:pStyle w:val="29"/>
              <w:keepNext w:val="0"/>
              <w:keepLines w:val="0"/>
              <w:suppressLineNumbers w:val="0"/>
              <w:spacing w:before="0" w:beforeAutospacing="0" w:after="0" w:afterAutospacing="0"/>
              <w:ind w:left="0" w:right="0"/>
              <w:rPr>
                <w:rFonts w:hint="default"/>
                <w:color w:val="auto"/>
                <w:lang w:val="en-US" w:eastAsia="zh-CN"/>
              </w:rPr>
            </w:pPr>
          </w:p>
          <w:p>
            <w:pPr>
              <w:pStyle w:val="29"/>
              <w:keepNext w:val="0"/>
              <w:keepLines w:val="0"/>
              <w:suppressLineNumbers w:val="0"/>
              <w:spacing w:before="0" w:beforeAutospacing="0" w:after="0" w:afterAutospacing="0"/>
              <w:ind w:left="0" w:right="0"/>
              <w:rPr>
                <w:rFonts w:hint="default"/>
                <w:color w:val="auto"/>
                <w:lang w:val="en-US" w:eastAsia="zh-CN"/>
              </w:rPr>
            </w:pPr>
          </w:p>
          <w:p>
            <w:pPr>
              <w:pStyle w:val="29"/>
              <w:keepNext w:val="0"/>
              <w:keepLines w:val="0"/>
              <w:suppressLineNumbers w:val="0"/>
              <w:spacing w:before="0" w:beforeAutospacing="0" w:after="0" w:afterAutospacing="0"/>
              <w:ind w:left="0" w:right="0"/>
              <w:rPr>
                <w:rFonts w:hint="default"/>
                <w:color w:val="auto"/>
                <w:lang w:val="en-US" w:eastAsia="zh-CN"/>
              </w:rPr>
            </w:pPr>
          </w:p>
          <w:p>
            <w:pPr>
              <w:pStyle w:val="29"/>
              <w:keepNext w:val="0"/>
              <w:keepLines w:val="0"/>
              <w:suppressLineNumbers w:val="0"/>
              <w:spacing w:before="0" w:beforeAutospacing="0" w:after="0" w:afterAutospacing="0"/>
              <w:ind w:left="0" w:right="0"/>
              <w:rPr>
                <w:rFonts w:hint="default"/>
                <w:color w:val="auto"/>
                <w:lang w:val="en-US" w:eastAsia="zh-CN"/>
              </w:rPr>
            </w:pPr>
          </w:p>
          <w:p>
            <w:pPr>
              <w:pStyle w:val="29"/>
              <w:keepNext w:val="0"/>
              <w:keepLines w:val="0"/>
              <w:suppressLineNumbers w:val="0"/>
              <w:spacing w:before="0" w:beforeAutospacing="0" w:after="0" w:afterAutospacing="0"/>
              <w:ind w:left="0" w:right="0"/>
              <w:rPr>
                <w:rFonts w:hint="default"/>
                <w:color w:val="auto"/>
                <w:lang w:val="en-US" w:eastAsia="zh-CN"/>
              </w:rPr>
            </w:pPr>
          </w:p>
          <w:p>
            <w:pPr>
              <w:pStyle w:val="29"/>
              <w:keepNext w:val="0"/>
              <w:keepLines w:val="0"/>
              <w:suppressLineNumbers w:val="0"/>
              <w:spacing w:before="0" w:beforeAutospacing="0" w:after="0" w:afterAutospacing="0"/>
              <w:ind w:left="0" w:right="0"/>
              <w:rPr>
                <w:rFonts w:hint="default"/>
                <w:color w:val="auto"/>
                <w:lang w:val="en-US" w:eastAsia="zh-CN"/>
              </w:rPr>
            </w:pPr>
          </w:p>
          <w:p>
            <w:pPr>
              <w:pStyle w:val="29"/>
              <w:keepNext w:val="0"/>
              <w:keepLines w:val="0"/>
              <w:suppressLineNumbers w:val="0"/>
              <w:spacing w:before="0" w:beforeAutospacing="0" w:after="0" w:afterAutospacing="0"/>
              <w:ind w:left="0" w:right="0"/>
              <w:rPr>
                <w:rFonts w:hint="default"/>
                <w:color w:val="auto"/>
                <w:lang w:val="en-US" w:eastAsia="zh-CN"/>
              </w:rPr>
            </w:pPr>
          </w:p>
          <w:p>
            <w:pPr>
              <w:pStyle w:val="29"/>
              <w:keepNext w:val="0"/>
              <w:keepLines w:val="0"/>
              <w:suppressLineNumbers w:val="0"/>
              <w:spacing w:before="0" w:beforeAutospacing="0" w:after="0" w:afterAutospacing="0"/>
              <w:ind w:left="0" w:right="0"/>
              <w:rPr>
                <w:rFonts w:hint="default"/>
                <w:color w:val="auto"/>
                <w:lang w:val="en-US" w:eastAsia="zh-CN"/>
              </w:rPr>
            </w:pPr>
          </w:p>
          <w:p>
            <w:pPr>
              <w:pStyle w:val="29"/>
              <w:keepNext w:val="0"/>
              <w:keepLines w:val="0"/>
              <w:suppressLineNumbers w:val="0"/>
              <w:spacing w:before="0" w:beforeAutospacing="0" w:after="0" w:afterAutospacing="0"/>
              <w:ind w:left="0" w:right="0"/>
              <w:rPr>
                <w:rFonts w:hint="default"/>
                <w:color w:val="auto"/>
                <w:lang w:val="en-US" w:eastAsia="zh-CN"/>
              </w:rPr>
            </w:pPr>
          </w:p>
          <w:p>
            <w:pPr>
              <w:pStyle w:val="29"/>
              <w:keepNext w:val="0"/>
              <w:keepLines w:val="0"/>
              <w:suppressLineNumbers w:val="0"/>
              <w:spacing w:before="0" w:beforeAutospacing="0" w:after="0" w:afterAutospacing="0"/>
              <w:ind w:left="0" w:right="0"/>
              <w:rPr>
                <w:rFonts w:hint="default"/>
                <w:color w:val="auto"/>
                <w:lang w:val="en-US" w:eastAsia="zh-CN"/>
              </w:rPr>
            </w:pPr>
          </w:p>
          <w:p>
            <w:pPr>
              <w:pStyle w:val="29"/>
              <w:keepNext w:val="0"/>
              <w:keepLines w:val="0"/>
              <w:suppressLineNumbers w:val="0"/>
              <w:spacing w:before="0" w:beforeAutospacing="0" w:after="0" w:afterAutospacing="0"/>
              <w:ind w:left="0" w:right="0"/>
              <w:rPr>
                <w:rFonts w:hint="default"/>
                <w:color w:val="auto"/>
                <w:lang w:val="en-US" w:eastAsia="zh-CN"/>
              </w:rPr>
            </w:pPr>
          </w:p>
          <w:p>
            <w:pPr>
              <w:pStyle w:val="29"/>
              <w:keepNext w:val="0"/>
              <w:keepLines w:val="0"/>
              <w:suppressLineNumbers w:val="0"/>
              <w:spacing w:before="0" w:beforeAutospacing="0" w:after="0" w:afterAutospacing="0"/>
              <w:ind w:left="0" w:right="0"/>
              <w:rPr>
                <w:rFonts w:hint="default"/>
                <w:color w:val="auto"/>
                <w:lang w:val="en-US" w:eastAsia="zh-CN"/>
              </w:rPr>
            </w:pPr>
          </w:p>
          <w:p>
            <w:pPr>
              <w:pStyle w:val="29"/>
              <w:keepNext w:val="0"/>
              <w:keepLines w:val="0"/>
              <w:suppressLineNumbers w:val="0"/>
              <w:spacing w:before="0" w:beforeAutospacing="0" w:after="0" w:afterAutospacing="0"/>
              <w:ind w:left="0" w:right="0"/>
              <w:rPr>
                <w:rFonts w:hint="default"/>
                <w:color w:val="auto"/>
                <w:lang w:val="en-US" w:eastAsia="zh-CN"/>
              </w:rPr>
            </w:pPr>
          </w:p>
          <w:p>
            <w:pPr>
              <w:pStyle w:val="29"/>
              <w:keepNext w:val="0"/>
              <w:keepLines w:val="0"/>
              <w:suppressLineNumbers w:val="0"/>
              <w:spacing w:before="0" w:beforeAutospacing="0" w:after="0" w:afterAutospacing="0"/>
              <w:ind w:left="0" w:right="0"/>
              <w:rPr>
                <w:rFonts w:hint="default"/>
                <w:color w:val="auto"/>
                <w:lang w:val="en-US" w:eastAsia="zh-CN"/>
              </w:rPr>
            </w:pPr>
          </w:p>
          <w:p>
            <w:pPr>
              <w:pStyle w:val="29"/>
              <w:keepNext w:val="0"/>
              <w:keepLines w:val="0"/>
              <w:suppressLineNumbers w:val="0"/>
              <w:spacing w:before="0" w:beforeAutospacing="0" w:after="0" w:afterAutospacing="0"/>
              <w:ind w:left="0" w:right="0"/>
              <w:rPr>
                <w:rFonts w:hint="default"/>
                <w:color w:val="auto"/>
                <w:lang w:val="en-US" w:eastAsia="zh-CN"/>
              </w:rPr>
            </w:pPr>
          </w:p>
          <w:p>
            <w:pPr>
              <w:pStyle w:val="29"/>
              <w:keepNext w:val="0"/>
              <w:keepLines w:val="0"/>
              <w:suppressLineNumbers w:val="0"/>
              <w:spacing w:before="0" w:beforeAutospacing="0" w:after="0" w:afterAutospacing="0"/>
              <w:ind w:left="0" w:right="0"/>
              <w:rPr>
                <w:rFonts w:hint="default"/>
                <w:color w:val="auto"/>
                <w:lang w:val="en-US" w:eastAsia="zh-CN"/>
              </w:rPr>
            </w:pPr>
          </w:p>
        </w:tc>
      </w:tr>
    </w:tbl>
    <w:p>
      <w:pPr>
        <w:adjustRightInd w:val="0"/>
        <w:snapToGrid w:val="0"/>
        <w:spacing w:line="360" w:lineRule="auto"/>
        <w:rPr>
          <w:rFonts w:hint="eastAsia" w:ascii="宋体" w:hAnsi="宋体" w:eastAsia="宋体" w:cs="宋体"/>
          <w:b/>
          <w:color w:val="auto"/>
          <w:kern w:val="0"/>
          <w:sz w:val="28"/>
          <w:szCs w:val="28"/>
        </w:rPr>
        <w:sectPr>
          <w:pgSz w:w="11907" w:h="16840"/>
          <w:pgMar w:top="1701" w:right="1531" w:bottom="2127" w:left="1531" w:header="851" w:footer="851" w:gutter="0"/>
          <w:pgBorders>
            <w:top w:val="none" w:color="auto" w:sz="0" w:space="0"/>
            <w:left w:val="none" w:color="auto" w:sz="0" w:space="0"/>
            <w:bottom w:val="none" w:color="auto" w:sz="0" w:space="0"/>
            <w:right w:val="none" w:color="auto" w:sz="0" w:space="0"/>
          </w:pgBorders>
          <w:pgNumType w:fmt="numberInDash"/>
          <w:cols w:space="720" w:num="1"/>
          <w:docGrid w:linePitch="312" w:charSpace="0"/>
        </w:sectPr>
      </w:pPr>
    </w:p>
    <w:p>
      <w:pPr>
        <w:pStyle w:val="23"/>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jc w:val="center"/>
        <w:textAlignment w:val="auto"/>
        <w:outlineLvl w:val="0"/>
        <w:rPr>
          <w:rFonts w:hint="eastAsia" w:ascii="宋体" w:hAnsi="宋体" w:eastAsia="宋体" w:cs="宋体"/>
          <w:b/>
          <w:bCs/>
          <w:snapToGrid w:val="0"/>
          <w:color w:val="auto"/>
          <w:sz w:val="30"/>
          <w:szCs w:val="30"/>
        </w:rPr>
      </w:pPr>
      <w:bookmarkStart w:id="8" w:name="_Toc5712"/>
      <w:r>
        <w:rPr>
          <w:rFonts w:hint="eastAsia" w:ascii="宋体" w:hAnsi="宋体" w:eastAsia="宋体" w:cs="宋体"/>
          <w:b/>
          <w:bCs/>
          <w:snapToGrid w:val="0"/>
          <w:color w:val="auto"/>
          <w:sz w:val="30"/>
          <w:szCs w:val="30"/>
        </w:rPr>
        <w:t>五、</w:t>
      </w:r>
      <w:bookmarkStart w:id="9" w:name="_Hlk54167917"/>
      <w:r>
        <w:rPr>
          <w:rFonts w:hint="eastAsia" w:ascii="宋体" w:hAnsi="宋体" w:eastAsia="宋体" w:cs="宋体"/>
          <w:b/>
          <w:bCs/>
          <w:snapToGrid w:val="0"/>
          <w:color w:val="auto"/>
          <w:sz w:val="30"/>
          <w:szCs w:val="30"/>
        </w:rPr>
        <w:t>环境保护措施监督检查清单</w:t>
      </w:r>
      <w:bookmarkEnd w:id="8"/>
      <w:bookmarkEnd w:id="9"/>
    </w:p>
    <w:tbl>
      <w:tblPr>
        <w:tblStyle w:val="27"/>
        <w:tblW w:w="8800"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33"/>
        <w:gridCol w:w="850"/>
        <w:gridCol w:w="832"/>
        <w:gridCol w:w="1335"/>
        <w:gridCol w:w="1312"/>
        <w:gridCol w:w="971"/>
        <w:gridCol w:w="206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1433" w:type="dxa"/>
            <w:tcBorders>
              <w:tl2br w:val="single" w:color="auto" w:sz="4" w:space="0"/>
            </w:tcBorders>
            <w:vAlign w:val="top"/>
          </w:tcPr>
          <w:p>
            <w:pPr>
              <w:keepNext w:val="0"/>
              <w:keepLines w:val="0"/>
              <w:suppressLineNumbers w:val="0"/>
              <w:adjustRightInd w:val="0"/>
              <w:snapToGrid w:val="0"/>
              <w:spacing w:before="0" w:beforeAutospacing="0" w:after="0" w:afterAutospacing="0"/>
              <w:ind w:left="0" w:right="0" w:firstLine="723" w:firstLineChars="300"/>
              <w:rPr>
                <w:rFonts w:hint="default" w:ascii="Times New Roman" w:hAnsi="Times New Roman" w:eastAsia="宋体" w:cs="Times New Roman"/>
                <w:b/>
                <w:bCs/>
                <w:color w:val="auto"/>
                <w:sz w:val="24"/>
                <w:szCs w:val="24"/>
                <w:u w:val="none" w:color="auto"/>
              </w:rPr>
            </w:pPr>
            <w:r>
              <w:rPr>
                <w:rFonts w:hint="default" w:ascii="Times New Roman" w:hAnsi="Times New Roman" w:eastAsia="宋体" w:cs="Times New Roman"/>
                <w:b/>
                <w:bCs/>
                <w:color w:val="auto"/>
                <w:sz w:val="24"/>
                <w:szCs w:val="24"/>
                <w:u w:val="none" w:color="auto"/>
              </w:rPr>
              <w:t>内容</w:t>
            </w: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b/>
                <w:bCs/>
                <w:color w:val="auto"/>
                <w:sz w:val="24"/>
                <w:szCs w:val="24"/>
                <w:u w:val="none" w:color="auto"/>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b/>
                <w:bCs/>
                <w:color w:val="auto"/>
                <w:sz w:val="24"/>
                <w:szCs w:val="24"/>
                <w:u w:val="none" w:color="auto"/>
              </w:rPr>
            </w:pPr>
            <w:r>
              <w:rPr>
                <w:rFonts w:hint="default" w:ascii="Times New Roman" w:hAnsi="Times New Roman" w:eastAsia="宋体" w:cs="Times New Roman"/>
                <w:b/>
                <w:bCs/>
                <w:color w:val="auto"/>
                <w:sz w:val="24"/>
                <w:szCs w:val="24"/>
                <w:u w:val="none" w:color="auto"/>
              </w:rPr>
              <w:t>要素</w:t>
            </w:r>
          </w:p>
        </w:tc>
        <w:tc>
          <w:tcPr>
            <w:tcW w:w="1682"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4"/>
                <w:szCs w:val="24"/>
                <w:u w:val="none" w:color="auto"/>
              </w:rPr>
            </w:pPr>
            <w:r>
              <w:rPr>
                <w:rFonts w:hint="default" w:ascii="Times New Roman" w:hAnsi="Times New Roman" w:eastAsia="宋体" w:cs="Times New Roman"/>
                <w:b/>
                <w:bCs/>
                <w:color w:val="auto"/>
                <w:sz w:val="24"/>
                <w:szCs w:val="24"/>
                <w:u w:val="none" w:color="auto"/>
              </w:rPr>
              <w:t>排放口</w:t>
            </w:r>
            <w:r>
              <w:rPr>
                <w:rFonts w:hint="eastAsia" w:ascii="Times New Roman" w:hAnsi="Times New Roman" w:eastAsia="宋体" w:cs="Times New Roman"/>
                <w:b/>
                <w:bCs/>
                <w:color w:val="auto"/>
                <w:sz w:val="24"/>
                <w:szCs w:val="24"/>
                <w:u w:val="none" w:color="auto"/>
                <w:lang w:eastAsia="zh-CN"/>
              </w:rPr>
              <w:t>（</w:t>
            </w:r>
            <w:r>
              <w:rPr>
                <w:rFonts w:hint="default" w:ascii="Times New Roman" w:hAnsi="Times New Roman" w:eastAsia="宋体" w:cs="Times New Roman"/>
                <w:b/>
                <w:bCs/>
                <w:color w:val="auto"/>
                <w:sz w:val="24"/>
                <w:szCs w:val="24"/>
                <w:u w:val="none" w:color="auto"/>
              </w:rPr>
              <w:t>编号、</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4"/>
                <w:szCs w:val="24"/>
                <w:u w:val="none" w:color="auto"/>
              </w:rPr>
            </w:pPr>
            <w:r>
              <w:rPr>
                <w:rFonts w:hint="default" w:ascii="Times New Roman" w:hAnsi="Times New Roman" w:eastAsia="宋体" w:cs="Times New Roman"/>
                <w:b/>
                <w:bCs/>
                <w:color w:val="auto"/>
                <w:sz w:val="24"/>
                <w:szCs w:val="24"/>
                <w:u w:val="none" w:color="auto"/>
              </w:rPr>
              <w:t>名称</w:t>
            </w:r>
            <w:r>
              <w:rPr>
                <w:rFonts w:hint="eastAsia" w:ascii="Times New Roman" w:hAnsi="Times New Roman" w:eastAsia="宋体" w:cs="Times New Roman"/>
                <w:b/>
                <w:bCs/>
                <w:color w:val="auto"/>
                <w:sz w:val="24"/>
                <w:szCs w:val="24"/>
                <w:u w:val="none" w:color="auto"/>
                <w:lang w:eastAsia="zh-CN"/>
              </w:rPr>
              <w:t>）</w:t>
            </w:r>
            <w:r>
              <w:rPr>
                <w:rFonts w:hint="default" w:ascii="Times New Roman" w:hAnsi="Times New Roman" w:eastAsia="宋体" w:cs="Times New Roman"/>
                <w:b/>
                <w:bCs/>
                <w:color w:val="auto"/>
                <w:sz w:val="24"/>
                <w:szCs w:val="24"/>
                <w:u w:val="none" w:color="auto"/>
              </w:rPr>
              <w:t>/污染源</w:t>
            </w:r>
          </w:p>
        </w:tc>
        <w:tc>
          <w:tcPr>
            <w:tcW w:w="1335"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4"/>
                <w:szCs w:val="24"/>
                <w:u w:val="none" w:color="auto"/>
              </w:rPr>
            </w:pPr>
            <w:r>
              <w:rPr>
                <w:rFonts w:hint="default" w:ascii="Times New Roman" w:hAnsi="Times New Roman" w:eastAsia="宋体" w:cs="Times New Roman"/>
                <w:b/>
                <w:bCs/>
                <w:color w:val="auto"/>
                <w:sz w:val="24"/>
                <w:szCs w:val="24"/>
                <w:u w:val="none" w:color="auto"/>
              </w:rPr>
              <w:t>污染物</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4"/>
                <w:szCs w:val="24"/>
                <w:u w:val="none" w:color="auto"/>
              </w:rPr>
            </w:pPr>
            <w:r>
              <w:rPr>
                <w:rFonts w:hint="default" w:ascii="Times New Roman" w:hAnsi="Times New Roman" w:eastAsia="宋体" w:cs="Times New Roman"/>
                <w:b/>
                <w:bCs/>
                <w:color w:val="auto"/>
                <w:sz w:val="24"/>
                <w:szCs w:val="24"/>
                <w:u w:val="none" w:color="auto"/>
              </w:rPr>
              <w:t>项目</w:t>
            </w:r>
          </w:p>
        </w:tc>
        <w:tc>
          <w:tcPr>
            <w:tcW w:w="2283"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4"/>
                <w:szCs w:val="24"/>
                <w:u w:val="none" w:color="auto"/>
              </w:rPr>
            </w:pPr>
            <w:r>
              <w:rPr>
                <w:rFonts w:hint="default" w:ascii="Times New Roman" w:hAnsi="Times New Roman" w:eastAsia="宋体" w:cs="Times New Roman"/>
                <w:b/>
                <w:bCs/>
                <w:color w:val="auto"/>
                <w:sz w:val="24"/>
                <w:szCs w:val="24"/>
                <w:u w:val="none" w:color="auto"/>
              </w:rPr>
              <w:t>环境保护措施</w:t>
            </w:r>
          </w:p>
        </w:tc>
        <w:tc>
          <w:tcPr>
            <w:tcW w:w="2067"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4"/>
                <w:szCs w:val="24"/>
                <w:u w:val="none" w:color="auto"/>
              </w:rPr>
            </w:pPr>
            <w:r>
              <w:rPr>
                <w:rFonts w:hint="default" w:ascii="Times New Roman" w:hAnsi="Times New Roman" w:eastAsia="宋体" w:cs="Times New Roman"/>
                <w:b/>
                <w:bCs/>
                <w:color w:val="auto"/>
                <w:sz w:val="24"/>
                <w:szCs w:val="24"/>
                <w:u w:val="none" w:color="auto"/>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53" w:hRule="atLeast"/>
          <w:jc w:val="center"/>
        </w:trPr>
        <w:tc>
          <w:tcPr>
            <w:tcW w:w="1433" w:type="dxa"/>
            <w:vMerge w:val="restar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rPr>
              <w:t>大气环境</w:t>
            </w:r>
          </w:p>
        </w:tc>
        <w:tc>
          <w:tcPr>
            <w:tcW w:w="850"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4"/>
                <w:szCs w:val="24"/>
                <w:u w:val="none" w:color="auto"/>
                <w:lang w:val="en-US" w:eastAsia="zh-CN" w:bidi="ar-SA"/>
              </w:rPr>
            </w:pPr>
            <w:r>
              <w:rPr>
                <w:rFonts w:hint="eastAsia" w:ascii="Times New Roman" w:hAnsi="Times New Roman" w:eastAsia="宋体" w:cs="Times New Roman"/>
                <w:color w:val="auto"/>
                <w:kern w:val="2"/>
                <w:sz w:val="24"/>
                <w:szCs w:val="24"/>
                <w:lang w:val="en-US" w:eastAsia="zh-CN" w:bidi="ar-SA"/>
              </w:rPr>
              <w:t>DA066</w:t>
            </w:r>
          </w:p>
        </w:tc>
        <w:tc>
          <w:tcPr>
            <w:tcW w:w="832"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u w:val="none" w:color="auto"/>
                <w:lang w:val="en-US" w:eastAsia="zh-CN" w:bidi="ar-SA"/>
              </w:rPr>
              <w:t>炒灰上料废气</w:t>
            </w:r>
          </w:p>
        </w:tc>
        <w:tc>
          <w:tcPr>
            <w:tcW w:w="1335"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u w:val="none" w:color="auto"/>
                <w:lang w:val="en-US" w:eastAsia="zh-CN"/>
              </w:rPr>
            </w:pPr>
            <w:r>
              <w:rPr>
                <w:rFonts w:hint="eastAsia" w:ascii="Times New Roman" w:hAnsi="Times New Roman" w:eastAsia="宋体" w:cs="Times New Roman"/>
                <w:color w:val="auto"/>
                <w:sz w:val="24"/>
                <w:szCs w:val="24"/>
                <w:u w:val="none" w:color="auto"/>
                <w:lang w:eastAsia="zh-CN"/>
              </w:rPr>
              <w:t>颗粒物</w:t>
            </w:r>
          </w:p>
        </w:tc>
        <w:tc>
          <w:tcPr>
            <w:tcW w:w="1312" w:type="dxa"/>
            <w:tcBorders>
              <w:right w:val="single" w:color="000000" w:sz="4" w:space="0"/>
            </w:tcBorders>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color w:val="auto"/>
                <w:kern w:val="2"/>
                <w:sz w:val="24"/>
                <w:szCs w:val="24"/>
                <w:lang w:val="en-US" w:eastAsia="zh-CN" w:bidi="ar-SA"/>
              </w:rPr>
            </w:pPr>
            <w:r>
              <w:rPr>
                <w:rFonts w:hint="eastAsia" w:ascii="Times New Roman" w:hAnsi="Times New Roman" w:cs="Times New Roman"/>
                <w:bCs/>
                <w:color w:val="auto"/>
                <w:sz w:val="24"/>
                <w:szCs w:val="24"/>
                <w:lang w:val="en-US" w:eastAsia="zh-CN"/>
              </w:rPr>
              <w:t>封闭式集气罩+1台耐高温高效覆膜袋式除尘器</w:t>
            </w:r>
          </w:p>
        </w:tc>
        <w:tc>
          <w:tcPr>
            <w:tcW w:w="971" w:type="dxa"/>
            <w:vMerge w:val="restart"/>
            <w:tcBorders>
              <w:left w:val="single" w:color="000000" w:sz="4" w:space="0"/>
            </w:tcBorders>
            <w:vAlign w:val="center"/>
          </w:tcPr>
          <w:p>
            <w:pPr>
              <w:keepNext w:val="0"/>
              <w:keepLines w:val="0"/>
              <w:pageBreakBefore w:val="0"/>
              <w:widowControl w:val="0"/>
              <w:suppressLineNumbers w:val="0"/>
              <w:kinsoku/>
              <w:wordWrap/>
              <w:overflowPunct/>
              <w:topLinePunct/>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4"/>
                <w:szCs w:val="24"/>
                <w:u w:val="none" w:color="auto"/>
              </w:rPr>
            </w:pPr>
            <w:r>
              <w:rPr>
                <w:rFonts w:hint="eastAsia" w:ascii="Times New Roman" w:hAnsi="Times New Roman" w:cs="Times New Roman"/>
                <w:bCs/>
                <w:color w:val="auto"/>
                <w:sz w:val="24"/>
                <w:szCs w:val="24"/>
                <w:lang w:val="en-US" w:eastAsia="zh-CN"/>
              </w:rPr>
              <w:t>合用1根18</w:t>
            </w:r>
            <w:r>
              <w:rPr>
                <w:rFonts w:hint="eastAsia" w:ascii="Times New Roman" w:hAnsi="Times New Roman" w:cs="Times New Roman"/>
                <w:bCs/>
                <w:color w:val="auto"/>
                <w:sz w:val="24"/>
                <w:szCs w:val="24"/>
              </w:rPr>
              <w:t>m高排气筒</w:t>
            </w:r>
          </w:p>
        </w:tc>
        <w:tc>
          <w:tcPr>
            <w:tcW w:w="2067" w:type="dxa"/>
            <w:vMerge w:val="restart"/>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4"/>
                <w:szCs w:val="24"/>
                <w:u w:val="none" w:color="auto"/>
                <w:lang w:eastAsia="zh-CN"/>
              </w:rPr>
            </w:pPr>
            <w:r>
              <w:rPr>
                <w:rFonts w:hint="eastAsia" w:ascii="Times New Roman" w:hAnsi="Times New Roman" w:eastAsia="宋体" w:cs="Times New Roman"/>
                <w:color w:val="auto"/>
                <w:sz w:val="24"/>
                <w:szCs w:val="24"/>
                <w:highlight w:val="none"/>
                <w:lang w:val="en-US" w:eastAsia="zh-CN"/>
              </w:rPr>
              <w:t>《工业炉窑大气污染物排放标准》（DB41/1066-2020）</w:t>
            </w:r>
            <w:r>
              <w:rPr>
                <w:rFonts w:hint="eastAsia" w:cs="Times New Roman"/>
                <w:color w:val="auto"/>
                <w:sz w:val="24"/>
                <w:szCs w:val="24"/>
                <w:highlight w:val="none"/>
                <w:lang w:val="en-US" w:eastAsia="zh-CN"/>
              </w:rPr>
              <w:t>、《安阳市2019年工业大气污染治理5个专项实施方案》的通知（安环攻坚办〔2019〕196号文）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52" w:hRule="atLeast"/>
          <w:jc w:val="center"/>
        </w:trPr>
        <w:tc>
          <w:tcPr>
            <w:tcW w:w="1433" w:type="dxa"/>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szCs w:val="24"/>
                <w:u w:val="none" w:color="auto"/>
              </w:rPr>
            </w:pPr>
          </w:p>
        </w:tc>
        <w:tc>
          <w:tcPr>
            <w:tcW w:w="850" w:type="dxa"/>
            <w:vMerge w:val="continue"/>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Cs/>
                <w:color w:val="auto"/>
                <w:kern w:val="2"/>
                <w:sz w:val="24"/>
                <w:szCs w:val="24"/>
                <w:highlight w:val="none"/>
                <w:lang w:val="en-US" w:eastAsia="zh-CN" w:bidi="ar-SA"/>
              </w:rPr>
            </w:pPr>
          </w:p>
        </w:tc>
        <w:tc>
          <w:tcPr>
            <w:tcW w:w="832" w:type="dxa"/>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Cs/>
                <w:color w:val="auto"/>
                <w:kern w:val="2"/>
                <w:sz w:val="24"/>
                <w:szCs w:val="24"/>
                <w:highlight w:val="none"/>
                <w:lang w:val="en-US" w:eastAsia="zh-CN" w:bidi="ar-SA"/>
              </w:rPr>
            </w:pPr>
            <w:r>
              <w:rPr>
                <w:rFonts w:hint="eastAsia" w:ascii="Times New Roman" w:hAnsi="Times New Roman" w:cs="Times New Roman"/>
                <w:bCs/>
                <w:color w:val="auto"/>
                <w:kern w:val="2"/>
                <w:sz w:val="24"/>
                <w:szCs w:val="24"/>
                <w:highlight w:val="none"/>
                <w:lang w:val="en-US" w:eastAsia="zh-CN" w:bidi="ar-SA"/>
              </w:rPr>
              <w:t>炒灰废气</w:t>
            </w:r>
          </w:p>
        </w:tc>
        <w:tc>
          <w:tcPr>
            <w:tcW w:w="1335" w:type="dxa"/>
            <w:vAlign w:val="center"/>
          </w:tcPr>
          <w:p>
            <w:pPr>
              <w:keepNext w:val="0"/>
              <w:keepLines w:val="0"/>
              <w:widowControl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sz w:val="24"/>
                <w:szCs w:val="24"/>
                <w:u w:val="none" w:color="auto"/>
                <w:lang w:eastAsia="zh-CN"/>
              </w:rPr>
            </w:pPr>
            <w:r>
              <w:rPr>
                <w:rFonts w:hint="eastAsia" w:ascii="宋体" w:hAnsi="宋体" w:eastAsia="宋体" w:cs="宋体"/>
                <w:color w:val="auto"/>
                <w:kern w:val="2"/>
                <w:sz w:val="24"/>
                <w:szCs w:val="24"/>
                <w:lang w:val="en-US" w:eastAsia="zh-CN" w:bidi="ar"/>
              </w:rPr>
              <w:t>颗粒物</w:t>
            </w:r>
          </w:p>
        </w:tc>
        <w:tc>
          <w:tcPr>
            <w:tcW w:w="1312" w:type="dxa"/>
            <w:tcBorders>
              <w:right w:val="single" w:color="000000" w:sz="4" w:space="0"/>
            </w:tcBorders>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Cs/>
                <w:color w:val="auto"/>
                <w:kern w:val="2"/>
                <w:sz w:val="24"/>
                <w:szCs w:val="24"/>
                <w:lang w:val="en-US" w:eastAsia="zh-CN" w:bidi="ar-SA"/>
              </w:rPr>
            </w:pPr>
            <w:r>
              <w:rPr>
                <w:rFonts w:hint="eastAsia" w:ascii="Times New Roman" w:hAnsi="Times New Roman" w:cs="Times New Roman"/>
                <w:bCs/>
                <w:color w:val="auto"/>
                <w:sz w:val="24"/>
                <w:szCs w:val="24"/>
                <w:lang w:val="en-US" w:eastAsia="zh-CN"/>
              </w:rPr>
              <w:t>密闭管道+1台耐高温高效覆膜袋式除尘器</w:t>
            </w:r>
          </w:p>
        </w:tc>
        <w:tc>
          <w:tcPr>
            <w:tcW w:w="971" w:type="dxa"/>
            <w:vMerge w:val="continue"/>
            <w:tcBorders>
              <w:left w:val="single" w:color="000000" w:sz="4" w:space="0"/>
            </w:tcBorders>
            <w:vAlign w:val="center"/>
          </w:tcPr>
          <w:p>
            <w:pPr>
              <w:keepNext w:val="0"/>
              <w:keepLines w:val="0"/>
              <w:pageBreakBefore w:val="0"/>
              <w:widowControl w:val="0"/>
              <w:suppressLineNumbers w:val="0"/>
              <w:kinsoku/>
              <w:wordWrap/>
              <w:overflowPunct/>
              <w:topLinePunct/>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kern w:val="2"/>
                <w:sz w:val="24"/>
                <w:szCs w:val="24"/>
                <w:u w:val="none" w:color="auto"/>
                <w:lang w:val="en-US" w:eastAsia="zh-CN" w:bidi="ar-SA"/>
              </w:rPr>
            </w:pPr>
          </w:p>
        </w:tc>
        <w:tc>
          <w:tcPr>
            <w:tcW w:w="2067" w:type="dxa"/>
            <w:vMerge w:val="continue"/>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2"/>
                <w:sz w:val="24"/>
                <w:szCs w:val="24"/>
                <w:u w:val="none" w:color="auto"/>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52" w:hRule="atLeast"/>
          <w:jc w:val="center"/>
        </w:trPr>
        <w:tc>
          <w:tcPr>
            <w:tcW w:w="1433" w:type="dxa"/>
            <w:vMerge w:val="continue"/>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4"/>
                <w:szCs w:val="24"/>
                <w:u w:val="none" w:color="auto"/>
                <w:lang w:eastAsia="zh-CN"/>
              </w:rPr>
            </w:pPr>
          </w:p>
        </w:tc>
        <w:tc>
          <w:tcPr>
            <w:tcW w:w="850"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u w:val="none" w:color="auto"/>
                <w:lang w:val="en-US" w:eastAsia="zh-CN"/>
              </w:rPr>
            </w:pPr>
            <w:r>
              <w:rPr>
                <w:rFonts w:hint="eastAsia" w:cs="Times New Roman"/>
                <w:color w:val="auto"/>
                <w:sz w:val="24"/>
                <w:szCs w:val="24"/>
                <w:u w:val="none" w:color="auto"/>
                <w:lang w:val="en-US" w:eastAsia="zh-CN"/>
              </w:rPr>
              <w:t>DA063</w:t>
            </w:r>
          </w:p>
        </w:tc>
        <w:tc>
          <w:tcPr>
            <w:tcW w:w="832"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u w:val="none" w:color="auto"/>
                <w:lang w:val="en-US" w:eastAsia="zh-CN"/>
              </w:rPr>
            </w:pPr>
            <w:r>
              <w:rPr>
                <w:rFonts w:hint="eastAsia" w:cs="Times New Roman"/>
                <w:color w:val="auto"/>
                <w:sz w:val="24"/>
                <w:szCs w:val="24"/>
                <w:u w:val="none" w:color="auto"/>
                <w:lang w:val="en-US" w:eastAsia="zh-CN"/>
              </w:rPr>
              <w:t>危废间废气</w:t>
            </w:r>
          </w:p>
        </w:tc>
        <w:tc>
          <w:tcPr>
            <w:tcW w:w="1335" w:type="dxa"/>
            <w:vAlign w:val="center"/>
          </w:tcPr>
          <w:p>
            <w:pPr>
              <w:keepNext w:val="0"/>
              <w:keepLines w:val="0"/>
              <w:widowControl w:val="0"/>
              <w:suppressLineNumbers w:val="0"/>
              <w:adjustRightInd w:val="0"/>
              <w:snapToGrid w:val="0"/>
              <w:spacing w:before="0" w:beforeAutospacing="0" w:after="0" w:afterAutospacing="0"/>
              <w:ind w:left="0" w:leftChars="0" w:right="0" w:rightChars="0"/>
              <w:jc w:val="center"/>
              <w:rPr>
                <w:rFonts w:hint="eastAsia" w:ascii="宋体" w:hAnsi="宋体" w:eastAsia="宋体" w:cs="宋体"/>
                <w:color w:val="auto"/>
                <w:kern w:val="2"/>
                <w:sz w:val="24"/>
                <w:szCs w:val="24"/>
                <w:lang w:val="en-US" w:eastAsia="zh-CN" w:bidi="ar"/>
              </w:rPr>
            </w:pPr>
            <w:r>
              <w:rPr>
                <w:rFonts w:hint="eastAsia" w:ascii="宋体" w:hAnsi="宋体" w:cs="宋体"/>
                <w:color w:val="auto"/>
                <w:kern w:val="2"/>
                <w:sz w:val="24"/>
                <w:szCs w:val="24"/>
                <w:lang w:val="en-US" w:eastAsia="zh-CN" w:bidi="ar"/>
              </w:rPr>
              <w:t>氨气</w:t>
            </w:r>
          </w:p>
        </w:tc>
        <w:tc>
          <w:tcPr>
            <w:tcW w:w="1312" w:type="dxa"/>
            <w:tcBorders>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u w:val="none" w:color="auto"/>
                <w:lang w:val="en-US" w:eastAsia="zh-CN"/>
              </w:rPr>
            </w:pPr>
            <w:r>
              <w:rPr>
                <w:rFonts w:hint="eastAsia" w:cs="Times New Roman"/>
                <w:color w:val="auto"/>
                <w:sz w:val="24"/>
                <w:szCs w:val="24"/>
                <w:u w:val="none" w:color="auto"/>
                <w:lang w:val="en-US" w:eastAsia="zh-CN"/>
              </w:rPr>
              <w:t>UV光氧+活性炭吸附一体机</w:t>
            </w:r>
          </w:p>
        </w:tc>
        <w:tc>
          <w:tcPr>
            <w:tcW w:w="971" w:type="dxa"/>
            <w:tcBorders>
              <w:lef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u w:val="none" w:color="auto"/>
                <w:lang w:val="en-US" w:eastAsia="zh-CN"/>
              </w:rPr>
            </w:pPr>
            <w:r>
              <w:rPr>
                <w:rFonts w:hint="eastAsia" w:cs="Times New Roman"/>
                <w:color w:val="auto"/>
                <w:sz w:val="24"/>
                <w:szCs w:val="24"/>
                <w:u w:val="none" w:color="auto"/>
                <w:lang w:val="en-US" w:eastAsia="zh-CN"/>
              </w:rPr>
              <w:t>1根15m高排气筒</w:t>
            </w:r>
          </w:p>
        </w:tc>
        <w:tc>
          <w:tcPr>
            <w:tcW w:w="2067" w:type="dxa"/>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4"/>
                <w:szCs w:val="24"/>
                <w:u w:val="none" w:color="auto"/>
                <w:lang w:eastAsia="zh-CN"/>
              </w:rPr>
            </w:pPr>
            <w:r>
              <w:rPr>
                <w:rFonts w:hint="eastAsia" w:ascii="Times New Roman" w:hAnsi="Times New Roman" w:eastAsia="宋体" w:cs="Times New Roman"/>
                <w:color w:val="auto"/>
                <w:sz w:val="24"/>
                <w:szCs w:val="24"/>
                <w:u w:val="none" w:color="auto"/>
                <w:lang w:eastAsia="zh-CN"/>
              </w:rPr>
              <w:t>《恶臭污染物排放标准》（GB14554-93）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130" w:hRule="atLeast"/>
          <w:jc w:val="center"/>
        </w:trPr>
        <w:tc>
          <w:tcPr>
            <w:tcW w:w="1433" w:type="dxa"/>
            <w:vMerge w:val="restar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rPr>
              <w:t>地表水环境</w:t>
            </w:r>
          </w:p>
        </w:tc>
        <w:tc>
          <w:tcPr>
            <w:tcW w:w="1682"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4"/>
                <w:szCs w:val="24"/>
                <w:u w:val="none" w:color="auto"/>
                <w:lang w:val="en-US" w:eastAsia="zh-CN" w:bidi="ar-SA"/>
              </w:rPr>
            </w:pPr>
            <w:r>
              <w:rPr>
                <w:rFonts w:hint="eastAsia" w:ascii="Times New Roman" w:hAnsi="Times New Roman" w:eastAsia="宋体" w:cs="Times New Roman"/>
                <w:color w:val="auto"/>
                <w:kern w:val="2"/>
                <w:sz w:val="24"/>
                <w:szCs w:val="24"/>
                <w:u w:val="none" w:color="auto"/>
                <w:lang w:val="en-US" w:eastAsia="zh-CN" w:bidi="ar-SA"/>
              </w:rPr>
              <w:t>冷灰桶冷却用水</w:t>
            </w:r>
          </w:p>
        </w:tc>
        <w:tc>
          <w:tcPr>
            <w:tcW w:w="1335"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4"/>
                <w:szCs w:val="24"/>
                <w:u w:val="none" w:color="auto"/>
                <w:lang w:val="en-US" w:eastAsia="zh-CN" w:bidi="ar-SA"/>
              </w:rPr>
            </w:pPr>
            <w:r>
              <w:rPr>
                <w:rFonts w:hint="eastAsia" w:ascii="Times New Roman" w:hAnsi="Times New Roman" w:eastAsia="宋体" w:cs="Times New Roman"/>
                <w:color w:val="auto"/>
                <w:sz w:val="24"/>
                <w:szCs w:val="24"/>
                <w:u w:val="none" w:color="auto"/>
                <w:lang w:val="en-US" w:eastAsia="zh-CN"/>
              </w:rPr>
              <w:t>SS</w:t>
            </w:r>
          </w:p>
        </w:tc>
        <w:tc>
          <w:tcPr>
            <w:tcW w:w="2283"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4"/>
                <w:szCs w:val="24"/>
                <w:u w:val="none" w:color="auto"/>
                <w:lang w:val="en-US" w:eastAsia="zh-CN" w:bidi="ar-SA"/>
              </w:rPr>
            </w:pPr>
            <w:r>
              <w:rPr>
                <w:rFonts w:hint="eastAsia" w:ascii="Times New Roman" w:hAnsi="Times New Roman" w:eastAsia="宋体" w:cs="Times New Roman"/>
                <w:color w:val="auto"/>
                <w:kern w:val="2"/>
                <w:sz w:val="24"/>
                <w:szCs w:val="24"/>
                <w:u w:val="none" w:color="auto"/>
                <w:lang w:val="en-US" w:eastAsia="zh-CN" w:bidi="ar-SA"/>
              </w:rPr>
              <w:t>循环使用，只需添加新鲜水</w:t>
            </w:r>
          </w:p>
        </w:tc>
        <w:tc>
          <w:tcPr>
            <w:tcW w:w="2067"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4"/>
                <w:szCs w:val="24"/>
                <w:u w:val="none" w:color="auto"/>
                <w:lang w:val="en-US" w:eastAsia="zh-CN" w:bidi="ar-SA"/>
              </w:rPr>
            </w:pPr>
            <w:r>
              <w:rPr>
                <w:rFonts w:hint="eastAsia" w:ascii="Times New Roman" w:hAnsi="Times New Roman" w:eastAsia="宋体" w:cs="Times New Roman"/>
                <w:color w:val="auto"/>
                <w:kern w:val="2"/>
                <w:sz w:val="24"/>
                <w:szCs w:val="24"/>
                <w:u w:val="none" w:color="auto"/>
                <w:lang w:val="en-US" w:eastAsia="zh-CN" w:bidi="ar-SA"/>
              </w:rPr>
              <w:t>不外排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130" w:hRule="atLeast"/>
          <w:jc w:val="center"/>
        </w:trPr>
        <w:tc>
          <w:tcPr>
            <w:tcW w:w="1433" w:type="dxa"/>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u w:val="none" w:color="auto"/>
              </w:rPr>
            </w:pPr>
          </w:p>
        </w:tc>
        <w:tc>
          <w:tcPr>
            <w:tcW w:w="1682" w:type="dxa"/>
            <w:gridSpan w:val="2"/>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2"/>
                <w:sz w:val="24"/>
                <w:szCs w:val="24"/>
                <w:u w:val="none" w:color="auto"/>
                <w:lang w:val="en-US" w:eastAsia="zh-CN" w:bidi="ar-SA"/>
              </w:rPr>
            </w:pPr>
            <w:r>
              <w:rPr>
                <w:rFonts w:hint="eastAsia" w:ascii="Times New Roman" w:hAnsi="Times New Roman" w:eastAsia="宋体" w:cs="Times New Roman"/>
                <w:color w:val="auto"/>
                <w:kern w:val="2"/>
                <w:sz w:val="24"/>
                <w:szCs w:val="24"/>
                <w:u w:val="none" w:color="auto"/>
                <w:lang w:val="en-US" w:eastAsia="zh-CN" w:bidi="ar-SA"/>
              </w:rPr>
              <w:t>车间</w:t>
            </w:r>
            <w:r>
              <w:rPr>
                <w:rFonts w:hint="eastAsia" w:cs="Times New Roman"/>
                <w:color w:val="auto"/>
                <w:kern w:val="2"/>
                <w:sz w:val="24"/>
                <w:szCs w:val="24"/>
                <w:u w:val="none" w:color="auto"/>
                <w:lang w:val="en-US" w:eastAsia="zh-CN" w:bidi="ar-SA"/>
              </w:rPr>
              <w:t>洒扫</w:t>
            </w:r>
            <w:r>
              <w:rPr>
                <w:rFonts w:hint="eastAsia" w:ascii="Times New Roman" w:hAnsi="Times New Roman" w:eastAsia="宋体" w:cs="Times New Roman"/>
                <w:color w:val="auto"/>
                <w:kern w:val="2"/>
                <w:sz w:val="24"/>
                <w:szCs w:val="24"/>
                <w:u w:val="none" w:color="auto"/>
                <w:lang w:val="en-US" w:eastAsia="zh-CN" w:bidi="ar-SA"/>
              </w:rPr>
              <w:t>废水</w:t>
            </w:r>
          </w:p>
        </w:tc>
        <w:tc>
          <w:tcPr>
            <w:tcW w:w="1335"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u w:val="none" w:color="auto"/>
                <w:vertAlign w:val="baseline"/>
                <w:lang w:val="en-US" w:eastAsia="zh-CN"/>
              </w:rPr>
            </w:pPr>
            <w:r>
              <w:rPr>
                <w:rFonts w:hint="eastAsia" w:cs="Times New Roman"/>
                <w:color w:val="auto"/>
                <w:sz w:val="24"/>
                <w:szCs w:val="24"/>
                <w:u w:val="none" w:color="auto"/>
                <w:lang w:val="en-US" w:eastAsia="zh-CN"/>
              </w:rPr>
              <w:t>COD</w:t>
            </w:r>
            <w:r>
              <w:rPr>
                <w:rFonts w:hint="eastAsia" w:cs="Times New Roman"/>
                <w:color w:val="auto"/>
                <w:sz w:val="24"/>
                <w:szCs w:val="24"/>
                <w:u w:val="none" w:color="auto"/>
                <w:vertAlign w:val="baseline"/>
                <w:lang w:val="en-US" w:eastAsia="zh-CN"/>
              </w:rPr>
              <w:t>、SS等</w:t>
            </w:r>
          </w:p>
        </w:tc>
        <w:tc>
          <w:tcPr>
            <w:tcW w:w="2283" w:type="dxa"/>
            <w:gridSpan w:val="2"/>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2"/>
                <w:sz w:val="24"/>
                <w:szCs w:val="24"/>
                <w:u w:val="none" w:color="auto"/>
                <w:lang w:val="en-US" w:eastAsia="zh-CN" w:bidi="ar-SA"/>
              </w:rPr>
            </w:pPr>
            <w:r>
              <w:rPr>
                <w:rFonts w:hint="eastAsia" w:cs="Times New Roman"/>
                <w:color w:val="auto"/>
                <w:kern w:val="2"/>
                <w:sz w:val="24"/>
                <w:szCs w:val="24"/>
                <w:u w:val="none" w:color="auto"/>
                <w:lang w:val="en-US" w:eastAsia="zh-CN" w:bidi="ar-SA"/>
              </w:rPr>
              <w:t>全部蒸发损耗</w:t>
            </w:r>
          </w:p>
        </w:tc>
        <w:tc>
          <w:tcPr>
            <w:tcW w:w="2067" w:type="dxa"/>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2"/>
                <w:sz w:val="24"/>
                <w:szCs w:val="24"/>
                <w:u w:val="none" w:color="auto"/>
                <w:lang w:val="en-US" w:eastAsia="zh-CN" w:bidi="ar-SA"/>
              </w:rPr>
            </w:pPr>
            <w:r>
              <w:rPr>
                <w:rFonts w:hint="eastAsia" w:cs="Times New Roman"/>
                <w:color w:val="auto"/>
                <w:kern w:val="2"/>
                <w:sz w:val="24"/>
                <w:szCs w:val="24"/>
                <w:u w:val="none" w:color="auto"/>
                <w:lang w:val="en-US" w:eastAsia="zh-CN" w:bidi="ar-SA"/>
              </w:rPr>
              <w:t>不外排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178" w:hRule="atLeast"/>
          <w:jc w:val="center"/>
        </w:trPr>
        <w:tc>
          <w:tcPr>
            <w:tcW w:w="1433"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rPr>
              <w:t>声环境</w:t>
            </w:r>
          </w:p>
        </w:tc>
        <w:tc>
          <w:tcPr>
            <w:tcW w:w="1682"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0"/>
                <w:sz w:val="24"/>
                <w:szCs w:val="24"/>
                <w:u w:val="none" w:color="auto"/>
                <w:lang w:val="en-US" w:eastAsia="zh-CN" w:bidi="ar-SA"/>
              </w:rPr>
              <w:t>工程建成后</w:t>
            </w:r>
            <w:r>
              <w:rPr>
                <w:rFonts w:hint="default" w:ascii="Times New Roman" w:hAnsi="Times New Roman" w:eastAsia="宋体" w:cs="Times New Roman"/>
                <w:color w:val="auto"/>
                <w:sz w:val="24"/>
                <w:szCs w:val="24"/>
              </w:rPr>
              <w:t>生产设施</w:t>
            </w:r>
          </w:p>
        </w:tc>
        <w:tc>
          <w:tcPr>
            <w:tcW w:w="1335"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szCs w:val="24"/>
              </w:rPr>
              <w:t>设备噪声</w:t>
            </w:r>
          </w:p>
        </w:tc>
        <w:tc>
          <w:tcPr>
            <w:tcW w:w="2283"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szCs w:val="24"/>
              </w:rPr>
              <w:t>基础减</w:t>
            </w:r>
            <w:r>
              <w:rPr>
                <w:rFonts w:hint="eastAsia" w:ascii="Times New Roman" w:hAnsi="Times New Roman" w:eastAsia="宋体" w:cs="Times New Roman"/>
                <w:color w:val="auto"/>
                <w:sz w:val="24"/>
                <w:szCs w:val="24"/>
                <w:lang w:eastAsia="zh-CN"/>
              </w:rPr>
              <w:t>振</w:t>
            </w:r>
            <w:r>
              <w:rPr>
                <w:rFonts w:hint="default" w:ascii="Times New Roman" w:hAnsi="Times New Roman" w:eastAsia="宋体" w:cs="Times New Roman"/>
                <w:color w:val="auto"/>
                <w:sz w:val="24"/>
                <w:szCs w:val="24"/>
              </w:rPr>
              <w:t>、厂房隔声等</w:t>
            </w:r>
          </w:p>
        </w:tc>
        <w:tc>
          <w:tcPr>
            <w:tcW w:w="2067"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szCs w:val="24"/>
              </w:rPr>
              <w:t>《工业企业厂界环境噪声排放标准》GB12348-2008）3类标准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28" w:hRule="atLeast"/>
          <w:jc w:val="center"/>
        </w:trPr>
        <w:tc>
          <w:tcPr>
            <w:tcW w:w="1433"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rPr>
              <w:t>电磁辐射</w:t>
            </w:r>
          </w:p>
        </w:tc>
        <w:tc>
          <w:tcPr>
            <w:tcW w:w="1682"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lang w:val="en-US" w:eastAsia="zh-CN"/>
              </w:rPr>
              <w:t>/</w:t>
            </w:r>
          </w:p>
        </w:tc>
        <w:tc>
          <w:tcPr>
            <w:tcW w:w="1335"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lang w:val="en-US" w:eastAsia="zh-CN"/>
              </w:rPr>
              <w:t>/</w:t>
            </w:r>
          </w:p>
        </w:tc>
        <w:tc>
          <w:tcPr>
            <w:tcW w:w="2283"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lang w:val="en-US" w:eastAsia="zh-CN"/>
              </w:rPr>
              <w:t>/</w:t>
            </w:r>
          </w:p>
        </w:tc>
        <w:tc>
          <w:tcPr>
            <w:tcW w:w="2067"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jc w:val="center"/>
        </w:trPr>
        <w:tc>
          <w:tcPr>
            <w:tcW w:w="1433"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rPr>
              <w:t>固体废物</w:t>
            </w:r>
          </w:p>
        </w:tc>
        <w:tc>
          <w:tcPr>
            <w:tcW w:w="7367" w:type="dxa"/>
            <w:gridSpan w:val="6"/>
            <w:vAlign w:val="center"/>
          </w:tcPr>
          <w:p>
            <w:pPr>
              <w:keepNext w:val="0"/>
              <w:keepLines w:val="0"/>
              <w:suppressLineNumbers w:val="0"/>
              <w:adjustRightInd w:val="0"/>
              <w:snapToGrid w:val="0"/>
              <w:spacing w:before="0" w:beforeAutospacing="0" w:after="0" w:afterAutospacing="0"/>
              <w:ind w:left="0" w:right="0"/>
              <w:jc w:val="both"/>
              <w:rPr>
                <w:rFonts w:hint="eastAsia"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szCs w:val="24"/>
                <w:lang w:eastAsia="zh-CN"/>
              </w:rPr>
              <w:t>项目</w:t>
            </w:r>
            <w:r>
              <w:rPr>
                <w:rFonts w:hint="eastAsia" w:ascii="Times New Roman" w:hAnsi="Times New Roman" w:eastAsia="宋体" w:cs="Times New Roman"/>
                <w:color w:val="auto"/>
                <w:kern w:val="0"/>
                <w:sz w:val="24"/>
                <w:szCs w:val="24"/>
                <w:u w:val="none" w:color="auto"/>
                <w:lang w:val="en-US" w:eastAsia="zh-CN" w:bidi="ar-SA"/>
              </w:rPr>
              <w:t>建成后</w:t>
            </w:r>
            <w:r>
              <w:rPr>
                <w:rFonts w:hint="default" w:ascii="Times New Roman" w:hAnsi="Times New Roman" w:eastAsia="宋体" w:cs="Times New Roman"/>
                <w:color w:val="auto"/>
                <w:sz w:val="24"/>
                <w:szCs w:val="24"/>
                <w:lang w:eastAsia="zh-CN"/>
              </w:rPr>
              <w:t>危险废物</w:t>
            </w:r>
            <w:r>
              <w:rPr>
                <w:rFonts w:hint="eastAsia" w:ascii="Times New Roman" w:hAnsi="Times New Roman" w:eastAsia="宋体" w:cs="Times New Roman"/>
                <w:color w:val="auto"/>
                <w:sz w:val="24"/>
                <w:szCs w:val="24"/>
                <w:lang w:val="en-US" w:eastAsia="zh-CN"/>
              </w:rPr>
              <w:t>均</w:t>
            </w:r>
            <w:r>
              <w:rPr>
                <w:rFonts w:hint="eastAsia" w:ascii="Times New Roman" w:hAnsi="Times New Roman" w:eastAsia="宋体" w:cs="Times New Roman"/>
                <w:color w:val="auto"/>
                <w:sz w:val="24"/>
                <w:szCs w:val="24"/>
                <w:lang w:eastAsia="zh-CN"/>
              </w:rPr>
              <w:t>集中暂存于危废暂存间内</w:t>
            </w:r>
            <w:r>
              <w:rPr>
                <w:rFonts w:hint="default" w:ascii="Times New Roman" w:hAnsi="Times New Roman" w:eastAsia="宋体" w:cs="Times New Roman"/>
                <w:color w:val="auto"/>
                <w:sz w:val="24"/>
                <w:szCs w:val="24"/>
                <w:lang w:eastAsia="zh-CN"/>
              </w:rPr>
              <w:t>，</w:t>
            </w:r>
            <w:r>
              <w:rPr>
                <w:rFonts w:hint="eastAsia" w:ascii="Times New Roman" w:hAnsi="Times New Roman" w:cs="Times New Roman"/>
                <w:bCs/>
                <w:color w:val="auto"/>
                <w:sz w:val="24"/>
                <w:szCs w:val="24"/>
                <w:lang w:eastAsia="zh-CN"/>
              </w:rPr>
              <w:t>定期委托有资质单位进行安全处置</w:t>
            </w:r>
            <w:r>
              <w:rPr>
                <w:rFonts w:hint="default" w:ascii="Times New Roman" w:hAnsi="Times New Roman" w:eastAsia="宋体" w:cs="Times New Roman"/>
                <w:color w:val="auto"/>
                <w:sz w:val="24"/>
                <w:szCs w:val="24"/>
                <w:lang w:eastAsia="zh-CN"/>
              </w:rPr>
              <w:t>。本次不新增生活垃圾量，生活垃圾由厂区生活垃圾桶集中收集，委托环卫部门定时清运不外排，产生的固体废弃物均得到了合理有效的安全处置</w:t>
            </w:r>
            <w:r>
              <w:rPr>
                <w:rFonts w:hint="default" w:ascii="Times New Roman" w:hAnsi="Times New Roman" w:eastAsia="宋体" w:cs="Times New Roman"/>
                <w:color w:val="auto"/>
                <w:sz w:val="24"/>
                <w:szCs w:val="24"/>
              </w:rPr>
              <w:t>。危险废物应严格按照《危险废物贮存污染控制标准》（GB18597-2023）相关要求进行暂存和管理。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56" w:hRule="atLeast"/>
          <w:jc w:val="center"/>
        </w:trPr>
        <w:tc>
          <w:tcPr>
            <w:tcW w:w="1433"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rPr>
              <w:t>土壤及地下水污染防治措施</w:t>
            </w:r>
          </w:p>
        </w:tc>
        <w:tc>
          <w:tcPr>
            <w:tcW w:w="7367" w:type="dxa"/>
            <w:gridSpan w:val="6"/>
            <w:vAlign w:val="center"/>
          </w:tcPr>
          <w:p>
            <w:pPr>
              <w:keepNext w:val="0"/>
              <w:keepLines w:val="0"/>
              <w:suppressLineNumbers w:val="0"/>
              <w:adjustRightInd w:val="0"/>
              <w:snapToGrid w:val="0"/>
              <w:spacing w:before="0" w:beforeAutospacing="0" w:after="0" w:afterAutospacing="0"/>
              <w:ind w:left="0" w:right="0"/>
              <w:jc w:val="both"/>
              <w:rPr>
                <w:rFonts w:hint="eastAsia"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szCs w:val="24"/>
              </w:rPr>
              <w:t>应对废气污染治理设施定期进行维护，根据生产记录定期检查</w:t>
            </w:r>
            <w:r>
              <w:rPr>
                <w:rFonts w:hint="eastAsia" w:cs="Times New Roman"/>
                <w:color w:val="auto"/>
                <w:sz w:val="24"/>
                <w:szCs w:val="24"/>
                <w:lang w:eastAsia="zh-CN"/>
              </w:rPr>
              <w:t>废气污染治理设施</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生产车间等区域均已进行分区防渗，除绿化用地外的其他地面均已硬化处理。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69" w:hRule="atLeast"/>
          <w:jc w:val="center"/>
        </w:trPr>
        <w:tc>
          <w:tcPr>
            <w:tcW w:w="1433"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rPr>
              <w:t>生态保护措施</w:t>
            </w:r>
          </w:p>
        </w:tc>
        <w:tc>
          <w:tcPr>
            <w:tcW w:w="7367" w:type="dxa"/>
            <w:gridSpan w:val="6"/>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433"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pacing w:val="-8"/>
                <w:sz w:val="24"/>
                <w:szCs w:val="24"/>
                <w:u w:val="none" w:color="auto"/>
              </w:rPr>
            </w:pPr>
            <w:r>
              <w:rPr>
                <w:rFonts w:hint="default" w:ascii="Times New Roman" w:hAnsi="Times New Roman" w:eastAsia="宋体" w:cs="Times New Roman"/>
                <w:color w:val="auto"/>
                <w:spacing w:val="-8"/>
                <w:sz w:val="24"/>
                <w:szCs w:val="24"/>
                <w:u w:val="none" w:color="auto"/>
              </w:rPr>
              <w:t>环境风险</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pacing w:val="-8"/>
                <w:sz w:val="24"/>
                <w:szCs w:val="24"/>
                <w:u w:val="none" w:color="auto"/>
              </w:rPr>
            </w:pPr>
            <w:r>
              <w:rPr>
                <w:rFonts w:hint="default" w:ascii="Times New Roman" w:hAnsi="Times New Roman" w:eastAsia="宋体" w:cs="Times New Roman"/>
                <w:color w:val="auto"/>
                <w:spacing w:val="-8"/>
                <w:sz w:val="24"/>
                <w:szCs w:val="24"/>
                <w:u w:val="none" w:color="auto"/>
              </w:rPr>
              <w:t>防范措施</w:t>
            </w:r>
          </w:p>
        </w:tc>
        <w:tc>
          <w:tcPr>
            <w:tcW w:w="7367" w:type="dxa"/>
            <w:gridSpan w:val="6"/>
            <w:vAlign w:val="center"/>
          </w:tcPr>
          <w:p>
            <w:pPr>
              <w:keepNext w:val="0"/>
              <w:keepLines w:val="0"/>
              <w:suppressLineNumbers w:val="0"/>
              <w:adjustRightInd w:val="0"/>
              <w:snapToGrid w:val="0"/>
              <w:spacing w:before="0" w:beforeAutospacing="0" w:after="0" w:afterAutospacing="0"/>
              <w:ind w:left="0" w:right="0"/>
              <w:jc w:val="both"/>
              <w:rPr>
                <w:rFonts w:hint="eastAsia"/>
                <w:color w:val="auto"/>
                <w:sz w:val="24"/>
                <w:szCs w:val="24"/>
              </w:rPr>
            </w:pPr>
            <w:r>
              <w:rPr>
                <w:rFonts w:hint="eastAsia"/>
                <w:color w:val="auto"/>
                <w:sz w:val="24"/>
                <w:szCs w:val="24"/>
              </w:rPr>
              <w:t>（1）危险废物暂存间环境风险防范措施</w:t>
            </w:r>
          </w:p>
          <w:p>
            <w:pPr>
              <w:keepNext w:val="0"/>
              <w:keepLines w:val="0"/>
              <w:suppressLineNumbers w:val="0"/>
              <w:adjustRightInd w:val="0"/>
              <w:snapToGrid w:val="0"/>
              <w:spacing w:before="0" w:beforeAutospacing="0" w:after="0" w:afterAutospacing="0"/>
              <w:ind w:left="0" w:right="0" w:firstLine="480" w:firstLineChars="200"/>
              <w:jc w:val="both"/>
              <w:rPr>
                <w:rFonts w:hint="eastAsia"/>
                <w:color w:val="auto"/>
                <w:sz w:val="24"/>
                <w:szCs w:val="24"/>
              </w:rPr>
            </w:pPr>
            <w:r>
              <w:rPr>
                <w:rFonts w:hint="eastAsia"/>
                <w:color w:val="auto"/>
                <w:sz w:val="24"/>
                <w:szCs w:val="24"/>
              </w:rPr>
              <w:t>①危险废物暂存间进行重点防渗，危险废物按性质进行分类存放，实施隔离储存、隔开储存、分离储存；</w:t>
            </w:r>
          </w:p>
          <w:p>
            <w:pPr>
              <w:keepNext w:val="0"/>
              <w:keepLines w:val="0"/>
              <w:suppressLineNumbers w:val="0"/>
              <w:adjustRightInd w:val="0"/>
              <w:snapToGrid w:val="0"/>
              <w:spacing w:before="0" w:beforeAutospacing="0" w:after="0" w:afterAutospacing="0"/>
              <w:ind w:left="0" w:right="0" w:firstLine="480" w:firstLineChars="200"/>
              <w:jc w:val="both"/>
              <w:rPr>
                <w:rFonts w:hint="eastAsia"/>
                <w:color w:val="auto"/>
                <w:sz w:val="24"/>
                <w:szCs w:val="24"/>
              </w:rPr>
            </w:pPr>
            <w:r>
              <w:rPr>
                <w:rFonts w:hint="eastAsia"/>
                <w:color w:val="auto"/>
                <w:sz w:val="24"/>
                <w:szCs w:val="24"/>
              </w:rPr>
              <w:t>②危险废物暂存间应防风、防雨、防晒防流失；</w:t>
            </w:r>
          </w:p>
          <w:p>
            <w:pPr>
              <w:keepNext w:val="0"/>
              <w:keepLines w:val="0"/>
              <w:suppressLineNumbers w:val="0"/>
              <w:adjustRightInd w:val="0"/>
              <w:snapToGrid w:val="0"/>
              <w:spacing w:before="0" w:beforeAutospacing="0" w:after="0" w:afterAutospacing="0"/>
              <w:ind w:left="0" w:right="0" w:firstLine="480" w:firstLineChars="200"/>
              <w:jc w:val="both"/>
              <w:rPr>
                <w:rFonts w:hint="eastAsia"/>
                <w:color w:val="auto"/>
                <w:sz w:val="24"/>
                <w:szCs w:val="24"/>
              </w:rPr>
            </w:pPr>
            <w:r>
              <w:rPr>
                <w:rFonts w:hint="eastAsia"/>
                <w:color w:val="auto"/>
                <w:sz w:val="24"/>
                <w:szCs w:val="24"/>
              </w:rPr>
              <w:t>③危险废物暂存间禁止明火，设置专人定期巡检；</w:t>
            </w:r>
          </w:p>
          <w:p>
            <w:pPr>
              <w:keepNext w:val="0"/>
              <w:keepLines w:val="0"/>
              <w:suppressLineNumbers w:val="0"/>
              <w:adjustRightInd w:val="0"/>
              <w:snapToGrid w:val="0"/>
              <w:spacing w:before="0" w:beforeAutospacing="0" w:after="0" w:afterAutospacing="0"/>
              <w:ind w:left="0" w:right="0" w:firstLine="480" w:firstLineChars="200"/>
              <w:jc w:val="both"/>
              <w:rPr>
                <w:rFonts w:hint="eastAsia"/>
                <w:color w:val="auto"/>
                <w:sz w:val="24"/>
                <w:szCs w:val="24"/>
              </w:rPr>
            </w:pPr>
            <w:r>
              <w:rPr>
                <w:rFonts w:hint="eastAsia"/>
                <w:color w:val="auto"/>
                <w:sz w:val="24"/>
                <w:szCs w:val="24"/>
              </w:rPr>
              <w:t>④按照应急预案管理要求配备应急物资，并保证应急物资能正常运行；</w:t>
            </w:r>
          </w:p>
          <w:p>
            <w:pPr>
              <w:keepNext w:val="0"/>
              <w:keepLines w:val="0"/>
              <w:suppressLineNumbers w:val="0"/>
              <w:adjustRightInd w:val="0"/>
              <w:snapToGrid w:val="0"/>
              <w:spacing w:before="0" w:beforeAutospacing="0" w:after="0" w:afterAutospacing="0"/>
              <w:ind w:left="0" w:right="0" w:firstLine="480" w:firstLineChars="200"/>
              <w:jc w:val="both"/>
              <w:rPr>
                <w:rFonts w:hint="eastAsia"/>
                <w:color w:val="auto"/>
                <w:sz w:val="24"/>
                <w:szCs w:val="24"/>
              </w:rPr>
            </w:pPr>
            <w:r>
              <w:rPr>
                <w:rFonts w:hint="eastAsia"/>
                <w:color w:val="auto"/>
                <w:sz w:val="24"/>
                <w:szCs w:val="24"/>
              </w:rPr>
              <w:t>⑤制定危险废物管理制度；</w:t>
            </w:r>
          </w:p>
          <w:p>
            <w:pPr>
              <w:keepNext w:val="0"/>
              <w:keepLines w:val="0"/>
              <w:suppressLineNumbers w:val="0"/>
              <w:adjustRightInd w:val="0"/>
              <w:snapToGrid w:val="0"/>
              <w:spacing w:before="0" w:beforeAutospacing="0" w:after="0" w:afterAutospacing="0"/>
              <w:ind w:left="0" w:right="0" w:firstLine="480" w:firstLineChars="200"/>
              <w:jc w:val="both"/>
              <w:rPr>
                <w:rFonts w:hint="eastAsia"/>
                <w:color w:val="auto"/>
                <w:sz w:val="24"/>
                <w:szCs w:val="24"/>
              </w:rPr>
            </w:pPr>
            <w:r>
              <w:rPr>
                <w:rFonts w:hint="eastAsia"/>
                <w:color w:val="auto"/>
                <w:sz w:val="24"/>
                <w:szCs w:val="24"/>
              </w:rPr>
              <w:t>⑥危险废物暂存间按照《危险废物贮存污染控制标准》（GB18597-2023）配备满足其突发环境事件应急要求的应急人员、装备和物资，并应设置应急照明系统；应按照国家有关规定编制突发环境事件应急预案，定期开展必要的培训和环境应急演练，并做好培训、演练记录；</w:t>
            </w:r>
          </w:p>
          <w:p>
            <w:pPr>
              <w:keepNext w:val="0"/>
              <w:keepLines w:val="0"/>
              <w:suppressLineNumbers w:val="0"/>
              <w:adjustRightInd w:val="0"/>
              <w:snapToGrid w:val="0"/>
              <w:spacing w:before="0" w:beforeAutospacing="0" w:after="0" w:afterAutospacing="0"/>
              <w:ind w:left="0" w:right="0" w:firstLine="480" w:firstLineChars="200"/>
              <w:jc w:val="both"/>
              <w:rPr>
                <w:rFonts w:hint="eastAsia"/>
                <w:color w:val="auto"/>
                <w:sz w:val="24"/>
                <w:szCs w:val="24"/>
              </w:rPr>
            </w:pPr>
            <w:r>
              <w:rPr>
                <w:rFonts w:hint="eastAsia"/>
                <w:color w:val="auto"/>
                <w:sz w:val="24"/>
                <w:szCs w:val="24"/>
              </w:rPr>
              <w:t>⑦定期对风险物质包装容器进行检查，发现破损及时更换，避免发生泄露事故；</w:t>
            </w:r>
          </w:p>
          <w:p>
            <w:pPr>
              <w:keepNext w:val="0"/>
              <w:keepLines w:val="0"/>
              <w:suppressLineNumbers w:val="0"/>
              <w:adjustRightInd w:val="0"/>
              <w:snapToGrid w:val="0"/>
              <w:spacing w:before="0" w:beforeAutospacing="0" w:after="0" w:afterAutospacing="0"/>
              <w:ind w:left="0" w:right="0"/>
              <w:jc w:val="both"/>
              <w:rPr>
                <w:rFonts w:hint="eastAsia"/>
                <w:color w:val="auto"/>
                <w:sz w:val="24"/>
                <w:szCs w:val="24"/>
              </w:rPr>
            </w:pPr>
            <w:r>
              <w:rPr>
                <w:rFonts w:hint="eastAsia"/>
                <w:color w:val="auto"/>
                <w:sz w:val="24"/>
                <w:szCs w:val="24"/>
              </w:rPr>
              <w:t>（2）其他环境风险防范措施</w:t>
            </w:r>
          </w:p>
          <w:p>
            <w:pPr>
              <w:keepNext w:val="0"/>
              <w:keepLines w:val="0"/>
              <w:suppressLineNumbers w:val="0"/>
              <w:adjustRightInd w:val="0"/>
              <w:snapToGrid w:val="0"/>
              <w:spacing w:before="0" w:beforeAutospacing="0" w:after="0" w:afterAutospacing="0"/>
              <w:ind w:left="0" w:right="0" w:firstLine="480" w:firstLineChars="200"/>
              <w:jc w:val="both"/>
              <w:rPr>
                <w:rFonts w:hint="eastAsia"/>
                <w:color w:val="auto"/>
                <w:sz w:val="24"/>
                <w:szCs w:val="24"/>
              </w:rPr>
            </w:pPr>
            <w:r>
              <w:rPr>
                <w:rFonts w:hint="eastAsia"/>
                <w:color w:val="auto"/>
                <w:sz w:val="24"/>
                <w:szCs w:val="24"/>
              </w:rPr>
              <w:t>①严格制订管理与操作章程。设立安全环保机构，专人负责。对员工加强培训，进行必要的安全消防教育，熟练掌握消防设施的使用，做好个人防护，对劳动防护用品和器具检查，做到万无一失才能使用；</w:t>
            </w:r>
          </w:p>
          <w:p>
            <w:pPr>
              <w:keepNext w:val="0"/>
              <w:keepLines w:val="0"/>
              <w:suppressLineNumbers w:val="0"/>
              <w:adjustRightInd w:val="0"/>
              <w:snapToGrid w:val="0"/>
              <w:spacing w:before="0" w:beforeAutospacing="0" w:after="0" w:afterAutospacing="0"/>
              <w:ind w:left="0" w:right="0" w:firstLine="480" w:firstLineChars="200"/>
              <w:jc w:val="both"/>
              <w:rPr>
                <w:rFonts w:hint="eastAsia"/>
                <w:color w:val="auto"/>
                <w:sz w:val="24"/>
                <w:szCs w:val="24"/>
              </w:rPr>
            </w:pPr>
            <w:r>
              <w:rPr>
                <w:rFonts w:hint="eastAsia"/>
                <w:color w:val="auto"/>
                <w:sz w:val="24"/>
                <w:szCs w:val="24"/>
              </w:rPr>
              <w:t>②加强管理，制定突发环境事件风险防范制度；</w:t>
            </w:r>
          </w:p>
          <w:p>
            <w:pPr>
              <w:keepNext w:val="0"/>
              <w:keepLines w:val="0"/>
              <w:suppressLineNumbers w:val="0"/>
              <w:adjustRightInd w:val="0"/>
              <w:snapToGrid w:val="0"/>
              <w:spacing w:before="0" w:beforeAutospacing="0" w:after="0" w:afterAutospacing="0"/>
              <w:ind w:left="0" w:right="0" w:firstLine="480" w:firstLineChars="200"/>
              <w:jc w:val="both"/>
              <w:rPr>
                <w:rFonts w:hint="eastAsia"/>
                <w:color w:val="auto"/>
                <w:sz w:val="24"/>
                <w:szCs w:val="24"/>
              </w:rPr>
            </w:pPr>
            <w:r>
              <w:rPr>
                <w:rFonts w:hint="eastAsia"/>
                <w:color w:val="auto"/>
                <w:sz w:val="24"/>
                <w:szCs w:val="24"/>
              </w:rPr>
              <w:t>③一旦出现事故，立即由平时的生产管理体制转为事故处理管理体制，应付处理事故的指挥决策。应急措施主要是断源、隔离和上报；</w:t>
            </w:r>
          </w:p>
          <w:p>
            <w:pPr>
              <w:keepNext w:val="0"/>
              <w:keepLines w:val="0"/>
              <w:suppressLineNumbers w:val="0"/>
              <w:adjustRightInd w:val="0"/>
              <w:snapToGrid w:val="0"/>
              <w:spacing w:before="0" w:beforeAutospacing="0" w:after="0" w:afterAutospacing="0"/>
              <w:ind w:left="0" w:right="0" w:firstLine="480" w:firstLineChars="200"/>
              <w:jc w:val="both"/>
              <w:rPr>
                <w:rFonts w:hint="eastAsia"/>
                <w:color w:val="auto"/>
                <w:sz w:val="24"/>
                <w:szCs w:val="24"/>
              </w:rPr>
            </w:pPr>
            <w:r>
              <w:rPr>
                <w:rFonts w:hint="eastAsia"/>
                <w:color w:val="auto"/>
                <w:sz w:val="24"/>
                <w:szCs w:val="24"/>
              </w:rPr>
              <w:t>④完善环境安全事故或紧急状况下的应急准备和相应程序，预防和减少事故造成的环境影响；</w:t>
            </w:r>
          </w:p>
          <w:p>
            <w:pPr>
              <w:keepNext w:val="0"/>
              <w:keepLines w:val="0"/>
              <w:suppressLineNumbers w:val="0"/>
              <w:adjustRightInd w:val="0"/>
              <w:snapToGrid w:val="0"/>
              <w:spacing w:before="0" w:beforeAutospacing="0" w:after="0" w:afterAutospacing="0"/>
              <w:ind w:left="0" w:right="0" w:firstLine="480" w:firstLineChars="200"/>
              <w:jc w:val="both"/>
              <w:rPr>
                <w:rFonts w:hint="eastAsia"/>
                <w:color w:val="auto"/>
                <w:sz w:val="24"/>
                <w:szCs w:val="24"/>
              </w:rPr>
            </w:pPr>
            <w:r>
              <w:rPr>
                <w:rFonts w:hint="eastAsia"/>
                <w:color w:val="auto"/>
                <w:sz w:val="24"/>
                <w:szCs w:val="24"/>
              </w:rPr>
              <w:t>⑤事故发生后及时启动应急预案，开展突发环境应急救援，将环境影响程度降至最低；</w:t>
            </w:r>
          </w:p>
          <w:p>
            <w:pPr>
              <w:keepNext w:val="0"/>
              <w:keepLines w:val="0"/>
              <w:suppressLineNumbers w:val="0"/>
              <w:adjustRightInd w:val="0"/>
              <w:snapToGrid w:val="0"/>
              <w:spacing w:before="0" w:beforeAutospacing="0" w:after="0" w:afterAutospacing="0"/>
              <w:ind w:left="0" w:right="0" w:firstLine="480" w:firstLineChars="200"/>
              <w:jc w:val="both"/>
              <w:rPr>
                <w:rFonts w:hint="default" w:ascii="Times New Roman" w:hAnsi="Times New Roman" w:eastAsia="宋体" w:cs="Times New Roman"/>
                <w:color w:val="auto"/>
                <w:kern w:val="2"/>
                <w:sz w:val="24"/>
                <w:szCs w:val="24"/>
                <w:lang w:val="en-US" w:eastAsia="zh-CN" w:bidi="ar-SA"/>
              </w:rPr>
            </w:pPr>
            <w:r>
              <w:rPr>
                <w:rFonts w:hint="eastAsia"/>
                <w:color w:val="auto"/>
                <w:sz w:val="24"/>
                <w:szCs w:val="24"/>
              </w:rPr>
              <w:t>⑥定期开展教育培训。</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198" w:hRule="atLeast"/>
          <w:jc w:val="center"/>
        </w:trPr>
        <w:tc>
          <w:tcPr>
            <w:tcW w:w="1433"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pacing w:val="-8"/>
                <w:sz w:val="24"/>
                <w:szCs w:val="24"/>
                <w:u w:val="none" w:color="auto"/>
              </w:rPr>
            </w:pPr>
            <w:r>
              <w:rPr>
                <w:rFonts w:hint="default" w:ascii="Times New Roman" w:hAnsi="Times New Roman" w:eastAsia="宋体" w:cs="Times New Roman"/>
                <w:color w:val="auto"/>
                <w:spacing w:val="-8"/>
                <w:sz w:val="24"/>
                <w:szCs w:val="24"/>
                <w:u w:val="none" w:color="auto"/>
              </w:rPr>
              <w:t>其他环境</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pacing w:val="-8"/>
                <w:sz w:val="24"/>
                <w:szCs w:val="24"/>
                <w:u w:val="none" w:color="auto"/>
              </w:rPr>
            </w:pPr>
            <w:r>
              <w:rPr>
                <w:rFonts w:hint="default" w:ascii="Times New Roman" w:hAnsi="Times New Roman" w:eastAsia="宋体" w:cs="Times New Roman"/>
                <w:color w:val="auto"/>
                <w:spacing w:val="-8"/>
                <w:sz w:val="24"/>
                <w:szCs w:val="24"/>
                <w:u w:val="none" w:color="auto"/>
              </w:rPr>
              <w:t>管理要求</w:t>
            </w:r>
          </w:p>
        </w:tc>
        <w:tc>
          <w:tcPr>
            <w:tcW w:w="7367" w:type="dxa"/>
            <w:gridSpan w:val="6"/>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80" w:firstLineChars="200"/>
              <w:jc w:val="left"/>
              <w:textAlignment w:val="auto"/>
              <w:rPr>
                <w:rFonts w:hint="eastAsia" w:ascii="Times New Roman" w:hAnsi="Times New Roman" w:eastAsia="宋体" w:cs="Times New Roman"/>
                <w:color w:val="auto"/>
                <w:sz w:val="24"/>
                <w:szCs w:val="24"/>
                <w:u w:val="none" w:color="auto"/>
                <w:lang w:eastAsia="zh-CN"/>
              </w:rPr>
            </w:pPr>
            <w:r>
              <w:rPr>
                <w:rFonts w:hint="eastAsia" w:ascii="Times New Roman" w:hAnsi="Times New Roman" w:eastAsia="宋体" w:cs="Times New Roman"/>
                <w:color w:val="auto"/>
                <w:sz w:val="24"/>
                <w:szCs w:val="24"/>
                <w:u w:val="none" w:color="auto"/>
                <w:lang w:eastAsia="zh-CN"/>
              </w:rPr>
              <w:t>除执行上述废水、废气、噪声、固废措施外，须按照《河南省重污染天气通用行业应急减排措施制定技术指南》（2024年修订版）中涉PM企业引领性指标等具体要求执行。</w:t>
            </w:r>
          </w:p>
        </w:tc>
      </w:tr>
    </w:tbl>
    <w:p>
      <w:pPr>
        <w:pStyle w:val="23"/>
        <w:jc w:val="center"/>
        <w:outlineLvl w:val="0"/>
        <w:rPr>
          <w:rFonts w:hint="eastAsia" w:ascii="宋体" w:hAnsi="宋体" w:eastAsia="宋体" w:cs="宋体"/>
          <w:snapToGrid w:val="0"/>
          <w:color w:val="auto"/>
          <w:sz w:val="30"/>
          <w:szCs w:val="30"/>
        </w:rPr>
      </w:pPr>
      <w:r>
        <w:rPr>
          <w:rFonts w:hint="eastAsia" w:ascii="宋体" w:hAnsi="宋体" w:eastAsia="宋体" w:cs="宋体"/>
          <w:snapToGrid w:val="0"/>
          <w:color w:val="auto"/>
        </w:rPr>
        <w:br w:type="page"/>
      </w:r>
      <w:bookmarkStart w:id="10" w:name="_Toc2714"/>
      <w:r>
        <w:rPr>
          <w:rFonts w:hint="eastAsia" w:ascii="宋体" w:hAnsi="宋体" w:eastAsia="宋体" w:cs="宋体"/>
          <w:b/>
          <w:bCs/>
          <w:snapToGrid w:val="0"/>
          <w:color w:val="auto"/>
          <w:sz w:val="30"/>
          <w:szCs w:val="30"/>
        </w:rPr>
        <w:t>六、结论</w:t>
      </w:r>
      <w:bookmarkEnd w:id="10"/>
    </w:p>
    <w:tbl>
      <w:tblPr>
        <w:tblStyle w:val="27"/>
        <w:tblW w:w="8865"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1991" w:hRule="atLeast"/>
          <w:jc w:val="center"/>
        </w:trPr>
        <w:tc>
          <w:tcPr>
            <w:tcW w:w="8865" w:type="dxa"/>
            <w:vAlign w:val="center"/>
          </w:tcPr>
          <w:p>
            <w:pPr>
              <w:keepNext w:val="0"/>
              <w:keepLines w:val="0"/>
              <w:pageBreakBefore w:val="0"/>
              <w:widowControl w:val="0"/>
              <w:suppressLineNumbers w:val="0"/>
              <w:kinsoku/>
              <w:wordWrap/>
              <w:overflowPunct w:val="0"/>
              <w:adjustRightInd w:val="0"/>
              <w:snapToGrid w:val="0"/>
              <w:spacing w:before="0" w:beforeAutospacing="0" w:after="0" w:afterAutospacing="0" w:line="360" w:lineRule="auto"/>
              <w:ind w:left="0" w:leftChars="0" w:right="0" w:firstLine="482" w:firstLineChars="200"/>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bCs/>
                <w:color w:val="auto"/>
                <w:sz w:val="24"/>
                <w:szCs w:val="24"/>
              </w:rPr>
              <w:t>安阳神龙腾达新材科技有限公司年产6万吨铝锌合金配套炒灰机项目的建设符合当前国家产业政策和</w:t>
            </w:r>
            <w:r>
              <w:rPr>
                <w:rFonts w:hint="eastAsia" w:ascii="Times New Roman" w:hAnsi="Times New Roman" w:eastAsia="宋体" w:cs="Times New Roman"/>
                <w:b/>
                <w:bCs/>
                <w:color w:val="auto"/>
                <w:sz w:val="24"/>
                <w:szCs w:val="24"/>
                <w:lang w:eastAsia="zh-CN"/>
              </w:rPr>
              <w:t>当地</w:t>
            </w:r>
            <w:r>
              <w:rPr>
                <w:rFonts w:hint="default" w:ascii="Times New Roman" w:hAnsi="Times New Roman" w:eastAsia="宋体" w:cs="Times New Roman"/>
                <w:b/>
                <w:bCs/>
                <w:color w:val="auto"/>
                <w:sz w:val="24"/>
                <w:szCs w:val="24"/>
              </w:rPr>
              <w:t>规划要求，项目选址可行。在采取评价提出的污染防治措施以及充分落实评价建议的基础上，项目产生的污染物实现达标排放，对周围环境影响较小，工程建设不涉及自然保护区、世界自然和文化遗产地、风景名胜区、森林公园等环境敏感区，不存在环境制约因素，从环境保护角度分析，工程建设是可行的。</w:t>
            </w:r>
          </w:p>
          <w:p>
            <w:pPr>
              <w:keepNext w:val="0"/>
              <w:keepLines w:val="0"/>
              <w:suppressLineNumbers w:val="0"/>
              <w:spacing w:before="0" w:beforeAutospacing="0" w:after="0" w:afterAutospacing="0" w:line="360" w:lineRule="auto"/>
              <w:ind w:left="0" w:right="0"/>
              <w:jc w:val="right"/>
              <w:rPr>
                <w:rFonts w:hint="eastAsia" w:ascii="宋体" w:hAnsi="宋体" w:eastAsia="宋体" w:cs="宋体"/>
                <w:color w:val="auto"/>
                <w:sz w:val="24"/>
              </w:rPr>
            </w:pPr>
          </w:p>
        </w:tc>
      </w:tr>
    </w:tbl>
    <w:p>
      <w:pPr>
        <w:rPr>
          <w:rFonts w:hint="eastAsia" w:ascii="宋体" w:hAnsi="宋体" w:eastAsia="宋体" w:cs="宋体"/>
          <w:color w:val="auto"/>
        </w:rPr>
        <w:sectPr>
          <w:pgSz w:w="11906" w:h="16838"/>
          <w:pgMar w:top="1701" w:right="1531" w:bottom="1701" w:left="1531" w:header="851" w:footer="851" w:gutter="0"/>
          <w:pgBorders>
            <w:top w:val="none" w:color="auto" w:sz="0" w:space="0"/>
            <w:left w:val="none" w:color="auto" w:sz="0" w:space="0"/>
            <w:bottom w:val="none" w:color="auto" w:sz="0" w:space="0"/>
            <w:right w:val="none" w:color="auto" w:sz="0" w:space="0"/>
          </w:pgBorders>
          <w:pgNumType w:fmt="numberInDash"/>
          <w:cols w:space="720" w:num="1"/>
          <w:docGrid w:linePitch="312" w:charSpace="0"/>
        </w:sectPr>
      </w:pPr>
    </w:p>
    <w:p>
      <w:pPr>
        <w:pStyle w:val="23"/>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textAlignment w:val="auto"/>
        <w:outlineLvl w:val="0"/>
        <w:rPr>
          <w:rFonts w:hint="eastAsia" w:ascii="宋体" w:hAnsi="宋体" w:eastAsia="宋体" w:cs="宋体"/>
          <w:snapToGrid w:val="0"/>
          <w:color w:val="auto"/>
          <w:sz w:val="32"/>
          <w:szCs w:val="32"/>
        </w:rPr>
      </w:pPr>
      <w:bookmarkStart w:id="11" w:name="_Toc23317"/>
      <w:r>
        <w:rPr>
          <w:rFonts w:hint="eastAsia" w:ascii="宋体" w:hAnsi="宋体" w:eastAsia="宋体" w:cs="宋体"/>
          <w:snapToGrid w:val="0"/>
          <w:color w:val="auto"/>
          <w:sz w:val="32"/>
          <w:szCs w:val="32"/>
        </w:rPr>
        <w:t>附表</w:t>
      </w:r>
      <w:bookmarkEnd w:id="11"/>
    </w:p>
    <w:p>
      <w:pPr>
        <w:pStyle w:val="23"/>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jc w:val="center"/>
        <w:textAlignment w:val="auto"/>
        <w:outlineLvl w:val="0"/>
        <w:rPr>
          <w:rFonts w:hint="eastAsia" w:ascii="宋体" w:hAnsi="宋体" w:eastAsia="宋体" w:cs="宋体"/>
          <w:b/>
          <w:bCs/>
          <w:snapToGrid w:val="0"/>
          <w:color w:val="auto"/>
          <w:sz w:val="38"/>
          <w:szCs w:val="38"/>
        </w:rPr>
      </w:pPr>
      <w:bookmarkStart w:id="12" w:name="_Toc14797"/>
      <w:r>
        <w:rPr>
          <w:rFonts w:hint="eastAsia" w:ascii="宋体" w:hAnsi="宋体" w:eastAsia="宋体" w:cs="宋体"/>
          <w:b/>
          <w:bCs/>
          <w:snapToGrid w:val="0"/>
          <w:color w:val="auto"/>
          <w:sz w:val="38"/>
          <w:szCs w:val="38"/>
        </w:rPr>
        <w:t>建设项目污染物排放量汇总表</w:t>
      </w:r>
      <w:bookmarkEnd w:id="12"/>
    </w:p>
    <w:tbl>
      <w:tblPr>
        <w:tblStyle w:val="27"/>
        <w:tblW w:w="13788"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88"/>
        <w:gridCol w:w="1417"/>
        <w:gridCol w:w="1701"/>
        <w:gridCol w:w="1276"/>
        <w:gridCol w:w="1701"/>
        <w:gridCol w:w="1559"/>
        <w:gridCol w:w="1761"/>
        <w:gridCol w:w="1593"/>
        <w:gridCol w:w="119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53" w:hRule="atLeast"/>
          <w:tblHeader/>
          <w:jc w:val="center"/>
        </w:trPr>
        <w:tc>
          <w:tcPr>
            <w:tcW w:w="1588" w:type="dxa"/>
            <w:tcBorders>
              <w:tl2br w:val="single" w:color="auto" w:sz="4" w:space="0"/>
            </w:tcBorders>
            <w:tcMar>
              <w:left w:w="28" w:type="dxa"/>
              <w:right w:w="28" w:type="dxa"/>
            </w:tcMar>
            <w:vAlign w:val="center"/>
          </w:tcPr>
          <w:p>
            <w:pPr>
              <w:pStyle w:val="46"/>
              <w:keepNext w:val="0"/>
              <w:keepLines w:val="0"/>
              <w:suppressLineNumbers w:val="0"/>
              <w:spacing w:beforeLines="0" w:beforeAutospacing="0" w:after="0" w:afterLines="0" w:afterAutospacing="0" w:line="240" w:lineRule="auto"/>
              <w:ind w:left="0" w:right="0"/>
              <w:jc w:val="center"/>
              <w:rPr>
                <w:rFonts w:hint="default" w:ascii="Times New Roman" w:hAnsi="Times New Roman" w:eastAsia="宋体" w:cs="Times New Roman"/>
                <w:b/>
                <w:bCs/>
                <w:snapToGrid w:val="0"/>
                <w:color w:val="auto"/>
                <w:spacing w:val="-6"/>
                <w:kern w:val="21"/>
                <w:sz w:val="21"/>
                <w:szCs w:val="21"/>
                <w:u w:val="none" w:color="auto"/>
              </w:rPr>
            </w:pPr>
            <w:r>
              <w:rPr>
                <w:rFonts w:hint="default" w:ascii="Times New Roman" w:hAnsi="Times New Roman" w:eastAsia="宋体" w:cs="Times New Roman"/>
                <w:b/>
                <w:bCs/>
                <w:snapToGrid w:val="0"/>
                <w:color w:val="auto"/>
                <w:spacing w:val="-6"/>
                <w:kern w:val="21"/>
                <w:sz w:val="21"/>
                <w:szCs w:val="21"/>
                <w:u w:val="none" w:color="auto"/>
                <w:lang w:val="en-US" w:eastAsia="zh-CN"/>
              </w:rPr>
              <w:t xml:space="preserve">       </w:t>
            </w:r>
            <w:r>
              <w:rPr>
                <w:rFonts w:hint="default" w:ascii="Times New Roman" w:hAnsi="Times New Roman" w:eastAsia="宋体" w:cs="Times New Roman"/>
                <w:b/>
                <w:bCs/>
                <w:snapToGrid w:val="0"/>
                <w:color w:val="auto"/>
                <w:spacing w:val="-6"/>
                <w:kern w:val="21"/>
                <w:sz w:val="21"/>
                <w:szCs w:val="21"/>
                <w:u w:val="none" w:color="auto"/>
              </w:rPr>
              <w:t>项目</w:t>
            </w:r>
          </w:p>
          <w:p>
            <w:pPr>
              <w:pStyle w:val="46"/>
              <w:keepNext w:val="0"/>
              <w:keepLines w:val="0"/>
              <w:suppressLineNumbers w:val="0"/>
              <w:spacing w:beforeLines="0" w:beforeAutospacing="0" w:after="0" w:afterLines="0" w:afterAutospacing="0" w:line="240" w:lineRule="auto"/>
              <w:ind w:left="0" w:right="0" w:firstLine="199" w:firstLineChars="100"/>
              <w:jc w:val="both"/>
              <w:rPr>
                <w:rFonts w:hint="default" w:ascii="Times New Roman" w:hAnsi="Times New Roman" w:eastAsia="宋体" w:cs="Times New Roman"/>
                <w:b/>
                <w:bCs/>
                <w:snapToGrid w:val="0"/>
                <w:color w:val="auto"/>
                <w:spacing w:val="-6"/>
                <w:kern w:val="21"/>
                <w:sz w:val="21"/>
                <w:szCs w:val="21"/>
                <w:u w:val="none" w:color="auto"/>
              </w:rPr>
            </w:pPr>
            <w:r>
              <w:rPr>
                <w:rFonts w:hint="default" w:ascii="Times New Roman" w:hAnsi="Times New Roman" w:eastAsia="宋体" w:cs="Times New Roman"/>
                <w:b/>
                <w:bCs/>
                <w:snapToGrid w:val="0"/>
                <w:color w:val="auto"/>
                <w:spacing w:val="-6"/>
                <w:kern w:val="21"/>
                <w:sz w:val="21"/>
                <w:szCs w:val="21"/>
                <w:u w:val="none" w:color="auto"/>
              </w:rPr>
              <w:t>分类</w:t>
            </w:r>
          </w:p>
        </w:tc>
        <w:tc>
          <w:tcPr>
            <w:tcW w:w="1417" w:type="dxa"/>
            <w:tcMar>
              <w:left w:w="28" w:type="dxa"/>
              <w:right w:w="28" w:type="dxa"/>
            </w:tcMar>
            <w:vAlign w:val="center"/>
          </w:tcPr>
          <w:p>
            <w:pPr>
              <w:pStyle w:val="46"/>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0" w:afterLines="0" w:afterAutospacing="0" w:line="240" w:lineRule="auto"/>
              <w:ind w:left="0" w:right="0" w:firstLine="0"/>
              <w:jc w:val="center"/>
              <w:textAlignment w:val="baseline"/>
              <w:rPr>
                <w:rFonts w:hint="default" w:ascii="Times New Roman" w:hAnsi="Times New Roman" w:eastAsia="宋体" w:cs="Times New Roman"/>
                <w:b/>
                <w:bCs/>
                <w:snapToGrid w:val="0"/>
                <w:color w:val="auto"/>
                <w:spacing w:val="-6"/>
                <w:kern w:val="21"/>
                <w:sz w:val="21"/>
                <w:szCs w:val="21"/>
                <w:u w:val="none" w:color="auto"/>
              </w:rPr>
            </w:pPr>
            <w:r>
              <w:rPr>
                <w:rFonts w:hint="default" w:ascii="Times New Roman" w:hAnsi="Times New Roman" w:eastAsia="宋体" w:cs="Times New Roman"/>
                <w:b/>
                <w:bCs/>
                <w:snapToGrid w:val="0"/>
                <w:color w:val="auto"/>
                <w:spacing w:val="-6"/>
                <w:kern w:val="21"/>
                <w:sz w:val="21"/>
                <w:szCs w:val="21"/>
                <w:u w:val="none" w:color="auto"/>
              </w:rPr>
              <w:t>污染物名称</w:t>
            </w:r>
          </w:p>
        </w:tc>
        <w:tc>
          <w:tcPr>
            <w:tcW w:w="1701" w:type="dxa"/>
            <w:tcMar>
              <w:left w:w="28" w:type="dxa"/>
              <w:right w:w="28" w:type="dxa"/>
            </w:tcMar>
            <w:vAlign w:val="center"/>
          </w:tcPr>
          <w:p>
            <w:pPr>
              <w:pStyle w:val="46"/>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0" w:afterLines="0" w:afterAutospacing="0" w:line="240" w:lineRule="auto"/>
              <w:ind w:left="0" w:right="0" w:firstLine="0"/>
              <w:jc w:val="center"/>
              <w:textAlignment w:val="baseline"/>
              <w:rPr>
                <w:rFonts w:hint="default" w:ascii="Times New Roman" w:hAnsi="Times New Roman" w:eastAsia="宋体" w:cs="Times New Roman"/>
                <w:b/>
                <w:bCs/>
                <w:snapToGrid w:val="0"/>
                <w:color w:val="auto"/>
                <w:spacing w:val="-6"/>
                <w:kern w:val="21"/>
                <w:sz w:val="21"/>
                <w:szCs w:val="21"/>
                <w:u w:val="none" w:color="auto"/>
              </w:rPr>
            </w:pPr>
            <w:r>
              <w:rPr>
                <w:rFonts w:hint="default" w:ascii="Times New Roman" w:hAnsi="Times New Roman" w:eastAsia="宋体" w:cs="Times New Roman"/>
                <w:b/>
                <w:bCs/>
                <w:snapToGrid w:val="0"/>
                <w:color w:val="auto"/>
                <w:spacing w:val="-6"/>
                <w:kern w:val="21"/>
                <w:sz w:val="21"/>
                <w:szCs w:val="21"/>
                <w:u w:val="none" w:color="auto"/>
              </w:rPr>
              <w:t>现有工程</w:t>
            </w:r>
          </w:p>
          <w:p>
            <w:pPr>
              <w:pStyle w:val="46"/>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0" w:afterLines="0" w:afterAutospacing="0" w:line="240" w:lineRule="auto"/>
              <w:ind w:left="0" w:right="0" w:firstLine="0"/>
              <w:jc w:val="center"/>
              <w:textAlignment w:val="baseline"/>
              <w:rPr>
                <w:rFonts w:hint="default" w:ascii="Times New Roman" w:hAnsi="Times New Roman" w:eastAsia="宋体" w:cs="Times New Roman"/>
                <w:b/>
                <w:bCs/>
                <w:snapToGrid w:val="0"/>
                <w:color w:val="auto"/>
                <w:spacing w:val="-6"/>
                <w:kern w:val="21"/>
                <w:sz w:val="21"/>
                <w:szCs w:val="21"/>
                <w:u w:val="none" w:color="auto"/>
              </w:rPr>
            </w:pPr>
            <w:r>
              <w:rPr>
                <w:rFonts w:hint="default" w:ascii="Times New Roman" w:hAnsi="Times New Roman" w:eastAsia="宋体" w:cs="Times New Roman"/>
                <w:b/>
                <w:bCs/>
                <w:snapToGrid w:val="0"/>
                <w:color w:val="auto"/>
                <w:spacing w:val="-6"/>
                <w:kern w:val="21"/>
                <w:sz w:val="21"/>
                <w:szCs w:val="21"/>
                <w:u w:val="none" w:color="auto"/>
              </w:rPr>
              <w:t>排放量（固体废物产生量）</w:t>
            </w:r>
            <w:r>
              <w:rPr>
                <w:rFonts w:hint="default" w:ascii="Times New Roman" w:hAnsi="Times New Roman" w:eastAsia="宋体" w:cs="Times New Roman"/>
                <w:b/>
                <w:bCs/>
                <w:snapToGrid w:val="0"/>
                <w:color w:val="auto"/>
                <w:spacing w:val="-6"/>
                <w:kern w:val="21"/>
                <w:sz w:val="21"/>
                <w:szCs w:val="21"/>
                <w:u w:val="none" w:color="auto"/>
              </w:rPr>
              <w:fldChar w:fldCharType="begin"/>
            </w:r>
            <w:r>
              <w:rPr>
                <w:rFonts w:hint="default" w:ascii="Times New Roman" w:hAnsi="Times New Roman" w:eastAsia="宋体" w:cs="Times New Roman"/>
                <w:b/>
                <w:bCs/>
                <w:snapToGrid w:val="0"/>
                <w:color w:val="auto"/>
                <w:spacing w:val="-6"/>
                <w:kern w:val="21"/>
                <w:sz w:val="21"/>
                <w:szCs w:val="21"/>
                <w:u w:val="none" w:color="auto"/>
              </w:rPr>
              <w:instrText xml:space="preserve"> = 1 \* GB3 \* MERGEFORMAT </w:instrText>
            </w:r>
            <w:r>
              <w:rPr>
                <w:rFonts w:hint="default" w:ascii="Times New Roman" w:hAnsi="Times New Roman" w:eastAsia="宋体" w:cs="Times New Roman"/>
                <w:b/>
                <w:bCs/>
                <w:snapToGrid w:val="0"/>
                <w:color w:val="auto"/>
                <w:spacing w:val="-6"/>
                <w:kern w:val="21"/>
                <w:sz w:val="21"/>
                <w:szCs w:val="21"/>
                <w:u w:val="none" w:color="auto"/>
              </w:rPr>
              <w:fldChar w:fldCharType="separate"/>
            </w:r>
            <w:r>
              <w:rPr>
                <w:rFonts w:hint="default" w:ascii="Times New Roman" w:hAnsi="Times New Roman" w:eastAsia="宋体" w:cs="Times New Roman"/>
                <w:b/>
                <w:bCs/>
                <w:color w:val="auto"/>
                <w:kern w:val="2"/>
                <w:sz w:val="21"/>
                <w:szCs w:val="21"/>
                <w:u w:val="none" w:color="auto"/>
              </w:rPr>
              <w:t>①</w:t>
            </w:r>
            <w:r>
              <w:rPr>
                <w:rFonts w:hint="default" w:ascii="Times New Roman" w:hAnsi="Times New Roman" w:eastAsia="宋体" w:cs="Times New Roman"/>
                <w:b/>
                <w:bCs/>
                <w:snapToGrid w:val="0"/>
                <w:color w:val="auto"/>
                <w:spacing w:val="-6"/>
                <w:kern w:val="21"/>
                <w:sz w:val="21"/>
                <w:szCs w:val="21"/>
                <w:u w:val="none" w:color="auto"/>
              </w:rPr>
              <w:fldChar w:fldCharType="end"/>
            </w:r>
          </w:p>
        </w:tc>
        <w:tc>
          <w:tcPr>
            <w:tcW w:w="1276" w:type="dxa"/>
            <w:tcMar>
              <w:left w:w="28" w:type="dxa"/>
              <w:right w:w="28" w:type="dxa"/>
            </w:tcMar>
            <w:vAlign w:val="center"/>
          </w:tcPr>
          <w:p>
            <w:pPr>
              <w:pStyle w:val="46"/>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0" w:afterLines="0" w:afterAutospacing="0" w:line="240" w:lineRule="auto"/>
              <w:ind w:left="0" w:right="0" w:firstLine="0"/>
              <w:jc w:val="center"/>
              <w:textAlignment w:val="baseline"/>
              <w:rPr>
                <w:rFonts w:hint="default" w:ascii="Times New Roman" w:hAnsi="Times New Roman" w:eastAsia="宋体" w:cs="Times New Roman"/>
                <w:b/>
                <w:bCs/>
                <w:snapToGrid w:val="0"/>
                <w:color w:val="auto"/>
                <w:spacing w:val="-6"/>
                <w:kern w:val="21"/>
                <w:sz w:val="21"/>
                <w:szCs w:val="21"/>
                <w:u w:val="none" w:color="auto"/>
              </w:rPr>
            </w:pPr>
            <w:r>
              <w:rPr>
                <w:rFonts w:hint="default" w:ascii="Times New Roman" w:hAnsi="Times New Roman" w:eastAsia="宋体" w:cs="Times New Roman"/>
                <w:b/>
                <w:bCs/>
                <w:snapToGrid w:val="0"/>
                <w:color w:val="auto"/>
                <w:spacing w:val="-6"/>
                <w:kern w:val="21"/>
                <w:sz w:val="21"/>
                <w:szCs w:val="21"/>
                <w:u w:val="none" w:color="auto"/>
              </w:rPr>
              <w:t>现有工程</w:t>
            </w:r>
          </w:p>
          <w:p>
            <w:pPr>
              <w:pStyle w:val="46"/>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0" w:afterLines="0" w:afterAutospacing="0" w:line="240" w:lineRule="auto"/>
              <w:ind w:left="0" w:right="0" w:firstLine="0"/>
              <w:jc w:val="center"/>
              <w:textAlignment w:val="baseline"/>
              <w:rPr>
                <w:rFonts w:hint="default" w:ascii="Times New Roman" w:hAnsi="Times New Roman" w:eastAsia="宋体" w:cs="Times New Roman"/>
                <w:b/>
                <w:bCs/>
                <w:snapToGrid w:val="0"/>
                <w:color w:val="auto"/>
                <w:spacing w:val="-6"/>
                <w:kern w:val="21"/>
                <w:sz w:val="21"/>
                <w:szCs w:val="21"/>
                <w:u w:val="none" w:color="auto"/>
              </w:rPr>
            </w:pPr>
            <w:r>
              <w:rPr>
                <w:rFonts w:hint="default" w:ascii="Times New Roman" w:hAnsi="Times New Roman" w:eastAsia="宋体" w:cs="Times New Roman"/>
                <w:b/>
                <w:bCs/>
                <w:snapToGrid w:val="0"/>
                <w:color w:val="auto"/>
                <w:spacing w:val="-6"/>
                <w:kern w:val="21"/>
                <w:sz w:val="21"/>
                <w:szCs w:val="21"/>
                <w:u w:val="none" w:color="auto"/>
              </w:rPr>
              <w:t>许可排放量</w:t>
            </w:r>
          </w:p>
          <w:p>
            <w:pPr>
              <w:pStyle w:val="46"/>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0" w:afterLines="0" w:afterAutospacing="0"/>
              <w:ind w:left="0" w:right="0" w:firstLine="0"/>
              <w:jc w:val="center"/>
              <w:textAlignment w:val="baseline"/>
              <w:rPr>
                <w:rFonts w:hint="default" w:ascii="Times New Roman" w:hAnsi="Times New Roman" w:eastAsia="宋体" w:cs="Times New Roman"/>
                <w:b/>
                <w:bCs/>
                <w:snapToGrid w:val="0"/>
                <w:color w:val="auto"/>
                <w:spacing w:val="-6"/>
                <w:kern w:val="21"/>
                <w:sz w:val="21"/>
                <w:szCs w:val="21"/>
                <w:u w:val="none" w:color="auto"/>
              </w:rPr>
            </w:pPr>
            <w:r>
              <w:rPr>
                <w:rFonts w:hint="default" w:ascii="Times New Roman" w:hAnsi="Times New Roman" w:eastAsia="宋体" w:cs="Times New Roman"/>
                <w:b/>
                <w:bCs/>
                <w:snapToGrid w:val="0"/>
                <w:color w:val="auto"/>
                <w:spacing w:val="-6"/>
                <w:kern w:val="21"/>
                <w:sz w:val="21"/>
                <w:szCs w:val="21"/>
                <w:u w:val="none" w:color="auto"/>
              </w:rPr>
              <w:fldChar w:fldCharType="begin"/>
            </w:r>
            <w:r>
              <w:rPr>
                <w:rFonts w:hint="default" w:ascii="Times New Roman" w:hAnsi="Times New Roman" w:eastAsia="宋体" w:cs="Times New Roman"/>
                <w:b/>
                <w:bCs/>
                <w:snapToGrid w:val="0"/>
                <w:color w:val="auto"/>
                <w:spacing w:val="-6"/>
                <w:kern w:val="21"/>
                <w:sz w:val="21"/>
                <w:szCs w:val="21"/>
                <w:u w:val="none" w:color="auto"/>
              </w:rPr>
              <w:instrText xml:space="preserve"> = 2 \* GB3 \* MERGEFORMAT </w:instrText>
            </w:r>
            <w:r>
              <w:rPr>
                <w:rFonts w:hint="default" w:ascii="Times New Roman" w:hAnsi="Times New Roman" w:eastAsia="宋体" w:cs="Times New Roman"/>
                <w:b/>
                <w:bCs/>
                <w:snapToGrid w:val="0"/>
                <w:color w:val="auto"/>
                <w:spacing w:val="-6"/>
                <w:kern w:val="21"/>
                <w:sz w:val="21"/>
                <w:szCs w:val="21"/>
                <w:u w:val="none" w:color="auto"/>
              </w:rPr>
              <w:fldChar w:fldCharType="separate"/>
            </w:r>
            <w:r>
              <w:rPr>
                <w:rFonts w:hint="default" w:ascii="Times New Roman" w:hAnsi="Times New Roman" w:eastAsia="宋体" w:cs="Times New Roman"/>
                <w:b/>
                <w:bCs/>
                <w:snapToGrid w:val="0"/>
                <w:color w:val="auto"/>
                <w:spacing w:val="-6"/>
                <w:kern w:val="21"/>
                <w:sz w:val="21"/>
                <w:szCs w:val="21"/>
                <w:u w:val="none" w:color="auto"/>
              </w:rPr>
              <w:t>②</w:t>
            </w:r>
            <w:r>
              <w:rPr>
                <w:rFonts w:hint="default" w:ascii="Times New Roman" w:hAnsi="Times New Roman" w:eastAsia="宋体" w:cs="Times New Roman"/>
                <w:b/>
                <w:bCs/>
                <w:snapToGrid w:val="0"/>
                <w:color w:val="auto"/>
                <w:spacing w:val="-6"/>
                <w:kern w:val="21"/>
                <w:sz w:val="21"/>
                <w:szCs w:val="21"/>
                <w:u w:val="none" w:color="auto"/>
              </w:rPr>
              <w:fldChar w:fldCharType="end"/>
            </w:r>
          </w:p>
        </w:tc>
        <w:tc>
          <w:tcPr>
            <w:tcW w:w="1701" w:type="dxa"/>
            <w:tcMar>
              <w:left w:w="28" w:type="dxa"/>
              <w:right w:w="28" w:type="dxa"/>
            </w:tcMar>
            <w:vAlign w:val="center"/>
          </w:tcPr>
          <w:p>
            <w:pPr>
              <w:pStyle w:val="46"/>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0" w:afterLines="0" w:afterAutospacing="0" w:line="240" w:lineRule="auto"/>
              <w:ind w:left="0" w:right="0" w:firstLine="0"/>
              <w:jc w:val="center"/>
              <w:textAlignment w:val="baseline"/>
              <w:rPr>
                <w:rFonts w:hint="default" w:ascii="Times New Roman" w:hAnsi="Times New Roman" w:eastAsia="宋体" w:cs="Times New Roman"/>
                <w:b/>
                <w:bCs/>
                <w:snapToGrid w:val="0"/>
                <w:color w:val="auto"/>
                <w:spacing w:val="-6"/>
                <w:kern w:val="21"/>
                <w:sz w:val="21"/>
                <w:szCs w:val="21"/>
                <w:u w:val="none" w:color="auto"/>
              </w:rPr>
            </w:pPr>
            <w:r>
              <w:rPr>
                <w:rFonts w:hint="default" w:ascii="Times New Roman" w:hAnsi="Times New Roman" w:eastAsia="宋体" w:cs="Times New Roman"/>
                <w:b/>
                <w:bCs/>
                <w:snapToGrid w:val="0"/>
                <w:color w:val="auto"/>
                <w:spacing w:val="-6"/>
                <w:kern w:val="21"/>
                <w:sz w:val="21"/>
                <w:szCs w:val="21"/>
                <w:u w:val="none" w:color="auto"/>
              </w:rPr>
              <w:t>在建工程</w:t>
            </w:r>
          </w:p>
          <w:p>
            <w:pPr>
              <w:pStyle w:val="46"/>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0" w:afterLines="0" w:afterAutospacing="0" w:line="240" w:lineRule="auto"/>
              <w:ind w:left="0" w:right="0" w:firstLine="0"/>
              <w:jc w:val="center"/>
              <w:textAlignment w:val="baseline"/>
              <w:rPr>
                <w:rFonts w:hint="default" w:ascii="Times New Roman" w:hAnsi="Times New Roman" w:eastAsia="宋体" w:cs="Times New Roman"/>
                <w:b/>
                <w:bCs/>
                <w:snapToGrid w:val="0"/>
                <w:color w:val="auto"/>
                <w:spacing w:val="-6"/>
                <w:kern w:val="21"/>
                <w:sz w:val="21"/>
                <w:szCs w:val="21"/>
                <w:u w:val="none" w:color="auto"/>
              </w:rPr>
            </w:pPr>
            <w:r>
              <w:rPr>
                <w:rFonts w:hint="default" w:ascii="Times New Roman" w:hAnsi="Times New Roman" w:eastAsia="宋体" w:cs="Times New Roman"/>
                <w:b/>
                <w:bCs/>
                <w:snapToGrid w:val="0"/>
                <w:color w:val="auto"/>
                <w:spacing w:val="-6"/>
                <w:kern w:val="21"/>
                <w:sz w:val="21"/>
                <w:szCs w:val="21"/>
                <w:u w:val="none" w:color="auto"/>
              </w:rPr>
              <w:t>排放量（固体废物产生量）</w:t>
            </w:r>
            <w:r>
              <w:rPr>
                <w:rFonts w:hint="default" w:ascii="Times New Roman" w:hAnsi="Times New Roman" w:eastAsia="宋体" w:cs="Times New Roman"/>
                <w:b/>
                <w:bCs/>
                <w:snapToGrid w:val="0"/>
                <w:color w:val="auto"/>
                <w:spacing w:val="-6"/>
                <w:kern w:val="21"/>
                <w:sz w:val="21"/>
                <w:szCs w:val="21"/>
                <w:u w:val="none" w:color="auto"/>
              </w:rPr>
              <w:fldChar w:fldCharType="begin"/>
            </w:r>
            <w:r>
              <w:rPr>
                <w:rFonts w:hint="default" w:ascii="Times New Roman" w:hAnsi="Times New Roman" w:eastAsia="宋体" w:cs="Times New Roman"/>
                <w:b/>
                <w:bCs/>
                <w:snapToGrid w:val="0"/>
                <w:color w:val="auto"/>
                <w:spacing w:val="-6"/>
                <w:kern w:val="21"/>
                <w:sz w:val="21"/>
                <w:szCs w:val="21"/>
                <w:u w:val="none" w:color="auto"/>
              </w:rPr>
              <w:instrText xml:space="preserve"> = 3 \* GB3 \* MERGEFORMAT </w:instrText>
            </w:r>
            <w:r>
              <w:rPr>
                <w:rFonts w:hint="default" w:ascii="Times New Roman" w:hAnsi="Times New Roman" w:eastAsia="宋体" w:cs="Times New Roman"/>
                <w:b/>
                <w:bCs/>
                <w:snapToGrid w:val="0"/>
                <w:color w:val="auto"/>
                <w:spacing w:val="-6"/>
                <w:kern w:val="21"/>
                <w:sz w:val="21"/>
                <w:szCs w:val="21"/>
                <w:u w:val="none" w:color="auto"/>
              </w:rPr>
              <w:fldChar w:fldCharType="separate"/>
            </w:r>
            <w:r>
              <w:rPr>
                <w:rFonts w:hint="default" w:ascii="Times New Roman" w:hAnsi="Times New Roman" w:eastAsia="宋体" w:cs="Times New Roman"/>
                <w:b/>
                <w:bCs/>
                <w:color w:val="auto"/>
                <w:kern w:val="2"/>
                <w:sz w:val="21"/>
                <w:szCs w:val="21"/>
                <w:u w:val="none" w:color="auto"/>
              </w:rPr>
              <w:t>③</w:t>
            </w:r>
            <w:r>
              <w:rPr>
                <w:rFonts w:hint="default" w:ascii="Times New Roman" w:hAnsi="Times New Roman" w:eastAsia="宋体" w:cs="Times New Roman"/>
                <w:b/>
                <w:bCs/>
                <w:snapToGrid w:val="0"/>
                <w:color w:val="auto"/>
                <w:spacing w:val="-6"/>
                <w:kern w:val="21"/>
                <w:sz w:val="21"/>
                <w:szCs w:val="21"/>
                <w:u w:val="none" w:color="auto"/>
              </w:rPr>
              <w:fldChar w:fldCharType="end"/>
            </w:r>
          </w:p>
        </w:tc>
        <w:tc>
          <w:tcPr>
            <w:tcW w:w="1559" w:type="dxa"/>
            <w:tcMar>
              <w:left w:w="28" w:type="dxa"/>
              <w:right w:w="28" w:type="dxa"/>
            </w:tcMar>
            <w:vAlign w:val="center"/>
          </w:tcPr>
          <w:p>
            <w:pPr>
              <w:pStyle w:val="46"/>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0" w:afterLines="0" w:afterAutospacing="0" w:line="240" w:lineRule="auto"/>
              <w:ind w:left="0" w:right="0" w:firstLine="0"/>
              <w:jc w:val="center"/>
              <w:textAlignment w:val="baseline"/>
              <w:rPr>
                <w:rFonts w:hint="default" w:ascii="Times New Roman" w:hAnsi="Times New Roman" w:eastAsia="宋体" w:cs="Times New Roman"/>
                <w:b/>
                <w:bCs/>
                <w:snapToGrid w:val="0"/>
                <w:color w:val="auto"/>
                <w:spacing w:val="-6"/>
                <w:kern w:val="21"/>
                <w:sz w:val="21"/>
                <w:szCs w:val="21"/>
                <w:u w:val="none" w:color="auto"/>
              </w:rPr>
            </w:pPr>
            <w:r>
              <w:rPr>
                <w:rFonts w:hint="default" w:ascii="Times New Roman" w:hAnsi="Times New Roman" w:eastAsia="宋体" w:cs="Times New Roman"/>
                <w:b/>
                <w:bCs/>
                <w:snapToGrid w:val="0"/>
                <w:color w:val="auto"/>
                <w:spacing w:val="-6"/>
                <w:kern w:val="21"/>
                <w:sz w:val="21"/>
                <w:szCs w:val="21"/>
                <w:u w:val="none" w:color="auto"/>
              </w:rPr>
              <w:t>本项目</w:t>
            </w:r>
          </w:p>
          <w:p>
            <w:pPr>
              <w:pStyle w:val="46"/>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0" w:afterLines="0" w:afterAutospacing="0" w:line="240" w:lineRule="auto"/>
              <w:ind w:left="0" w:right="0" w:firstLine="0"/>
              <w:jc w:val="center"/>
              <w:textAlignment w:val="baseline"/>
              <w:rPr>
                <w:rFonts w:hint="default" w:ascii="Times New Roman" w:hAnsi="Times New Roman" w:eastAsia="宋体" w:cs="Times New Roman"/>
                <w:b/>
                <w:bCs/>
                <w:snapToGrid w:val="0"/>
                <w:color w:val="auto"/>
                <w:spacing w:val="-6"/>
                <w:kern w:val="21"/>
                <w:sz w:val="21"/>
                <w:szCs w:val="21"/>
                <w:u w:val="none" w:color="auto"/>
              </w:rPr>
            </w:pPr>
            <w:r>
              <w:rPr>
                <w:rFonts w:hint="default" w:ascii="Times New Roman" w:hAnsi="Times New Roman" w:eastAsia="宋体" w:cs="Times New Roman"/>
                <w:b/>
                <w:bCs/>
                <w:snapToGrid w:val="0"/>
                <w:color w:val="auto"/>
                <w:spacing w:val="-6"/>
                <w:kern w:val="21"/>
                <w:sz w:val="21"/>
                <w:szCs w:val="21"/>
                <w:u w:val="none" w:color="auto"/>
              </w:rPr>
              <w:t>排放量（固体废物产生量）</w:t>
            </w:r>
            <w:r>
              <w:rPr>
                <w:rFonts w:hint="default" w:ascii="Times New Roman" w:hAnsi="Times New Roman" w:eastAsia="宋体" w:cs="Times New Roman"/>
                <w:b/>
                <w:bCs/>
                <w:snapToGrid w:val="0"/>
                <w:color w:val="auto"/>
                <w:spacing w:val="-6"/>
                <w:kern w:val="21"/>
                <w:sz w:val="21"/>
                <w:szCs w:val="21"/>
                <w:u w:val="none" w:color="auto"/>
              </w:rPr>
              <w:fldChar w:fldCharType="begin"/>
            </w:r>
            <w:r>
              <w:rPr>
                <w:rFonts w:hint="default" w:ascii="Times New Roman" w:hAnsi="Times New Roman" w:eastAsia="宋体" w:cs="Times New Roman"/>
                <w:b/>
                <w:bCs/>
                <w:snapToGrid w:val="0"/>
                <w:color w:val="auto"/>
                <w:spacing w:val="-6"/>
                <w:kern w:val="21"/>
                <w:sz w:val="21"/>
                <w:szCs w:val="21"/>
                <w:u w:val="none" w:color="auto"/>
              </w:rPr>
              <w:instrText xml:space="preserve"> = 4 \* GB3 \* MERGEFORMAT </w:instrText>
            </w:r>
            <w:r>
              <w:rPr>
                <w:rFonts w:hint="default" w:ascii="Times New Roman" w:hAnsi="Times New Roman" w:eastAsia="宋体" w:cs="Times New Roman"/>
                <w:b/>
                <w:bCs/>
                <w:snapToGrid w:val="0"/>
                <w:color w:val="auto"/>
                <w:spacing w:val="-6"/>
                <w:kern w:val="21"/>
                <w:sz w:val="21"/>
                <w:szCs w:val="21"/>
                <w:u w:val="none" w:color="auto"/>
              </w:rPr>
              <w:fldChar w:fldCharType="separate"/>
            </w:r>
            <w:r>
              <w:rPr>
                <w:rFonts w:hint="default" w:ascii="Times New Roman" w:hAnsi="Times New Roman" w:eastAsia="宋体" w:cs="Times New Roman"/>
                <w:b/>
                <w:bCs/>
                <w:color w:val="auto"/>
                <w:kern w:val="2"/>
                <w:sz w:val="21"/>
                <w:szCs w:val="21"/>
                <w:u w:val="none" w:color="auto"/>
              </w:rPr>
              <w:t>④</w:t>
            </w:r>
            <w:r>
              <w:rPr>
                <w:rFonts w:hint="default" w:ascii="Times New Roman" w:hAnsi="Times New Roman" w:eastAsia="宋体" w:cs="Times New Roman"/>
                <w:b/>
                <w:bCs/>
                <w:snapToGrid w:val="0"/>
                <w:color w:val="auto"/>
                <w:spacing w:val="-6"/>
                <w:kern w:val="21"/>
                <w:sz w:val="21"/>
                <w:szCs w:val="21"/>
                <w:u w:val="none" w:color="auto"/>
              </w:rPr>
              <w:fldChar w:fldCharType="end"/>
            </w:r>
          </w:p>
        </w:tc>
        <w:tc>
          <w:tcPr>
            <w:tcW w:w="1761" w:type="dxa"/>
            <w:tcMar>
              <w:left w:w="28" w:type="dxa"/>
              <w:right w:w="28" w:type="dxa"/>
            </w:tcMar>
            <w:vAlign w:val="center"/>
          </w:tcPr>
          <w:p>
            <w:pPr>
              <w:pStyle w:val="46"/>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0" w:afterLines="0" w:afterAutospacing="0" w:line="240" w:lineRule="auto"/>
              <w:ind w:left="0" w:right="0" w:firstLine="0"/>
              <w:jc w:val="center"/>
              <w:textAlignment w:val="baseline"/>
              <w:rPr>
                <w:rFonts w:hint="default" w:ascii="Times New Roman" w:hAnsi="Times New Roman" w:eastAsia="宋体" w:cs="Times New Roman"/>
                <w:b/>
                <w:bCs/>
                <w:snapToGrid w:val="0"/>
                <w:color w:val="auto"/>
                <w:spacing w:val="-16"/>
                <w:kern w:val="21"/>
                <w:sz w:val="21"/>
                <w:szCs w:val="21"/>
                <w:u w:val="none" w:color="auto"/>
              </w:rPr>
            </w:pPr>
            <w:r>
              <w:rPr>
                <w:rFonts w:hint="default" w:ascii="Times New Roman" w:hAnsi="Times New Roman" w:eastAsia="宋体" w:cs="Times New Roman"/>
                <w:b/>
                <w:bCs/>
                <w:snapToGrid w:val="0"/>
                <w:color w:val="auto"/>
                <w:spacing w:val="-16"/>
                <w:kern w:val="21"/>
                <w:sz w:val="21"/>
                <w:szCs w:val="21"/>
                <w:u w:val="none" w:color="auto"/>
              </w:rPr>
              <w:t>以新带老削减量</w:t>
            </w:r>
          </w:p>
          <w:p>
            <w:pPr>
              <w:pStyle w:val="46"/>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0" w:afterLines="0" w:afterAutospacing="0" w:line="240" w:lineRule="auto"/>
              <w:ind w:left="0" w:right="0" w:firstLine="0"/>
              <w:jc w:val="center"/>
              <w:textAlignment w:val="baseline"/>
              <w:rPr>
                <w:rFonts w:hint="default" w:ascii="Times New Roman" w:hAnsi="Times New Roman" w:eastAsia="宋体" w:cs="Times New Roman"/>
                <w:b/>
                <w:bCs/>
                <w:snapToGrid w:val="0"/>
                <w:color w:val="auto"/>
                <w:spacing w:val="-16"/>
                <w:kern w:val="21"/>
                <w:sz w:val="21"/>
                <w:szCs w:val="21"/>
                <w:u w:val="none" w:color="auto"/>
              </w:rPr>
            </w:pPr>
            <w:r>
              <w:rPr>
                <w:rFonts w:hint="default" w:ascii="Times New Roman" w:hAnsi="Times New Roman" w:eastAsia="宋体" w:cs="Times New Roman"/>
                <w:b/>
                <w:bCs/>
                <w:snapToGrid w:val="0"/>
                <w:color w:val="auto"/>
                <w:spacing w:val="-16"/>
                <w:kern w:val="21"/>
                <w:sz w:val="21"/>
                <w:szCs w:val="21"/>
                <w:u w:val="none" w:color="auto"/>
              </w:rPr>
              <w:t>（新建项目不填）</w:t>
            </w:r>
            <w:r>
              <w:rPr>
                <w:rFonts w:hint="default" w:ascii="Times New Roman" w:hAnsi="Times New Roman" w:eastAsia="宋体" w:cs="Times New Roman"/>
                <w:b/>
                <w:bCs/>
                <w:snapToGrid w:val="0"/>
                <w:color w:val="auto"/>
                <w:spacing w:val="-16"/>
                <w:kern w:val="21"/>
                <w:sz w:val="21"/>
                <w:szCs w:val="21"/>
                <w:u w:val="none" w:color="auto"/>
              </w:rPr>
              <w:fldChar w:fldCharType="begin"/>
            </w:r>
            <w:r>
              <w:rPr>
                <w:rFonts w:hint="default" w:ascii="Times New Roman" w:hAnsi="Times New Roman" w:eastAsia="宋体" w:cs="Times New Roman"/>
                <w:b/>
                <w:bCs/>
                <w:snapToGrid w:val="0"/>
                <w:color w:val="auto"/>
                <w:spacing w:val="-16"/>
                <w:kern w:val="21"/>
                <w:sz w:val="21"/>
                <w:szCs w:val="21"/>
                <w:u w:val="none" w:color="auto"/>
              </w:rPr>
              <w:instrText xml:space="preserve"> = 5 \* GB3 \* MERGEFORMAT </w:instrText>
            </w:r>
            <w:r>
              <w:rPr>
                <w:rFonts w:hint="default" w:ascii="Times New Roman" w:hAnsi="Times New Roman" w:eastAsia="宋体" w:cs="Times New Roman"/>
                <w:b/>
                <w:bCs/>
                <w:snapToGrid w:val="0"/>
                <w:color w:val="auto"/>
                <w:spacing w:val="-16"/>
                <w:kern w:val="21"/>
                <w:sz w:val="21"/>
                <w:szCs w:val="21"/>
                <w:u w:val="none" w:color="auto"/>
              </w:rPr>
              <w:fldChar w:fldCharType="separate"/>
            </w:r>
            <w:r>
              <w:rPr>
                <w:rFonts w:hint="default" w:ascii="Times New Roman" w:hAnsi="Times New Roman" w:eastAsia="宋体" w:cs="Times New Roman"/>
                <w:b/>
                <w:bCs/>
                <w:color w:val="auto"/>
                <w:kern w:val="2"/>
                <w:sz w:val="21"/>
                <w:szCs w:val="21"/>
                <w:u w:val="none" w:color="auto"/>
              </w:rPr>
              <w:t>⑤</w:t>
            </w:r>
            <w:r>
              <w:rPr>
                <w:rFonts w:hint="default" w:ascii="Times New Roman" w:hAnsi="Times New Roman" w:eastAsia="宋体" w:cs="Times New Roman"/>
                <w:b/>
                <w:bCs/>
                <w:snapToGrid w:val="0"/>
                <w:color w:val="auto"/>
                <w:spacing w:val="-16"/>
                <w:kern w:val="21"/>
                <w:sz w:val="21"/>
                <w:szCs w:val="21"/>
                <w:u w:val="none" w:color="auto"/>
              </w:rPr>
              <w:fldChar w:fldCharType="end"/>
            </w:r>
          </w:p>
        </w:tc>
        <w:tc>
          <w:tcPr>
            <w:tcW w:w="1593" w:type="dxa"/>
            <w:tcMar>
              <w:left w:w="28" w:type="dxa"/>
              <w:right w:w="28" w:type="dxa"/>
            </w:tcMar>
            <w:vAlign w:val="center"/>
          </w:tcPr>
          <w:p>
            <w:pPr>
              <w:pStyle w:val="46"/>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0" w:afterLines="0" w:afterAutospacing="0" w:line="240" w:lineRule="auto"/>
              <w:ind w:left="0" w:right="0" w:firstLine="0"/>
              <w:jc w:val="center"/>
              <w:textAlignment w:val="baseline"/>
              <w:rPr>
                <w:rFonts w:hint="default" w:ascii="Times New Roman" w:hAnsi="Times New Roman" w:eastAsia="宋体" w:cs="Times New Roman"/>
                <w:b/>
                <w:bCs/>
                <w:snapToGrid w:val="0"/>
                <w:color w:val="auto"/>
                <w:spacing w:val="-6"/>
                <w:kern w:val="21"/>
                <w:sz w:val="21"/>
                <w:szCs w:val="21"/>
                <w:u w:val="none" w:color="auto"/>
              </w:rPr>
            </w:pPr>
            <w:r>
              <w:rPr>
                <w:rFonts w:hint="default" w:ascii="Times New Roman" w:hAnsi="Times New Roman" w:eastAsia="宋体" w:cs="Times New Roman"/>
                <w:b/>
                <w:bCs/>
                <w:snapToGrid w:val="0"/>
                <w:color w:val="auto"/>
                <w:spacing w:val="-6"/>
                <w:kern w:val="21"/>
                <w:sz w:val="21"/>
                <w:szCs w:val="21"/>
                <w:u w:val="none" w:color="auto"/>
              </w:rPr>
              <w:t>本项目建成后</w:t>
            </w:r>
          </w:p>
          <w:p>
            <w:pPr>
              <w:pStyle w:val="46"/>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0" w:afterLines="0" w:afterAutospacing="0" w:line="240" w:lineRule="auto"/>
              <w:ind w:left="0" w:right="0" w:firstLine="0"/>
              <w:jc w:val="center"/>
              <w:textAlignment w:val="baseline"/>
              <w:rPr>
                <w:rFonts w:hint="default" w:ascii="Times New Roman" w:hAnsi="Times New Roman" w:eastAsia="宋体" w:cs="Times New Roman"/>
                <w:b/>
                <w:bCs/>
                <w:snapToGrid w:val="0"/>
                <w:color w:val="auto"/>
                <w:spacing w:val="-6"/>
                <w:kern w:val="21"/>
                <w:sz w:val="21"/>
                <w:szCs w:val="21"/>
                <w:u w:val="none" w:color="auto"/>
              </w:rPr>
            </w:pPr>
            <w:r>
              <w:rPr>
                <w:rFonts w:hint="default" w:ascii="Times New Roman" w:hAnsi="Times New Roman" w:eastAsia="宋体" w:cs="Times New Roman"/>
                <w:b/>
                <w:bCs/>
                <w:snapToGrid w:val="0"/>
                <w:color w:val="auto"/>
                <w:spacing w:val="-6"/>
                <w:kern w:val="21"/>
                <w:sz w:val="21"/>
                <w:szCs w:val="21"/>
                <w:u w:val="none" w:color="auto"/>
              </w:rPr>
              <w:t>全厂排放量（固体废物产生量）</w:t>
            </w:r>
            <w:r>
              <w:rPr>
                <w:rFonts w:hint="default" w:ascii="Times New Roman" w:hAnsi="Times New Roman" w:eastAsia="宋体" w:cs="Times New Roman"/>
                <w:b/>
                <w:bCs/>
                <w:snapToGrid w:val="0"/>
                <w:color w:val="auto"/>
                <w:spacing w:val="-6"/>
                <w:kern w:val="21"/>
                <w:sz w:val="21"/>
                <w:szCs w:val="21"/>
                <w:u w:val="none" w:color="auto"/>
              </w:rPr>
              <w:fldChar w:fldCharType="begin"/>
            </w:r>
            <w:r>
              <w:rPr>
                <w:rFonts w:hint="default" w:ascii="Times New Roman" w:hAnsi="Times New Roman" w:eastAsia="宋体" w:cs="Times New Roman"/>
                <w:b/>
                <w:bCs/>
                <w:snapToGrid w:val="0"/>
                <w:color w:val="auto"/>
                <w:spacing w:val="-6"/>
                <w:kern w:val="21"/>
                <w:sz w:val="21"/>
                <w:szCs w:val="21"/>
                <w:u w:val="none" w:color="auto"/>
              </w:rPr>
              <w:instrText xml:space="preserve"> = 6 \* GB3 \* MERGEFORMAT </w:instrText>
            </w:r>
            <w:r>
              <w:rPr>
                <w:rFonts w:hint="default" w:ascii="Times New Roman" w:hAnsi="Times New Roman" w:eastAsia="宋体" w:cs="Times New Roman"/>
                <w:b/>
                <w:bCs/>
                <w:snapToGrid w:val="0"/>
                <w:color w:val="auto"/>
                <w:spacing w:val="-6"/>
                <w:kern w:val="21"/>
                <w:sz w:val="21"/>
                <w:szCs w:val="21"/>
                <w:u w:val="none" w:color="auto"/>
              </w:rPr>
              <w:fldChar w:fldCharType="separate"/>
            </w:r>
            <w:r>
              <w:rPr>
                <w:rFonts w:hint="default" w:ascii="Times New Roman" w:hAnsi="Times New Roman" w:eastAsia="宋体" w:cs="Times New Roman"/>
                <w:b/>
                <w:bCs/>
                <w:snapToGrid w:val="0"/>
                <w:color w:val="auto"/>
                <w:spacing w:val="-6"/>
                <w:kern w:val="21"/>
                <w:sz w:val="21"/>
                <w:szCs w:val="21"/>
                <w:u w:val="none" w:color="auto"/>
              </w:rPr>
              <w:t>⑥</w:t>
            </w:r>
            <w:r>
              <w:rPr>
                <w:rFonts w:hint="default" w:ascii="Times New Roman" w:hAnsi="Times New Roman" w:eastAsia="宋体" w:cs="Times New Roman"/>
                <w:b/>
                <w:bCs/>
                <w:snapToGrid w:val="0"/>
                <w:color w:val="auto"/>
                <w:spacing w:val="-6"/>
                <w:kern w:val="21"/>
                <w:sz w:val="21"/>
                <w:szCs w:val="21"/>
                <w:u w:val="none" w:color="auto"/>
              </w:rPr>
              <w:fldChar w:fldCharType="end"/>
            </w:r>
          </w:p>
        </w:tc>
        <w:tc>
          <w:tcPr>
            <w:tcW w:w="1192" w:type="dxa"/>
            <w:tcMar>
              <w:left w:w="28" w:type="dxa"/>
              <w:right w:w="28" w:type="dxa"/>
            </w:tcMar>
            <w:vAlign w:val="center"/>
          </w:tcPr>
          <w:p>
            <w:pPr>
              <w:pStyle w:val="46"/>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0" w:afterLines="0" w:afterAutospacing="0" w:line="240" w:lineRule="auto"/>
              <w:ind w:left="0" w:right="0" w:firstLine="0"/>
              <w:jc w:val="center"/>
              <w:textAlignment w:val="baseline"/>
              <w:rPr>
                <w:rFonts w:hint="default" w:ascii="Times New Roman" w:hAnsi="Times New Roman" w:eastAsia="宋体" w:cs="Times New Roman"/>
                <w:b/>
                <w:bCs/>
                <w:snapToGrid w:val="0"/>
                <w:color w:val="auto"/>
                <w:spacing w:val="-6"/>
                <w:kern w:val="21"/>
                <w:sz w:val="21"/>
                <w:szCs w:val="21"/>
                <w:u w:val="none" w:color="auto"/>
                <w:lang w:val="en-US" w:eastAsia="zh-CN"/>
              </w:rPr>
            </w:pPr>
            <w:r>
              <w:rPr>
                <w:rFonts w:hint="default" w:ascii="Times New Roman" w:hAnsi="Times New Roman" w:eastAsia="宋体" w:cs="Times New Roman"/>
                <w:b/>
                <w:bCs/>
                <w:snapToGrid w:val="0"/>
                <w:color w:val="auto"/>
                <w:spacing w:val="-6"/>
                <w:kern w:val="21"/>
                <w:sz w:val="21"/>
                <w:szCs w:val="21"/>
                <w:u w:val="none" w:color="auto"/>
              </w:rPr>
              <w:t>变化量</w:t>
            </w:r>
            <w:r>
              <w:rPr>
                <w:rFonts w:hint="default" w:ascii="Times New Roman" w:hAnsi="Times New Roman" w:eastAsia="宋体" w:cs="Times New Roman"/>
                <w:b/>
                <w:bCs/>
                <w:snapToGrid w:val="0"/>
                <w:color w:val="auto"/>
                <w:spacing w:val="-6"/>
                <w:kern w:val="21"/>
                <w:sz w:val="21"/>
                <w:szCs w:val="21"/>
                <w:u w:val="none" w:color="auto"/>
                <w:lang w:val="en-US" w:eastAsia="zh-CN"/>
              </w:rPr>
              <w:t>*</w:t>
            </w:r>
          </w:p>
          <w:p>
            <w:pPr>
              <w:pStyle w:val="46"/>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0" w:afterLines="0" w:afterAutospacing="0" w:line="240" w:lineRule="auto"/>
              <w:ind w:left="0" w:right="0" w:firstLine="0"/>
              <w:jc w:val="center"/>
              <w:textAlignment w:val="baseline"/>
              <w:rPr>
                <w:rFonts w:hint="default" w:ascii="Times New Roman" w:hAnsi="Times New Roman" w:eastAsia="宋体" w:cs="Times New Roman"/>
                <w:b/>
                <w:bCs/>
                <w:snapToGrid w:val="0"/>
                <w:color w:val="auto"/>
                <w:spacing w:val="-6"/>
                <w:kern w:val="21"/>
                <w:sz w:val="21"/>
                <w:szCs w:val="21"/>
                <w:u w:val="none" w:color="auto"/>
              </w:rPr>
            </w:pPr>
            <w:r>
              <w:rPr>
                <w:rFonts w:hint="default" w:ascii="Times New Roman" w:hAnsi="Times New Roman" w:eastAsia="宋体" w:cs="Times New Roman"/>
                <w:b/>
                <w:bCs/>
                <w:snapToGrid w:val="0"/>
                <w:color w:val="auto"/>
                <w:spacing w:val="-6"/>
                <w:kern w:val="21"/>
                <w:sz w:val="21"/>
                <w:szCs w:val="21"/>
                <w:u w:val="none" w:color="auto"/>
              </w:rPr>
              <w:fldChar w:fldCharType="begin"/>
            </w:r>
            <w:r>
              <w:rPr>
                <w:rFonts w:hint="default" w:ascii="Times New Roman" w:hAnsi="Times New Roman" w:eastAsia="宋体" w:cs="Times New Roman"/>
                <w:b/>
                <w:bCs/>
                <w:snapToGrid w:val="0"/>
                <w:color w:val="auto"/>
                <w:spacing w:val="-6"/>
                <w:kern w:val="21"/>
                <w:sz w:val="21"/>
                <w:szCs w:val="21"/>
                <w:u w:val="none" w:color="auto"/>
              </w:rPr>
              <w:instrText xml:space="preserve"> = 7 \* GB3 \* MERGEFORMAT </w:instrText>
            </w:r>
            <w:r>
              <w:rPr>
                <w:rFonts w:hint="default" w:ascii="Times New Roman" w:hAnsi="Times New Roman" w:eastAsia="宋体" w:cs="Times New Roman"/>
                <w:b/>
                <w:bCs/>
                <w:snapToGrid w:val="0"/>
                <w:color w:val="auto"/>
                <w:spacing w:val="-6"/>
                <w:kern w:val="21"/>
                <w:sz w:val="21"/>
                <w:szCs w:val="21"/>
                <w:u w:val="none" w:color="auto"/>
              </w:rPr>
              <w:fldChar w:fldCharType="separate"/>
            </w:r>
            <w:r>
              <w:rPr>
                <w:rFonts w:hint="default" w:ascii="Times New Roman" w:hAnsi="Times New Roman" w:eastAsia="宋体" w:cs="Times New Roman"/>
                <w:b/>
                <w:bCs/>
                <w:snapToGrid w:val="0"/>
                <w:color w:val="auto"/>
                <w:spacing w:val="-6"/>
                <w:kern w:val="21"/>
                <w:sz w:val="21"/>
                <w:szCs w:val="21"/>
                <w:u w:val="none" w:color="auto"/>
              </w:rPr>
              <w:t>⑦</w:t>
            </w:r>
            <w:r>
              <w:rPr>
                <w:rFonts w:hint="default" w:ascii="Times New Roman" w:hAnsi="Times New Roman" w:eastAsia="宋体" w:cs="Times New Roman"/>
                <w:b/>
                <w:bCs/>
                <w:snapToGrid w:val="0"/>
                <w:color w:val="auto"/>
                <w:spacing w:val="-6"/>
                <w:kern w:val="21"/>
                <w:sz w:val="21"/>
                <w:szCs w:val="21"/>
                <w:u w:val="none" w:color="auto"/>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88" w:type="dxa"/>
            <w:vMerge w:val="restart"/>
            <w:vAlign w:val="center"/>
          </w:tcPr>
          <w:p>
            <w:pPr>
              <w:pStyle w:val="46"/>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0" w:afterLines="0" w:afterAutospacing="0" w:line="240" w:lineRule="auto"/>
              <w:ind w:left="0" w:right="0" w:firstLine="0"/>
              <w:jc w:val="center"/>
              <w:textAlignment w:val="baseline"/>
              <w:rPr>
                <w:rFonts w:hint="default" w:ascii="Times New Roman" w:hAnsi="Times New Roman" w:eastAsia="宋体" w:cs="Times New Roman"/>
                <w:snapToGrid w:val="0"/>
                <w:color w:val="auto"/>
                <w:spacing w:val="-6"/>
                <w:kern w:val="21"/>
                <w:sz w:val="21"/>
                <w:szCs w:val="21"/>
                <w:u w:val="none" w:color="auto"/>
                <w:lang w:val="en-US" w:eastAsia="zh-CN"/>
              </w:rPr>
            </w:pPr>
            <w:bookmarkStart w:id="13" w:name="_Toc25759"/>
            <w:r>
              <w:rPr>
                <w:rFonts w:hint="default" w:ascii="Times New Roman" w:hAnsi="Times New Roman" w:eastAsia="宋体" w:cs="Times New Roman"/>
                <w:snapToGrid w:val="0"/>
                <w:color w:val="auto"/>
                <w:spacing w:val="-6"/>
                <w:kern w:val="21"/>
                <w:sz w:val="21"/>
                <w:szCs w:val="21"/>
                <w:u w:val="none" w:color="auto"/>
              </w:rPr>
              <w:t>废气</w:t>
            </w:r>
          </w:p>
        </w:tc>
        <w:tc>
          <w:tcPr>
            <w:tcW w:w="1417" w:type="dxa"/>
            <w:vAlign w:val="center"/>
          </w:tcPr>
          <w:p>
            <w:pPr>
              <w:pStyle w:val="46"/>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0" w:afterLines="0" w:afterAutospacing="0" w:line="240" w:lineRule="auto"/>
              <w:ind w:left="0" w:right="0" w:firstLine="0"/>
              <w:jc w:val="center"/>
              <w:textAlignment w:val="baseline"/>
              <w:rPr>
                <w:rFonts w:hint="default" w:ascii="Times New Roman" w:hAnsi="Times New Roman" w:eastAsia="宋体" w:cs="Times New Roman"/>
                <w:snapToGrid w:val="0"/>
                <w:color w:val="auto"/>
                <w:kern w:val="21"/>
                <w:sz w:val="21"/>
                <w:szCs w:val="21"/>
                <w:u w:val="none" w:color="auto"/>
                <w:lang w:val="en-US" w:eastAsia="zh-CN" w:bidi="ar-SA"/>
              </w:rPr>
            </w:pPr>
            <w:r>
              <w:rPr>
                <w:rFonts w:hint="default" w:ascii="Times New Roman" w:hAnsi="Times New Roman" w:eastAsia="宋体" w:cs="Times New Roman"/>
                <w:b w:val="0"/>
                <w:bCs w:val="0"/>
                <w:color w:val="auto"/>
                <w:sz w:val="21"/>
                <w:szCs w:val="21"/>
                <w:highlight w:val="none"/>
                <w:u w:val="none" w:color="auto"/>
              </w:rPr>
              <w:t>颗粒物</w:t>
            </w:r>
          </w:p>
        </w:tc>
        <w:tc>
          <w:tcPr>
            <w:tcW w:w="1701" w:type="dxa"/>
            <w:vAlign w:val="center"/>
          </w:tcPr>
          <w:p>
            <w:pPr>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firstLine="0"/>
              <w:jc w:val="center"/>
              <w:rPr>
                <w:rFonts w:hint="default" w:ascii="Times New Roman" w:hAnsi="Times New Roman" w:eastAsia="宋体" w:cs="Times New Roman"/>
                <w:snapToGrid w:val="0"/>
                <w:color w:val="auto"/>
                <w:kern w:val="21"/>
                <w:sz w:val="21"/>
                <w:szCs w:val="21"/>
                <w:u w:val="none" w:color="auto"/>
                <w:lang w:val="en-US" w:eastAsia="zh-CN"/>
              </w:rPr>
            </w:pPr>
            <w:r>
              <w:rPr>
                <w:rFonts w:hint="default" w:ascii="Times New Roman" w:hAnsi="Times New Roman" w:eastAsia="宋体" w:cs="Times New Roman"/>
                <w:snapToGrid w:val="0"/>
                <w:color w:val="auto"/>
                <w:kern w:val="21"/>
                <w:sz w:val="21"/>
                <w:szCs w:val="21"/>
                <w:u w:val="none" w:color="auto"/>
                <w:lang w:val="en-US" w:eastAsia="zh-CN"/>
              </w:rPr>
              <w:t>2.3007</w:t>
            </w:r>
          </w:p>
        </w:tc>
        <w:tc>
          <w:tcPr>
            <w:tcW w:w="1276" w:type="dxa"/>
            <w:vAlign w:val="center"/>
          </w:tcPr>
          <w:p>
            <w:pPr>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firstLine="0"/>
              <w:jc w:val="center"/>
              <w:rPr>
                <w:rFonts w:hint="default" w:ascii="Times New Roman" w:hAnsi="Times New Roman" w:eastAsia="宋体" w:cs="Times New Roman"/>
                <w:snapToGrid w:val="0"/>
                <w:color w:val="auto"/>
                <w:kern w:val="21"/>
                <w:sz w:val="21"/>
                <w:szCs w:val="21"/>
                <w:u w:val="none" w:color="auto"/>
                <w:lang w:val="en-US" w:eastAsia="zh-CN"/>
              </w:rPr>
            </w:pPr>
            <w:r>
              <w:rPr>
                <w:rFonts w:hint="default" w:ascii="Times New Roman" w:hAnsi="Times New Roman" w:eastAsia="宋体" w:cs="Times New Roman"/>
                <w:snapToGrid w:val="0"/>
                <w:color w:val="auto"/>
                <w:kern w:val="21"/>
                <w:sz w:val="21"/>
                <w:szCs w:val="21"/>
                <w:u w:val="none" w:color="auto"/>
                <w:lang w:val="en-US" w:eastAsia="zh-CN"/>
              </w:rPr>
              <w:t>9.165</w:t>
            </w:r>
          </w:p>
        </w:tc>
        <w:tc>
          <w:tcPr>
            <w:tcW w:w="1701" w:type="dxa"/>
            <w:vAlign w:val="center"/>
          </w:tcPr>
          <w:p>
            <w:pPr>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firstLine="0"/>
              <w:jc w:val="center"/>
              <w:rPr>
                <w:rFonts w:hint="default" w:ascii="Times New Roman" w:hAnsi="Times New Roman" w:eastAsia="宋体" w:cs="Times New Roman"/>
                <w:snapToGrid w:val="0"/>
                <w:color w:val="auto"/>
                <w:kern w:val="21"/>
                <w:sz w:val="21"/>
                <w:szCs w:val="21"/>
                <w:u w:val="none" w:color="auto"/>
                <w:lang w:val="en-US" w:eastAsia="zh-CN"/>
              </w:rPr>
            </w:pPr>
            <w:r>
              <w:rPr>
                <w:rFonts w:hint="default" w:ascii="Times New Roman" w:hAnsi="Times New Roman" w:eastAsia="宋体" w:cs="Times New Roman"/>
                <w:snapToGrid w:val="0"/>
                <w:color w:val="auto"/>
                <w:kern w:val="21"/>
                <w:sz w:val="21"/>
                <w:szCs w:val="21"/>
                <w:u w:val="none" w:color="auto"/>
                <w:lang w:val="en-US" w:eastAsia="zh-CN"/>
              </w:rPr>
              <w:t>19.9226</w:t>
            </w:r>
          </w:p>
        </w:tc>
        <w:tc>
          <w:tcPr>
            <w:tcW w:w="1559" w:type="dxa"/>
            <w:vAlign w:val="center"/>
          </w:tcPr>
          <w:p>
            <w:pPr>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firstLine="0"/>
              <w:jc w:val="center"/>
              <w:rPr>
                <w:rFonts w:hint="default" w:ascii="Times New Roman" w:hAnsi="Times New Roman" w:eastAsia="宋体" w:cs="Times New Roman"/>
                <w:snapToGrid w:val="0"/>
                <w:color w:val="auto"/>
                <w:kern w:val="21"/>
                <w:sz w:val="21"/>
                <w:szCs w:val="21"/>
                <w:u w:val="none" w:color="auto"/>
                <w:lang w:val="en-US" w:eastAsia="zh-CN"/>
              </w:rPr>
            </w:pPr>
            <w:r>
              <w:rPr>
                <w:rFonts w:hint="eastAsia" w:cs="Times New Roman"/>
                <w:snapToGrid w:val="0"/>
                <w:color w:val="auto"/>
                <w:kern w:val="21"/>
                <w:sz w:val="21"/>
                <w:szCs w:val="21"/>
                <w:u w:val="none" w:color="auto"/>
                <w:lang w:val="en-US" w:eastAsia="zh-CN"/>
              </w:rPr>
              <w:t>0.0067</w:t>
            </w:r>
          </w:p>
        </w:tc>
        <w:tc>
          <w:tcPr>
            <w:tcW w:w="1761"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1593"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22.2314</w:t>
            </w:r>
          </w:p>
        </w:tc>
        <w:tc>
          <w:tcPr>
            <w:tcW w:w="1192" w:type="dxa"/>
            <w:vAlign w:val="center"/>
          </w:tcPr>
          <w:p>
            <w:pPr>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snapToGrid w:val="0"/>
                <w:color w:val="auto"/>
                <w:kern w:val="21"/>
                <w:sz w:val="21"/>
                <w:szCs w:val="21"/>
                <w:u w:val="none" w:color="auto"/>
                <w:lang w:val="en-US" w:eastAsia="zh-CN"/>
              </w:rPr>
              <w:t>+</w:t>
            </w:r>
            <w:r>
              <w:rPr>
                <w:rFonts w:hint="eastAsia" w:cs="Times New Roman"/>
                <w:snapToGrid w:val="0"/>
                <w:color w:val="auto"/>
                <w:kern w:val="21"/>
                <w:sz w:val="21"/>
                <w:szCs w:val="21"/>
                <w:u w:val="none" w:color="auto"/>
                <w:lang w:val="en-US" w:eastAsia="zh-CN"/>
              </w:rPr>
              <w:t>0.0067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88" w:type="dxa"/>
            <w:vMerge w:val="continue"/>
            <w:vAlign w:val="center"/>
          </w:tcPr>
          <w:p>
            <w:pPr>
              <w:pStyle w:val="46"/>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0" w:afterLines="0" w:afterAutospacing="0" w:line="240" w:lineRule="auto"/>
              <w:ind w:left="0" w:right="0" w:firstLine="0"/>
              <w:jc w:val="center"/>
              <w:textAlignment w:val="baseline"/>
              <w:rPr>
                <w:rFonts w:hint="default" w:ascii="Times New Roman" w:hAnsi="Times New Roman" w:eastAsia="宋体" w:cs="Times New Roman"/>
                <w:snapToGrid w:val="0"/>
                <w:color w:val="auto"/>
                <w:spacing w:val="-6"/>
                <w:kern w:val="21"/>
                <w:sz w:val="21"/>
                <w:szCs w:val="21"/>
                <w:u w:val="none" w:color="auto"/>
                <w:lang w:eastAsia="zh-CN"/>
              </w:rPr>
            </w:pPr>
          </w:p>
        </w:tc>
        <w:tc>
          <w:tcPr>
            <w:tcW w:w="1417" w:type="dxa"/>
            <w:vAlign w:val="center"/>
          </w:tcPr>
          <w:p>
            <w:pPr>
              <w:pStyle w:val="46"/>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0" w:afterLines="0" w:afterAutospacing="0" w:line="240" w:lineRule="auto"/>
              <w:ind w:left="0" w:right="0" w:firstLine="0"/>
              <w:jc w:val="center"/>
              <w:textAlignment w:val="baseline"/>
              <w:rPr>
                <w:rFonts w:hint="default" w:ascii="Times New Roman" w:hAnsi="Times New Roman" w:eastAsia="宋体" w:cs="Times New Roman"/>
                <w:b w:val="0"/>
                <w:bCs w:val="0"/>
                <w:color w:val="auto"/>
                <w:kern w:val="0"/>
                <w:sz w:val="21"/>
                <w:szCs w:val="21"/>
                <w:highlight w:val="none"/>
                <w:u w:val="none" w:color="auto"/>
                <w:lang w:val="en-US" w:eastAsia="zh-CN" w:bidi="ar-SA"/>
              </w:rPr>
            </w:pPr>
            <w:r>
              <w:rPr>
                <w:rFonts w:hint="default" w:ascii="Times New Roman" w:hAnsi="Times New Roman" w:eastAsia="宋体" w:cs="Times New Roman"/>
                <w:b w:val="0"/>
                <w:bCs w:val="0"/>
                <w:color w:val="auto"/>
                <w:sz w:val="21"/>
                <w:szCs w:val="21"/>
                <w:highlight w:val="none"/>
                <w:u w:val="none" w:color="auto"/>
              </w:rPr>
              <w:t>SO</w:t>
            </w:r>
            <w:r>
              <w:rPr>
                <w:rFonts w:hint="default" w:ascii="Times New Roman" w:hAnsi="Times New Roman" w:eastAsia="宋体" w:cs="Times New Roman"/>
                <w:b w:val="0"/>
                <w:bCs w:val="0"/>
                <w:color w:val="auto"/>
                <w:sz w:val="21"/>
                <w:szCs w:val="21"/>
                <w:highlight w:val="none"/>
                <w:u w:val="none" w:color="auto"/>
                <w:vertAlign w:val="subscript"/>
              </w:rPr>
              <w:t>2</w:t>
            </w:r>
          </w:p>
        </w:tc>
        <w:tc>
          <w:tcPr>
            <w:tcW w:w="1701" w:type="dxa"/>
            <w:vAlign w:val="center"/>
          </w:tcPr>
          <w:p>
            <w:pPr>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firstLine="0"/>
              <w:jc w:val="center"/>
              <w:rPr>
                <w:rFonts w:hint="default" w:ascii="Times New Roman" w:hAnsi="Times New Roman" w:eastAsia="宋体" w:cs="Times New Roman"/>
                <w:snapToGrid w:val="0"/>
                <w:color w:val="auto"/>
                <w:kern w:val="21"/>
                <w:sz w:val="21"/>
                <w:szCs w:val="21"/>
                <w:u w:val="none" w:color="auto"/>
                <w:lang w:val="en-US" w:eastAsia="zh-CN"/>
              </w:rPr>
            </w:pPr>
            <w:r>
              <w:rPr>
                <w:rFonts w:hint="default" w:ascii="Times New Roman" w:hAnsi="Times New Roman" w:eastAsia="宋体" w:cs="Times New Roman"/>
                <w:snapToGrid w:val="0"/>
                <w:color w:val="auto"/>
                <w:kern w:val="21"/>
                <w:sz w:val="21"/>
                <w:szCs w:val="21"/>
                <w:u w:val="none" w:color="auto"/>
                <w:lang w:val="en-US" w:eastAsia="zh-CN"/>
              </w:rPr>
              <w:t>1.8194</w:t>
            </w:r>
          </w:p>
        </w:tc>
        <w:tc>
          <w:tcPr>
            <w:tcW w:w="1276" w:type="dxa"/>
            <w:vAlign w:val="center"/>
          </w:tcPr>
          <w:p>
            <w:pPr>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firstLine="0"/>
              <w:jc w:val="center"/>
              <w:rPr>
                <w:rFonts w:hint="default" w:ascii="Times New Roman" w:hAnsi="Times New Roman" w:eastAsia="宋体" w:cs="Times New Roman"/>
                <w:snapToGrid w:val="0"/>
                <w:color w:val="auto"/>
                <w:kern w:val="21"/>
                <w:sz w:val="21"/>
                <w:szCs w:val="21"/>
                <w:u w:val="none" w:color="auto"/>
                <w:lang w:val="en-US" w:eastAsia="zh-CN"/>
              </w:rPr>
            </w:pPr>
            <w:r>
              <w:rPr>
                <w:rFonts w:hint="default" w:ascii="Times New Roman" w:hAnsi="Times New Roman" w:eastAsia="宋体" w:cs="Times New Roman"/>
                <w:snapToGrid w:val="0"/>
                <w:color w:val="auto"/>
                <w:kern w:val="21"/>
                <w:sz w:val="21"/>
                <w:szCs w:val="21"/>
                <w:u w:val="none" w:color="auto"/>
                <w:lang w:val="en-US" w:eastAsia="zh-CN"/>
              </w:rPr>
              <w:t>5.14</w:t>
            </w:r>
          </w:p>
        </w:tc>
        <w:tc>
          <w:tcPr>
            <w:tcW w:w="1701" w:type="dxa"/>
            <w:vAlign w:val="center"/>
          </w:tcPr>
          <w:p>
            <w:pPr>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firstLine="0"/>
              <w:jc w:val="center"/>
              <w:rPr>
                <w:rFonts w:hint="default" w:ascii="Times New Roman" w:hAnsi="Times New Roman" w:eastAsia="宋体" w:cs="Times New Roman"/>
                <w:snapToGrid w:val="0"/>
                <w:color w:val="auto"/>
                <w:kern w:val="21"/>
                <w:sz w:val="21"/>
                <w:szCs w:val="21"/>
                <w:u w:val="none" w:color="auto"/>
                <w:lang w:val="en-US" w:eastAsia="zh-CN"/>
              </w:rPr>
            </w:pPr>
            <w:r>
              <w:rPr>
                <w:rFonts w:hint="eastAsia" w:ascii="Times New Roman" w:hAnsi="Times New Roman" w:eastAsia="宋体" w:cs="Times New Roman"/>
                <w:snapToGrid w:val="0"/>
                <w:color w:val="auto"/>
                <w:kern w:val="21"/>
                <w:sz w:val="21"/>
                <w:szCs w:val="21"/>
                <w:u w:val="none" w:color="auto"/>
                <w:lang w:val="en-US" w:eastAsia="zh-CN"/>
              </w:rPr>
              <w:t>5.3023</w:t>
            </w:r>
          </w:p>
        </w:tc>
        <w:tc>
          <w:tcPr>
            <w:tcW w:w="1559" w:type="dxa"/>
            <w:vAlign w:val="center"/>
          </w:tcPr>
          <w:p>
            <w:pPr>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firstLine="0"/>
              <w:jc w:val="center"/>
              <w:rPr>
                <w:rFonts w:hint="default" w:ascii="Times New Roman" w:hAnsi="Times New Roman" w:eastAsia="宋体" w:cs="Times New Roman"/>
                <w:snapToGrid w:val="0"/>
                <w:color w:val="auto"/>
                <w:kern w:val="21"/>
                <w:sz w:val="21"/>
                <w:szCs w:val="21"/>
                <w:u w:val="none" w:color="auto"/>
                <w:lang w:val="en-US" w:eastAsia="zh-CN"/>
              </w:rPr>
            </w:pPr>
            <w:r>
              <w:rPr>
                <w:rFonts w:hint="eastAsia" w:ascii="Times New Roman" w:hAnsi="Times New Roman" w:eastAsia="宋体" w:cs="Times New Roman"/>
                <w:snapToGrid w:val="0"/>
                <w:color w:val="auto"/>
                <w:kern w:val="21"/>
                <w:sz w:val="21"/>
                <w:szCs w:val="21"/>
                <w:u w:val="none" w:color="auto"/>
                <w:lang w:val="en-US" w:eastAsia="zh-CN"/>
              </w:rPr>
              <w:t>0</w:t>
            </w:r>
          </w:p>
        </w:tc>
        <w:tc>
          <w:tcPr>
            <w:tcW w:w="1761"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1593"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7.1217</w:t>
            </w:r>
          </w:p>
        </w:tc>
        <w:tc>
          <w:tcPr>
            <w:tcW w:w="1192" w:type="dxa"/>
            <w:vAlign w:val="center"/>
          </w:tcPr>
          <w:p>
            <w:pPr>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snapToGrid w:val="0"/>
                <w:color w:val="auto"/>
                <w:kern w:val="21"/>
                <w:sz w:val="21"/>
                <w:szCs w:val="21"/>
                <w:u w:val="none" w:color="auto"/>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88" w:type="dxa"/>
            <w:vMerge w:val="continue"/>
            <w:vAlign w:val="center"/>
          </w:tcPr>
          <w:p>
            <w:pPr>
              <w:pStyle w:val="46"/>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0" w:afterLines="0" w:afterAutospacing="0" w:line="240" w:lineRule="auto"/>
              <w:ind w:left="0" w:right="0" w:firstLine="0"/>
              <w:jc w:val="center"/>
              <w:textAlignment w:val="baseline"/>
              <w:rPr>
                <w:rFonts w:hint="default" w:ascii="Times New Roman" w:hAnsi="Times New Roman" w:eastAsia="宋体" w:cs="Times New Roman"/>
                <w:snapToGrid w:val="0"/>
                <w:color w:val="auto"/>
                <w:spacing w:val="-6"/>
                <w:kern w:val="21"/>
                <w:sz w:val="21"/>
                <w:szCs w:val="21"/>
                <w:u w:val="none" w:color="auto"/>
                <w:lang w:eastAsia="zh-CN"/>
              </w:rPr>
            </w:pPr>
          </w:p>
        </w:tc>
        <w:tc>
          <w:tcPr>
            <w:tcW w:w="1417" w:type="dxa"/>
            <w:vAlign w:val="center"/>
          </w:tcPr>
          <w:p>
            <w:pPr>
              <w:pStyle w:val="46"/>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0" w:afterLines="0" w:afterAutospacing="0" w:line="240" w:lineRule="auto"/>
              <w:ind w:left="0" w:right="0" w:firstLine="0"/>
              <w:jc w:val="center"/>
              <w:textAlignment w:val="baseline"/>
              <w:rPr>
                <w:rFonts w:hint="default" w:ascii="Times New Roman" w:hAnsi="Times New Roman" w:eastAsia="宋体" w:cs="Times New Roman"/>
                <w:b w:val="0"/>
                <w:bCs w:val="0"/>
                <w:color w:val="auto"/>
                <w:kern w:val="0"/>
                <w:sz w:val="21"/>
                <w:szCs w:val="21"/>
                <w:highlight w:val="none"/>
                <w:u w:val="none" w:color="auto"/>
                <w:lang w:val="en-US" w:eastAsia="zh-CN" w:bidi="ar-SA"/>
              </w:rPr>
            </w:pPr>
            <w:r>
              <w:rPr>
                <w:rFonts w:hint="default" w:ascii="Times New Roman" w:hAnsi="Times New Roman" w:eastAsia="宋体" w:cs="Times New Roman"/>
                <w:b w:val="0"/>
                <w:bCs w:val="0"/>
                <w:color w:val="auto"/>
                <w:sz w:val="21"/>
                <w:szCs w:val="21"/>
                <w:highlight w:val="none"/>
                <w:u w:val="none" w:color="auto"/>
              </w:rPr>
              <w:t>NOx</w:t>
            </w:r>
          </w:p>
        </w:tc>
        <w:tc>
          <w:tcPr>
            <w:tcW w:w="1701" w:type="dxa"/>
            <w:vAlign w:val="center"/>
          </w:tcPr>
          <w:p>
            <w:pPr>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firstLine="0"/>
              <w:jc w:val="center"/>
              <w:rPr>
                <w:rFonts w:hint="default" w:ascii="Times New Roman" w:hAnsi="Times New Roman" w:eastAsia="宋体" w:cs="Times New Roman"/>
                <w:snapToGrid w:val="0"/>
                <w:color w:val="auto"/>
                <w:kern w:val="21"/>
                <w:sz w:val="21"/>
                <w:szCs w:val="21"/>
                <w:u w:val="none" w:color="auto"/>
                <w:lang w:val="en-US" w:eastAsia="zh-CN"/>
              </w:rPr>
            </w:pPr>
            <w:r>
              <w:rPr>
                <w:rFonts w:hint="default" w:ascii="Times New Roman" w:hAnsi="Times New Roman" w:eastAsia="宋体" w:cs="Times New Roman"/>
                <w:snapToGrid w:val="0"/>
                <w:color w:val="auto"/>
                <w:kern w:val="21"/>
                <w:sz w:val="21"/>
                <w:szCs w:val="21"/>
                <w:u w:val="none" w:color="auto"/>
                <w:lang w:val="en-US" w:eastAsia="zh-CN"/>
              </w:rPr>
              <w:t>16.7422</w:t>
            </w:r>
          </w:p>
        </w:tc>
        <w:tc>
          <w:tcPr>
            <w:tcW w:w="1276" w:type="dxa"/>
            <w:vAlign w:val="center"/>
          </w:tcPr>
          <w:p>
            <w:pPr>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firstLine="0"/>
              <w:jc w:val="center"/>
              <w:rPr>
                <w:rFonts w:hint="default" w:ascii="Times New Roman" w:hAnsi="Times New Roman" w:eastAsia="宋体" w:cs="Times New Roman"/>
                <w:snapToGrid w:val="0"/>
                <w:color w:val="auto"/>
                <w:kern w:val="21"/>
                <w:sz w:val="21"/>
                <w:szCs w:val="21"/>
                <w:u w:val="none" w:color="auto"/>
                <w:lang w:val="en-US" w:eastAsia="zh-CN"/>
              </w:rPr>
            </w:pPr>
            <w:r>
              <w:rPr>
                <w:rFonts w:hint="default" w:ascii="Times New Roman" w:hAnsi="Times New Roman" w:eastAsia="宋体" w:cs="Times New Roman"/>
                <w:snapToGrid w:val="0"/>
                <w:color w:val="auto"/>
                <w:kern w:val="21"/>
                <w:sz w:val="21"/>
                <w:szCs w:val="21"/>
                <w:u w:val="none" w:color="auto"/>
                <w:lang w:val="en-US" w:eastAsia="zh-CN"/>
              </w:rPr>
              <w:t>64.26</w:t>
            </w:r>
          </w:p>
        </w:tc>
        <w:tc>
          <w:tcPr>
            <w:tcW w:w="1701" w:type="dxa"/>
            <w:vAlign w:val="center"/>
          </w:tcPr>
          <w:p>
            <w:pPr>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firstLine="0"/>
              <w:jc w:val="center"/>
              <w:rPr>
                <w:rFonts w:hint="default" w:ascii="Times New Roman" w:hAnsi="Times New Roman" w:eastAsia="宋体" w:cs="Times New Roman"/>
                <w:snapToGrid w:val="0"/>
                <w:color w:val="auto"/>
                <w:kern w:val="21"/>
                <w:sz w:val="21"/>
                <w:szCs w:val="21"/>
                <w:u w:val="none" w:color="auto"/>
                <w:lang w:val="en-US" w:eastAsia="zh-CN"/>
              </w:rPr>
            </w:pPr>
            <w:r>
              <w:rPr>
                <w:rFonts w:hint="eastAsia" w:ascii="Times New Roman" w:hAnsi="Times New Roman" w:eastAsia="宋体" w:cs="Times New Roman"/>
                <w:snapToGrid w:val="0"/>
                <w:color w:val="auto"/>
                <w:kern w:val="21"/>
                <w:sz w:val="21"/>
                <w:szCs w:val="21"/>
                <w:u w:val="none" w:color="auto"/>
                <w:lang w:val="en-US" w:eastAsia="zh-CN"/>
              </w:rPr>
              <w:t>72.8463</w:t>
            </w:r>
          </w:p>
        </w:tc>
        <w:tc>
          <w:tcPr>
            <w:tcW w:w="1559" w:type="dxa"/>
            <w:vAlign w:val="center"/>
          </w:tcPr>
          <w:p>
            <w:pPr>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firstLine="0"/>
              <w:jc w:val="center"/>
              <w:rPr>
                <w:rFonts w:hint="default" w:ascii="Times New Roman" w:hAnsi="Times New Roman" w:eastAsia="宋体" w:cs="Times New Roman"/>
                <w:snapToGrid w:val="0"/>
                <w:color w:val="auto"/>
                <w:kern w:val="21"/>
                <w:sz w:val="21"/>
                <w:szCs w:val="21"/>
                <w:u w:val="none" w:color="auto"/>
                <w:lang w:val="en-US" w:eastAsia="zh-CN"/>
              </w:rPr>
            </w:pPr>
            <w:r>
              <w:rPr>
                <w:rFonts w:hint="eastAsia" w:ascii="Times New Roman" w:hAnsi="Times New Roman" w:eastAsia="宋体" w:cs="Times New Roman"/>
                <w:snapToGrid w:val="0"/>
                <w:color w:val="auto"/>
                <w:kern w:val="21"/>
                <w:sz w:val="21"/>
                <w:szCs w:val="21"/>
                <w:u w:val="none" w:color="auto"/>
                <w:lang w:val="en-US" w:eastAsia="zh-CN"/>
              </w:rPr>
              <w:t>0</w:t>
            </w:r>
          </w:p>
        </w:tc>
        <w:tc>
          <w:tcPr>
            <w:tcW w:w="1761"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1593"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89.5885</w:t>
            </w:r>
          </w:p>
        </w:tc>
        <w:tc>
          <w:tcPr>
            <w:tcW w:w="1192" w:type="dxa"/>
            <w:vAlign w:val="center"/>
          </w:tcPr>
          <w:p>
            <w:pPr>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snapToGrid w:val="0"/>
                <w:color w:val="auto"/>
                <w:kern w:val="21"/>
                <w:sz w:val="21"/>
                <w:szCs w:val="21"/>
                <w:u w:val="none" w:color="auto"/>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88" w:type="dxa"/>
            <w:vMerge w:val="continue"/>
            <w:vAlign w:val="center"/>
          </w:tcPr>
          <w:p>
            <w:pPr>
              <w:pStyle w:val="46"/>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0" w:afterLines="0" w:afterAutospacing="0" w:line="240" w:lineRule="auto"/>
              <w:ind w:left="0" w:right="0" w:firstLine="0"/>
              <w:jc w:val="center"/>
              <w:textAlignment w:val="baseline"/>
              <w:rPr>
                <w:rFonts w:hint="default" w:ascii="Times New Roman" w:hAnsi="Times New Roman" w:eastAsia="宋体" w:cs="Times New Roman"/>
                <w:snapToGrid w:val="0"/>
                <w:color w:val="auto"/>
                <w:spacing w:val="-6"/>
                <w:kern w:val="21"/>
                <w:sz w:val="21"/>
                <w:szCs w:val="21"/>
                <w:u w:val="none" w:color="auto"/>
                <w:lang w:eastAsia="zh-CN"/>
              </w:rPr>
            </w:pPr>
          </w:p>
        </w:tc>
        <w:tc>
          <w:tcPr>
            <w:tcW w:w="1417" w:type="dxa"/>
            <w:vAlign w:val="center"/>
          </w:tcPr>
          <w:p>
            <w:pPr>
              <w:pStyle w:val="46"/>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0" w:afterLines="0" w:afterAutospacing="0" w:line="240" w:lineRule="auto"/>
              <w:ind w:left="0" w:right="0" w:firstLine="0"/>
              <w:jc w:val="center"/>
              <w:textAlignment w:val="baseline"/>
              <w:rPr>
                <w:rFonts w:hint="default" w:ascii="Times New Roman" w:hAnsi="Times New Roman" w:eastAsia="宋体" w:cs="Times New Roman"/>
                <w:b w:val="0"/>
                <w:bCs w:val="0"/>
                <w:color w:val="auto"/>
                <w:kern w:val="0"/>
                <w:sz w:val="21"/>
                <w:szCs w:val="21"/>
                <w:highlight w:val="none"/>
                <w:u w:val="none" w:color="auto"/>
                <w:lang w:val="en-US" w:eastAsia="zh-CN" w:bidi="ar-SA"/>
              </w:rPr>
            </w:pPr>
            <w:r>
              <w:rPr>
                <w:rFonts w:hint="default" w:ascii="Times New Roman" w:hAnsi="Times New Roman" w:eastAsia="宋体" w:cs="Times New Roman"/>
                <w:b w:val="0"/>
                <w:bCs w:val="0"/>
                <w:color w:val="auto"/>
                <w:sz w:val="21"/>
                <w:szCs w:val="21"/>
                <w:highlight w:val="none"/>
                <w:u w:val="none" w:color="auto"/>
                <w:lang w:val="en-US" w:eastAsia="zh-CN"/>
              </w:rPr>
              <w:t>VOCs</w:t>
            </w:r>
          </w:p>
        </w:tc>
        <w:tc>
          <w:tcPr>
            <w:tcW w:w="1701" w:type="dxa"/>
            <w:vAlign w:val="center"/>
          </w:tcPr>
          <w:p>
            <w:pPr>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firstLine="0"/>
              <w:jc w:val="center"/>
              <w:rPr>
                <w:rFonts w:hint="default" w:ascii="Times New Roman" w:hAnsi="Times New Roman" w:eastAsia="宋体" w:cs="Times New Roman"/>
                <w:snapToGrid w:val="0"/>
                <w:color w:val="auto"/>
                <w:kern w:val="21"/>
                <w:sz w:val="21"/>
                <w:szCs w:val="21"/>
                <w:u w:val="none" w:color="auto"/>
                <w:lang w:val="en-US" w:eastAsia="zh-CN"/>
              </w:rPr>
            </w:pPr>
            <w:r>
              <w:rPr>
                <w:rFonts w:hint="default" w:ascii="Times New Roman" w:hAnsi="Times New Roman" w:eastAsia="宋体" w:cs="Times New Roman"/>
                <w:snapToGrid w:val="0"/>
                <w:color w:val="auto"/>
                <w:kern w:val="21"/>
                <w:sz w:val="21"/>
                <w:szCs w:val="21"/>
                <w:u w:val="none" w:color="auto"/>
                <w:lang w:val="en-US" w:eastAsia="zh-CN"/>
              </w:rPr>
              <w:t>12.59</w:t>
            </w:r>
          </w:p>
        </w:tc>
        <w:tc>
          <w:tcPr>
            <w:tcW w:w="1276" w:type="dxa"/>
            <w:vAlign w:val="center"/>
          </w:tcPr>
          <w:p>
            <w:pPr>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firstLine="0"/>
              <w:jc w:val="center"/>
              <w:rPr>
                <w:rFonts w:hint="default" w:ascii="Times New Roman" w:hAnsi="Times New Roman" w:eastAsia="宋体" w:cs="Times New Roman"/>
                <w:snapToGrid w:val="0"/>
                <w:color w:val="auto"/>
                <w:kern w:val="21"/>
                <w:sz w:val="21"/>
                <w:szCs w:val="21"/>
                <w:u w:val="none" w:color="auto"/>
                <w:lang w:val="en-US" w:eastAsia="zh-CN"/>
              </w:rPr>
            </w:pPr>
            <w:r>
              <w:rPr>
                <w:rFonts w:hint="default" w:ascii="Times New Roman" w:hAnsi="Times New Roman" w:eastAsia="宋体" w:cs="Times New Roman"/>
                <w:snapToGrid w:val="0"/>
                <w:color w:val="auto"/>
                <w:kern w:val="21"/>
                <w:sz w:val="21"/>
                <w:szCs w:val="21"/>
                <w:u w:val="none" w:color="auto"/>
                <w:lang w:val="en-US" w:eastAsia="zh-CN"/>
              </w:rPr>
              <w:t>84.6</w:t>
            </w:r>
          </w:p>
        </w:tc>
        <w:tc>
          <w:tcPr>
            <w:tcW w:w="1701" w:type="dxa"/>
            <w:vAlign w:val="center"/>
          </w:tcPr>
          <w:p>
            <w:pPr>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firstLine="0"/>
              <w:jc w:val="center"/>
              <w:rPr>
                <w:rFonts w:hint="default" w:ascii="Times New Roman" w:hAnsi="Times New Roman" w:eastAsia="宋体" w:cs="Times New Roman"/>
                <w:snapToGrid w:val="0"/>
                <w:color w:val="auto"/>
                <w:kern w:val="21"/>
                <w:sz w:val="21"/>
                <w:szCs w:val="21"/>
                <w:u w:val="none" w:color="auto"/>
                <w:lang w:val="en-US" w:eastAsia="zh-CN"/>
              </w:rPr>
            </w:pPr>
            <w:r>
              <w:rPr>
                <w:rFonts w:hint="default" w:ascii="Times New Roman" w:hAnsi="Times New Roman" w:eastAsia="宋体" w:cs="Times New Roman"/>
                <w:snapToGrid w:val="0"/>
                <w:color w:val="auto"/>
                <w:kern w:val="21"/>
                <w:sz w:val="21"/>
                <w:szCs w:val="21"/>
                <w:u w:val="none" w:color="auto"/>
                <w:lang w:val="en-US" w:eastAsia="zh-CN"/>
              </w:rPr>
              <w:t>84.6</w:t>
            </w:r>
          </w:p>
        </w:tc>
        <w:tc>
          <w:tcPr>
            <w:tcW w:w="1559" w:type="dxa"/>
            <w:vAlign w:val="center"/>
          </w:tcPr>
          <w:p>
            <w:pPr>
              <w:keepNext w:val="0"/>
              <w:keepLines w:val="0"/>
              <w:pageBreakBefore w:val="0"/>
              <w:suppressLineNumbers w:val="0"/>
              <w:kinsoku/>
              <w:wordWrap/>
              <w:overflowPunct/>
              <w:topLinePunct w:val="0"/>
              <w:autoSpaceDE/>
              <w:autoSpaceDN/>
              <w:bidi w:val="0"/>
              <w:spacing w:before="0" w:beforeLines="0" w:beforeAutospacing="0" w:after="0" w:afterLines="0" w:afterAutospacing="0" w:line="240" w:lineRule="auto"/>
              <w:ind w:left="0" w:right="0" w:firstLine="0"/>
              <w:jc w:val="center"/>
              <w:rPr>
                <w:rFonts w:hint="default" w:ascii="Times New Roman" w:hAnsi="Times New Roman" w:eastAsia="宋体" w:cs="Times New Roman"/>
                <w:snapToGrid w:val="0"/>
                <w:color w:val="auto"/>
                <w:kern w:val="21"/>
                <w:sz w:val="21"/>
                <w:szCs w:val="21"/>
                <w:u w:val="none" w:color="auto"/>
                <w:lang w:val="en-US" w:eastAsia="zh-CN"/>
              </w:rPr>
            </w:pPr>
            <w:r>
              <w:rPr>
                <w:rFonts w:hint="default" w:ascii="Times New Roman" w:hAnsi="Times New Roman" w:eastAsia="宋体" w:cs="Times New Roman"/>
                <w:snapToGrid w:val="0"/>
                <w:color w:val="auto"/>
                <w:kern w:val="21"/>
                <w:sz w:val="21"/>
                <w:szCs w:val="21"/>
                <w:u w:val="none" w:color="auto"/>
                <w:lang w:val="en-US" w:eastAsia="zh-CN"/>
              </w:rPr>
              <w:t>0</w:t>
            </w:r>
          </w:p>
        </w:tc>
        <w:tc>
          <w:tcPr>
            <w:tcW w:w="1761" w:type="dxa"/>
            <w:vAlign w:val="center"/>
          </w:tcPr>
          <w:p>
            <w:pPr>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default" w:ascii="Times New Roman" w:hAnsi="Times New Roman" w:eastAsia="宋体" w:cs="Times New Roman"/>
                <w:snapToGrid w:val="0"/>
                <w:color w:val="auto"/>
                <w:kern w:val="21"/>
                <w:sz w:val="21"/>
                <w:szCs w:val="21"/>
                <w:u w:val="none" w:color="auto"/>
                <w:lang w:val="en-US" w:eastAsia="zh-CN"/>
              </w:rPr>
              <w:t>0</w:t>
            </w:r>
          </w:p>
        </w:tc>
        <w:tc>
          <w:tcPr>
            <w:tcW w:w="1593"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kern w:val="2"/>
                <w:sz w:val="21"/>
                <w:szCs w:val="21"/>
                <w:u w:val="none" w:color="auto"/>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97.19</w:t>
            </w:r>
          </w:p>
        </w:tc>
        <w:tc>
          <w:tcPr>
            <w:tcW w:w="1192"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kern w:val="2"/>
                <w:sz w:val="21"/>
                <w:szCs w:val="21"/>
                <w:u w:val="none" w:color="auto"/>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88" w:type="dxa"/>
            <w:vMerge w:val="restart"/>
            <w:vAlign w:val="center"/>
          </w:tcPr>
          <w:p>
            <w:pPr>
              <w:pStyle w:val="46"/>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0" w:afterLines="0" w:afterAutospacing="0" w:line="240" w:lineRule="auto"/>
              <w:ind w:left="0" w:right="0" w:firstLine="0"/>
              <w:jc w:val="center"/>
              <w:textAlignment w:val="baseline"/>
              <w:rPr>
                <w:rFonts w:hint="default" w:ascii="Times New Roman" w:hAnsi="Times New Roman" w:eastAsia="宋体" w:cs="Times New Roman"/>
                <w:snapToGrid w:val="0"/>
                <w:color w:val="auto"/>
                <w:spacing w:val="-6"/>
                <w:kern w:val="21"/>
                <w:sz w:val="21"/>
                <w:szCs w:val="21"/>
                <w:u w:val="none" w:color="auto"/>
                <w:lang w:val="en-US" w:eastAsia="zh-CN"/>
              </w:rPr>
            </w:pPr>
            <w:r>
              <w:rPr>
                <w:rFonts w:hint="default" w:ascii="Times New Roman" w:hAnsi="Times New Roman" w:eastAsia="宋体" w:cs="Times New Roman"/>
                <w:snapToGrid w:val="0"/>
                <w:color w:val="auto"/>
                <w:spacing w:val="-6"/>
                <w:kern w:val="21"/>
                <w:sz w:val="21"/>
                <w:szCs w:val="21"/>
                <w:u w:val="none" w:color="auto"/>
              </w:rPr>
              <w:t>废水</w:t>
            </w:r>
          </w:p>
        </w:tc>
        <w:tc>
          <w:tcPr>
            <w:tcW w:w="1417" w:type="dxa"/>
            <w:vAlign w:val="center"/>
          </w:tcPr>
          <w:p>
            <w:pPr>
              <w:pStyle w:val="46"/>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0" w:afterLines="0" w:afterAutospacing="0" w:line="240" w:lineRule="auto"/>
              <w:ind w:left="0" w:right="0" w:firstLine="0"/>
              <w:jc w:val="center"/>
              <w:textAlignment w:val="baseline"/>
              <w:rPr>
                <w:rFonts w:hint="default" w:ascii="Times New Roman" w:hAnsi="Times New Roman" w:eastAsia="宋体" w:cs="Times New Roman"/>
                <w:snapToGrid w:val="0"/>
                <w:color w:val="auto"/>
                <w:kern w:val="21"/>
                <w:sz w:val="21"/>
                <w:szCs w:val="21"/>
                <w:u w:val="none" w:color="auto"/>
                <w:lang w:val="en-US" w:eastAsia="zh-CN" w:bidi="ar-SA"/>
              </w:rPr>
            </w:pPr>
            <w:r>
              <w:rPr>
                <w:rFonts w:hint="default" w:ascii="Times New Roman" w:hAnsi="Times New Roman" w:eastAsia="宋体" w:cs="Times New Roman"/>
                <w:snapToGrid w:val="0"/>
                <w:color w:val="auto"/>
                <w:kern w:val="21"/>
                <w:sz w:val="21"/>
                <w:szCs w:val="21"/>
                <w:u w:val="none" w:color="auto"/>
                <w:lang w:val="en-US" w:eastAsia="zh-CN"/>
              </w:rPr>
              <w:t>COD</w:t>
            </w:r>
          </w:p>
        </w:tc>
        <w:tc>
          <w:tcPr>
            <w:tcW w:w="1701"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1.84</w:t>
            </w:r>
            <w:r>
              <w:rPr>
                <w:rFonts w:hint="eastAsia" w:ascii="Times New Roman" w:hAnsi="Times New Roman" w:eastAsia="宋体" w:cs="Times New Roman"/>
                <w:i w:val="0"/>
                <w:iCs w:val="0"/>
                <w:color w:val="auto"/>
                <w:kern w:val="0"/>
                <w:sz w:val="21"/>
                <w:szCs w:val="21"/>
                <w:u w:val="none"/>
                <w:lang w:val="en-US" w:eastAsia="zh-CN" w:bidi="ar"/>
              </w:rPr>
              <w:t>89</w:t>
            </w:r>
          </w:p>
        </w:tc>
        <w:tc>
          <w:tcPr>
            <w:tcW w:w="1276"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5.1</w:t>
            </w:r>
          </w:p>
        </w:tc>
        <w:tc>
          <w:tcPr>
            <w:tcW w:w="1701"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auto"/>
                <w:kern w:val="0"/>
                <w:sz w:val="21"/>
                <w:szCs w:val="21"/>
                <w:highlight w:val="none"/>
                <w:u w:val="none" w:color="auto"/>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8.091</w:t>
            </w:r>
          </w:p>
        </w:tc>
        <w:tc>
          <w:tcPr>
            <w:tcW w:w="1559"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kern w:val="2"/>
                <w:sz w:val="21"/>
                <w:szCs w:val="21"/>
                <w:u w:val="none" w:color="auto"/>
                <w:lang w:val="en-US" w:eastAsia="zh-CN" w:bidi="ar-SA"/>
              </w:rPr>
            </w:pPr>
            <w:r>
              <w:rPr>
                <w:rFonts w:hint="eastAsia" w:cs="Times New Roman"/>
                <w:i w:val="0"/>
                <w:iCs w:val="0"/>
                <w:color w:val="auto"/>
                <w:kern w:val="0"/>
                <w:sz w:val="21"/>
                <w:szCs w:val="21"/>
                <w:u w:val="none"/>
                <w:lang w:val="en-US" w:eastAsia="zh-CN" w:bidi="ar"/>
              </w:rPr>
              <w:t>0</w:t>
            </w:r>
          </w:p>
        </w:tc>
        <w:tc>
          <w:tcPr>
            <w:tcW w:w="1761"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1593"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eastAsia" w:cs="Times New Roman"/>
                <w:i w:val="0"/>
                <w:iCs w:val="0"/>
                <w:color w:val="auto"/>
                <w:kern w:val="0"/>
                <w:sz w:val="21"/>
                <w:szCs w:val="21"/>
                <w:u w:val="none"/>
                <w:lang w:val="en-US" w:eastAsia="zh-CN" w:bidi="ar"/>
              </w:rPr>
              <w:t>9.9399</w:t>
            </w:r>
          </w:p>
        </w:tc>
        <w:tc>
          <w:tcPr>
            <w:tcW w:w="1192"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eastAsia" w:cs="Times New Roman"/>
                <w:i w:val="0"/>
                <w:iCs w:val="0"/>
                <w:color w:val="auto"/>
                <w:kern w:val="0"/>
                <w:sz w:val="21"/>
                <w:szCs w:val="21"/>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454" w:hRule="atLeast"/>
          <w:jc w:val="center"/>
        </w:trPr>
        <w:tc>
          <w:tcPr>
            <w:tcW w:w="1588" w:type="dxa"/>
            <w:vMerge w:val="continue"/>
            <w:vAlign w:val="center"/>
          </w:tcPr>
          <w:p>
            <w:pPr>
              <w:pStyle w:val="46"/>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0" w:afterLines="0" w:afterAutospacing="0" w:line="240" w:lineRule="auto"/>
              <w:ind w:left="0" w:right="0" w:firstLine="0"/>
              <w:jc w:val="center"/>
              <w:textAlignment w:val="baseline"/>
              <w:rPr>
                <w:rFonts w:hint="default" w:ascii="Times New Roman" w:hAnsi="Times New Roman" w:eastAsia="宋体" w:cs="Times New Roman"/>
                <w:snapToGrid w:val="0"/>
                <w:color w:val="auto"/>
                <w:spacing w:val="-6"/>
                <w:kern w:val="21"/>
                <w:sz w:val="21"/>
                <w:szCs w:val="21"/>
                <w:u w:val="none" w:color="auto"/>
                <w:lang w:eastAsia="zh-CN"/>
              </w:rPr>
            </w:pPr>
          </w:p>
        </w:tc>
        <w:tc>
          <w:tcPr>
            <w:tcW w:w="1417" w:type="dxa"/>
            <w:vAlign w:val="center"/>
          </w:tcPr>
          <w:p>
            <w:pPr>
              <w:pStyle w:val="46"/>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0" w:afterLines="0" w:afterAutospacing="0" w:line="240" w:lineRule="auto"/>
              <w:ind w:left="0" w:right="0" w:firstLine="0"/>
              <w:jc w:val="center"/>
              <w:textAlignment w:val="baseline"/>
              <w:rPr>
                <w:rFonts w:hint="default" w:ascii="Times New Roman" w:hAnsi="Times New Roman" w:eastAsia="宋体" w:cs="Times New Roman"/>
                <w:snapToGrid w:val="0"/>
                <w:color w:val="auto"/>
                <w:kern w:val="21"/>
                <w:sz w:val="21"/>
                <w:szCs w:val="21"/>
                <w:u w:val="none" w:color="auto"/>
                <w:lang w:val="en-US" w:eastAsia="zh-CN" w:bidi="ar-SA"/>
              </w:rPr>
            </w:pPr>
            <w:r>
              <w:rPr>
                <w:rFonts w:hint="default" w:ascii="Times New Roman" w:hAnsi="Times New Roman" w:eastAsia="宋体" w:cs="Times New Roman"/>
                <w:snapToGrid w:val="0"/>
                <w:color w:val="auto"/>
                <w:kern w:val="21"/>
                <w:sz w:val="21"/>
                <w:szCs w:val="21"/>
                <w:u w:val="none" w:color="auto"/>
                <w:lang w:eastAsia="zh-CN"/>
              </w:rPr>
              <w:t>氨氮</w:t>
            </w:r>
          </w:p>
        </w:tc>
        <w:tc>
          <w:tcPr>
            <w:tcW w:w="1701"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0.2246</w:t>
            </w:r>
          </w:p>
        </w:tc>
        <w:tc>
          <w:tcPr>
            <w:tcW w:w="1276"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0.51</w:t>
            </w:r>
          </w:p>
        </w:tc>
        <w:tc>
          <w:tcPr>
            <w:tcW w:w="1701"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auto"/>
                <w:kern w:val="0"/>
                <w:sz w:val="21"/>
                <w:szCs w:val="21"/>
                <w:highlight w:val="none"/>
                <w:u w:val="none" w:color="auto"/>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0.809</w:t>
            </w:r>
          </w:p>
        </w:tc>
        <w:tc>
          <w:tcPr>
            <w:tcW w:w="1559"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color w:val="auto"/>
                <w:kern w:val="2"/>
                <w:sz w:val="21"/>
                <w:szCs w:val="21"/>
                <w:u w:val="none" w:color="auto"/>
                <w:lang w:val="en-US" w:eastAsia="zh-CN" w:bidi="ar-SA"/>
              </w:rPr>
            </w:pPr>
            <w:r>
              <w:rPr>
                <w:rFonts w:hint="eastAsia" w:cs="Times New Roman"/>
                <w:i w:val="0"/>
                <w:iCs w:val="0"/>
                <w:color w:val="auto"/>
                <w:kern w:val="0"/>
                <w:sz w:val="21"/>
                <w:szCs w:val="21"/>
                <w:u w:val="none"/>
                <w:lang w:val="en-US" w:eastAsia="zh-CN" w:bidi="ar"/>
              </w:rPr>
              <w:t>0</w:t>
            </w:r>
          </w:p>
        </w:tc>
        <w:tc>
          <w:tcPr>
            <w:tcW w:w="1761"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1593"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eastAsia" w:cs="Times New Roman"/>
                <w:i w:val="0"/>
                <w:iCs w:val="0"/>
                <w:color w:val="auto"/>
                <w:kern w:val="0"/>
                <w:sz w:val="21"/>
                <w:szCs w:val="21"/>
                <w:u w:val="none"/>
                <w:lang w:val="en-US" w:eastAsia="zh-CN" w:bidi="ar"/>
              </w:rPr>
              <w:t>1.0336</w:t>
            </w:r>
          </w:p>
        </w:tc>
        <w:tc>
          <w:tcPr>
            <w:tcW w:w="1192"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eastAsia" w:cs="Times New Roman"/>
                <w:i w:val="0"/>
                <w:iCs w:val="0"/>
                <w:color w:val="auto"/>
                <w:kern w:val="0"/>
                <w:sz w:val="21"/>
                <w:szCs w:val="21"/>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88" w:type="dxa"/>
            <w:vAlign w:val="center"/>
          </w:tcPr>
          <w:p>
            <w:pPr>
              <w:pStyle w:val="46"/>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0" w:afterLines="0" w:afterAutospacing="0" w:line="240" w:lineRule="auto"/>
              <w:ind w:left="0" w:right="0" w:firstLine="0"/>
              <w:jc w:val="center"/>
              <w:textAlignment w:val="baseline"/>
              <w:rPr>
                <w:rFonts w:hint="eastAsia" w:ascii="Times New Roman" w:hAnsi="Times New Roman" w:eastAsia="宋体" w:cs="Times New Roman"/>
                <w:snapToGrid w:val="0"/>
                <w:color w:val="auto"/>
                <w:spacing w:val="-6"/>
                <w:kern w:val="21"/>
                <w:sz w:val="21"/>
                <w:szCs w:val="21"/>
                <w:u w:val="none" w:color="auto"/>
                <w:lang w:eastAsia="zh-CN"/>
              </w:rPr>
            </w:pPr>
            <w:r>
              <w:rPr>
                <w:rFonts w:hint="eastAsia" w:ascii="Times New Roman" w:cs="Times New Roman"/>
                <w:snapToGrid w:val="0"/>
                <w:color w:val="auto"/>
                <w:spacing w:val="-6"/>
                <w:kern w:val="21"/>
                <w:sz w:val="21"/>
                <w:szCs w:val="21"/>
                <w:u w:val="none" w:color="auto"/>
                <w:lang w:eastAsia="zh-CN"/>
              </w:rPr>
              <w:t>生活垃圾</w:t>
            </w:r>
          </w:p>
        </w:tc>
        <w:tc>
          <w:tcPr>
            <w:tcW w:w="1417"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生活垃圾</w:t>
            </w:r>
          </w:p>
        </w:tc>
        <w:tc>
          <w:tcPr>
            <w:tcW w:w="1701" w:type="dxa"/>
            <w:vAlign w:val="center"/>
          </w:tcPr>
          <w:p>
            <w:pPr>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宋体" w:cs="Times New Roman"/>
                <w:color w:val="auto"/>
                <w:sz w:val="21"/>
                <w:szCs w:val="21"/>
                <w:u w:val="none" w:color="auto"/>
                <w:lang w:val="en-US" w:eastAsia="zh-CN"/>
              </w:rPr>
            </w:pPr>
            <w:r>
              <w:rPr>
                <w:rFonts w:hint="eastAsia" w:cs="Times New Roman"/>
                <w:color w:val="auto"/>
                <w:sz w:val="21"/>
                <w:szCs w:val="21"/>
                <w:u w:val="none" w:color="auto"/>
                <w:lang w:val="en-US" w:eastAsia="zh-CN"/>
              </w:rPr>
              <w:t>109.5</w:t>
            </w:r>
          </w:p>
        </w:tc>
        <w:tc>
          <w:tcPr>
            <w:tcW w:w="1276"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u w:val="none" w:color="auto"/>
                <w:lang w:val="en-US" w:eastAsia="zh-CN"/>
              </w:rPr>
            </w:pPr>
            <w:r>
              <w:rPr>
                <w:rFonts w:hint="eastAsia" w:cs="Times New Roman"/>
                <w:color w:val="auto"/>
                <w:sz w:val="21"/>
                <w:szCs w:val="21"/>
                <w:u w:val="none" w:color="auto"/>
                <w:lang w:val="en-US" w:eastAsia="zh-CN"/>
              </w:rPr>
              <w:t>/</w:t>
            </w:r>
          </w:p>
        </w:tc>
        <w:tc>
          <w:tcPr>
            <w:tcW w:w="1701"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u w:val="none" w:color="auto"/>
                <w:lang w:val="en-US" w:eastAsia="zh-CN"/>
              </w:rPr>
            </w:pPr>
            <w:r>
              <w:rPr>
                <w:rFonts w:hint="eastAsia" w:cs="Times New Roman"/>
                <w:color w:val="auto"/>
                <w:sz w:val="21"/>
                <w:szCs w:val="21"/>
                <w:u w:val="none" w:color="auto"/>
                <w:lang w:val="en-US" w:eastAsia="zh-CN"/>
              </w:rPr>
              <w:t>130</w:t>
            </w:r>
          </w:p>
        </w:tc>
        <w:tc>
          <w:tcPr>
            <w:tcW w:w="1559"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eastAsia" w:cs="Times New Roman"/>
                <w:snapToGrid w:val="0"/>
                <w:color w:val="auto"/>
                <w:kern w:val="21"/>
                <w:sz w:val="21"/>
                <w:szCs w:val="21"/>
                <w:u w:val="none" w:color="auto"/>
                <w:lang w:val="en-US" w:eastAsia="zh-CN" w:bidi="ar-SA"/>
              </w:rPr>
              <w:t>/</w:t>
            </w:r>
          </w:p>
        </w:tc>
        <w:tc>
          <w:tcPr>
            <w:tcW w:w="1761" w:type="dxa"/>
            <w:vAlign w:val="center"/>
          </w:tcPr>
          <w:p>
            <w:pPr>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宋体" w:cs="Times New Roman"/>
                <w:snapToGrid w:val="0"/>
                <w:color w:val="auto"/>
                <w:kern w:val="21"/>
                <w:sz w:val="21"/>
                <w:szCs w:val="21"/>
                <w:u w:val="none" w:color="auto"/>
                <w:lang w:val="en-US" w:eastAsia="zh-CN"/>
              </w:rPr>
            </w:pPr>
            <w:r>
              <w:rPr>
                <w:rFonts w:hint="eastAsia" w:cs="Times New Roman"/>
                <w:snapToGrid w:val="0"/>
                <w:color w:val="auto"/>
                <w:kern w:val="21"/>
                <w:sz w:val="21"/>
                <w:szCs w:val="21"/>
                <w:u w:val="none" w:color="auto"/>
                <w:lang w:val="en-US" w:eastAsia="zh-CN"/>
              </w:rPr>
              <w:t>0</w:t>
            </w:r>
          </w:p>
        </w:tc>
        <w:tc>
          <w:tcPr>
            <w:tcW w:w="1593"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olor w:val="auto"/>
              </w:rPr>
              <w:t>/</w:t>
            </w:r>
          </w:p>
        </w:tc>
        <w:tc>
          <w:tcPr>
            <w:tcW w:w="1192"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88" w:type="dxa"/>
            <w:vAlign w:val="center"/>
          </w:tcPr>
          <w:p>
            <w:pPr>
              <w:pStyle w:val="46"/>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0" w:afterLines="0" w:afterAutospacing="0" w:line="240" w:lineRule="auto"/>
              <w:ind w:left="0" w:right="0" w:firstLine="0"/>
              <w:jc w:val="center"/>
              <w:textAlignment w:val="baseline"/>
              <w:rPr>
                <w:rFonts w:hint="default" w:ascii="Times New Roman" w:hAnsi="Times New Roman" w:eastAsia="宋体" w:cs="Times New Roman"/>
                <w:snapToGrid w:val="0"/>
                <w:color w:val="auto"/>
                <w:spacing w:val="-6"/>
                <w:kern w:val="21"/>
                <w:sz w:val="21"/>
                <w:szCs w:val="21"/>
                <w:u w:val="none" w:color="auto"/>
              </w:rPr>
            </w:pPr>
            <w:r>
              <w:rPr>
                <w:rFonts w:hint="default" w:ascii="Times New Roman" w:hAnsi="Times New Roman" w:eastAsia="宋体" w:cs="Times New Roman"/>
                <w:snapToGrid w:val="0"/>
                <w:color w:val="auto"/>
                <w:spacing w:val="-6"/>
                <w:kern w:val="21"/>
                <w:sz w:val="21"/>
                <w:szCs w:val="21"/>
                <w:u w:val="none" w:color="auto"/>
              </w:rPr>
              <w:t>一般工业</w:t>
            </w:r>
          </w:p>
          <w:p>
            <w:pPr>
              <w:pStyle w:val="46"/>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0" w:afterLines="0" w:afterAutospacing="0" w:line="240" w:lineRule="auto"/>
              <w:ind w:left="0" w:right="0" w:firstLine="0"/>
              <w:jc w:val="center"/>
              <w:textAlignment w:val="baseline"/>
              <w:rPr>
                <w:rFonts w:hint="default" w:ascii="Times New Roman" w:hAnsi="Times New Roman" w:eastAsia="宋体" w:cs="Times New Roman"/>
                <w:snapToGrid w:val="0"/>
                <w:color w:val="auto"/>
                <w:spacing w:val="-6"/>
                <w:kern w:val="21"/>
                <w:sz w:val="21"/>
                <w:szCs w:val="21"/>
                <w:u w:val="none" w:color="auto"/>
                <w:lang w:val="en-US" w:eastAsia="zh-CN"/>
              </w:rPr>
            </w:pPr>
            <w:r>
              <w:rPr>
                <w:rFonts w:hint="default" w:ascii="Times New Roman" w:hAnsi="Times New Roman" w:eastAsia="宋体" w:cs="Times New Roman"/>
                <w:snapToGrid w:val="0"/>
                <w:color w:val="auto"/>
                <w:spacing w:val="-6"/>
                <w:kern w:val="21"/>
                <w:sz w:val="21"/>
                <w:szCs w:val="21"/>
                <w:u w:val="none" w:color="auto"/>
              </w:rPr>
              <w:t>固体废物</w:t>
            </w:r>
          </w:p>
        </w:tc>
        <w:tc>
          <w:tcPr>
            <w:tcW w:w="1417"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w:t>
            </w:r>
          </w:p>
        </w:tc>
        <w:tc>
          <w:tcPr>
            <w:tcW w:w="1701" w:type="dxa"/>
            <w:vAlign w:val="center"/>
          </w:tcPr>
          <w:p>
            <w:pPr>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宋体" w:cs="Times New Roman"/>
                <w:color w:val="auto"/>
                <w:kern w:val="2"/>
                <w:sz w:val="21"/>
                <w:szCs w:val="21"/>
                <w:u w:val="none" w:color="auto"/>
                <w:lang w:val="en-US" w:eastAsia="zh-CN" w:bidi="ar-SA"/>
              </w:rPr>
            </w:pPr>
            <w:r>
              <w:rPr>
                <w:rFonts w:hint="eastAsia"/>
                <w:color w:val="auto"/>
              </w:rPr>
              <w:t>/</w:t>
            </w:r>
          </w:p>
        </w:tc>
        <w:tc>
          <w:tcPr>
            <w:tcW w:w="1276"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color="auto"/>
                <w:lang w:val="en-US" w:eastAsia="zh-CN" w:bidi="ar"/>
              </w:rPr>
            </w:pPr>
            <w:r>
              <w:rPr>
                <w:rFonts w:hint="eastAsia"/>
                <w:color w:val="auto"/>
              </w:rPr>
              <w:t>/</w:t>
            </w:r>
          </w:p>
        </w:tc>
        <w:tc>
          <w:tcPr>
            <w:tcW w:w="1701"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color="auto"/>
                <w:lang w:val="en-US" w:eastAsia="zh-CN" w:bidi="ar"/>
              </w:rPr>
            </w:pPr>
            <w:r>
              <w:rPr>
                <w:rFonts w:hint="eastAsia"/>
                <w:color w:val="auto"/>
              </w:rPr>
              <w:t>/</w:t>
            </w:r>
          </w:p>
        </w:tc>
        <w:tc>
          <w:tcPr>
            <w:tcW w:w="1559"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eastAsia"/>
                <w:color w:val="auto"/>
              </w:rPr>
              <w:t>/</w:t>
            </w:r>
          </w:p>
        </w:tc>
        <w:tc>
          <w:tcPr>
            <w:tcW w:w="1761" w:type="dxa"/>
            <w:vAlign w:val="center"/>
          </w:tcPr>
          <w:p>
            <w:pPr>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eastAsia"/>
                <w:color w:val="auto"/>
              </w:rPr>
              <w:t>/</w:t>
            </w:r>
          </w:p>
        </w:tc>
        <w:tc>
          <w:tcPr>
            <w:tcW w:w="1593"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u w:val="none" w:color="auto"/>
                <w:lang w:val="en-US" w:eastAsia="zh-CN" w:bidi="ar-SA"/>
              </w:rPr>
            </w:pPr>
            <w:r>
              <w:rPr>
                <w:rFonts w:hint="eastAsia"/>
                <w:color w:val="auto"/>
              </w:rPr>
              <w:t>/</w:t>
            </w:r>
          </w:p>
        </w:tc>
        <w:tc>
          <w:tcPr>
            <w:tcW w:w="1192"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eastAsia" w:cs="Times New Roman"/>
                <w:i w:val="0"/>
                <w:iCs w:val="0"/>
                <w:color w:val="auto"/>
                <w:kern w:val="0"/>
                <w:sz w:val="21"/>
                <w:szCs w:val="21"/>
                <w:u w:val="none"/>
                <w:lang w:val="en-US" w:eastAsia="zh-CN" w:bidi="ar"/>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88" w:type="dxa"/>
            <w:vMerge w:val="restart"/>
            <w:vAlign w:val="center"/>
          </w:tcPr>
          <w:p>
            <w:pPr>
              <w:pStyle w:val="46"/>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0" w:afterLines="0" w:afterAutospacing="0" w:line="240" w:lineRule="auto"/>
              <w:ind w:left="0" w:right="0" w:firstLine="0"/>
              <w:jc w:val="center"/>
              <w:textAlignment w:val="baseline"/>
              <w:rPr>
                <w:rFonts w:hint="default" w:ascii="Times New Roman" w:hAnsi="Times New Roman" w:eastAsia="宋体" w:cs="Times New Roman"/>
                <w:snapToGrid w:val="0"/>
                <w:color w:val="auto"/>
                <w:spacing w:val="-6"/>
                <w:kern w:val="21"/>
                <w:sz w:val="21"/>
                <w:szCs w:val="21"/>
                <w:u w:val="none" w:color="auto"/>
                <w:lang w:val="en-US" w:eastAsia="zh-CN"/>
              </w:rPr>
            </w:pPr>
            <w:r>
              <w:rPr>
                <w:rFonts w:hint="default" w:ascii="Times New Roman" w:hAnsi="Times New Roman" w:eastAsia="宋体" w:cs="Times New Roman"/>
                <w:snapToGrid w:val="0"/>
                <w:color w:val="auto"/>
                <w:spacing w:val="-6"/>
                <w:kern w:val="21"/>
                <w:sz w:val="21"/>
                <w:szCs w:val="21"/>
                <w:u w:val="none" w:color="auto"/>
                <w:lang w:eastAsia="zh-CN"/>
              </w:rPr>
              <w:t>危险废物</w:t>
            </w:r>
          </w:p>
        </w:tc>
        <w:tc>
          <w:tcPr>
            <w:tcW w:w="1417"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eastAsia="zh-CN"/>
              </w:rPr>
              <w:t>熔炼渣</w:t>
            </w:r>
          </w:p>
        </w:tc>
        <w:tc>
          <w:tcPr>
            <w:tcW w:w="1701" w:type="dxa"/>
            <w:vAlign w:val="center"/>
          </w:tcPr>
          <w:p>
            <w:pPr>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default" w:ascii="Times New Roman" w:hAnsi="Times New Roman" w:eastAsia="宋体" w:cs="Times New Roman"/>
                <w:color w:val="auto"/>
                <w:sz w:val="21"/>
                <w:szCs w:val="21"/>
                <w:u w:val="none" w:color="auto"/>
                <w:lang w:val="en-US" w:eastAsia="zh-CN"/>
              </w:rPr>
              <w:t>/</w:t>
            </w:r>
          </w:p>
        </w:tc>
        <w:tc>
          <w:tcPr>
            <w:tcW w:w="1276" w:type="dxa"/>
            <w:vAlign w:val="center"/>
          </w:tcPr>
          <w:p>
            <w:pPr>
              <w:keepNext w:val="0"/>
              <w:keepLines w:val="0"/>
              <w:suppressLineNumbers w:val="0"/>
              <w:spacing w:before="0" w:beforeAutospacing="0" w:after="0" w:afterAutospacing="0" w:line="290" w:lineRule="exact"/>
              <w:ind w:left="0" w:right="0"/>
              <w:jc w:val="center"/>
              <w:rPr>
                <w:rFonts w:hint="default" w:ascii="Times New Roman" w:hAnsi="Times New Roman" w:eastAsia="宋体" w:cs="Times New Roman"/>
                <w:color w:val="auto"/>
                <w:kern w:val="2"/>
                <w:sz w:val="21"/>
                <w:szCs w:val="21"/>
                <w:u w:val="none" w:color="auto"/>
                <w:lang w:val="en-US" w:eastAsia="zh-CN" w:bidi="ar-SA"/>
              </w:rPr>
            </w:pPr>
            <w:r>
              <w:rPr>
                <w:rFonts w:hint="default" w:ascii="Times New Roman" w:hAnsi="Times New Roman" w:eastAsia="宋体" w:cs="Times New Roman"/>
                <w:color w:val="auto"/>
                <w:sz w:val="21"/>
                <w:szCs w:val="21"/>
                <w:u w:val="none" w:color="auto"/>
                <w:lang w:val="en-US" w:eastAsia="zh-CN"/>
              </w:rPr>
              <w:t>/</w:t>
            </w:r>
          </w:p>
        </w:tc>
        <w:tc>
          <w:tcPr>
            <w:tcW w:w="1701" w:type="dxa"/>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u w:val="none" w:color="auto"/>
                <w:lang w:val="en-US" w:eastAsia="zh-CN" w:bidi="ar-SA"/>
              </w:rPr>
            </w:pPr>
            <w:r>
              <w:rPr>
                <w:rFonts w:hint="default" w:ascii="Times New Roman" w:hAnsi="Times New Roman" w:eastAsia="宋体" w:cs="Times New Roman"/>
                <w:bCs/>
                <w:color w:val="auto"/>
                <w:kern w:val="2"/>
                <w:sz w:val="21"/>
                <w:szCs w:val="21"/>
                <w:lang w:val="en-US" w:eastAsia="zh-CN" w:bidi="ar"/>
              </w:rPr>
              <w:t>700</w:t>
            </w:r>
          </w:p>
        </w:tc>
        <w:tc>
          <w:tcPr>
            <w:tcW w:w="1559"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eastAsia" w:ascii="Times New Roman" w:hAnsi="Times New Roman" w:eastAsia="宋体" w:cs="Times New Roman"/>
                <w:snapToGrid w:val="0"/>
                <w:color w:val="auto"/>
                <w:kern w:val="21"/>
                <w:sz w:val="21"/>
                <w:szCs w:val="21"/>
                <w:u w:val="none" w:color="auto"/>
                <w:lang w:val="en-US" w:eastAsia="zh-CN" w:bidi="ar-SA"/>
              </w:rPr>
              <w:t>0</w:t>
            </w:r>
          </w:p>
        </w:tc>
        <w:tc>
          <w:tcPr>
            <w:tcW w:w="1761" w:type="dxa"/>
            <w:vAlign w:val="center"/>
          </w:tcPr>
          <w:p>
            <w:pPr>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eastAsia" w:ascii="Times New Roman" w:hAnsi="Times New Roman" w:eastAsia="宋体" w:cs="Times New Roman"/>
                <w:snapToGrid w:val="0"/>
                <w:color w:val="auto"/>
                <w:kern w:val="21"/>
                <w:sz w:val="21"/>
                <w:szCs w:val="21"/>
                <w:u w:val="none" w:color="auto"/>
                <w:lang w:val="en-US" w:eastAsia="zh-CN"/>
              </w:rPr>
              <w:t>700</w:t>
            </w:r>
          </w:p>
        </w:tc>
        <w:tc>
          <w:tcPr>
            <w:tcW w:w="1593"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0</w:t>
            </w:r>
          </w:p>
        </w:tc>
        <w:tc>
          <w:tcPr>
            <w:tcW w:w="1192"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-700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88" w:type="dxa"/>
            <w:vMerge w:val="continue"/>
            <w:vAlign w:val="center"/>
          </w:tcPr>
          <w:p>
            <w:pPr>
              <w:pStyle w:val="46"/>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0" w:afterLines="0" w:afterAutospacing="0" w:line="240" w:lineRule="auto"/>
              <w:ind w:left="0" w:right="0" w:firstLine="0"/>
              <w:jc w:val="center"/>
              <w:textAlignment w:val="baseline"/>
              <w:rPr>
                <w:rFonts w:hint="default" w:ascii="Times New Roman" w:hAnsi="Times New Roman" w:eastAsia="宋体" w:cs="Times New Roman"/>
                <w:snapToGrid w:val="0"/>
                <w:color w:val="auto"/>
                <w:spacing w:val="-6"/>
                <w:kern w:val="21"/>
                <w:sz w:val="21"/>
                <w:szCs w:val="21"/>
                <w:u w:val="none" w:color="auto"/>
                <w:lang w:eastAsia="zh-CN"/>
              </w:rPr>
            </w:pPr>
          </w:p>
        </w:tc>
        <w:tc>
          <w:tcPr>
            <w:tcW w:w="1417"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二次熔炼渣</w:t>
            </w:r>
          </w:p>
        </w:tc>
        <w:tc>
          <w:tcPr>
            <w:tcW w:w="1701" w:type="dxa"/>
            <w:vAlign w:val="center"/>
          </w:tcPr>
          <w:p>
            <w:pPr>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宋体" w:cs="Times New Roman"/>
                <w:color w:val="auto"/>
                <w:sz w:val="21"/>
                <w:szCs w:val="21"/>
                <w:u w:val="none" w:color="auto"/>
                <w:lang w:val="en-US" w:eastAsia="zh-CN"/>
              </w:rPr>
            </w:pPr>
            <w:r>
              <w:rPr>
                <w:rFonts w:hint="eastAsia" w:cs="Times New Roman"/>
                <w:color w:val="auto"/>
                <w:sz w:val="21"/>
                <w:szCs w:val="21"/>
                <w:u w:val="none" w:color="auto"/>
                <w:lang w:val="en-US" w:eastAsia="zh-CN"/>
              </w:rPr>
              <w:t>/</w:t>
            </w:r>
          </w:p>
        </w:tc>
        <w:tc>
          <w:tcPr>
            <w:tcW w:w="1276" w:type="dxa"/>
            <w:vAlign w:val="center"/>
          </w:tcPr>
          <w:p>
            <w:pPr>
              <w:keepNext w:val="0"/>
              <w:keepLines w:val="0"/>
              <w:suppressLineNumbers w:val="0"/>
              <w:spacing w:before="0" w:beforeAutospacing="0" w:after="0" w:afterAutospacing="0" w:line="290" w:lineRule="exact"/>
              <w:ind w:left="0" w:right="0"/>
              <w:jc w:val="center"/>
              <w:rPr>
                <w:rFonts w:hint="default" w:ascii="Times New Roman" w:hAnsi="Times New Roman" w:eastAsia="宋体" w:cs="Times New Roman"/>
                <w:color w:val="auto"/>
                <w:sz w:val="21"/>
                <w:szCs w:val="21"/>
                <w:u w:val="none" w:color="auto"/>
                <w:lang w:val="en-US" w:eastAsia="zh-CN"/>
              </w:rPr>
            </w:pPr>
            <w:r>
              <w:rPr>
                <w:rFonts w:hint="eastAsia" w:cs="Times New Roman"/>
                <w:color w:val="auto"/>
                <w:sz w:val="21"/>
                <w:szCs w:val="21"/>
                <w:u w:val="none" w:color="auto"/>
                <w:lang w:val="en-US" w:eastAsia="zh-CN"/>
              </w:rPr>
              <w:t>/</w:t>
            </w:r>
          </w:p>
        </w:tc>
        <w:tc>
          <w:tcPr>
            <w:tcW w:w="1701" w:type="dxa"/>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bCs/>
                <w:color w:val="auto"/>
                <w:kern w:val="2"/>
                <w:sz w:val="21"/>
                <w:szCs w:val="21"/>
                <w:lang w:val="en-US" w:eastAsia="zh-CN" w:bidi="ar"/>
              </w:rPr>
            </w:pPr>
            <w:r>
              <w:rPr>
                <w:rFonts w:hint="eastAsia" w:cs="Times New Roman"/>
                <w:bCs/>
                <w:color w:val="auto"/>
                <w:kern w:val="2"/>
                <w:sz w:val="21"/>
                <w:szCs w:val="21"/>
                <w:lang w:val="en-US" w:eastAsia="zh-CN" w:bidi="ar"/>
              </w:rPr>
              <w:t>/</w:t>
            </w:r>
          </w:p>
        </w:tc>
        <w:tc>
          <w:tcPr>
            <w:tcW w:w="1559"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eastAsia" w:cs="Times New Roman"/>
                <w:snapToGrid w:val="0"/>
                <w:color w:val="auto"/>
                <w:kern w:val="21"/>
                <w:sz w:val="21"/>
                <w:szCs w:val="21"/>
                <w:u w:val="none" w:color="auto"/>
                <w:lang w:val="en-US" w:eastAsia="zh-CN" w:bidi="ar-SA"/>
              </w:rPr>
              <w:t>490.3514</w:t>
            </w:r>
          </w:p>
        </w:tc>
        <w:tc>
          <w:tcPr>
            <w:tcW w:w="1761" w:type="dxa"/>
            <w:vAlign w:val="center"/>
          </w:tcPr>
          <w:p>
            <w:pPr>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宋体" w:cs="Times New Roman"/>
                <w:snapToGrid w:val="0"/>
                <w:color w:val="auto"/>
                <w:kern w:val="21"/>
                <w:sz w:val="21"/>
                <w:szCs w:val="21"/>
                <w:u w:val="none" w:color="auto"/>
                <w:lang w:val="en-US" w:eastAsia="zh-CN"/>
              </w:rPr>
            </w:pPr>
            <w:r>
              <w:rPr>
                <w:rFonts w:hint="eastAsia" w:ascii="Times New Roman" w:hAnsi="Times New Roman" w:eastAsia="宋体" w:cs="Times New Roman"/>
                <w:snapToGrid w:val="0"/>
                <w:color w:val="auto"/>
                <w:kern w:val="21"/>
                <w:sz w:val="21"/>
                <w:szCs w:val="21"/>
                <w:u w:val="none" w:color="auto"/>
                <w:lang w:val="en-US" w:eastAsia="zh-CN"/>
              </w:rPr>
              <w:t>0</w:t>
            </w:r>
          </w:p>
        </w:tc>
        <w:tc>
          <w:tcPr>
            <w:tcW w:w="1593"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490.3514</w:t>
            </w:r>
          </w:p>
        </w:tc>
        <w:tc>
          <w:tcPr>
            <w:tcW w:w="1192"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w:t>
            </w:r>
            <w:r>
              <w:rPr>
                <w:rFonts w:hint="eastAsia" w:cs="Times New Roman"/>
                <w:i w:val="0"/>
                <w:iCs w:val="0"/>
                <w:color w:val="auto"/>
                <w:kern w:val="0"/>
                <w:sz w:val="21"/>
                <w:szCs w:val="21"/>
                <w:u w:val="none"/>
                <w:lang w:val="en-US" w:eastAsia="zh-CN" w:bidi="ar"/>
              </w:rPr>
              <w:t>490.3514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88" w:type="dxa"/>
            <w:vMerge w:val="continue"/>
            <w:vAlign w:val="center"/>
          </w:tcPr>
          <w:p>
            <w:pPr>
              <w:pStyle w:val="46"/>
              <w:keepNext w:val="0"/>
              <w:keepLines w:val="0"/>
              <w:suppressLineNumbers w:val="0"/>
              <w:spacing w:beforeLines="0" w:beforeAutospacing="0" w:after="0" w:afterLines="0" w:afterAutospacing="0" w:line="240" w:lineRule="auto"/>
              <w:ind w:left="0" w:right="0"/>
              <w:jc w:val="center"/>
              <w:rPr>
                <w:rFonts w:hint="default" w:ascii="Times New Roman" w:hAnsi="Times New Roman" w:eastAsia="宋体" w:cs="Times New Roman"/>
                <w:snapToGrid w:val="0"/>
                <w:color w:val="auto"/>
                <w:kern w:val="21"/>
                <w:sz w:val="21"/>
                <w:szCs w:val="21"/>
                <w:u w:val="none" w:color="auto"/>
                <w:lang w:eastAsia="zh-CN"/>
              </w:rPr>
            </w:pPr>
          </w:p>
        </w:tc>
        <w:tc>
          <w:tcPr>
            <w:tcW w:w="1417"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eastAsia="zh-CN"/>
              </w:rPr>
              <w:t>除尘灰</w:t>
            </w:r>
          </w:p>
        </w:tc>
        <w:tc>
          <w:tcPr>
            <w:tcW w:w="1701" w:type="dxa"/>
            <w:vAlign w:val="center"/>
          </w:tcPr>
          <w:p>
            <w:pPr>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default" w:ascii="Times New Roman" w:hAnsi="Times New Roman" w:eastAsia="宋体" w:cs="Times New Roman"/>
                <w:color w:val="auto"/>
                <w:sz w:val="21"/>
                <w:szCs w:val="21"/>
                <w:u w:val="none" w:color="auto"/>
                <w:lang w:val="en-US" w:eastAsia="zh-CN"/>
              </w:rPr>
              <w:t>/</w:t>
            </w:r>
          </w:p>
        </w:tc>
        <w:tc>
          <w:tcPr>
            <w:tcW w:w="1276" w:type="dxa"/>
            <w:vAlign w:val="center"/>
          </w:tcPr>
          <w:p>
            <w:pPr>
              <w:keepNext w:val="0"/>
              <w:keepLines w:val="0"/>
              <w:suppressLineNumbers w:val="0"/>
              <w:spacing w:before="0" w:beforeAutospacing="0" w:after="0" w:afterAutospacing="0" w:line="290" w:lineRule="exact"/>
              <w:ind w:left="0" w:right="0"/>
              <w:jc w:val="center"/>
              <w:rPr>
                <w:rFonts w:hint="default" w:ascii="Times New Roman" w:hAnsi="Times New Roman" w:eastAsia="宋体" w:cs="Times New Roman"/>
                <w:color w:val="auto"/>
                <w:kern w:val="2"/>
                <w:sz w:val="21"/>
                <w:szCs w:val="21"/>
                <w:u w:val="none" w:color="auto"/>
                <w:lang w:val="en-US" w:eastAsia="zh-CN" w:bidi="ar-SA"/>
              </w:rPr>
            </w:pPr>
            <w:r>
              <w:rPr>
                <w:rFonts w:hint="default" w:ascii="Times New Roman" w:hAnsi="Times New Roman" w:eastAsia="宋体" w:cs="Times New Roman"/>
                <w:color w:val="auto"/>
                <w:sz w:val="21"/>
                <w:szCs w:val="21"/>
                <w:u w:val="none" w:color="auto"/>
                <w:lang w:val="en-US" w:eastAsia="zh-CN"/>
              </w:rPr>
              <w:t>/</w:t>
            </w:r>
          </w:p>
        </w:tc>
        <w:tc>
          <w:tcPr>
            <w:tcW w:w="1701" w:type="dxa"/>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u w:val="none" w:color="auto"/>
                <w:lang w:val="en-US" w:eastAsia="zh-CN" w:bidi="ar-SA"/>
              </w:rPr>
            </w:pPr>
            <w:r>
              <w:rPr>
                <w:rFonts w:hint="default" w:ascii="Times New Roman" w:hAnsi="Times New Roman" w:eastAsia="宋体" w:cs="Times New Roman"/>
                <w:color w:val="auto"/>
                <w:kern w:val="2"/>
                <w:sz w:val="21"/>
                <w:szCs w:val="21"/>
                <w:u w:val="none" w:color="auto"/>
                <w:lang w:val="en-US" w:eastAsia="zh-CN" w:bidi="ar-SA"/>
              </w:rPr>
              <w:t>44.5264</w:t>
            </w:r>
          </w:p>
        </w:tc>
        <w:tc>
          <w:tcPr>
            <w:tcW w:w="1559"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eastAsia" w:cs="Times New Roman"/>
                <w:snapToGrid w:val="0"/>
                <w:color w:val="auto"/>
                <w:kern w:val="21"/>
                <w:sz w:val="21"/>
                <w:szCs w:val="21"/>
                <w:u w:val="none" w:color="auto"/>
                <w:lang w:val="en-US" w:eastAsia="zh-CN" w:bidi="ar-SA"/>
              </w:rPr>
              <w:t>0.1419</w:t>
            </w:r>
          </w:p>
        </w:tc>
        <w:tc>
          <w:tcPr>
            <w:tcW w:w="1761" w:type="dxa"/>
            <w:vAlign w:val="center"/>
          </w:tcPr>
          <w:p>
            <w:pPr>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default" w:ascii="Times New Roman" w:hAnsi="Times New Roman" w:eastAsia="宋体" w:cs="Times New Roman"/>
                <w:snapToGrid w:val="0"/>
                <w:color w:val="auto"/>
                <w:kern w:val="21"/>
                <w:sz w:val="21"/>
                <w:szCs w:val="21"/>
                <w:u w:val="none" w:color="auto"/>
                <w:lang w:val="en-US" w:eastAsia="zh-CN"/>
              </w:rPr>
              <w:t>0</w:t>
            </w:r>
          </w:p>
        </w:tc>
        <w:tc>
          <w:tcPr>
            <w:tcW w:w="1593"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44.6777</w:t>
            </w:r>
          </w:p>
        </w:tc>
        <w:tc>
          <w:tcPr>
            <w:tcW w:w="1192"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w:t>
            </w:r>
            <w:r>
              <w:rPr>
                <w:rFonts w:hint="eastAsia" w:cs="Times New Roman"/>
                <w:i w:val="0"/>
                <w:iCs w:val="0"/>
                <w:color w:val="auto"/>
                <w:kern w:val="0"/>
                <w:sz w:val="21"/>
                <w:szCs w:val="21"/>
                <w:u w:val="none"/>
                <w:lang w:val="en-US" w:eastAsia="zh-CN" w:bidi="ar"/>
              </w:rPr>
              <w:t>0.1419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88" w:type="dxa"/>
            <w:vMerge w:val="continue"/>
            <w:vAlign w:val="center"/>
          </w:tcPr>
          <w:p>
            <w:pPr>
              <w:pStyle w:val="46"/>
              <w:keepNext w:val="0"/>
              <w:keepLines w:val="0"/>
              <w:suppressLineNumbers w:val="0"/>
              <w:spacing w:beforeLines="0" w:beforeAutospacing="0" w:after="0" w:afterLines="0" w:afterAutospacing="0" w:line="240" w:lineRule="auto"/>
              <w:ind w:left="0" w:right="0"/>
              <w:jc w:val="center"/>
              <w:rPr>
                <w:rFonts w:hint="default" w:ascii="Times New Roman" w:hAnsi="Times New Roman" w:eastAsia="宋体" w:cs="Times New Roman"/>
                <w:snapToGrid w:val="0"/>
                <w:color w:val="auto"/>
                <w:kern w:val="21"/>
                <w:sz w:val="21"/>
                <w:szCs w:val="21"/>
                <w:u w:val="none" w:color="auto"/>
                <w:lang w:eastAsia="zh-CN"/>
              </w:rPr>
            </w:pPr>
          </w:p>
        </w:tc>
        <w:tc>
          <w:tcPr>
            <w:tcW w:w="1417"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r>
              <w:rPr>
                <w:rFonts w:hint="eastAsia" w:cs="Times New Roman"/>
                <w:color w:val="auto"/>
                <w:kern w:val="2"/>
                <w:sz w:val="21"/>
                <w:szCs w:val="21"/>
                <w:lang w:val="en-US" w:eastAsia="zh-CN" w:bidi="ar-SA"/>
              </w:rPr>
              <w:t>废UV灯管</w:t>
            </w:r>
          </w:p>
        </w:tc>
        <w:tc>
          <w:tcPr>
            <w:tcW w:w="1701" w:type="dxa"/>
            <w:vAlign w:val="center"/>
          </w:tcPr>
          <w:p>
            <w:pPr>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宋体" w:cs="Times New Roman"/>
                <w:color w:val="auto"/>
                <w:sz w:val="21"/>
                <w:szCs w:val="21"/>
                <w:u w:val="none" w:color="auto"/>
                <w:lang w:val="en-US" w:eastAsia="zh-CN"/>
              </w:rPr>
            </w:pPr>
            <w:r>
              <w:rPr>
                <w:rFonts w:hint="eastAsia" w:cs="Times New Roman"/>
                <w:color w:val="auto"/>
                <w:sz w:val="21"/>
                <w:szCs w:val="21"/>
                <w:u w:val="none" w:color="auto"/>
                <w:lang w:val="en-US" w:eastAsia="zh-CN"/>
              </w:rPr>
              <w:t>0.5t/2a</w:t>
            </w:r>
          </w:p>
        </w:tc>
        <w:tc>
          <w:tcPr>
            <w:tcW w:w="1276" w:type="dxa"/>
            <w:vAlign w:val="center"/>
          </w:tcPr>
          <w:p>
            <w:pPr>
              <w:keepNext w:val="0"/>
              <w:keepLines w:val="0"/>
              <w:suppressLineNumbers w:val="0"/>
              <w:spacing w:before="0" w:beforeAutospacing="0" w:after="0" w:afterAutospacing="0" w:line="290" w:lineRule="exact"/>
              <w:ind w:left="0" w:right="0"/>
              <w:jc w:val="center"/>
              <w:rPr>
                <w:rFonts w:hint="default" w:ascii="Times New Roman" w:hAnsi="Times New Roman" w:eastAsia="宋体" w:cs="Times New Roman"/>
                <w:color w:val="auto"/>
                <w:sz w:val="21"/>
                <w:szCs w:val="21"/>
                <w:u w:val="none" w:color="auto"/>
                <w:lang w:val="en-US" w:eastAsia="zh-CN"/>
              </w:rPr>
            </w:pPr>
            <w:r>
              <w:rPr>
                <w:rFonts w:hint="eastAsia" w:cs="Times New Roman"/>
                <w:color w:val="auto"/>
                <w:sz w:val="21"/>
                <w:szCs w:val="21"/>
                <w:u w:val="none" w:color="auto"/>
                <w:lang w:val="en-US" w:eastAsia="zh-CN"/>
              </w:rPr>
              <w:t>/</w:t>
            </w:r>
          </w:p>
        </w:tc>
        <w:tc>
          <w:tcPr>
            <w:tcW w:w="1701" w:type="dxa"/>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u w:val="none" w:color="auto"/>
                <w:lang w:val="en-US" w:eastAsia="zh-CN" w:bidi="ar-SA"/>
              </w:rPr>
            </w:pPr>
            <w:r>
              <w:rPr>
                <w:rFonts w:hint="eastAsia"/>
                <w:color w:val="auto"/>
              </w:rPr>
              <w:t>/</w:t>
            </w:r>
          </w:p>
        </w:tc>
        <w:tc>
          <w:tcPr>
            <w:tcW w:w="1559" w:type="dxa"/>
            <w:vAlign w:val="center"/>
          </w:tcPr>
          <w:p>
            <w:pPr>
              <w:keepNext w:val="0"/>
              <w:keepLines w:val="0"/>
              <w:suppressLineNumbers w:val="0"/>
              <w:spacing w:before="0" w:beforeAutospacing="0" w:after="0" w:afterAutospacing="0"/>
              <w:ind w:left="0" w:right="0"/>
              <w:jc w:val="center"/>
              <w:rPr>
                <w:rFonts w:hint="default" w:cs="Times New Roman"/>
                <w:snapToGrid w:val="0"/>
                <w:color w:val="auto"/>
                <w:kern w:val="21"/>
                <w:sz w:val="21"/>
                <w:szCs w:val="21"/>
                <w:u w:val="none" w:color="auto"/>
                <w:lang w:val="en-US" w:eastAsia="zh-CN" w:bidi="ar-SA"/>
              </w:rPr>
            </w:pPr>
            <w:r>
              <w:rPr>
                <w:rFonts w:hint="eastAsia" w:cs="Times New Roman"/>
                <w:snapToGrid w:val="0"/>
                <w:color w:val="auto"/>
                <w:kern w:val="21"/>
                <w:sz w:val="21"/>
                <w:szCs w:val="21"/>
                <w:u w:val="none" w:color="auto"/>
                <w:lang w:val="en-US" w:eastAsia="zh-CN" w:bidi="ar-SA"/>
              </w:rPr>
              <w:t>0.1t/2a</w:t>
            </w:r>
          </w:p>
        </w:tc>
        <w:tc>
          <w:tcPr>
            <w:tcW w:w="1761" w:type="dxa"/>
            <w:vAlign w:val="center"/>
          </w:tcPr>
          <w:p>
            <w:pPr>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宋体" w:cs="Times New Roman"/>
                <w:snapToGrid w:val="0"/>
                <w:color w:val="auto"/>
                <w:kern w:val="21"/>
                <w:sz w:val="21"/>
                <w:szCs w:val="21"/>
                <w:u w:val="none" w:color="auto"/>
                <w:lang w:val="en-US" w:eastAsia="zh-CN"/>
              </w:rPr>
            </w:pPr>
            <w:r>
              <w:rPr>
                <w:rFonts w:hint="eastAsia"/>
                <w:color w:val="auto"/>
              </w:rPr>
              <w:t>0</w:t>
            </w:r>
          </w:p>
        </w:tc>
        <w:tc>
          <w:tcPr>
            <w:tcW w:w="1593" w:type="dxa"/>
            <w:vAlign w:val="center"/>
          </w:tcPr>
          <w:p>
            <w:pPr>
              <w:keepNext w:val="0"/>
              <w:keepLines w:val="0"/>
              <w:widowControl/>
              <w:suppressLineNumbers w:val="0"/>
              <w:spacing w:before="0" w:beforeAutospacing="0" w:after="0" w:afterAutospacing="0"/>
              <w:ind w:left="0" w:right="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0.6t/2a</w:t>
            </w:r>
          </w:p>
        </w:tc>
        <w:tc>
          <w:tcPr>
            <w:tcW w:w="1192" w:type="dxa"/>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cs="Times New Roman"/>
                <w:color w:val="auto"/>
                <w:kern w:val="21"/>
                <w:sz w:val="21"/>
                <w:szCs w:val="21"/>
                <w:lang w:val="en-US" w:eastAsia="zh-CN" w:bidi="ar"/>
              </w:rPr>
              <w:t>+</w:t>
            </w:r>
            <w:r>
              <w:rPr>
                <w:rFonts w:hint="default" w:ascii="Times New Roman" w:hAnsi="Times New Roman" w:eastAsia="宋体" w:cs="Times New Roman"/>
                <w:color w:val="auto"/>
                <w:kern w:val="21"/>
                <w:sz w:val="21"/>
                <w:szCs w:val="21"/>
                <w:lang w:val="en-US" w:eastAsia="zh-CN" w:bidi="ar"/>
              </w:rPr>
              <w:t>0.1t/2a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88" w:type="dxa"/>
            <w:vMerge w:val="continue"/>
            <w:vAlign w:val="center"/>
          </w:tcPr>
          <w:p>
            <w:pPr>
              <w:pStyle w:val="46"/>
              <w:keepNext w:val="0"/>
              <w:keepLines w:val="0"/>
              <w:suppressLineNumbers w:val="0"/>
              <w:spacing w:beforeLines="0" w:beforeAutospacing="0" w:after="0" w:afterLines="0" w:afterAutospacing="0" w:line="240" w:lineRule="auto"/>
              <w:ind w:left="0" w:right="0"/>
              <w:jc w:val="center"/>
              <w:rPr>
                <w:rFonts w:hint="default" w:ascii="Times New Roman" w:hAnsi="Times New Roman" w:eastAsia="宋体" w:cs="Times New Roman"/>
                <w:snapToGrid w:val="0"/>
                <w:color w:val="auto"/>
                <w:kern w:val="21"/>
                <w:sz w:val="21"/>
                <w:szCs w:val="21"/>
                <w:u w:val="none" w:color="auto"/>
                <w:lang w:eastAsia="zh-CN"/>
              </w:rPr>
            </w:pPr>
          </w:p>
        </w:tc>
        <w:tc>
          <w:tcPr>
            <w:tcW w:w="1417"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废活性炭</w:t>
            </w:r>
          </w:p>
        </w:tc>
        <w:tc>
          <w:tcPr>
            <w:tcW w:w="1701" w:type="dxa"/>
            <w:vAlign w:val="center"/>
          </w:tcPr>
          <w:p>
            <w:pPr>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eastAsia" w:cs="Times New Roman"/>
                <w:snapToGrid w:val="0"/>
                <w:color w:val="auto"/>
                <w:kern w:val="21"/>
                <w:sz w:val="21"/>
                <w:szCs w:val="21"/>
                <w:u w:val="none" w:color="auto"/>
                <w:lang w:val="en-US" w:eastAsia="zh-CN" w:bidi="ar-SA"/>
              </w:rPr>
              <w:t>2t/2a</w:t>
            </w:r>
          </w:p>
        </w:tc>
        <w:tc>
          <w:tcPr>
            <w:tcW w:w="1276" w:type="dxa"/>
            <w:vAlign w:val="center"/>
          </w:tcPr>
          <w:p>
            <w:pPr>
              <w:keepNext w:val="0"/>
              <w:keepLines w:val="0"/>
              <w:suppressLineNumbers w:val="0"/>
              <w:spacing w:before="0" w:beforeAutospacing="0" w:after="0" w:afterAutospacing="0" w:line="290" w:lineRule="exact"/>
              <w:ind w:left="0" w:right="0"/>
              <w:jc w:val="center"/>
              <w:rPr>
                <w:rFonts w:hint="default" w:ascii="Times New Roman" w:hAnsi="Times New Roman" w:eastAsia="宋体" w:cs="Times New Roman"/>
                <w:color w:val="auto"/>
                <w:kern w:val="2"/>
                <w:sz w:val="21"/>
                <w:szCs w:val="21"/>
                <w:u w:val="none" w:color="auto"/>
                <w:lang w:val="en-US" w:eastAsia="zh-CN" w:bidi="ar-SA"/>
              </w:rPr>
            </w:pPr>
            <w:r>
              <w:rPr>
                <w:rFonts w:hint="eastAsia" w:cs="Times New Roman"/>
                <w:color w:val="auto"/>
                <w:kern w:val="2"/>
                <w:sz w:val="21"/>
                <w:szCs w:val="21"/>
                <w:u w:val="none" w:color="auto"/>
                <w:lang w:val="en-US" w:eastAsia="zh-CN" w:bidi="ar-SA"/>
              </w:rPr>
              <w:t>/</w:t>
            </w:r>
          </w:p>
        </w:tc>
        <w:tc>
          <w:tcPr>
            <w:tcW w:w="1701" w:type="dxa"/>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u w:val="none" w:color="auto"/>
                <w:lang w:val="en-US" w:eastAsia="zh-CN" w:bidi="ar-SA"/>
              </w:rPr>
            </w:pPr>
            <w:r>
              <w:rPr>
                <w:rFonts w:hint="eastAsia"/>
                <w:color w:val="auto"/>
              </w:rPr>
              <w:t>/</w:t>
            </w:r>
          </w:p>
        </w:tc>
        <w:tc>
          <w:tcPr>
            <w:tcW w:w="1559"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eastAsia" w:cs="Times New Roman"/>
                <w:snapToGrid w:val="0"/>
                <w:color w:val="auto"/>
                <w:kern w:val="21"/>
                <w:sz w:val="21"/>
                <w:szCs w:val="21"/>
                <w:u w:val="none" w:color="auto"/>
                <w:lang w:val="en-US" w:eastAsia="zh-CN" w:bidi="ar-SA"/>
              </w:rPr>
              <w:t>0.5t/2a</w:t>
            </w:r>
          </w:p>
        </w:tc>
        <w:tc>
          <w:tcPr>
            <w:tcW w:w="1761" w:type="dxa"/>
            <w:vAlign w:val="center"/>
          </w:tcPr>
          <w:p>
            <w:pPr>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eastAsia"/>
                <w:color w:val="auto"/>
              </w:rPr>
              <w:t>0</w:t>
            </w:r>
          </w:p>
        </w:tc>
        <w:tc>
          <w:tcPr>
            <w:tcW w:w="1593" w:type="dxa"/>
            <w:vAlign w:val="center"/>
          </w:tcPr>
          <w:p>
            <w:pPr>
              <w:keepNext w:val="0"/>
              <w:keepLines w:val="0"/>
              <w:widowControl/>
              <w:suppressLineNumbers w:val="0"/>
              <w:spacing w:before="0" w:beforeAutospacing="0" w:after="0" w:afterAutospacing="0"/>
              <w:ind w:left="0" w:right="0"/>
              <w:jc w:val="center"/>
              <w:textAlignment w:val="center"/>
              <w:rPr>
                <w:rFonts w:hint="default" w:cs="Times New Roman"/>
                <w:snapToGrid w:val="0"/>
                <w:color w:val="auto"/>
                <w:kern w:val="21"/>
                <w:sz w:val="21"/>
                <w:szCs w:val="21"/>
                <w:u w:val="none" w:color="auto"/>
                <w:lang w:val="en-US" w:eastAsia="zh-CN" w:bidi="ar-SA"/>
              </w:rPr>
            </w:pPr>
            <w:r>
              <w:rPr>
                <w:rFonts w:hint="eastAsia" w:cs="Times New Roman"/>
                <w:snapToGrid w:val="0"/>
                <w:color w:val="auto"/>
                <w:kern w:val="21"/>
                <w:sz w:val="21"/>
                <w:szCs w:val="21"/>
                <w:u w:val="none" w:color="auto"/>
                <w:lang w:val="en-US" w:eastAsia="zh-CN" w:bidi="ar-SA"/>
              </w:rPr>
              <w:t>2.5t/2a</w:t>
            </w:r>
          </w:p>
        </w:tc>
        <w:tc>
          <w:tcPr>
            <w:tcW w:w="1192" w:type="dxa"/>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u w:val="none" w:color="auto"/>
                <w:lang w:val="en-US" w:eastAsia="zh-CN" w:bidi="ar-SA"/>
              </w:rPr>
            </w:pPr>
            <w:r>
              <w:rPr>
                <w:rFonts w:hint="eastAsia" w:cs="Times New Roman"/>
                <w:color w:val="auto"/>
                <w:kern w:val="21"/>
                <w:sz w:val="21"/>
                <w:szCs w:val="21"/>
                <w:lang w:val="en-US" w:eastAsia="zh-CN" w:bidi="ar"/>
              </w:rPr>
              <w:t>+</w:t>
            </w:r>
            <w:r>
              <w:rPr>
                <w:rFonts w:hint="default" w:ascii="Times New Roman" w:hAnsi="Times New Roman" w:eastAsia="宋体" w:cs="Times New Roman"/>
                <w:color w:val="auto"/>
                <w:kern w:val="21"/>
                <w:sz w:val="21"/>
                <w:szCs w:val="21"/>
                <w:lang w:val="en-US" w:eastAsia="zh-CN" w:bidi="ar"/>
              </w:rPr>
              <w:t>0.5t/2a</w:t>
            </w:r>
          </w:p>
        </w:tc>
      </w:tr>
    </w:tbl>
    <w:p>
      <w:pPr>
        <w:pStyle w:val="46"/>
        <w:spacing w:before="192" w:beforeLines="80" w:after="24"/>
        <w:jc w:val="left"/>
        <w:outlineLvl w:val="0"/>
        <w:rPr>
          <w:rFonts w:hint="eastAsia" w:eastAsia="宋体"/>
          <w:color w:val="auto"/>
          <w:lang w:val="en-US" w:eastAsia="zh-CN"/>
        </w:rPr>
      </w:pPr>
      <w:r>
        <w:rPr>
          <w:rFonts w:hint="default" w:ascii="Times New Roman" w:hAnsi="Times New Roman" w:eastAsia="宋体" w:cs="Times New Roman"/>
          <w:snapToGrid w:val="0"/>
          <w:color w:val="auto"/>
          <w:kern w:val="21"/>
          <w:szCs w:val="21"/>
        </w:rPr>
        <w:t>注：</w:t>
      </w:r>
      <w:r>
        <w:rPr>
          <w:rFonts w:hint="default" w:ascii="Times New Roman" w:hAnsi="Times New Roman" w:eastAsia="宋体" w:cs="Times New Roman"/>
          <w:snapToGrid w:val="0"/>
          <w:color w:val="auto"/>
          <w:spacing w:val="-16"/>
          <w:kern w:val="21"/>
          <w:szCs w:val="21"/>
        </w:rPr>
        <w:fldChar w:fldCharType="begin"/>
      </w:r>
      <w:r>
        <w:rPr>
          <w:rFonts w:hint="default" w:ascii="Times New Roman" w:hAnsi="Times New Roman" w:eastAsia="宋体" w:cs="Times New Roman"/>
          <w:snapToGrid w:val="0"/>
          <w:color w:val="auto"/>
          <w:spacing w:val="-16"/>
          <w:kern w:val="21"/>
          <w:szCs w:val="21"/>
        </w:rPr>
        <w:instrText xml:space="preserve"> = 6 \* GB3 \* MERGEFORMAT </w:instrText>
      </w:r>
      <w:r>
        <w:rPr>
          <w:rFonts w:hint="default" w:ascii="Times New Roman" w:hAnsi="Times New Roman" w:eastAsia="宋体" w:cs="Times New Roman"/>
          <w:snapToGrid w:val="0"/>
          <w:color w:val="auto"/>
          <w:spacing w:val="-16"/>
          <w:kern w:val="21"/>
          <w:szCs w:val="21"/>
        </w:rPr>
        <w:fldChar w:fldCharType="separate"/>
      </w:r>
      <w:r>
        <w:rPr>
          <w:rFonts w:hint="default" w:ascii="Times New Roman" w:hAnsi="Times New Roman" w:eastAsia="宋体" w:cs="Times New Roman"/>
          <w:color w:val="auto"/>
          <w:szCs w:val="21"/>
        </w:rPr>
        <w:t>⑥</w:t>
      </w:r>
      <w:r>
        <w:rPr>
          <w:rFonts w:hint="default" w:ascii="Times New Roman" w:hAnsi="Times New Roman" w:eastAsia="宋体" w:cs="Times New Roman"/>
          <w:snapToGrid w:val="0"/>
          <w:color w:val="auto"/>
          <w:spacing w:val="-16"/>
          <w:kern w:val="21"/>
          <w:szCs w:val="21"/>
        </w:rPr>
        <w:fldChar w:fldCharType="end"/>
      </w:r>
      <w:r>
        <w:rPr>
          <w:rFonts w:hint="default" w:ascii="Times New Roman" w:hAnsi="Times New Roman" w:eastAsia="宋体" w:cs="Times New Roman"/>
          <w:snapToGrid w:val="0"/>
          <w:color w:val="auto"/>
          <w:spacing w:val="-16"/>
          <w:kern w:val="21"/>
          <w:szCs w:val="21"/>
        </w:rPr>
        <w:t>=</w:t>
      </w:r>
      <w:r>
        <w:rPr>
          <w:rFonts w:hint="default" w:ascii="Times New Roman" w:hAnsi="Times New Roman" w:eastAsia="宋体" w:cs="Times New Roman"/>
          <w:snapToGrid w:val="0"/>
          <w:color w:val="auto"/>
          <w:spacing w:val="-6"/>
          <w:kern w:val="21"/>
          <w:szCs w:val="21"/>
        </w:rPr>
        <w:fldChar w:fldCharType="begin"/>
      </w:r>
      <w:r>
        <w:rPr>
          <w:rFonts w:hint="default" w:ascii="Times New Roman" w:hAnsi="Times New Roman" w:eastAsia="宋体" w:cs="Times New Roman"/>
          <w:snapToGrid w:val="0"/>
          <w:color w:val="auto"/>
          <w:spacing w:val="-6"/>
          <w:kern w:val="21"/>
          <w:szCs w:val="21"/>
        </w:rPr>
        <w:instrText xml:space="preserve"> = 1 \* GB3 \* MERGEFORMAT </w:instrText>
      </w:r>
      <w:r>
        <w:rPr>
          <w:rFonts w:hint="default" w:ascii="Times New Roman" w:hAnsi="Times New Roman" w:eastAsia="宋体" w:cs="Times New Roman"/>
          <w:snapToGrid w:val="0"/>
          <w:color w:val="auto"/>
          <w:spacing w:val="-6"/>
          <w:kern w:val="21"/>
          <w:szCs w:val="21"/>
        </w:rPr>
        <w:fldChar w:fldCharType="separate"/>
      </w:r>
      <w:r>
        <w:rPr>
          <w:rFonts w:hint="default" w:ascii="Times New Roman" w:hAnsi="Times New Roman" w:eastAsia="宋体" w:cs="Times New Roman"/>
          <w:color w:val="auto"/>
          <w:szCs w:val="21"/>
        </w:rPr>
        <w:t>①</w:t>
      </w:r>
      <w:r>
        <w:rPr>
          <w:rFonts w:hint="default" w:ascii="Times New Roman" w:hAnsi="Times New Roman" w:eastAsia="宋体" w:cs="Times New Roman"/>
          <w:snapToGrid w:val="0"/>
          <w:color w:val="auto"/>
          <w:spacing w:val="-6"/>
          <w:kern w:val="21"/>
          <w:szCs w:val="21"/>
        </w:rPr>
        <w:fldChar w:fldCharType="end"/>
      </w:r>
      <w:r>
        <w:rPr>
          <w:rFonts w:hint="default" w:ascii="Times New Roman" w:hAnsi="Times New Roman" w:eastAsia="宋体" w:cs="Times New Roman"/>
          <w:snapToGrid w:val="0"/>
          <w:color w:val="auto"/>
          <w:spacing w:val="-6"/>
          <w:kern w:val="21"/>
          <w:szCs w:val="21"/>
        </w:rPr>
        <w:t>+</w:t>
      </w:r>
      <w:r>
        <w:rPr>
          <w:rFonts w:hint="default" w:ascii="Times New Roman" w:hAnsi="Times New Roman" w:eastAsia="宋体" w:cs="Times New Roman"/>
          <w:snapToGrid w:val="0"/>
          <w:color w:val="auto"/>
          <w:spacing w:val="-6"/>
          <w:kern w:val="21"/>
          <w:szCs w:val="21"/>
        </w:rPr>
        <w:fldChar w:fldCharType="begin"/>
      </w:r>
      <w:r>
        <w:rPr>
          <w:rFonts w:hint="default" w:ascii="Times New Roman" w:hAnsi="Times New Roman" w:eastAsia="宋体" w:cs="Times New Roman"/>
          <w:snapToGrid w:val="0"/>
          <w:color w:val="auto"/>
          <w:spacing w:val="-6"/>
          <w:kern w:val="21"/>
          <w:szCs w:val="21"/>
        </w:rPr>
        <w:instrText xml:space="preserve"> = 3 \* GB3 \* MERGEFORMAT </w:instrText>
      </w:r>
      <w:r>
        <w:rPr>
          <w:rFonts w:hint="default" w:ascii="Times New Roman" w:hAnsi="Times New Roman" w:eastAsia="宋体" w:cs="Times New Roman"/>
          <w:snapToGrid w:val="0"/>
          <w:color w:val="auto"/>
          <w:spacing w:val="-6"/>
          <w:kern w:val="21"/>
          <w:szCs w:val="21"/>
        </w:rPr>
        <w:fldChar w:fldCharType="separate"/>
      </w:r>
      <w:r>
        <w:rPr>
          <w:rFonts w:hint="default" w:ascii="Times New Roman" w:hAnsi="Times New Roman" w:eastAsia="宋体" w:cs="Times New Roman"/>
          <w:color w:val="auto"/>
          <w:szCs w:val="21"/>
        </w:rPr>
        <w:t>③</w:t>
      </w:r>
      <w:r>
        <w:rPr>
          <w:rFonts w:hint="default" w:ascii="Times New Roman" w:hAnsi="Times New Roman" w:eastAsia="宋体" w:cs="Times New Roman"/>
          <w:snapToGrid w:val="0"/>
          <w:color w:val="auto"/>
          <w:spacing w:val="-6"/>
          <w:kern w:val="21"/>
          <w:szCs w:val="21"/>
        </w:rPr>
        <w:fldChar w:fldCharType="end"/>
      </w:r>
      <w:r>
        <w:rPr>
          <w:rFonts w:hint="default" w:ascii="Times New Roman" w:hAnsi="Times New Roman" w:eastAsia="宋体" w:cs="Times New Roman"/>
          <w:snapToGrid w:val="0"/>
          <w:color w:val="auto"/>
          <w:spacing w:val="-6"/>
          <w:kern w:val="21"/>
          <w:szCs w:val="21"/>
        </w:rPr>
        <w:t>+</w:t>
      </w:r>
      <w:r>
        <w:rPr>
          <w:rFonts w:hint="default" w:ascii="Times New Roman" w:hAnsi="Times New Roman" w:eastAsia="宋体" w:cs="Times New Roman"/>
          <w:snapToGrid w:val="0"/>
          <w:color w:val="auto"/>
          <w:spacing w:val="-6"/>
          <w:kern w:val="21"/>
          <w:szCs w:val="21"/>
        </w:rPr>
        <w:fldChar w:fldCharType="begin"/>
      </w:r>
      <w:r>
        <w:rPr>
          <w:rFonts w:hint="default" w:ascii="Times New Roman" w:hAnsi="Times New Roman" w:eastAsia="宋体" w:cs="Times New Roman"/>
          <w:snapToGrid w:val="0"/>
          <w:color w:val="auto"/>
          <w:spacing w:val="-6"/>
          <w:kern w:val="21"/>
          <w:szCs w:val="21"/>
        </w:rPr>
        <w:instrText xml:space="preserve"> = 4 \* GB3 \* MERGEFORMAT </w:instrText>
      </w:r>
      <w:r>
        <w:rPr>
          <w:rFonts w:hint="default" w:ascii="Times New Roman" w:hAnsi="Times New Roman" w:eastAsia="宋体" w:cs="Times New Roman"/>
          <w:snapToGrid w:val="0"/>
          <w:color w:val="auto"/>
          <w:spacing w:val="-6"/>
          <w:kern w:val="21"/>
          <w:szCs w:val="21"/>
        </w:rPr>
        <w:fldChar w:fldCharType="separate"/>
      </w:r>
      <w:r>
        <w:rPr>
          <w:rFonts w:hint="default" w:ascii="Times New Roman" w:hAnsi="Times New Roman" w:eastAsia="宋体" w:cs="Times New Roman"/>
          <w:color w:val="auto"/>
          <w:szCs w:val="21"/>
        </w:rPr>
        <w:t>④</w:t>
      </w:r>
      <w:r>
        <w:rPr>
          <w:rFonts w:hint="default" w:ascii="Times New Roman" w:hAnsi="Times New Roman" w:eastAsia="宋体" w:cs="Times New Roman"/>
          <w:snapToGrid w:val="0"/>
          <w:color w:val="auto"/>
          <w:spacing w:val="-6"/>
          <w:kern w:val="21"/>
          <w:szCs w:val="21"/>
        </w:rPr>
        <w:fldChar w:fldCharType="end"/>
      </w:r>
      <w:r>
        <w:rPr>
          <w:rFonts w:hint="default" w:ascii="Times New Roman" w:hAnsi="Times New Roman" w:eastAsia="宋体" w:cs="Times New Roman"/>
          <w:snapToGrid w:val="0"/>
          <w:color w:val="auto"/>
          <w:spacing w:val="-6"/>
          <w:kern w:val="21"/>
          <w:szCs w:val="21"/>
        </w:rPr>
        <w:t>-</w:t>
      </w:r>
      <w:r>
        <w:rPr>
          <w:rFonts w:hint="default" w:ascii="Times New Roman" w:hAnsi="Times New Roman" w:eastAsia="宋体" w:cs="Times New Roman"/>
          <w:snapToGrid w:val="0"/>
          <w:color w:val="auto"/>
          <w:spacing w:val="-16"/>
          <w:kern w:val="21"/>
          <w:szCs w:val="21"/>
        </w:rPr>
        <w:fldChar w:fldCharType="begin"/>
      </w:r>
      <w:r>
        <w:rPr>
          <w:rFonts w:hint="default" w:ascii="Times New Roman" w:hAnsi="Times New Roman" w:eastAsia="宋体" w:cs="Times New Roman"/>
          <w:snapToGrid w:val="0"/>
          <w:color w:val="auto"/>
          <w:spacing w:val="-16"/>
          <w:kern w:val="21"/>
          <w:szCs w:val="21"/>
        </w:rPr>
        <w:instrText xml:space="preserve"> = 5 \* GB3 \* MERGEFORMAT </w:instrText>
      </w:r>
      <w:r>
        <w:rPr>
          <w:rFonts w:hint="default" w:ascii="Times New Roman" w:hAnsi="Times New Roman" w:eastAsia="宋体" w:cs="Times New Roman"/>
          <w:snapToGrid w:val="0"/>
          <w:color w:val="auto"/>
          <w:spacing w:val="-16"/>
          <w:kern w:val="21"/>
          <w:szCs w:val="21"/>
        </w:rPr>
        <w:fldChar w:fldCharType="separate"/>
      </w:r>
      <w:r>
        <w:rPr>
          <w:rFonts w:hint="default" w:ascii="Times New Roman" w:hAnsi="Times New Roman" w:eastAsia="宋体" w:cs="Times New Roman"/>
          <w:color w:val="auto"/>
          <w:szCs w:val="21"/>
        </w:rPr>
        <w:t>⑤</w:t>
      </w:r>
      <w:r>
        <w:rPr>
          <w:rFonts w:hint="default" w:ascii="Times New Roman" w:hAnsi="Times New Roman" w:eastAsia="宋体" w:cs="Times New Roman"/>
          <w:snapToGrid w:val="0"/>
          <w:color w:val="auto"/>
          <w:spacing w:val="-16"/>
          <w:kern w:val="21"/>
          <w:szCs w:val="21"/>
        </w:rPr>
        <w:fldChar w:fldCharType="end"/>
      </w:r>
      <w:r>
        <w:rPr>
          <w:rFonts w:hint="default" w:ascii="Times New Roman" w:hAnsi="Times New Roman" w:eastAsia="宋体" w:cs="Times New Roman"/>
          <w:snapToGrid w:val="0"/>
          <w:color w:val="auto"/>
          <w:spacing w:val="-16"/>
          <w:kern w:val="21"/>
          <w:szCs w:val="21"/>
        </w:rPr>
        <w:t>；</w:t>
      </w:r>
      <w:r>
        <w:rPr>
          <w:rFonts w:hint="default" w:ascii="Times New Roman" w:hAnsi="Times New Roman" w:eastAsia="宋体" w:cs="Times New Roman"/>
          <w:snapToGrid w:val="0"/>
          <w:color w:val="auto"/>
          <w:spacing w:val="-6"/>
          <w:kern w:val="21"/>
          <w:szCs w:val="21"/>
        </w:rPr>
        <w:fldChar w:fldCharType="begin"/>
      </w:r>
      <w:r>
        <w:rPr>
          <w:rFonts w:hint="default" w:ascii="Times New Roman" w:hAnsi="Times New Roman" w:eastAsia="宋体" w:cs="Times New Roman"/>
          <w:snapToGrid w:val="0"/>
          <w:color w:val="auto"/>
          <w:spacing w:val="-6"/>
          <w:kern w:val="21"/>
          <w:szCs w:val="21"/>
        </w:rPr>
        <w:instrText xml:space="preserve"> = 7 \* GB3 \* MERGEFORMAT </w:instrText>
      </w:r>
      <w:r>
        <w:rPr>
          <w:rFonts w:hint="default" w:ascii="Times New Roman" w:hAnsi="Times New Roman" w:eastAsia="宋体" w:cs="Times New Roman"/>
          <w:snapToGrid w:val="0"/>
          <w:color w:val="auto"/>
          <w:spacing w:val="-6"/>
          <w:kern w:val="21"/>
          <w:szCs w:val="21"/>
        </w:rPr>
        <w:fldChar w:fldCharType="separate"/>
      </w:r>
      <w:r>
        <w:rPr>
          <w:rFonts w:hint="default" w:ascii="Times New Roman" w:hAnsi="Times New Roman" w:eastAsia="宋体" w:cs="Times New Roman"/>
          <w:color w:val="auto"/>
          <w:szCs w:val="21"/>
        </w:rPr>
        <w:t>⑦</w:t>
      </w:r>
      <w:r>
        <w:rPr>
          <w:rFonts w:hint="default" w:ascii="Times New Roman" w:hAnsi="Times New Roman" w:eastAsia="宋体" w:cs="Times New Roman"/>
          <w:snapToGrid w:val="0"/>
          <w:color w:val="auto"/>
          <w:spacing w:val="-6"/>
          <w:kern w:val="21"/>
          <w:szCs w:val="21"/>
        </w:rPr>
        <w:fldChar w:fldCharType="end"/>
      </w:r>
      <w:r>
        <w:rPr>
          <w:rFonts w:hint="default" w:ascii="Times New Roman" w:hAnsi="Times New Roman" w:eastAsia="宋体" w:cs="Times New Roman"/>
          <w:snapToGrid w:val="0"/>
          <w:color w:val="auto"/>
          <w:spacing w:val="-6"/>
          <w:kern w:val="21"/>
          <w:szCs w:val="21"/>
        </w:rPr>
        <w:t>=</w:t>
      </w:r>
      <w:r>
        <w:rPr>
          <w:rFonts w:hint="default" w:ascii="Times New Roman" w:hAnsi="Times New Roman" w:eastAsia="宋体" w:cs="Times New Roman"/>
          <w:snapToGrid w:val="0"/>
          <w:color w:val="auto"/>
          <w:spacing w:val="-16"/>
          <w:kern w:val="21"/>
          <w:szCs w:val="21"/>
        </w:rPr>
        <w:fldChar w:fldCharType="begin"/>
      </w:r>
      <w:r>
        <w:rPr>
          <w:rFonts w:hint="default" w:ascii="Times New Roman" w:hAnsi="Times New Roman" w:eastAsia="宋体" w:cs="Times New Roman"/>
          <w:snapToGrid w:val="0"/>
          <w:color w:val="auto"/>
          <w:spacing w:val="-16"/>
          <w:kern w:val="21"/>
          <w:szCs w:val="21"/>
        </w:rPr>
        <w:instrText xml:space="preserve"> = 6 \* GB3 \* MERGEFORMAT </w:instrText>
      </w:r>
      <w:r>
        <w:rPr>
          <w:rFonts w:hint="default" w:ascii="Times New Roman" w:hAnsi="Times New Roman" w:eastAsia="宋体" w:cs="Times New Roman"/>
          <w:snapToGrid w:val="0"/>
          <w:color w:val="auto"/>
          <w:spacing w:val="-16"/>
          <w:kern w:val="21"/>
          <w:szCs w:val="21"/>
        </w:rPr>
        <w:fldChar w:fldCharType="separate"/>
      </w:r>
      <w:r>
        <w:rPr>
          <w:rFonts w:hint="default" w:ascii="Times New Roman" w:hAnsi="Times New Roman" w:eastAsia="宋体" w:cs="Times New Roman"/>
          <w:color w:val="auto"/>
          <w:szCs w:val="21"/>
        </w:rPr>
        <w:t>⑥</w:t>
      </w:r>
      <w:r>
        <w:rPr>
          <w:rFonts w:hint="default" w:ascii="Times New Roman" w:hAnsi="Times New Roman" w:eastAsia="宋体" w:cs="Times New Roman"/>
          <w:snapToGrid w:val="0"/>
          <w:color w:val="auto"/>
          <w:spacing w:val="-16"/>
          <w:kern w:val="21"/>
          <w:szCs w:val="21"/>
        </w:rPr>
        <w:fldChar w:fldCharType="end"/>
      </w:r>
      <w:r>
        <w:rPr>
          <w:rFonts w:hint="default" w:ascii="Times New Roman" w:hAnsi="Times New Roman" w:eastAsia="宋体" w:cs="Times New Roman"/>
          <w:snapToGrid w:val="0"/>
          <w:color w:val="auto"/>
          <w:spacing w:val="-16"/>
          <w:kern w:val="21"/>
          <w:szCs w:val="21"/>
        </w:rPr>
        <w:t>-</w:t>
      </w:r>
      <w:r>
        <w:rPr>
          <w:rFonts w:hint="default" w:ascii="Times New Roman" w:hAnsi="Times New Roman" w:eastAsia="宋体" w:cs="Times New Roman"/>
          <w:snapToGrid w:val="0"/>
          <w:color w:val="auto"/>
          <w:spacing w:val="-6"/>
          <w:kern w:val="21"/>
          <w:szCs w:val="21"/>
        </w:rPr>
        <w:fldChar w:fldCharType="begin"/>
      </w:r>
      <w:r>
        <w:rPr>
          <w:rFonts w:hint="default" w:ascii="Times New Roman" w:hAnsi="Times New Roman" w:eastAsia="宋体" w:cs="Times New Roman"/>
          <w:snapToGrid w:val="0"/>
          <w:color w:val="auto"/>
          <w:spacing w:val="-6"/>
          <w:kern w:val="21"/>
          <w:szCs w:val="21"/>
        </w:rPr>
        <w:instrText xml:space="preserve"> = 1 \* GB3 \* MERGEFORMAT </w:instrText>
      </w:r>
      <w:r>
        <w:rPr>
          <w:rFonts w:hint="default" w:ascii="Times New Roman" w:hAnsi="Times New Roman" w:eastAsia="宋体" w:cs="Times New Roman"/>
          <w:snapToGrid w:val="0"/>
          <w:color w:val="auto"/>
          <w:spacing w:val="-6"/>
          <w:kern w:val="21"/>
          <w:szCs w:val="21"/>
        </w:rPr>
        <w:fldChar w:fldCharType="separate"/>
      </w:r>
      <w:r>
        <w:rPr>
          <w:rFonts w:hint="default" w:ascii="Times New Roman" w:hAnsi="Times New Roman" w:eastAsia="宋体" w:cs="Times New Roman"/>
          <w:color w:val="auto"/>
          <w:szCs w:val="21"/>
        </w:rPr>
        <w:t>①</w:t>
      </w:r>
      <w:r>
        <w:rPr>
          <w:rFonts w:hint="default" w:ascii="Times New Roman" w:hAnsi="Times New Roman" w:eastAsia="宋体" w:cs="Times New Roman"/>
          <w:snapToGrid w:val="0"/>
          <w:color w:val="auto"/>
          <w:spacing w:val="-6"/>
          <w:kern w:val="21"/>
          <w:szCs w:val="21"/>
        </w:rPr>
        <w:fldChar w:fldCharType="end"/>
      </w:r>
      <w:bookmarkEnd w:id="13"/>
      <w:r>
        <w:rPr>
          <w:rFonts w:hint="eastAsia" w:ascii="Times New Roman" w:hAnsi="Times New Roman" w:eastAsia="宋体" w:cs="Times New Roman"/>
          <w:snapToGrid w:val="0"/>
          <w:color w:val="auto"/>
          <w:spacing w:val="-6"/>
          <w:kern w:val="21"/>
          <w:szCs w:val="21"/>
          <w:lang w:val="en-US" w:eastAsia="zh-CN"/>
        </w:rPr>
        <w:t>-③</w:t>
      </w:r>
    </w:p>
    <w:sectPr>
      <w:footerReference r:id="rId7" w:type="default"/>
      <w:pgSz w:w="16838" w:h="11906" w:orient="landscape"/>
      <w:pgMar w:top="1531" w:right="1701" w:bottom="1531" w:left="1701" w:header="851" w:footer="851" w:gutter="0"/>
      <w:pgBorders>
        <w:top w:val="none" w:color="auto" w:sz="0" w:space="0"/>
        <w:left w:val="none" w:color="auto" w:sz="0" w:space="0"/>
        <w:bottom w:val="none" w:color="auto" w:sz="0" w:space="0"/>
        <w:right w:val="none" w:color="auto" w:sz="0" w:space="0"/>
      </w:pgBorders>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modern"/>
    <w:pitch w:val="default"/>
    <w:sig w:usb0="00007A87" w:usb1="80000000" w:usb2="00000008" w:usb3="00000000" w:csb0="400001FF" w:csb1="FFFF0000"/>
  </w:font>
  <w:font w:name="宋体">
    <w:panose1 w:val="02010600030101010101"/>
    <w:charset w:val="0D"/>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modern"/>
    <w:pitch w:val="default"/>
    <w:sig w:usb0="00000000" w:usb1="00000000" w:usb2="00000000" w:usb3="00000000" w:csb0="0000019F" w:csb1="00000000"/>
  </w:font>
  <w:font w:name="Calibri">
    <w:altName w:val="Lucida Sans Unicode"/>
    <w:panose1 w:val="020F0502020204030204"/>
    <w:charset w:val="00"/>
    <w:family w:val="decorative"/>
    <w:pitch w:val="default"/>
    <w:sig w:usb0="00000000" w:usb1="00000000" w:usb2="00000001" w:usb3="00000000" w:csb0="0000019F" w:csb1="00000000"/>
  </w:font>
  <w:font w:name="Arial">
    <w:panose1 w:val="020B0604020202020204"/>
    <w:charset w:val="01"/>
    <w:family w:val="decorative"/>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swiss"/>
    <w:pitch w:val="default"/>
    <w:sig w:usb0="00007A87" w:usb1="80000000" w:usb2="00000008" w:usb3="00000000" w:csb0="400001FF" w:csb1="FFFF0000"/>
  </w:font>
  <w:font w:name="Symbol">
    <w:panose1 w:val="05050102010706020507"/>
    <w:charset w:val="02"/>
    <w:family w:val="modern"/>
    <w:pitch w:val="default"/>
    <w:sig w:usb0="00000000" w:usb1="00000000" w:usb2="00000000" w:usb3="00000000" w:csb0="80000000" w:csb1="00000000"/>
  </w:font>
  <w:font w:name="仿宋_GB2312">
    <w:panose1 w:val="02010609030101010101"/>
    <w:charset w:val="86"/>
    <w:family w:val="swiss"/>
    <w:pitch w:val="default"/>
    <w:sig w:usb0="00000001" w:usb1="080E0000" w:usb2="00000000" w:usb3="00000000" w:csb0="00040000" w:csb1="00000000"/>
  </w:font>
  <w:font w:name="仿宋">
    <w:altName w:val="仿宋_GB2312"/>
    <w:panose1 w:val="02010609060101010101"/>
    <w:charset w:val="86"/>
    <w:family w:val="auto"/>
    <w:pitch w:val="default"/>
    <w:sig w:usb0="00000000" w:usb1="00000000" w:usb2="00000016" w:usb3="00000000" w:csb0="00040001" w:csb1="00000000"/>
  </w:font>
  <w:font w:name="新宋体-18030">
    <w:altName w:val="宋体"/>
    <w:panose1 w:val="00000000000000000000"/>
    <w:charset w:val="00"/>
    <w:family w:val="auto"/>
    <w:pitch w:val="default"/>
    <w:sig w:usb0="00000000" w:usb1="00000000" w:usb2="00000000" w:usb3="00000000" w:csb0="00040001" w:csb1="00000000"/>
  </w:font>
  <w:font w:name="Yu Mincho Light">
    <w:altName w:val="MS Gothic"/>
    <w:panose1 w:val="00000000000000000000"/>
    <w:charset w:val="80"/>
    <w:family w:val="modern"/>
    <w:pitch w:val="default"/>
    <w:sig w:usb0="00000000" w:usb1="00000000" w:usb2="00000012" w:usb3="00000000" w:csb0="0002009F" w:csb1="00000000"/>
  </w:font>
  <w:font w:name="MS Mincho">
    <w:altName w:val="MS UI Gothic"/>
    <w:panose1 w:val="02020609040205080304"/>
    <w:charset w:val="80"/>
    <w:family w:val="auto"/>
    <w:pitch w:val="default"/>
    <w:sig w:usb0="00000000" w:usb1="00000000" w:usb2="00000012" w:usb3="00000000" w:csb0="4002009F" w:csb1="DFD70000"/>
  </w:font>
  <w:font w:name="Wingdings 2">
    <w:panose1 w:val="05020102010507070707"/>
    <w:charset w:val="02"/>
    <w:family w:val="auto"/>
    <w:pitch w:val="default"/>
    <w:sig w:usb0="00000000" w:usb1="00000000" w:usb2="00000000" w:usb3="00000000" w:csb0="80000000" w:csb1="00000000"/>
  </w:font>
  <w:font w:name="sans-serif">
    <w:altName w:val="仿宋_GB2312"/>
    <w:panose1 w:val="00000000000000000000"/>
    <w:charset w:val="00"/>
    <w:family w:val="auto"/>
    <w:pitch w:val="default"/>
    <w:sig w:usb0="00000000" w:usb1="00000000" w:usb2="00000000" w:usb3="00000000" w:csb0="00040001" w:csb1="00000000"/>
  </w:font>
  <w:font w:name="微软雅黑">
    <w:altName w:val="黑体"/>
    <w:panose1 w:val="020B0503020204020204"/>
    <w:charset w:val="86"/>
    <w:family w:val="auto"/>
    <w:pitch w:val="default"/>
    <w:sig w:usb0="00000000" w:usb1="00000000" w:usb2="00000016" w:usb3="00000000" w:csb0="0004001F" w:csb1="00000000"/>
  </w:font>
  <w:font w:name="CIDFont">
    <w:altName w:val="仿宋_GB2312"/>
    <w:panose1 w:val="00000000000000000000"/>
    <w:charset w:val="00"/>
    <w:family w:val="auto"/>
    <w:pitch w:val="default"/>
    <w:sig w:usb0="00000000" w:usb1="00000000" w:usb2="00000000" w:usb3="00000000" w:csb0="00040001" w:csb1="00000000"/>
  </w:font>
  <w:font w:name="Segoe Print">
    <w:altName w:val="Verdana"/>
    <w:panose1 w:val="02000600000000000000"/>
    <w:charset w:val="00"/>
    <w:family w:val="auto"/>
    <w:pitch w:val="default"/>
    <w:sig w:usb0="00000000" w:usb1="00000000" w:usb2="00000000" w:usb3="00000000" w:csb0="2000009F" w:csb1="47010000"/>
  </w:font>
  <w:font w:name="MS PGothic">
    <w:panose1 w:val="020B0600070205080204"/>
    <w:charset w:val="80"/>
    <w:family w:val="auto"/>
    <w:pitch w:val="default"/>
    <w:sig w:usb0="A00002BF" w:usb1="68C7FCFB" w:usb2="00000010" w:usb3="00000000" w:csb0="4002009F" w:csb1="DFD70000"/>
  </w:font>
  <w:font w:name="Palatino Linotype">
    <w:panose1 w:val="02040502050505030304"/>
    <w:charset w:val="00"/>
    <w:family w:val="auto"/>
    <w:pitch w:val="default"/>
    <w:sig w:usb0="E0000387" w:usb1="40000013" w:usb2="00000000" w:usb3="00000000" w:csb0="2000019F" w:csb1="00000000"/>
  </w:font>
  <w:font w:name="Palatino Linotype">
    <w:panose1 w:val="02040502050505030304"/>
    <w:charset w:val="00"/>
    <w:family w:val="modern"/>
    <w:pitch w:val="default"/>
    <w:sig w:usb0="E0000387" w:usb1="40000013" w:usb2="00000000" w:usb3="00000000" w:csb0="2000019F" w:csb1="00000000"/>
  </w:font>
  <w:font w:name="Lucida Sans Unicode">
    <w:panose1 w:val="020B0602030504020204"/>
    <w:charset w:val="00"/>
    <w:family w:val="auto"/>
    <w:pitch w:val="default"/>
    <w:sig w:usb0="80001AFF" w:usb1="0000396B" w:usb2="00000000" w:usb3="00000000" w:csb0="0000003F" w:csb1="D7F70000"/>
  </w:font>
  <w:font w:name="仿宋_GB2312">
    <w:panose1 w:val="02010609030101010101"/>
    <w:charset w:val="86"/>
    <w:family w:val="auto"/>
    <w:pitch w:val="default"/>
    <w:sig w:usb0="00000001" w:usb1="080E0000" w:usb2="00000000" w:usb3="00000000" w:csb0="00040000" w:csb1="00000000"/>
  </w:font>
  <w:font w:name="MS Gothic">
    <w:panose1 w:val="020B0609070205080204"/>
    <w:charset w:val="00"/>
    <w:family w:val="auto"/>
    <w:pitch w:val="default"/>
    <w:sig w:usb0="A00002BF" w:usb1="68C7FCFB" w:usb2="00000010" w:usb3="00000000" w:csb0="4002009F" w:csb1="DFD70000"/>
  </w:font>
  <w:font w:name="MS UI Gothic">
    <w:panose1 w:val="020B0600070205080204"/>
    <w:charset w:val="00"/>
    <w:family w:val="auto"/>
    <w:pitch w:val="default"/>
    <w:sig w:usb0="A00002BF" w:usb1="68C7FCFB" w:usb2="00000010" w:usb3="00000000" w:csb0="4002009F" w:csb1="DFD70000"/>
  </w:font>
  <w:font w:name="仿宋_GB2312">
    <w:panose1 w:val="02010609030101010101"/>
    <w:charset w:val="00"/>
    <w:family w:val="auto"/>
    <w:pitch w:val="default"/>
    <w:sig w:usb0="00000001" w:usb1="080E0000" w:usb2="00000000" w:usb3="00000000" w:csb0="00040000" w:csb1="00000000"/>
  </w:font>
  <w:font w:name="黑体">
    <w:panose1 w:val="02010600030101010101"/>
    <w:charset w:val="86"/>
    <w:family w:val="auto"/>
    <w:pitch w:val="default"/>
    <w:sig w:usb0="00000001" w:usb1="080E0000" w:usb2="00000000" w:usb3="00000000" w:csb0="00040000" w:csb1="00000000"/>
  </w:font>
  <w:font w:name="仿宋_GB2312">
    <w:panose1 w:val="02010609030101010101"/>
    <w:charset w:val="00"/>
    <w:family w:val="auto"/>
    <w:pitch w:val="default"/>
    <w:sig w:usb0="00000001" w:usb1="080E0000" w:usb2="00000000" w:usb3="00000000" w:csb0="00040000" w:csb1="00000000"/>
  </w:font>
  <w:font w:name="Verdana">
    <w:panose1 w:val="020B0604030504040204"/>
    <w:charset w:val="00"/>
    <w:family w:val="auto"/>
    <w:pitch w:val="default"/>
    <w:sig w:usb0="00000287" w:usb1="00000000" w:usb2="00000000" w:usb3="00000000" w:csb0="2000019F" w:csb1="00000000"/>
  </w:font>
  <w:font w:name="Arial">
    <w:panose1 w:val="020B0604020202020204"/>
    <w:charset w:val="00"/>
    <w:family w:val="auto"/>
    <w:pitch w:val="default"/>
    <w:sig w:usb0="00007A87" w:usb1="80000000" w:usb2="00000008" w:usb3="00000000" w:csb0="400001FF" w:csb1="FFFF0000"/>
  </w:font>
  <w:font w:name="Lucida Sans Unicode">
    <w:panose1 w:val="020B0602030504020204"/>
    <w:charset w:val="00"/>
    <w:family w:val="decorative"/>
    <w:pitch w:val="default"/>
    <w:sig w:usb0="80001AFF" w:usb1="0000396B" w:usb2="00000000" w:usb3="00000000" w:csb0="0000003F" w:csb1="D7F70000"/>
  </w:font>
  <w:font w:name="MS PGothic">
    <w:panose1 w:val="020B0600070205080204"/>
    <w:charset w:val="80"/>
    <w:family w:val="auto"/>
    <w:pitch w:val="default"/>
    <w:sig w:usb0="A00002BF" w:usb1="68C7FCFB" w:usb2="00000010"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framePr w:wrap="around" w:vAnchor="text" w:hAnchor="margin" w:xAlign="center" w:y="1"/>
      <w:rPr>
        <w:rStyle w:val="25"/>
      </w:rPr>
    </w:pPr>
    <w:r>
      <w:fldChar w:fldCharType="begin"/>
    </w:r>
    <w:r>
      <w:rPr>
        <w:rStyle w:val="25"/>
      </w:rPr>
      <w:instrText xml:space="preserve">PAGE  </w:instrText>
    </w:r>
    <w:r>
      <w:fldChar w:fldCharType="end"/>
    </w:r>
  </w:p>
  <w:p>
    <w:pPr>
      <w:pStyle w:val="19"/>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0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9"/>
                          </w:pPr>
                          <w:r>
                            <w:rPr>
                              <w:sz w:val="24"/>
                              <w:szCs w:val="24"/>
                            </w:rPr>
                            <w:fldChar w:fldCharType="begin"/>
                          </w:r>
                          <w:r>
                            <w:rPr>
                              <w:sz w:val="24"/>
                              <w:szCs w:val="24"/>
                            </w:rPr>
                            <w:instrText xml:space="preserve"> PAGE  \* MERGEFORMAT </w:instrText>
                          </w:r>
                          <w:r>
                            <w:rPr>
                              <w:sz w:val="24"/>
                              <w:szCs w:val="24"/>
                            </w:rPr>
                            <w:fldChar w:fldCharType="separate"/>
                          </w:r>
                          <w:r>
                            <w:rPr>
                              <w:sz w:val="24"/>
                              <w:szCs w:val="24"/>
                            </w:rPr>
                            <w:t>- 1 -</w:t>
                          </w:r>
                          <w:r>
                            <w:rPr>
                              <w:sz w:val="24"/>
                              <w:szCs w:val="24"/>
                            </w:rPr>
                            <w:fldChar w:fldCharType="end"/>
                          </w:r>
                        </w:p>
                      </w:txbxContent>
                    </wps:txbx>
                    <wps:bodyPr vert="horz" wrap="none" lIns="0" tIns="0" rIns="0" bIns="0" anchor="t" anchorCtr="0" upright="0">
                      <a:spAutoFit/>
                    </wps:bodyPr>
                  </wps:wsp>
                </a:graphicData>
              </a:graphic>
            </wp:anchor>
          </w:drawing>
        </mc:Choice>
        <mc:Fallback>
          <w:pict>
            <v:shape id="文本框 205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6pebnPAAAABQEAAA8AAAAAAAAAAQAgAAAAIgAAAGRycy9kb3ducmV2LnhtbFBL&#10;AQIUABQAAAAIAIdO4kDQjFIYxgEAAHQDAAAOAAAAAAAAAAEAIAAAAB4BAABkcnMvZTJvRG9jLnht&#10;bFBLBQYAAAAABgAGAFkBAABWBQAAAAA=&#10;">
              <v:fill on="f" focussize="0,0"/>
              <v:stroke on="f"/>
              <v:imagedata o:title=""/>
              <o:lock v:ext="edit" aspectratio="f"/>
              <v:textbox inset="0mm,0mm,0mm,0mm" style="mso-fit-shape-to-text:t;">
                <w:txbxContent>
                  <w:p>
                    <w:pPr>
                      <w:pStyle w:val="19"/>
                    </w:pPr>
                    <w:r>
                      <w:rPr>
                        <w:sz w:val="24"/>
                        <w:szCs w:val="24"/>
                      </w:rPr>
                      <w:fldChar w:fldCharType="begin"/>
                    </w:r>
                    <w:r>
                      <w:rPr>
                        <w:sz w:val="24"/>
                        <w:szCs w:val="24"/>
                      </w:rPr>
                      <w:instrText xml:space="preserve"> PAGE  \* MERGEFORMAT </w:instrText>
                    </w:r>
                    <w:r>
                      <w:rPr>
                        <w:sz w:val="24"/>
                        <w:szCs w:val="24"/>
                      </w:rPr>
                      <w:fldChar w:fldCharType="separate"/>
                    </w:r>
                    <w:r>
                      <w:rPr>
                        <w:sz w:val="24"/>
                        <w:szCs w:val="24"/>
                      </w:rPr>
                      <w:t>- 1 -</w:t>
                    </w:r>
                    <w:r>
                      <w:rPr>
                        <w:sz w:val="24"/>
                        <w:szCs w:val="24"/>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right="360"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0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9"/>
                          </w:pPr>
                          <w:r>
                            <w:fldChar w:fldCharType="begin"/>
                          </w:r>
                          <w:r>
                            <w:instrText xml:space="preserve"> PAGE  \* MERGEFORMAT </w:instrText>
                          </w:r>
                          <w:r>
                            <w:fldChar w:fldCharType="separate"/>
                          </w:r>
                          <w:r>
                            <w:t>- 65 -</w:t>
                          </w:r>
                          <w:r>
                            <w:fldChar w:fldCharType="end"/>
                          </w:r>
                        </w:p>
                      </w:txbxContent>
                    </wps:txbx>
                    <wps:bodyPr vert="horz" wrap="none" lIns="0" tIns="0" rIns="0" bIns="0" anchor="t" anchorCtr="0" upright="0">
                      <a:spAutoFit/>
                    </wps:bodyPr>
                  </wps:wsp>
                </a:graphicData>
              </a:graphic>
            </wp:anchor>
          </w:drawing>
        </mc:Choice>
        <mc:Fallback>
          <w:pict>
            <v:shape id="文本框 205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iv9HiMcBAAB0AwAADgAAAAAAAAABACAAAAAeAQAAZHJzL2Uyb0RvYy54&#10;bWxQSwUGAAAAAAYABgBZAQAAVwUAAAAA&#10;">
              <v:fill on="f" focussize="0,0"/>
              <v:stroke on="f"/>
              <v:imagedata o:title=""/>
              <o:lock v:ext="edit" aspectratio="f"/>
              <v:textbox inset="0mm,0mm,0mm,0mm" style="mso-fit-shape-to-text:t;">
                <w:txbxContent>
                  <w:p>
                    <w:pPr>
                      <w:pStyle w:val="19"/>
                    </w:pPr>
                    <w:r>
                      <w:fldChar w:fldCharType="begin"/>
                    </w:r>
                    <w:r>
                      <w:instrText xml:space="preserve"> PAGE  \* MERGEFORMAT </w:instrText>
                    </w:r>
                    <w:r>
                      <w:fldChar w:fldCharType="separate"/>
                    </w:r>
                    <w:r>
                      <w:t>- 65 -</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2505966044">
    <w:nsid w:val="955E01DC"/>
    <w:multiLevelType w:val="singleLevel"/>
    <w:tmpl w:val="955E01DC"/>
    <w:lvl w:ilvl="0" w:tentative="1">
      <w:start w:val="1"/>
      <w:numFmt w:val="bullet"/>
      <w:pStyle w:val="16"/>
      <w:lvlText w:val=""/>
      <w:lvlJc w:val="left"/>
      <w:pPr>
        <w:tabs>
          <w:tab w:val="left" w:pos="2040"/>
        </w:tabs>
        <w:ind w:left="2040" w:hanging="360"/>
      </w:pPr>
      <w:rPr>
        <w:rFonts w:hint="default" w:ascii="Wingdings" w:hAnsi="Wingdings"/>
      </w:rPr>
    </w:lvl>
  </w:abstractNum>
  <w:abstractNum w:abstractNumId="2091260079">
    <w:nsid w:val="7CA618AF"/>
    <w:multiLevelType w:val="singleLevel"/>
    <w:tmpl w:val="7CA618AF"/>
    <w:lvl w:ilvl="0" w:tentative="1">
      <w:start w:val="1"/>
      <w:numFmt w:val="decimal"/>
      <w:suff w:val="nothing"/>
      <w:lvlText w:val="%1"/>
      <w:lvlJc w:val="left"/>
      <w:pPr>
        <w:tabs>
          <w:tab w:val="left" w:pos="0"/>
        </w:tabs>
      </w:pPr>
      <w:rPr>
        <w:rFonts w:hint="default"/>
      </w:rPr>
    </w:lvl>
  </w:abstractNum>
  <w:num w:numId="1">
    <w:abstractNumId w:val="2505966044"/>
  </w:num>
  <w:num w:numId="2">
    <w:abstractNumId w:val="209126007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dit="trackedChanges" w:enforcement="0"/>
  <w:defaultTabStop w:val="420"/>
  <w:hyphenationZone w:val="360"/>
  <w:doNotHyphenateCaps/>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3NjMxNTBjMjQwNzQyZmU3ZjBkMjc1ZjcyMWM1YzYifQ=="/>
  </w:docVars>
  <w:rsids>
    <w:rsidRoot w:val="00172A27"/>
    <w:rsid w:val="000060B3"/>
    <w:rsid w:val="0004364B"/>
    <w:rsid w:val="00061B1F"/>
    <w:rsid w:val="000733C4"/>
    <w:rsid w:val="00074783"/>
    <w:rsid w:val="0008070B"/>
    <w:rsid w:val="000810AC"/>
    <w:rsid w:val="00081A02"/>
    <w:rsid w:val="00082231"/>
    <w:rsid w:val="00092D38"/>
    <w:rsid w:val="0009377B"/>
    <w:rsid w:val="000A20C9"/>
    <w:rsid w:val="000B058F"/>
    <w:rsid w:val="000B4467"/>
    <w:rsid w:val="000B4DB9"/>
    <w:rsid w:val="000C09AC"/>
    <w:rsid w:val="000C681D"/>
    <w:rsid w:val="000C767F"/>
    <w:rsid w:val="000D5A44"/>
    <w:rsid w:val="000E3ED2"/>
    <w:rsid w:val="00131F42"/>
    <w:rsid w:val="001357F1"/>
    <w:rsid w:val="00136C07"/>
    <w:rsid w:val="00140FA8"/>
    <w:rsid w:val="00142FEB"/>
    <w:rsid w:val="00143A2D"/>
    <w:rsid w:val="00145A41"/>
    <w:rsid w:val="00151675"/>
    <w:rsid w:val="00157435"/>
    <w:rsid w:val="0017504D"/>
    <w:rsid w:val="0017671A"/>
    <w:rsid w:val="00177422"/>
    <w:rsid w:val="0018274C"/>
    <w:rsid w:val="00184590"/>
    <w:rsid w:val="001870D1"/>
    <w:rsid w:val="0018781E"/>
    <w:rsid w:val="0019262D"/>
    <w:rsid w:val="001A1B35"/>
    <w:rsid w:val="001A48A2"/>
    <w:rsid w:val="001A6F61"/>
    <w:rsid w:val="001B72B8"/>
    <w:rsid w:val="001C69B3"/>
    <w:rsid w:val="001D5595"/>
    <w:rsid w:val="001D7874"/>
    <w:rsid w:val="001D7F22"/>
    <w:rsid w:val="001F0F17"/>
    <w:rsid w:val="001F1D2C"/>
    <w:rsid w:val="001F3347"/>
    <w:rsid w:val="001F69E4"/>
    <w:rsid w:val="002125B4"/>
    <w:rsid w:val="002155B8"/>
    <w:rsid w:val="00215AA4"/>
    <w:rsid w:val="00224839"/>
    <w:rsid w:val="002249B2"/>
    <w:rsid w:val="00226574"/>
    <w:rsid w:val="002278EC"/>
    <w:rsid w:val="0023280E"/>
    <w:rsid w:val="002377D1"/>
    <w:rsid w:val="002506BC"/>
    <w:rsid w:val="00254345"/>
    <w:rsid w:val="00264557"/>
    <w:rsid w:val="002805AB"/>
    <w:rsid w:val="00284204"/>
    <w:rsid w:val="00291773"/>
    <w:rsid w:val="002A168C"/>
    <w:rsid w:val="002A3DC7"/>
    <w:rsid w:val="002B1AC4"/>
    <w:rsid w:val="002B49E2"/>
    <w:rsid w:val="002B7B00"/>
    <w:rsid w:val="002B7C44"/>
    <w:rsid w:val="002C2B17"/>
    <w:rsid w:val="002D3DD0"/>
    <w:rsid w:val="002E1F3A"/>
    <w:rsid w:val="002E298A"/>
    <w:rsid w:val="00301978"/>
    <w:rsid w:val="0030332C"/>
    <w:rsid w:val="003051C2"/>
    <w:rsid w:val="00311A5F"/>
    <w:rsid w:val="00312296"/>
    <w:rsid w:val="00314F0E"/>
    <w:rsid w:val="00321D8E"/>
    <w:rsid w:val="00325928"/>
    <w:rsid w:val="00332863"/>
    <w:rsid w:val="0033684D"/>
    <w:rsid w:val="00337B42"/>
    <w:rsid w:val="00341B42"/>
    <w:rsid w:val="0034348F"/>
    <w:rsid w:val="003471E1"/>
    <w:rsid w:val="00356653"/>
    <w:rsid w:val="0035743F"/>
    <w:rsid w:val="00357BE2"/>
    <w:rsid w:val="0036170C"/>
    <w:rsid w:val="00366E0F"/>
    <w:rsid w:val="00377076"/>
    <w:rsid w:val="00381040"/>
    <w:rsid w:val="00381A72"/>
    <w:rsid w:val="00382DEE"/>
    <w:rsid w:val="00384676"/>
    <w:rsid w:val="00390857"/>
    <w:rsid w:val="003A4BF3"/>
    <w:rsid w:val="003B420D"/>
    <w:rsid w:val="003B643A"/>
    <w:rsid w:val="003C6C16"/>
    <w:rsid w:val="003D794D"/>
    <w:rsid w:val="003E3058"/>
    <w:rsid w:val="003E76A9"/>
    <w:rsid w:val="003F0809"/>
    <w:rsid w:val="003F6A8C"/>
    <w:rsid w:val="003F755C"/>
    <w:rsid w:val="00406F01"/>
    <w:rsid w:val="00416D50"/>
    <w:rsid w:val="00416FD5"/>
    <w:rsid w:val="00417772"/>
    <w:rsid w:val="00420E6A"/>
    <w:rsid w:val="00425A9E"/>
    <w:rsid w:val="00426D6B"/>
    <w:rsid w:val="00431E6C"/>
    <w:rsid w:val="00433CE7"/>
    <w:rsid w:val="00441793"/>
    <w:rsid w:val="00443541"/>
    <w:rsid w:val="00452738"/>
    <w:rsid w:val="00456091"/>
    <w:rsid w:val="0046550B"/>
    <w:rsid w:val="00466321"/>
    <w:rsid w:val="00484B9B"/>
    <w:rsid w:val="004855F6"/>
    <w:rsid w:val="0048661E"/>
    <w:rsid w:val="00494670"/>
    <w:rsid w:val="004A3368"/>
    <w:rsid w:val="004A3823"/>
    <w:rsid w:val="004B2B21"/>
    <w:rsid w:val="004E6946"/>
    <w:rsid w:val="004F1AD8"/>
    <w:rsid w:val="005039CB"/>
    <w:rsid w:val="0050558F"/>
    <w:rsid w:val="00506286"/>
    <w:rsid w:val="00510813"/>
    <w:rsid w:val="00511990"/>
    <w:rsid w:val="00511DE0"/>
    <w:rsid w:val="00514870"/>
    <w:rsid w:val="00514B9B"/>
    <w:rsid w:val="00515C5E"/>
    <w:rsid w:val="00517F02"/>
    <w:rsid w:val="00524303"/>
    <w:rsid w:val="005258A2"/>
    <w:rsid w:val="005401AE"/>
    <w:rsid w:val="00542E07"/>
    <w:rsid w:val="00545424"/>
    <w:rsid w:val="00554A7B"/>
    <w:rsid w:val="0055572C"/>
    <w:rsid w:val="0056106A"/>
    <w:rsid w:val="005720AE"/>
    <w:rsid w:val="00594D77"/>
    <w:rsid w:val="005969E4"/>
    <w:rsid w:val="005A06B7"/>
    <w:rsid w:val="005A1759"/>
    <w:rsid w:val="005A68A7"/>
    <w:rsid w:val="005D36AB"/>
    <w:rsid w:val="00610597"/>
    <w:rsid w:val="00617CC3"/>
    <w:rsid w:val="006377A6"/>
    <w:rsid w:val="00637A3D"/>
    <w:rsid w:val="006411EF"/>
    <w:rsid w:val="006748B8"/>
    <w:rsid w:val="006775C3"/>
    <w:rsid w:val="006911F9"/>
    <w:rsid w:val="0069290A"/>
    <w:rsid w:val="0069775A"/>
    <w:rsid w:val="00697813"/>
    <w:rsid w:val="006A3EE8"/>
    <w:rsid w:val="006A72BF"/>
    <w:rsid w:val="006B03F2"/>
    <w:rsid w:val="006B37DC"/>
    <w:rsid w:val="006B4F68"/>
    <w:rsid w:val="006C0592"/>
    <w:rsid w:val="006C272E"/>
    <w:rsid w:val="006C5479"/>
    <w:rsid w:val="006D13B5"/>
    <w:rsid w:val="006D6F3B"/>
    <w:rsid w:val="006E12FF"/>
    <w:rsid w:val="006E607E"/>
    <w:rsid w:val="00706C5D"/>
    <w:rsid w:val="00732922"/>
    <w:rsid w:val="007402CA"/>
    <w:rsid w:val="0075162E"/>
    <w:rsid w:val="00754034"/>
    <w:rsid w:val="00755DF0"/>
    <w:rsid w:val="00756556"/>
    <w:rsid w:val="007618C4"/>
    <w:rsid w:val="00767980"/>
    <w:rsid w:val="00770B19"/>
    <w:rsid w:val="0077463F"/>
    <w:rsid w:val="007836EA"/>
    <w:rsid w:val="00784CDA"/>
    <w:rsid w:val="007906C4"/>
    <w:rsid w:val="007940EA"/>
    <w:rsid w:val="007967E8"/>
    <w:rsid w:val="007A2170"/>
    <w:rsid w:val="007A22BF"/>
    <w:rsid w:val="007A3323"/>
    <w:rsid w:val="007A6F63"/>
    <w:rsid w:val="007B72B8"/>
    <w:rsid w:val="007B7A58"/>
    <w:rsid w:val="007C0F2D"/>
    <w:rsid w:val="007C21B5"/>
    <w:rsid w:val="007C717F"/>
    <w:rsid w:val="007E4BD2"/>
    <w:rsid w:val="007F5BE6"/>
    <w:rsid w:val="00801393"/>
    <w:rsid w:val="00802F88"/>
    <w:rsid w:val="008108D0"/>
    <w:rsid w:val="0081293E"/>
    <w:rsid w:val="00815465"/>
    <w:rsid w:val="00817E9A"/>
    <w:rsid w:val="008306BD"/>
    <w:rsid w:val="00831A80"/>
    <w:rsid w:val="00833743"/>
    <w:rsid w:val="008340A4"/>
    <w:rsid w:val="0087135F"/>
    <w:rsid w:val="00872D94"/>
    <w:rsid w:val="00880364"/>
    <w:rsid w:val="00885FD2"/>
    <w:rsid w:val="00891592"/>
    <w:rsid w:val="00891E9E"/>
    <w:rsid w:val="008A2F68"/>
    <w:rsid w:val="008B4FA6"/>
    <w:rsid w:val="008B5282"/>
    <w:rsid w:val="008B5614"/>
    <w:rsid w:val="008B7C17"/>
    <w:rsid w:val="008C2D01"/>
    <w:rsid w:val="008C40E6"/>
    <w:rsid w:val="008D0F7A"/>
    <w:rsid w:val="008D68E4"/>
    <w:rsid w:val="008E0506"/>
    <w:rsid w:val="008E0CFF"/>
    <w:rsid w:val="008E5D6B"/>
    <w:rsid w:val="008E76F0"/>
    <w:rsid w:val="008F15FE"/>
    <w:rsid w:val="008F2D29"/>
    <w:rsid w:val="008F5187"/>
    <w:rsid w:val="008F60D8"/>
    <w:rsid w:val="00902727"/>
    <w:rsid w:val="0090312B"/>
    <w:rsid w:val="0091736D"/>
    <w:rsid w:val="0093037A"/>
    <w:rsid w:val="0094154D"/>
    <w:rsid w:val="00947064"/>
    <w:rsid w:val="0095155F"/>
    <w:rsid w:val="00951FEE"/>
    <w:rsid w:val="00954429"/>
    <w:rsid w:val="009563CE"/>
    <w:rsid w:val="00976328"/>
    <w:rsid w:val="0097680D"/>
    <w:rsid w:val="00982438"/>
    <w:rsid w:val="0098404C"/>
    <w:rsid w:val="00985283"/>
    <w:rsid w:val="00995992"/>
    <w:rsid w:val="009A03E5"/>
    <w:rsid w:val="009A0F3B"/>
    <w:rsid w:val="009A13B3"/>
    <w:rsid w:val="009A1BB4"/>
    <w:rsid w:val="009A2628"/>
    <w:rsid w:val="009A3200"/>
    <w:rsid w:val="009B0897"/>
    <w:rsid w:val="009B79F7"/>
    <w:rsid w:val="009B7BD9"/>
    <w:rsid w:val="009C7DD5"/>
    <w:rsid w:val="009E227D"/>
    <w:rsid w:val="009E5019"/>
    <w:rsid w:val="009E73A3"/>
    <w:rsid w:val="00A04F1B"/>
    <w:rsid w:val="00A0501B"/>
    <w:rsid w:val="00A14947"/>
    <w:rsid w:val="00A32A83"/>
    <w:rsid w:val="00A368DB"/>
    <w:rsid w:val="00A423AA"/>
    <w:rsid w:val="00A53EC6"/>
    <w:rsid w:val="00A55C0F"/>
    <w:rsid w:val="00A566D5"/>
    <w:rsid w:val="00A8713F"/>
    <w:rsid w:val="00A90BA1"/>
    <w:rsid w:val="00A97A9A"/>
    <w:rsid w:val="00AA0671"/>
    <w:rsid w:val="00AA2531"/>
    <w:rsid w:val="00AB1E09"/>
    <w:rsid w:val="00AB5330"/>
    <w:rsid w:val="00AB7747"/>
    <w:rsid w:val="00AC14CE"/>
    <w:rsid w:val="00AC2A56"/>
    <w:rsid w:val="00AD055E"/>
    <w:rsid w:val="00AD47A7"/>
    <w:rsid w:val="00AF0CBF"/>
    <w:rsid w:val="00AF257F"/>
    <w:rsid w:val="00AF33CF"/>
    <w:rsid w:val="00AF4D50"/>
    <w:rsid w:val="00AF6179"/>
    <w:rsid w:val="00B1295A"/>
    <w:rsid w:val="00B20A45"/>
    <w:rsid w:val="00B20DF2"/>
    <w:rsid w:val="00B22C5C"/>
    <w:rsid w:val="00B24F30"/>
    <w:rsid w:val="00B31ABF"/>
    <w:rsid w:val="00B33BE3"/>
    <w:rsid w:val="00B53B5D"/>
    <w:rsid w:val="00B6055E"/>
    <w:rsid w:val="00B6317D"/>
    <w:rsid w:val="00B7723F"/>
    <w:rsid w:val="00B80534"/>
    <w:rsid w:val="00B8433C"/>
    <w:rsid w:val="00B87491"/>
    <w:rsid w:val="00BA29E9"/>
    <w:rsid w:val="00BA7142"/>
    <w:rsid w:val="00BB237C"/>
    <w:rsid w:val="00BB41A3"/>
    <w:rsid w:val="00BC32DC"/>
    <w:rsid w:val="00BC35B6"/>
    <w:rsid w:val="00BD1B51"/>
    <w:rsid w:val="00BD4596"/>
    <w:rsid w:val="00BE1405"/>
    <w:rsid w:val="00BE312D"/>
    <w:rsid w:val="00BF1C20"/>
    <w:rsid w:val="00C10578"/>
    <w:rsid w:val="00C135BC"/>
    <w:rsid w:val="00C15C95"/>
    <w:rsid w:val="00C212A7"/>
    <w:rsid w:val="00C2596A"/>
    <w:rsid w:val="00C27537"/>
    <w:rsid w:val="00C328FE"/>
    <w:rsid w:val="00C33507"/>
    <w:rsid w:val="00C4409D"/>
    <w:rsid w:val="00C44E72"/>
    <w:rsid w:val="00C45A06"/>
    <w:rsid w:val="00C47E5B"/>
    <w:rsid w:val="00C528D4"/>
    <w:rsid w:val="00C61E4B"/>
    <w:rsid w:val="00C64BFF"/>
    <w:rsid w:val="00C704E9"/>
    <w:rsid w:val="00C763C9"/>
    <w:rsid w:val="00C80057"/>
    <w:rsid w:val="00C82232"/>
    <w:rsid w:val="00C82913"/>
    <w:rsid w:val="00C972B1"/>
    <w:rsid w:val="00CA2CCE"/>
    <w:rsid w:val="00CA43FD"/>
    <w:rsid w:val="00CA7EF8"/>
    <w:rsid w:val="00CC489B"/>
    <w:rsid w:val="00CD2BCD"/>
    <w:rsid w:val="00CD3A4C"/>
    <w:rsid w:val="00CE10E9"/>
    <w:rsid w:val="00CE2910"/>
    <w:rsid w:val="00CE5393"/>
    <w:rsid w:val="00CF36BE"/>
    <w:rsid w:val="00CF6000"/>
    <w:rsid w:val="00D003F3"/>
    <w:rsid w:val="00D0364F"/>
    <w:rsid w:val="00D06834"/>
    <w:rsid w:val="00D308ED"/>
    <w:rsid w:val="00D36D86"/>
    <w:rsid w:val="00D428AA"/>
    <w:rsid w:val="00D50A34"/>
    <w:rsid w:val="00D53EFA"/>
    <w:rsid w:val="00D94A7C"/>
    <w:rsid w:val="00D95896"/>
    <w:rsid w:val="00DB2983"/>
    <w:rsid w:val="00DB32D8"/>
    <w:rsid w:val="00DC1257"/>
    <w:rsid w:val="00DC3DC0"/>
    <w:rsid w:val="00DC5B2B"/>
    <w:rsid w:val="00DC5E6F"/>
    <w:rsid w:val="00DD318D"/>
    <w:rsid w:val="00DF2E12"/>
    <w:rsid w:val="00DF514A"/>
    <w:rsid w:val="00DF6690"/>
    <w:rsid w:val="00DF6804"/>
    <w:rsid w:val="00E0358D"/>
    <w:rsid w:val="00E04323"/>
    <w:rsid w:val="00E070A2"/>
    <w:rsid w:val="00E2656A"/>
    <w:rsid w:val="00E412D0"/>
    <w:rsid w:val="00E56322"/>
    <w:rsid w:val="00E60982"/>
    <w:rsid w:val="00E62C62"/>
    <w:rsid w:val="00E654C1"/>
    <w:rsid w:val="00E65D97"/>
    <w:rsid w:val="00E72A5A"/>
    <w:rsid w:val="00E73354"/>
    <w:rsid w:val="00E9242D"/>
    <w:rsid w:val="00EB5255"/>
    <w:rsid w:val="00EB5C47"/>
    <w:rsid w:val="00ED0639"/>
    <w:rsid w:val="00EF4755"/>
    <w:rsid w:val="00EF7135"/>
    <w:rsid w:val="00F027DB"/>
    <w:rsid w:val="00F05477"/>
    <w:rsid w:val="00F14A7A"/>
    <w:rsid w:val="00F22985"/>
    <w:rsid w:val="00F3383E"/>
    <w:rsid w:val="00F465A7"/>
    <w:rsid w:val="00F46D15"/>
    <w:rsid w:val="00F50B7C"/>
    <w:rsid w:val="00F550E6"/>
    <w:rsid w:val="00F72CA9"/>
    <w:rsid w:val="00F74345"/>
    <w:rsid w:val="00F74A57"/>
    <w:rsid w:val="00F80A0A"/>
    <w:rsid w:val="00F82B19"/>
    <w:rsid w:val="00F9212D"/>
    <w:rsid w:val="00F9432B"/>
    <w:rsid w:val="00F965DA"/>
    <w:rsid w:val="00FA406A"/>
    <w:rsid w:val="00FB503A"/>
    <w:rsid w:val="00FB516C"/>
    <w:rsid w:val="00FC206D"/>
    <w:rsid w:val="00FD0236"/>
    <w:rsid w:val="00FD18F4"/>
    <w:rsid w:val="00FD54DB"/>
    <w:rsid w:val="00FD619F"/>
    <w:rsid w:val="0100390C"/>
    <w:rsid w:val="010158D6"/>
    <w:rsid w:val="010351AA"/>
    <w:rsid w:val="010A6538"/>
    <w:rsid w:val="01172A03"/>
    <w:rsid w:val="011B0745"/>
    <w:rsid w:val="011D5FD0"/>
    <w:rsid w:val="011E0E3F"/>
    <w:rsid w:val="011E7546"/>
    <w:rsid w:val="01226D7C"/>
    <w:rsid w:val="01290F7E"/>
    <w:rsid w:val="012A2737"/>
    <w:rsid w:val="012A6BDB"/>
    <w:rsid w:val="012C2953"/>
    <w:rsid w:val="01396E1E"/>
    <w:rsid w:val="013E4434"/>
    <w:rsid w:val="01437C9C"/>
    <w:rsid w:val="015123B9"/>
    <w:rsid w:val="01536131"/>
    <w:rsid w:val="015D1E09"/>
    <w:rsid w:val="015F2502"/>
    <w:rsid w:val="01671BDD"/>
    <w:rsid w:val="016A347B"/>
    <w:rsid w:val="016D4D19"/>
    <w:rsid w:val="01703976"/>
    <w:rsid w:val="017460A8"/>
    <w:rsid w:val="0176597C"/>
    <w:rsid w:val="0179546C"/>
    <w:rsid w:val="01814321"/>
    <w:rsid w:val="01822573"/>
    <w:rsid w:val="018A7679"/>
    <w:rsid w:val="019404F8"/>
    <w:rsid w:val="01944054"/>
    <w:rsid w:val="019B53E2"/>
    <w:rsid w:val="019B687B"/>
    <w:rsid w:val="019D55FE"/>
    <w:rsid w:val="01A3073B"/>
    <w:rsid w:val="01A66F84"/>
    <w:rsid w:val="01A673AA"/>
    <w:rsid w:val="01A7022B"/>
    <w:rsid w:val="01B446F6"/>
    <w:rsid w:val="01B51332"/>
    <w:rsid w:val="01BB5A85"/>
    <w:rsid w:val="01C012ED"/>
    <w:rsid w:val="01C40DDD"/>
    <w:rsid w:val="01CF32DE"/>
    <w:rsid w:val="01D6466C"/>
    <w:rsid w:val="01E52B01"/>
    <w:rsid w:val="01E925F2"/>
    <w:rsid w:val="01F11087"/>
    <w:rsid w:val="02056D00"/>
    <w:rsid w:val="02073018"/>
    <w:rsid w:val="020F43D4"/>
    <w:rsid w:val="02104022"/>
    <w:rsid w:val="02181129"/>
    <w:rsid w:val="02184C85"/>
    <w:rsid w:val="021A09FD"/>
    <w:rsid w:val="02225B04"/>
    <w:rsid w:val="02296E92"/>
    <w:rsid w:val="02300221"/>
    <w:rsid w:val="023A2E4D"/>
    <w:rsid w:val="023E5971"/>
    <w:rsid w:val="02441F1E"/>
    <w:rsid w:val="02494C6C"/>
    <w:rsid w:val="02557B52"/>
    <w:rsid w:val="025A704C"/>
    <w:rsid w:val="025F4662"/>
    <w:rsid w:val="02673621"/>
    <w:rsid w:val="02697903"/>
    <w:rsid w:val="026E0D49"/>
    <w:rsid w:val="027108F1"/>
    <w:rsid w:val="02777BFD"/>
    <w:rsid w:val="027C5214"/>
    <w:rsid w:val="02812008"/>
    <w:rsid w:val="02814FD3"/>
    <w:rsid w:val="028B5457"/>
    <w:rsid w:val="029A38EC"/>
    <w:rsid w:val="029F1173"/>
    <w:rsid w:val="02A429BD"/>
    <w:rsid w:val="02AC0BD1"/>
    <w:rsid w:val="02AD361F"/>
    <w:rsid w:val="02AF4690"/>
    <w:rsid w:val="02B250DA"/>
    <w:rsid w:val="02B50726"/>
    <w:rsid w:val="02BB009F"/>
    <w:rsid w:val="02BF3353"/>
    <w:rsid w:val="02C73135"/>
    <w:rsid w:val="02DC3F04"/>
    <w:rsid w:val="02E66B31"/>
    <w:rsid w:val="02E84657"/>
    <w:rsid w:val="02F32FFC"/>
    <w:rsid w:val="02F4124E"/>
    <w:rsid w:val="02F96569"/>
    <w:rsid w:val="03011BBD"/>
    <w:rsid w:val="030376E3"/>
    <w:rsid w:val="0305345B"/>
    <w:rsid w:val="03065425"/>
    <w:rsid w:val="03092820"/>
    <w:rsid w:val="032559B3"/>
    <w:rsid w:val="0326195A"/>
    <w:rsid w:val="033B50CF"/>
    <w:rsid w:val="033C0E47"/>
    <w:rsid w:val="033E4BBF"/>
    <w:rsid w:val="03411FB9"/>
    <w:rsid w:val="034639A4"/>
    <w:rsid w:val="03541CED"/>
    <w:rsid w:val="03577A2F"/>
    <w:rsid w:val="03595555"/>
    <w:rsid w:val="035E2469"/>
    <w:rsid w:val="035E33C8"/>
    <w:rsid w:val="035E700F"/>
    <w:rsid w:val="03604B36"/>
    <w:rsid w:val="0361265C"/>
    <w:rsid w:val="03692E2A"/>
    <w:rsid w:val="036A1510"/>
    <w:rsid w:val="036D524E"/>
    <w:rsid w:val="037405E1"/>
    <w:rsid w:val="03773C2D"/>
    <w:rsid w:val="037759DB"/>
    <w:rsid w:val="03791753"/>
    <w:rsid w:val="037F5C50"/>
    <w:rsid w:val="03887BE8"/>
    <w:rsid w:val="0394658D"/>
    <w:rsid w:val="03990047"/>
    <w:rsid w:val="03A03184"/>
    <w:rsid w:val="03A10CAA"/>
    <w:rsid w:val="03A762C0"/>
    <w:rsid w:val="03A8028B"/>
    <w:rsid w:val="03A93C07"/>
    <w:rsid w:val="03B10EED"/>
    <w:rsid w:val="03BD3D36"/>
    <w:rsid w:val="03CC3F79"/>
    <w:rsid w:val="03DB0660"/>
    <w:rsid w:val="03E47515"/>
    <w:rsid w:val="03E56DE9"/>
    <w:rsid w:val="03EA7B21"/>
    <w:rsid w:val="03EE0393"/>
    <w:rsid w:val="03F60FF6"/>
    <w:rsid w:val="03F8136C"/>
    <w:rsid w:val="03F90AE6"/>
    <w:rsid w:val="04025BED"/>
    <w:rsid w:val="04043713"/>
    <w:rsid w:val="040556DD"/>
    <w:rsid w:val="040E4592"/>
    <w:rsid w:val="04146D82"/>
    <w:rsid w:val="042B243B"/>
    <w:rsid w:val="04310280"/>
    <w:rsid w:val="04333FF8"/>
    <w:rsid w:val="043F299D"/>
    <w:rsid w:val="04425FE9"/>
    <w:rsid w:val="04450781"/>
    <w:rsid w:val="04461F7D"/>
    <w:rsid w:val="04497378"/>
    <w:rsid w:val="044E2BE0"/>
    <w:rsid w:val="04536763"/>
    <w:rsid w:val="04544525"/>
    <w:rsid w:val="045B70AB"/>
    <w:rsid w:val="045C354F"/>
    <w:rsid w:val="045D2E23"/>
    <w:rsid w:val="04610B65"/>
    <w:rsid w:val="04651CD8"/>
    <w:rsid w:val="04654A37"/>
    <w:rsid w:val="046E6DDE"/>
    <w:rsid w:val="04721B35"/>
    <w:rsid w:val="047D34C5"/>
    <w:rsid w:val="047F3745"/>
    <w:rsid w:val="048644D3"/>
    <w:rsid w:val="0490144A"/>
    <w:rsid w:val="049031F8"/>
    <w:rsid w:val="04926F71"/>
    <w:rsid w:val="04966335"/>
    <w:rsid w:val="04992949"/>
    <w:rsid w:val="049F168E"/>
    <w:rsid w:val="04A10F62"/>
    <w:rsid w:val="04A22F2C"/>
    <w:rsid w:val="04A86794"/>
    <w:rsid w:val="04AB3B8E"/>
    <w:rsid w:val="04B509E1"/>
    <w:rsid w:val="04C410F4"/>
    <w:rsid w:val="04C74740"/>
    <w:rsid w:val="04C80BE4"/>
    <w:rsid w:val="04C904B8"/>
    <w:rsid w:val="04CB2483"/>
    <w:rsid w:val="04CB5FDF"/>
    <w:rsid w:val="04CC1D57"/>
    <w:rsid w:val="04CE1F73"/>
    <w:rsid w:val="04D1736D"/>
    <w:rsid w:val="04D56E5D"/>
    <w:rsid w:val="04DF7CDC"/>
    <w:rsid w:val="04E44910"/>
    <w:rsid w:val="04F512AE"/>
    <w:rsid w:val="04F82B4C"/>
    <w:rsid w:val="04FA4B16"/>
    <w:rsid w:val="04FA68C4"/>
    <w:rsid w:val="04FB133A"/>
    <w:rsid w:val="04FE7A0D"/>
    <w:rsid w:val="050339CA"/>
    <w:rsid w:val="050B0AD1"/>
    <w:rsid w:val="05107E95"/>
    <w:rsid w:val="0513728D"/>
    <w:rsid w:val="05137986"/>
    <w:rsid w:val="051C683A"/>
    <w:rsid w:val="05216546"/>
    <w:rsid w:val="052A30F5"/>
    <w:rsid w:val="052F4286"/>
    <w:rsid w:val="05353DA0"/>
    <w:rsid w:val="053B7608"/>
    <w:rsid w:val="053F69CD"/>
    <w:rsid w:val="054C666F"/>
    <w:rsid w:val="05524952"/>
    <w:rsid w:val="055A7363"/>
    <w:rsid w:val="055E6E53"/>
    <w:rsid w:val="055F0D07"/>
    <w:rsid w:val="05634469"/>
    <w:rsid w:val="056D52E8"/>
    <w:rsid w:val="05704DD8"/>
    <w:rsid w:val="05706B86"/>
    <w:rsid w:val="05746676"/>
    <w:rsid w:val="057E5747"/>
    <w:rsid w:val="057E74F5"/>
    <w:rsid w:val="05816B3D"/>
    <w:rsid w:val="05882122"/>
    <w:rsid w:val="058C1C12"/>
    <w:rsid w:val="059453DE"/>
    <w:rsid w:val="05A00C91"/>
    <w:rsid w:val="05A131E3"/>
    <w:rsid w:val="05A57EB9"/>
    <w:rsid w:val="05AA02EA"/>
    <w:rsid w:val="05AB5E10"/>
    <w:rsid w:val="05AF3B52"/>
    <w:rsid w:val="05B253F0"/>
    <w:rsid w:val="05B80C59"/>
    <w:rsid w:val="05BB42A5"/>
    <w:rsid w:val="05CF7D50"/>
    <w:rsid w:val="05D215EF"/>
    <w:rsid w:val="05D2339D"/>
    <w:rsid w:val="05D37841"/>
    <w:rsid w:val="05D45367"/>
    <w:rsid w:val="05DE0F9C"/>
    <w:rsid w:val="05DE7F94"/>
    <w:rsid w:val="05E47C6A"/>
    <w:rsid w:val="05F11A75"/>
    <w:rsid w:val="05F83EAE"/>
    <w:rsid w:val="05F94DCD"/>
    <w:rsid w:val="05FE23E4"/>
    <w:rsid w:val="060010AC"/>
    <w:rsid w:val="06020126"/>
    <w:rsid w:val="06090E6E"/>
    <w:rsid w:val="060A2B37"/>
    <w:rsid w:val="061B3FFA"/>
    <w:rsid w:val="061E4834"/>
    <w:rsid w:val="06222576"/>
    <w:rsid w:val="06224324"/>
    <w:rsid w:val="06293905"/>
    <w:rsid w:val="062F6A41"/>
    <w:rsid w:val="0636392C"/>
    <w:rsid w:val="063E0A32"/>
    <w:rsid w:val="063E7D85"/>
    <w:rsid w:val="064918B1"/>
    <w:rsid w:val="064A387B"/>
    <w:rsid w:val="064C75F3"/>
    <w:rsid w:val="064F1B08"/>
    <w:rsid w:val="065A13C7"/>
    <w:rsid w:val="065E2E82"/>
    <w:rsid w:val="0661309E"/>
    <w:rsid w:val="06622973"/>
    <w:rsid w:val="066606B5"/>
    <w:rsid w:val="066F5090"/>
    <w:rsid w:val="06744454"/>
    <w:rsid w:val="067526A6"/>
    <w:rsid w:val="067803E8"/>
    <w:rsid w:val="06782196"/>
    <w:rsid w:val="067D155B"/>
    <w:rsid w:val="06811D50"/>
    <w:rsid w:val="06913258"/>
    <w:rsid w:val="06916661"/>
    <w:rsid w:val="069845E6"/>
    <w:rsid w:val="069B5E85"/>
    <w:rsid w:val="069F4940"/>
    <w:rsid w:val="06AC1E40"/>
    <w:rsid w:val="06AE7966"/>
    <w:rsid w:val="06B331CE"/>
    <w:rsid w:val="06BD5DFB"/>
    <w:rsid w:val="06C47189"/>
    <w:rsid w:val="06C752B7"/>
    <w:rsid w:val="06CC603E"/>
    <w:rsid w:val="06CC717B"/>
    <w:rsid w:val="06D07A7F"/>
    <w:rsid w:val="06D25D4A"/>
    <w:rsid w:val="06D66EBD"/>
    <w:rsid w:val="06DA69AD"/>
    <w:rsid w:val="06DF2215"/>
    <w:rsid w:val="06DF5D71"/>
    <w:rsid w:val="06E60D29"/>
    <w:rsid w:val="06E8731C"/>
    <w:rsid w:val="06EB4687"/>
    <w:rsid w:val="06EC048E"/>
    <w:rsid w:val="06EE2458"/>
    <w:rsid w:val="06F51A39"/>
    <w:rsid w:val="06FF7658"/>
    <w:rsid w:val="07043A2A"/>
    <w:rsid w:val="070457D8"/>
    <w:rsid w:val="07047ECE"/>
    <w:rsid w:val="07100621"/>
    <w:rsid w:val="07155C37"/>
    <w:rsid w:val="07177C01"/>
    <w:rsid w:val="071E2D3E"/>
    <w:rsid w:val="0721638A"/>
    <w:rsid w:val="072440CC"/>
    <w:rsid w:val="07283BBC"/>
    <w:rsid w:val="07293586"/>
    <w:rsid w:val="07295285"/>
    <w:rsid w:val="073360BD"/>
    <w:rsid w:val="07372051"/>
    <w:rsid w:val="0738622E"/>
    <w:rsid w:val="07391925"/>
    <w:rsid w:val="073C31C4"/>
    <w:rsid w:val="073C7687"/>
    <w:rsid w:val="074309F6"/>
    <w:rsid w:val="07464042"/>
    <w:rsid w:val="07504EC1"/>
    <w:rsid w:val="075229E7"/>
    <w:rsid w:val="075C5946"/>
    <w:rsid w:val="075C73C2"/>
    <w:rsid w:val="075E138C"/>
    <w:rsid w:val="07634BF4"/>
    <w:rsid w:val="07636392"/>
    <w:rsid w:val="076D15CF"/>
    <w:rsid w:val="07726BE5"/>
    <w:rsid w:val="07762B7A"/>
    <w:rsid w:val="07770C56"/>
    <w:rsid w:val="07797F74"/>
    <w:rsid w:val="077C5CB6"/>
    <w:rsid w:val="077F1302"/>
    <w:rsid w:val="078057A6"/>
    <w:rsid w:val="0797664C"/>
    <w:rsid w:val="07996868"/>
    <w:rsid w:val="07A245DE"/>
    <w:rsid w:val="07A31495"/>
    <w:rsid w:val="07A82607"/>
    <w:rsid w:val="07AF3996"/>
    <w:rsid w:val="07B479BC"/>
    <w:rsid w:val="07B90CB8"/>
    <w:rsid w:val="07BC4304"/>
    <w:rsid w:val="07BE62CF"/>
    <w:rsid w:val="07C136C9"/>
    <w:rsid w:val="07C531B9"/>
    <w:rsid w:val="07CE7162"/>
    <w:rsid w:val="07CF5DE6"/>
    <w:rsid w:val="07DE427B"/>
    <w:rsid w:val="07E15B19"/>
    <w:rsid w:val="07EA0E72"/>
    <w:rsid w:val="07EA2C20"/>
    <w:rsid w:val="07ED41F3"/>
    <w:rsid w:val="07F43A9E"/>
    <w:rsid w:val="07F57069"/>
    <w:rsid w:val="07F67816"/>
    <w:rsid w:val="07F910B5"/>
    <w:rsid w:val="07FC0AD4"/>
    <w:rsid w:val="08002443"/>
    <w:rsid w:val="08002D8E"/>
    <w:rsid w:val="0808754A"/>
    <w:rsid w:val="080F08D8"/>
    <w:rsid w:val="08145EEF"/>
    <w:rsid w:val="08147C9D"/>
    <w:rsid w:val="08163A15"/>
    <w:rsid w:val="08183080"/>
    <w:rsid w:val="08193505"/>
    <w:rsid w:val="081C4DA3"/>
    <w:rsid w:val="08236132"/>
    <w:rsid w:val="082500FC"/>
    <w:rsid w:val="08275C22"/>
    <w:rsid w:val="08283748"/>
    <w:rsid w:val="082C148A"/>
    <w:rsid w:val="082C1A17"/>
    <w:rsid w:val="082C4FE6"/>
    <w:rsid w:val="083245C7"/>
    <w:rsid w:val="0834033F"/>
    <w:rsid w:val="08346591"/>
    <w:rsid w:val="083B791F"/>
    <w:rsid w:val="083C679F"/>
    <w:rsid w:val="083F7E5D"/>
    <w:rsid w:val="084C38DA"/>
    <w:rsid w:val="0853228D"/>
    <w:rsid w:val="0854453D"/>
    <w:rsid w:val="085602B5"/>
    <w:rsid w:val="08566507"/>
    <w:rsid w:val="085B1D6F"/>
    <w:rsid w:val="085D5AE7"/>
    <w:rsid w:val="08792C59"/>
    <w:rsid w:val="08793FA4"/>
    <w:rsid w:val="087A1FDC"/>
    <w:rsid w:val="087B7D1C"/>
    <w:rsid w:val="08844E22"/>
    <w:rsid w:val="08872B64"/>
    <w:rsid w:val="08876C3D"/>
    <w:rsid w:val="088A61B1"/>
    <w:rsid w:val="089C0455"/>
    <w:rsid w:val="089F7EAE"/>
    <w:rsid w:val="08A41020"/>
    <w:rsid w:val="08AC6127"/>
    <w:rsid w:val="08B03E69"/>
    <w:rsid w:val="08B1198F"/>
    <w:rsid w:val="08B27FAA"/>
    <w:rsid w:val="08B5322E"/>
    <w:rsid w:val="08BF5E5A"/>
    <w:rsid w:val="08C10CE0"/>
    <w:rsid w:val="08C77405"/>
    <w:rsid w:val="08CD1D61"/>
    <w:rsid w:val="08D12032"/>
    <w:rsid w:val="08D21C65"/>
    <w:rsid w:val="08D538D0"/>
    <w:rsid w:val="08D8516E"/>
    <w:rsid w:val="08D86F1C"/>
    <w:rsid w:val="08DA2C94"/>
    <w:rsid w:val="08E6788B"/>
    <w:rsid w:val="08E73603"/>
    <w:rsid w:val="08F024B8"/>
    <w:rsid w:val="08F34B54"/>
    <w:rsid w:val="08F9766B"/>
    <w:rsid w:val="08FD4BD5"/>
    <w:rsid w:val="08FF26FB"/>
    <w:rsid w:val="09077801"/>
    <w:rsid w:val="090C4E18"/>
    <w:rsid w:val="090E293E"/>
    <w:rsid w:val="090F06E7"/>
    <w:rsid w:val="09104908"/>
    <w:rsid w:val="091066B6"/>
    <w:rsid w:val="09167A44"/>
    <w:rsid w:val="091A7535"/>
    <w:rsid w:val="092108C3"/>
    <w:rsid w:val="09211944"/>
    <w:rsid w:val="092217DD"/>
    <w:rsid w:val="0926237D"/>
    <w:rsid w:val="0932487E"/>
    <w:rsid w:val="093A7294"/>
    <w:rsid w:val="094063FE"/>
    <w:rsid w:val="094B5940"/>
    <w:rsid w:val="094E5430"/>
    <w:rsid w:val="095011A8"/>
    <w:rsid w:val="09533B1D"/>
    <w:rsid w:val="0957615B"/>
    <w:rsid w:val="09581E0B"/>
    <w:rsid w:val="095C5D9F"/>
    <w:rsid w:val="09646A02"/>
    <w:rsid w:val="096864DC"/>
    <w:rsid w:val="097053A7"/>
    <w:rsid w:val="097529BD"/>
    <w:rsid w:val="09764BCB"/>
    <w:rsid w:val="097A6225"/>
    <w:rsid w:val="098350DA"/>
    <w:rsid w:val="09866978"/>
    <w:rsid w:val="098B21E0"/>
    <w:rsid w:val="098D7D07"/>
    <w:rsid w:val="099450B9"/>
    <w:rsid w:val="099A0675"/>
    <w:rsid w:val="099D53F0"/>
    <w:rsid w:val="099E1F14"/>
    <w:rsid w:val="099E342D"/>
    <w:rsid w:val="09A17C56"/>
    <w:rsid w:val="09A6701A"/>
    <w:rsid w:val="09AD2C83"/>
    <w:rsid w:val="09B05932"/>
    <w:rsid w:val="09B96D4E"/>
    <w:rsid w:val="09BC4A90"/>
    <w:rsid w:val="09BF1E8A"/>
    <w:rsid w:val="09C6146A"/>
    <w:rsid w:val="09C94AB7"/>
    <w:rsid w:val="09CF031F"/>
    <w:rsid w:val="09D21BBD"/>
    <w:rsid w:val="09DC2A3C"/>
    <w:rsid w:val="09DD2570"/>
    <w:rsid w:val="09E0077E"/>
    <w:rsid w:val="09EA33AB"/>
    <w:rsid w:val="09EB0ED1"/>
    <w:rsid w:val="09ED4C49"/>
    <w:rsid w:val="09F2400E"/>
    <w:rsid w:val="09F63AFE"/>
    <w:rsid w:val="09F71624"/>
    <w:rsid w:val="09FC2C4D"/>
    <w:rsid w:val="0A03621B"/>
    <w:rsid w:val="0A060E25"/>
    <w:rsid w:val="0A086CC3"/>
    <w:rsid w:val="0A0F696E"/>
    <w:rsid w:val="0A1026E6"/>
    <w:rsid w:val="0A1B7A08"/>
    <w:rsid w:val="0A1E12A6"/>
    <w:rsid w:val="0A1E4E03"/>
    <w:rsid w:val="0A222B45"/>
    <w:rsid w:val="0A232419"/>
    <w:rsid w:val="0A263993"/>
    <w:rsid w:val="0A2D3AC2"/>
    <w:rsid w:val="0A327190"/>
    <w:rsid w:val="0A36039E"/>
    <w:rsid w:val="0A375EC4"/>
    <w:rsid w:val="0A3D44E6"/>
    <w:rsid w:val="0A3F5C73"/>
    <w:rsid w:val="0A40121D"/>
    <w:rsid w:val="0A434869"/>
    <w:rsid w:val="0A4A209B"/>
    <w:rsid w:val="0A4A5BF8"/>
    <w:rsid w:val="0A4C5E14"/>
    <w:rsid w:val="0A4D5FB1"/>
    <w:rsid w:val="0A560A40"/>
    <w:rsid w:val="0A570314"/>
    <w:rsid w:val="0A5B7E05"/>
    <w:rsid w:val="0A5E78F5"/>
    <w:rsid w:val="0A6071C9"/>
    <w:rsid w:val="0A656ED5"/>
    <w:rsid w:val="0A673BE4"/>
    <w:rsid w:val="0A6842D0"/>
    <w:rsid w:val="0A6D18E6"/>
    <w:rsid w:val="0A6F565E"/>
    <w:rsid w:val="0A72767F"/>
    <w:rsid w:val="0A791DB0"/>
    <w:rsid w:val="0A7B2255"/>
    <w:rsid w:val="0A7F7F97"/>
    <w:rsid w:val="0A876E4C"/>
    <w:rsid w:val="0A892BC4"/>
    <w:rsid w:val="0A8C7FBE"/>
    <w:rsid w:val="0A8F3F52"/>
    <w:rsid w:val="0A8F6BA7"/>
    <w:rsid w:val="0A927AB5"/>
    <w:rsid w:val="0A9F1F0F"/>
    <w:rsid w:val="0AA07F58"/>
    <w:rsid w:val="0AA7129C"/>
    <w:rsid w:val="0AA755DF"/>
    <w:rsid w:val="0AA90B70"/>
    <w:rsid w:val="0AA95014"/>
    <w:rsid w:val="0AB15C77"/>
    <w:rsid w:val="0AB45767"/>
    <w:rsid w:val="0AB6328D"/>
    <w:rsid w:val="0AB67731"/>
    <w:rsid w:val="0ABD461B"/>
    <w:rsid w:val="0AC43BFC"/>
    <w:rsid w:val="0AC57974"/>
    <w:rsid w:val="0AE0655C"/>
    <w:rsid w:val="0AE24082"/>
    <w:rsid w:val="0AE55920"/>
    <w:rsid w:val="0AE778EA"/>
    <w:rsid w:val="0AEB6942"/>
    <w:rsid w:val="0AEC6CAF"/>
    <w:rsid w:val="0AED6137"/>
    <w:rsid w:val="0AF10769"/>
    <w:rsid w:val="0AF930F1"/>
    <w:rsid w:val="0AFA761E"/>
    <w:rsid w:val="0B04049C"/>
    <w:rsid w:val="0B04224A"/>
    <w:rsid w:val="0B065FC2"/>
    <w:rsid w:val="0B120D44"/>
    <w:rsid w:val="0B1565FD"/>
    <w:rsid w:val="0B2621C1"/>
    <w:rsid w:val="0B266665"/>
    <w:rsid w:val="0B2D79F3"/>
    <w:rsid w:val="0B2E5519"/>
    <w:rsid w:val="0B352404"/>
    <w:rsid w:val="0B372620"/>
    <w:rsid w:val="0B464611"/>
    <w:rsid w:val="0B505490"/>
    <w:rsid w:val="0B5605CC"/>
    <w:rsid w:val="0B574A70"/>
    <w:rsid w:val="0B582596"/>
    <w:rsid w:val="0B680A2B"/>
    <w:rsid w:val="0B6D6042"/>
    <w:rsid w:val="0B73117E"/>
    <w:rsid w:val="0B754EF6"/>
    <w:rsid w:val="0B772A1C"/>
    <w:rsid w:val="0B7C44D7"/>
    <w:rsid w:val="0B7F5EBF"/>
    <w:rsid w:val="0B84338B"/>
    <w:rsid w:val="0B845139"/>
    <w:rsid w:val="0B892750"/>
    <w:rsid w:val="0B8E5FB8"/>
    <w:rsid w:val="0B9F3D21"/>
    <w:rsid w:val="0BAC1C8E"/>
    <w:rsid w:val="0BAE0408"/>
    <w:rsid w:val="0BAF3103"/>
    <w:rsid w:val="0BB05F2E"/>
    <w:rsid w:val="0BBA6DAD"/>
    <w:rsid w:val="0BC30111"/>
    <w:rsid w:val="0BC37D5A"/>
    <w:rsid w:val="0BC47C2C"/>
    <w:rsid w:val="0BD15382"/>
    <w:rsid w:val="0BD22349"/>
    <w:rsid w:val="0BD27BF6"/>
    <w:rsid w:val="0BD51E39"/>
    <w:rsid w:val="0BDC4F75"/>
    <w:rsid w:val="0BDC6D23"/>
    <w:rsid w:val="0BE035F6"/>
    <w:rsid w:val="0BE93D33"/>
    <w:rsid w:val="0BEF6A57"/>
    <w:rsid w:val="0BFE6C9A"/>
    <w:rsid w:val="0BFF2A12"/>
    <w:rsid w:val="0C0D3730"/>
    <w:rsid w:val="0C175FAD"/>
    <w:rsid w:val="0C1C7A68"/>
    <w:rsid w:val="0C1E10EA"/>
    <w:rsid w:val="0C1E733C"/>
    <w:rsid w:val="0C210BDA"/>
    <w:rsid w:val="0C25691C"/>
    <w:rsid w:val="0C264442"/>
    <w:rsid w:val="0C2A0BF5"/>
    <w:rsid w:val="0C33398B"/>
    <w:rsid w:val="0C33483C"/>
    <w:rsid w:val="0C361458"/>
    <w:rsid w:val="0C3628D7"/>
    <w:rsid w:val="0C3B3C7D"/>
    <w:rsid w:val="0C3B7EEE"/>
    <w:rsid w:val="0C430B50"/>
    <w:rsid w:val="0C434FF4"/>
    <w:rsid w:val="0C460641"/>
    <w:rsid w:val="0C470E4F"/>
    <w:rsid w:val="0C4D3D3D"/>
    <w:rsid w:val="0C4D7C21"/>
    <w:rsid w:val="0C4E2F64"/>
    <w:rsid w:val="0C4F3999"/>
    <w:rsid w:val="0C5965C6"/>
    <w:rsid w:val="0C6005F6"/>
    <w:rsid w:val="0C6531BD"/>
    <w:rsid w:val="0C6862F7"/>
    <w:rsid w:val="0C6D2071"/>
    <w:rsid w:val="0C746CE6"/>
    <w:rsid w:val="0C7B653C"/>
    <w:rsid w:val="0C7E602C"/>
    <w:rsid w:val="0C856F8F"/>
    <w:rsid w:val="0C8A677F"/>
    <w:rsid w:val="0C8B675C"/>
    <w:rsid w:val="0C8F3D96"/>
    <w:rsid w:val="0C9C0A16"/>
    <w:rsid w:val="0CA17965"/>
    <w:rsid w:val="0CAB2EAE"/>
    <w:rsid w:val="0CAF4438"/>
    <w:rsid w:val="0CC51EAD"/>
    <w:rsid w:val="0CCA3020"/>
    <w:rsid w:val="0CD10852"/>
    <w:rsid w:val="0CD143AE"/>
    <w:rsid w:val="0CD914B5"/>
    <w:rsid w:val="0CE265BB"/>
    <w:rsid w:val="0CF832CA"/>
    <w:rsid w:val="0D04253E"/>
    <w:rsid w:val="0D0522AA"/>
    <w:rsid w:val="0D0539CE"/>
    <w:rsid w:val="0D0C188A"/>
    <w:rsid w:val="0D156991"/>
    <w:rsid w:val="0D175E1B"/>
    <w:rsid w:val="0D1C7D1F"/>
    <w:rsid w:val="0D200E92"/>
    <w:rsid w:val="0D2070E4"/>
    <w:rsid w:val="0D244935"/>
    <w:rsid w:val="0D272220"/>
    <w:rsid w:val="0D2A3181"/>
    <w:rsid w:val="0D2A3ABE"/>
    <w:rsid w:val="0D2C5A88"/>
    <w:rsid w:val="0D31309F"/>
    <w:rsid w:val="0D335069"/>
    <w:rsid w:val="0D3606B5"/>
    <w:rsid w:val="0D3914FC"/>
    <w:rsid w:val="0D444B80"/>
    <w:rsid w:val="0D450721"/>
    <w:rsid w:val="0D457237"/>
    <w:rsid w:val="0D464D9C"/>
    <w:rsid w:val="0D4841F9"/>
    <w:rsid w:val="0D4903E8"/>
    <w:rsid w:val="0D4C7ED9"/>
    <w:rsid w:val="0D501777"/>
    <w:rsid w:val="0D5C636E"/>
    <w:rsid w:val="0D5F7C0C"/>
    <w:rsid w:val="0D621C7D"/>
    <w:rsid w:val="0D6C40D7"/>
    <w:rsid w:val="0D7D4536"/>
    <w:rsid w:val="0D815DD4"/>
    <w:rsid w:val="0D821B4C"/>
    <w:rsid w:val="0D841421"/>
    <w:rsid w:val="0D847672"/>
    <w:rsid w:val="0D892EDB"/>
    <w:rsid w:val="0D897614"/>
    <w:rsid w:val="0D8C6527"/>
    <w:rsid w:val="0DA54C3B"/>
    <w:rsid w:val="0DA90E87"/>
    <w:rsid w:val="0DAB2E51"/>
    <w:rsid w:val="0DAB5D99"/>
    <w:rsid w:val="0DAC001F"/>
    <w:rsid w:val="0DAD0977"/>
    <w:rsid w:val="0DB56126"/>
    <w:rsid w:val="0DB8556E"/>
    <w:rsid w:val="0DBC0BBA"/>
    <w:rsid w:val="0DC3019B"/>
    <w:rsid w:val="0DD01B82"/>
    <w:rsid w:val="0DD04666"/>
    <w:rsid w:val="0DD175F1"/>
    <w:rsid w:val="0DDA09ED"/>
    <w:rsid w:val="0DE40111"/>
    <w:rsid w:val="0DED16BC"/>
    <w:rsid w:val="0DED5218"/>
    <w:rsid w:val="0DF2282E"/>
    <w:rsid w:val="0DF90060"/>
    <w:rsid w:val="0DFA16E3"/>
    <w:rsid w:val="0DFF4F4B"/>
    <w:rsid w:val="0E010CC3"/>
    <w:rsid w:val="0E094EE7"/>
    <w:rsid w:val="0E122ED0"/>
    <w:rsid w:val="0E146C48"/>
    <w:rsid w:val="0E2E074D"/>
    <w:rsid w:val="0E4047AA"/>
    <w:rsid w:val="0E407A3D"/>
    <w:rsid w:val="0E455054"/>
    <w:rsid w:val="0E4A08BC"/>
    <w:rsid w:val="0E4D3F08"/>
    <w:rsid w:val="0E4F1A2E"/>
    <w:rsid w:val="0E5434E9"/>
    <w:rsid w:val="0E590AFF"/>
    <w:rsid w:val="0E5C414B"/>
    <w:rsid w:val="0E622120"/>
    <w:rsid w:val="0E686602"/>
    <w:rsid w:val="0E686F94"/>
    <w:rsid w:val="0E6A2D0C"/>
    <w:rsid w:val="0E6B438E"/>
    <w:rsid w:val="0E6C70AD"/>
    <w:rsid w:val="0E6F3E7F"/>
    <w:rsid w:val="0E73034D"/>
    <w:rsid w:val="0E7347FC"/>
    <w:rsid w:val="0E785FB9"/>
    <w:rsid w:val="0E794CFD"/>
    <w:rsid w:val="0E7B0A75"/>
    <w:rsid w:val="0E807E3A"/>
    <w:rsid w:val="0E87566C"/>
    <w:rsid w:val="0E927B6D"/>
    <w:rsid w:val="0E990EFC"/>
    <w:rsid w:val="0E9B1118"/>
    <w:rsid w:val="0E9B4F70"/>
    <w:rsid w:val="0EA0228A"/>
    <w:rsid w:val="0EA33B28"/>
    <w:rsid w:val="0EA37FCC"/>
    <w:rsid w:val="0EA55AF2"/>
    <w:rsid w:val="0EAC6E81"/>
    <w:rsid w:val="0EBE6BB4"/>
    <w:rsid w:val="0EC135B8"/>
    <w:rsid w:val="0EC3241C"/>
    <w:rsid w:val="0EC71D83"/>
    <w:rsid w:val="0ECC7523"/>
    <w:rsid w:val="0ED308B1"/>
    <w:rsid w:val="0ED32660"/>
    <w:rsid w:val="0ED4462A"/>
    <w:rsid w:val="0ED816A6"/>
    <w:rsid w:val="0ED87C76"/>
    <w:rsid w:val="0EE24651"/>
    <w:rsid w:val="0EE301CA"/>
    <w:rsid w:val="0EE54141"/>
    <w:rsid w:val="0EE83C31"/>
    <w:rsid w:val="0EF40828"/>
    <w:rsid w:val="0EFB1BB6"/>
    <w:rsid w:val="0EFD592E"/>
    <w:rsid w:val="0F00541F"/>
    <w:rsid w:val="0F040A6B"/>
    <w:rsid w:val="0F0740B7"/>
    <w:rsid w:val="0F0D5446"/>
    <w:rsid w:val="0F0E18EA"/>
    <w:rsid w:val="0F0F7410"/>
    <w:rsid w:val="0F13775A"/>
    <w:rsid w:val="0F264E85"/>
    <w:rsid w:val="0F2F153E"/>
    <w:rsid w:val="0F2F7748"/>
    <w:rsid w:val="0F331350"/>
    <w:rsid w:val="0F3375A2"/>
    <w:rsid w:val="0F383F64"/>
    <w:rsid w:val="0F3B0205"/>
    <w:rsid w:val="0F44355D"/>
    <w:rsid w:val="0F4672D5"/>
    <w:rsid w:val="0F4A0448"/>
    <w:rsid w:val="0F4E1CE6"/>
    <w:rsid w:val="0F5F2145"/>
    <w:rsid w:val="0F5F45FE"/>
    <w:rsid w:val="0F6459AD"/>
    <w:rsid w:val="0F6634D4"/>
    <w:rsid w:val="0F694D72"/>
    <w:rsid w:val="0F706100"/>
    <w:rsid w:val="0F76748F"/>
    <w:rsid w:val="0F7A6F7F"/>
    <w:rsid w:val="0F7B6853"/>
    <w:rsid w:val="0F7D6A6F"/>
    <w:rsid w:val="0F8302A3"/>
    <w:rsid w:val="0F917E25"/>
    <w:rsid w:val="0F95368C"/>
    <w:rsid w:val="0F9A112B"/>
    <w:rsid w:val="0FA364D6"/>
    <w:rsid w:val="0FA61B22"/>
    <w:rsid w:val="0FA67D19"/>
    <w:rsid w:val="0FA77648"/>
    <w:rsid w:val="0FA97864"/>
    <w:rsid w:val="0FB51D65"/>
    <w:rsid w:val="0FB55B7A"/>
    <w:rsid w:val="0FB87AA7"/>
    <w:rsid w:val="0FBA55CD"/>
    <w:rsid w:val="0FC226D4"/>
    <w:rsid w:val="0FC4644C"/>
    <w:rsid w:val="0FC5047B"/>
    <w:rsid w:val="0FC93A62"/>
    <w:rsid w:val="0FCB77DB"/>
    <w:rsid w:val="0FCC034E"/>
    <w:rsid w:val="0FCD3553"/>
    <w:rsid w:val="0FD146C5"/>
    <w:rsid w:val="0FD83CA6"/>
    <w:rsid w:val="0FD85A54"/>
    <w:rsid w:val="0FDC3796"/>
    <w:rsid w:val="0FE60171"/>
    <w:rsid w:val="0FEE5277"/>
    <w:rsid w:val="0FF00FEF"/>
    <w:rsid w:val="0FF02D9D"/>
    <w:rsid w:val="0FF52AA9"/>
    <w:rsid w:val="0FF54858"/>
    <w:rsid w:val="0FFA3C1C"/>
    <w:rsid w:val="0FFC62B8"/>
    <w:rsid w:val="1004447E"/>
    <w:rsid w:val="100625C1"/>
    <w:rsid w:val="100B5E29"/>
    <w:rsid w:val="100D1BA1"/>
    <w:rsid w:val="101C1DE4"/>
    <w:rsid w:val="101F3682"/>
    <w:rsid w:val="10213799"/>
    <w:rsid w:val="10264A11"/>
    <w:rsid w:val="102869DB"/>
    <w:rsid w:val="10321608"/>
    <w:rsid w:val="103C2486"/>
    <w:rsid w:val="103F3D25"/>
    <w:rsid w:val="104B26C9"/>
    <w:rsid w:val="104C34B8"/>
    <w:rsid w:val="10527522"/>
    <w:rsid w:val="10553F3C"/>
    <w:rsid w:val="10572E1C"/>
    <w:rsid w:val="10611EED"/>
    <w:rsid w:val="106C2D6C"/>
    <w:rsid w:val="106D2F64"/>
    <w:rsid w:val="10727C56"/>
    <w:rsid w:val="10797237"/>
    <w:rsid w:val="107E484D"/>
    <w:rsid w:val="1082242A"/>
    <w:rsid w:val="108300B5"/>
    <w:rsid w:val="10831E63"/>
    <w:rsid w:val="108C51BC"/>
    <w:rsid w:val="109202F8"/>
    <w:rsid w:val="10973B61"/>
    <w:rsid w:val="109B71AD"/>
    <w:rsid w:val="109C2F25"/>
    <w:rsid w:val="10A02A15"/>
    <w:rsid w:val="10A351CC"/>
    <w:rsid w:val="10B244F7"/>
    <w:rsid w:val="10B44742"/>
    <w:rsid w:val="10B63710"/>
    <w:rsid w:val="10B65D95"/>
    <w:rsid w:val="10BB33AB"/>
    <w:rsid w:val="10BC5375"/>
    <w:rsid w:val="10BF18E6"/>
    <w:rsid w:val="10C761F4"/>
    <w:rsid w:val="10C81F6C"/>
    <w:rsid w:val="10CD1330"/>
    <w:rsid w:val="10D40911"/>
    <w:rsid w:val="10D57F6E"/>
    <w:rsid w:val="10D66437"/>
    <w:rsid w:val="10D80401"/>
    <w:rsid w:val="10DB57FB"/>
    <w:rsid w:val="10DE52EC"/>
    <w:rsid w:val="10E00629"/>
    <w:rsid w:val="10E200B0"/>
    <w:rsid w:val="10E2302E"/>
    <w:rsid w:val="10E50428"/>
    <w:rsid w:val="10E741A0"/>
    <w:rsid w:val="10F10820"/>
    <w:rsid w:val="10F1501F"/>
    <w:rsid w:val="10F46FE0"/>
    <w:rsid w:val="11005262"/>
    <w:rsid w:val="11032FA4"/>
    <w:rsid w:val="110E5BD1"/>
    <w:rsid w:val="110F1949"/>
    <w:rsid w:val="110F489D"/>
    <w:rsid w:val="11124F95"/>
    <w:rsid w:val="11146F5F"/>
    <w:rsid w:val="111807FE"/>
    <w:rsid w:val="111C2F7A"/>
    <w:rsid w:val="111D73E9"/>
    <w:rsid w:val="11270A41"/>
    <w:rsid w:val="1127293E"/>
    <w:rsid w:val="112A22DF"/>
    <w:rsid w:val="112D5B78"/>
    <w:rsid w:val="113D2012"/>
    <w:rsid w:val="113E3FDC"/>
    <w:rsid w:val="114A472F"/>
    <w:rsid w:val="114D677E"/>
    <w:rsid w:val="11535CDA"/>
    <w:rsid w:val="115630D4"/>
    <w:rsid w:val="115D26B4"/>
    <w:rsid w:val="11665CA1"/>
    <w:rsid w:val="11671EF6"/>
    <w:rsid w:val="11692DCF"/>
    <w:rsid w:val="116973E7"/>
    <w:rsid w:val="116C0E88"/>
    <w:rsid w:val="117B2B3A"/>
    <w:rsid w:val="11847C41"/>
    <w:rsid w:val="118B5473"/>
    <w:rsid w:val="1191235E"/>
    <w:rsid w:val="119229CC"/>
    <w:rsid w:val="11965BC6"/>
    <w:rsid w:val="119F2CCD"/>
    <w:rsid w:val="11A227BD"/>
    <w:rsid w:val="11A622AD"/>
    <w:rsid w:val="11AE2F10"/>
    <w:rsid w:val="11BA3663"/>
    <w:rsid w:val="11BA7B07"/>
    <w:rsid w:val="11BC06F4"/>
    <w:rsid w:val="11BC6348"/>
    <w:rsid w:val="11BD15AF"/>
    <w:rsid w:val="11BF336F"/>
    <w:rsid w:val="11C20769"/>
    <w:rsid w:val="11C91AF8"/>
    <w:rsid w:val="11CC3396"/>
    <w:rsid w:val="11DB4867"/>
    <w:rsid w:val="11DD55A3"/>
    <w:rsid w:val="11E040D6"/>
    <w:rsid w:val="11E15093"/>
    <w:rsid w:val="11E84674"/>
    <w:rsid w:val="11EF74A4"/>
    <w:rsid w:val="11F33019"/>
    <w:rsid w:val="120174E4"/>
    <w:rsid w:val="120A6A83"/>
    <w:rsid w:val="120D5E88"/>
    <w:rsid w:val="12192A7F"/>
    <w:rsid w:val="121A2353"/>
    <w:rsid w:val="12241424"/>
    <w:rsid w:val="12280F14"/>
    <w:rsid w:val="122A4C8C"/>
    <w:rsid w:val="12462A61"/>
    <w:rsid w:val="124670B3"/>
    <w:rsid w:val="124B4C03"/>
    <w:rsid w:val="12527D3F"/>
    <w:rsid w:val="12535865"/>
    <w:rsid w:val="12582E7C"/>
    <w:rsid w:val="125D0492"/>
    <w:rsid w:val="126161D4"/>
    <w:rsid w:val="126B7053"/>
    <w:rsid w:val="126F6B43"/>
    <w:rsid w:val="12706417"/>
    <w:rsid w:val="127C300E"/>
    <w:rsid w:val="12810624"/>
    <w:rsid w:val="1295032F"/>
    <w:rsid w:val="129F27AB"/>
    <w:rsid w:val="12A10CC7"/>
    <w:rsid w:val="12B72298"/>
    <w:rsid w:val="12C56763"/>
    <w:rsid w:val="12D469A6"/>
    <w:rsid w:val="12D60970"/>
    <w:rsid w:val="12D9220E"/>
    <w:rsid w:val="12DB7D35"/>
    <w:rsid w:val="12E017EF"/>
    <w:rsid w:val="12E60488"/>
    <w:rsid w:val="12E669FC"/>
    <w:rsid w:val="12E678A7"/>
    <w:rsid w:val="12E84200"/>
    <w:rsid w:val="12EF558E"/>
    <w:rsid w:val="12F64B6E"/>
    <w:rsid w:val="12F9465F"/>
    <w:rsid w:val="12FE7EC7"/>
    <w:rsid w:val="13051255"/>
    <w:rsid w:val="13196AAF"/>
    <w:rsid w:val="131B45D5"/>
    <w:rsid w:val="13255454"/>
    <w:rsid w:val="13274D28"/>
    <w:rsid w:val="13394A5B"/>
    <w:rsid w:val="133B4C77"/>
    <w:rsid w:val="133B6A25"/>
    <w:rsid w:val="133D279D"/>
    <w:rsid w:val="133F50C8"/>
    <w:rsid w:val="13421B62"/>
    <w:rsid w:val="13441D7E"/>
    <w:rsid w:val="134753CA"/>
    <w:rsid w:val="134C478E"/>
    <w:rsid w:val="135B0E75"/>
    <w:rsid w:val="135D2ABD"/>
    <w:rsid w:val="135D79BE"/>
    <w:rsid w:val="135F0966"/>
    <w:rsid w:val="13623FB2"/>
    <w:rsid w:val="13655850"/>
    <w:rsid w:val="136C4E31"/>
    <w:rsid w:val="136C562E"/>
    <w:rsid w:val="13702B73"/>
    <w:rsid w:val="13737F6D"/>
    <w:rsid w:val="137912FC"/>
    <w:rsid w:val="137C323F"/>
    <w:rsid w:val="13872153"/>
    <w:rsid w:val="138A5FE6"/>
    <w:rsid w:val="13914897"/>
    <w:rsid w:val="13951726"/>
    <w:rsid w:val="13960100"/>
    <w:rsid w:val="13963C5C"/>
    <w:rsid w:val="139A18E0"/>
    <w:rsid w:val="13A1759A"/>
    <w:rsid w:val="13A50343"/>
    <w:rsid w:val="13A56B85"/>
    <w:rsid w:val="13AE369B"/>
    <w:rsid w:val="13AE71F7"/>
    <w:rsid w:val="13B341E1"/>
    <w:rsid w:val="13B567D8"/>
    <w:rsid w:val="13B62550"/>
    <w:rsid w:val="13B81E24"/>
    <w:rsid w:val="13B87222"/>
    <w:rsid w:val="13BB7B66"/>
    <w:rsid w:val="13C06F2A"/>
    <w:rsid w:val="13C46A1B"/>
    <w:rsid w:val="13D053C0"/>
    <w:rsid w:val="13D36C5E"/>
    <w:rsid w:val="13D50C28"/>
    <w:rsid w:val="13D749A0"/>
    <w:rsid w:val="13DB3D64"/>
    <w:rsid w:val="13DC1FB6"/>
    <w:rsid w:val="13DF3855"/>
    <w:rsid w:val="13E62E35"/>
    <w:rsid w:val="13E744B7"/>
    <w:rsid w:val="13F015BE"/>
    <w:rsid w:val="13F217DA"/>
    <w:rsid w:val="140137CB"/>
    <w:rsid w:val="14060EC2"/>
    <w:rsid w:val="14065285"/>
    <w:rsid w:val="14092680"/>
    <w:rsid w:val="14096B23"/>
    <w:rsid w:val="141352AC"/>
    <w:rsid w:val="141F1EA3"/>
    <w:rsid w:val="14236DF7"/>
    <w:rsid w:val="14292D22"/>
    <w:rsid w:val="142A0587"/>
    <w:rsid w:val="142E0338"/>
    <w:rsid w:val="1433594E"/>
    <w:rsid w:val="14353A1D"/>
    <w:rsid w:val="14396509"/>
    <w:rsid w:val="143F3A5E"/>
    <w:rsid w:val="14425B91"/>
    <w:rsid w:val="14432035"/>
    <w:rsid w:val="14496F20"/>
    <w:rsid w:val="144B713C"/>
    <w:rsid w:val="14537D9F"/>
    <w:rsid w:val="14542008"/>
    <w:rsid w:val="14593607"/>
    <w:rsid w:val="145A2571"/>
    <w:rsid w:val="145A737F"/>
    <w:rsid w:val="145C30F7"/>
    <w:rsid w:val="146401FE"/>
    <w:rsid w:val="14667AD2"/>
    <w:rsid w:val="146855F8"/>
    <w:rsid w:val="146D0E60"/>
    <w:rsid w:val="146D2C0E"/>
    <w:rsid w:val="146E6986"/>
    <w:rsid w:val="147A357D"/>
    <w:rsid w:val="147D6BCA"/>
    <w:rsid w:val="148700EE"/>
    <w:rsid w:val="148B7538"/>
    <w:rsid w:val="14900FF3"/>
    <w:rsid w:val="14942891"/>
    <w:rsid w:val="149C1746"/>
    <w:rsid w:val="149D6AD6"/>
    <w:rsid w:val="14A05457"/>
    <w:rsid w:val="14A14FAE"/>
    <w:rsid w:val="14AB0F18"/>
    <w:rsid w:val="14AF7A56"/>
    <w:rsid w:val="14B00D4D"/>
    <w:rsid w:val="14BD76C0"/>
    <w:rsid w:val="14BF71E2"/>
    <w:rsid w:val="14C239D3"/>
    <w:rsid w:val="14CB202B"/>
    <w:rsid w:val="14CD18FF"/>
    <w:rsid w:val="14CF1B1B"/>
    <w:rsid w:val="14CF38C9"/>
    <w:rsid w:val="14D25167"/>
    <w:rsid w:val="14D26F15"/>
    <w:rsid w:val="14D7277E"/>
    <w:rsid w:val="14DB04C0"/>
    <w:rsid w:val="14DC1B42"/>
    <w:rsid w:val="14DD2C3C"/>
    <w:rsid w:val="14E82BDD"/>
    <w:rsid w:val="14ED01F3"/>
    <w:rsid w:val="14F055ED"/>
    <w:rsid w:val="14F50E56"/>
    <w:rsid w:val="14FC3F92"/>
    <w:rsid w:val="15035321"/>
    <w:rsid w:val="150F3CC6"/>
    <w:rsid w:val="15107A3E"/>
    <w:rsid w:val="15113EE2"/>
    <w:rsid w:val="15151235"/>
    <w:rsid w:val="1525798D"/>
    <w:rsid w:val="152A6D51"/>
    <w:rsid w:val="152F25BA"/>
    <w:rsid w:val="153656F6"/>
    <w:rsid w:val="153674A4"/>
    <w:rsid w:val="153C6A85"/>
    <w:rsid w:val="154D47EE"/>
    <w:rsid w:val="15597637"/>
    <w:rsid w:val="155D7D97"/>
    <w:rsid w:val="15655FDB"/>
    <w:rsid w:val="156A35F2"/>
    <w:rsid w:val="156C669F"/>
    <w:rsid w:val="1571672E"/>
    <w:rsid w:val="157224A6"/>
    <w:rsid w:val="15723CC3"/>
    <w:rsid w:val="1574621E"/>
    <w:rsid w:val="157737E3"/>
    <w:rsid w:val="15800279"/>
    <w:rsid w:val="15836462"/>
    <w:rsid w:val="15875F52"/>
    <w:rsid w:val="158E72E0"/>
    <w:rsid w:val="15915022"/>
    <w:rsid w:val="159248FD"/>
    <w:rsid w:val="15966195"/>
    <w:rsid w:val="159B19FD"/>
    <w:rsid w:val="159C4358"/>
    <w:rsid w:val="15A46B04"/>
    <w:rsid w:val="15A5287C"/>
    <w:rsid w:val="15A85EC8"/>
    <w:rsid w:val="15B11221"/>
    <w:rsid w:val="15B24397"/>
    <w:rsid w:val="15C35A3C"/>
    <w:rsid w:val="15C45428"/>
    <w:rsid w:val="15C56A7A"/>
    <w:rsid w:val="15CE3B81"/>
    <w:rsid w:val="15D078F9"/>
    <w:rsid w:val="15D1541F"/>
    <w:rsid w:val="15D31197"/>
    <w:rsid w:val="15D32F45"/>
    <w:rsid w:val="15D60C87"/>
    <w:rsid w:val="15D62A35"/>
    <w:rsid w:val="15DA0777"/>
    <w:rsid w:val="15DF7B3C"/>
    <w:rsid w:val="15E6711C"/>
    <w:rsid w:val="15E74C42"/>
    <w:rsid w:val="15E909BB"/>
    <w:rsid w:val="15EE3F70"/>
    <w:rsid w:val="15EE4223"/>
    <w:rsid w:val="15EF0FCE"/>
    <w:rsid w:val="15EF58A5"/>
    <w:rsid w:val="15F036B5"/>
    <w:rsid w:val="15F42709"/>
    <w:rsid w:val="15F93CD3"/>
    <w:rsid w:val="15FA2BC8"/>
    <w:rsid w:val="15FC700E"/>
    <w:rsid w:val="16070E41"/>
    <w:rsid w:val="16087E1D"/>
    <w:rsid w:val="160C28FB"/>
    <w:rsid w:val="160E6673"/>
    <w:rsid w:val="16133C89"/>
    <w:rsid w:val="161517B0"/>
    <w:rsid w:val="1615355E"/>
    <w:rsid w:val="16175528"/>
    <w:rsid w:val="1618304E"/>
    <w:rsid w:val="16225C7A"/>
    <w:rsid w:val="16257519"/>
    <w:rsid w:val="162C4FED"/>
    <w:rsid w:val="162D4D4B"/>
    <w:rsid w:val="16314110"/>
    <w:rsid w:val="163C6D3C"/>
    <w:rsid w:val="163F4A7E"/>
    <w:rsid w:val="16414353"/>
    <w:rsid w:val="164756E1"/>
    <w:rsid w:val="164B6F7F"/>
    <w:rsid w:val="164F7B40"/>
    <w:rsid w:val="165A3666"/>
    <w:rsid w:val="16640041"/>
    <w:rsid w:val="16663DB9"/>
    <w:rsid w:val="16695657"/>
    <w:rsid w:val="166D15EC"/>
    <w:rsid w:val="166D339A"/>
    <w:rsid w:val="16704C38"/>
    <w:rsid w:val="167A1613"/>
    <w:rsid w:val="1686445B"/>
    <w:rsid w:val="168E3310"/>
    <w:rsid w:val="169052DA"/>
    <w:rsid w:val="1695644C"/>
    <w:rsid w:val="169C5A2D"/>
    <w:rsid w:val="169F551D"/>
    <w:rsid w:val="16A250D4"/>
    <w:rsid w:val="16A82624"/>
    <w:rsid w:val="16BA5EB3"/>
    <w:rsid w:val="16BF34C9"/>
    <w:rsid w:val="16C16A8C"/>
    <w:rsid w:val="16C26C27"/>
    <w:rsid w:val="16C32FBA"/>
    <w:rsid w:val="16C50B80"/>
    <w:rsid w:val="16CC1C47"/>
    <w:rsid w:val="16D42373"/>
    <w:rsid w:val="16DE4297"/>
    <w:rsid w:val="16E318AE"/>
    <w:rsid w:val="16E42F30"/>
    <w:rsid w:val="16E64EFA"/>
    <w:rsid w:val="16EA2C3C"/>
    <w:rsid w:val="16F05D79"/>
    <w:rsid w:val="16F2389F"/>
    <w:rsid w:val="16F747F4"/>
    <w:rsid w:val="16FA09A5"/>
    <w:rsid w:val="16FC64CC"/>
    <w:rsid w:val="17045380"/>
    <w:rsid w:val="17125CEF"/>
    <w:rsid w:val="17190E2C"/>
    <w:rsid w:val="171A4BA4"/>
    <w:rsid w:val="171C091C"/>
    <w:rsid w:val="1723614E"/>
    <w:rsid w:val="17255A22"/>
    <w:rsid w:val="17283764"/>
    <w:rsid w:val="172872C1"/>
    <w:rsid w:val="172A3039"/>
    <w:rsid w:val="1732013F"/>
    <w:rsid w:val="1740460A"/>
    <w:rsid w:val="17487963"/>
    <w:rsid w:val="17516817"/>
    <w:rsid w:val="175400B6"/>
    <w:rsid w:val="17563E2E"/>
    <w:rsid w:val="175F6F3C"/>
    <w:rsid w:val="17606A5A"/>
    <w:rsid w:val="17614581"/>
    <w:rsid w:val="17654071"/>
    <w:rsid w:val="17680005"/>
    <w:rsid w:val="17683B61"/>
    <w:rsid w:val="1768590F"/>
    <w:rsid w:val="176B0541"/>
    <w:rsid w:val="176D1177"/>
    <w:rsid w:val="17701D14"/>
    <w:rsid w:val="17716EB9"/>
    <w:rsid w:val="1772678E"/>
    <w:rsid w:val="17735226"/>
    <w:rsid w:val="17771FF6"/>
    <w:rsid w:val="17793FC0"/>
    <w:rsid w:val="177E5132"/>
    <w:rsid w:val="17895678"/>
    <w:rsid w:val="178A1D29"/>
    <w:rsid w:val="1796247C"/>
    <w:rsid w:val="17A032FB"/>
    <w:rsid w:val="17A51566"/>
    <w:rsid w:val="17A80401"/>
    <w:rsid w:val="17B101F2"/>
    <w:rsid w:val="17B253CC"/>
    <w:rsid w:val="17B2794F"/>
    <w:rsid w:val="17C074F9"/>
    <w:rsid w:val="17CF6E87"/>
    <w:rsid w:val="17D411F6"/>
    <w:rsid w:val="17D905BB"/>
    <w:rsid w:val="17E05DED"/>
    <w:rsid w:val="17E256C1"/>
    <w:rsid w:val="17E551B2"/>
    <w:rsid w:val="17E92EF4"/>
    <w:rsid w:val="17EA27C8"/>
    <w:rsid w:val="17F92A0B"/>
    <w:rsid w:val="17F968AC"/>
    <w:rsid w:val="18055854"/>
    <w:rsid w:val="180970F2"/>
    <w:rsid w:val="180E4708"/>
    <w:rsid w:val="180F222F"/>
    <w:rsid w:val="1811244B"/>
    <w:rsid w:val="1816180F"/>
    <w:rsid w:val="18233F55"/>
    <w:rsid w:val="182757CA"/>
    <w:rsid w:val="18277578"/>
    <w:rsid w:val="18300B23"/>
    <w:rsid w:val="18322445"/>
    <w:rsid w:val="18363C5F"/>
    <w:rsid w:val="183D0B4A"/>
    <w:rsid w:val="184639D8"/>
    <w:rsid w:val="184A3267"/>
    <w:rsid w:val="184B770B"/>
    <w:rsid w:val="184E570C"/>
    <w:rsid w:val="18552337"/>
    <w:rsid w:val="185A16FC"/>
    <w:rsid w:val="185C1918"/>
    <w:rsid w:val="18624A54"/>
    <w:rsid w:val="186662F2"/>
    <w:rsid w:val="186758E2"/>
    <w:rsid w:val="18677771"/>
    <w:rsid w:val="186A2DD3"/>
    <w:rsid w:val="186C56F3"/>
    <w:rsid w:val="18716A45"/>
    <w:rsid w:val="18756535"/>
    <w:rsid w:val="18770500"/>
    <w:rsid w:val="187F1162"/>
    <w:rsid w:val="187F5606"/>
    <w:rsid w:val="18822A00"/>
    <w:rsid w:val="188E5849"/>
    <w:rsid w:val="18910E95"/>
    <w:rsid w:val="18954E2A"/>
    <w:rsid w:val="18972950"/>
    <w:rsid w:val="189D783A"/>
    <w:rsid w:val="189F624C"/>
    <w:rsid w:val="18A62B93"/>
    <w:rsid w:val="18AD2173"/>
    <w:rsid w:val="18B43502"/>
    <w:rsid w:val="18BD1C8B"/>
    <w:rsid w:val="18C66D91"/>
    <w:rsid w:val="18CB43A7"/>
    <w:rsid w:val="18E5190D"/>
    <w:rsid w:val="18F356AC"/>
    <w:rsid w:val="18F53592"/>
    <w:rsid w:val="18F558C8"/>
    <w:rsid w:val="18F71640"/>
    <w:rsid w:val="18F73CB8"/>
    <w:rsid w:val="18F97167"/>
    <w:rsid w:val="18FD0122"/>
    <w:rsid w:val="19037FE5"/>
    <w:rsid w:val="190511F5"/>
    <w:rsid w:val="1906204F"/>
    <w:rsid w:val="19121FD6"/>
    <w:rsid w:val="191775ED"/>
    <w:rsid w:val="191B532F"/>
    <w:rsid w:val="191F46F3"/>
    <w:rsid w:val="192341E3"/>
    <w:rsid w:val="192561AE"/>
    <w:rsid w:val="193957B5"/>
    <w:rsid w:val="193A32DB"/>
    <w:rsid w:val="193C7053"/>
    <w:rsid w:val="194128BC"/>
    <w:rsid w:val="19435373"/>
    <w:rsid w:val="19494683"/>
    <w:rsid w:val="194B373A"/>
    <w:rsid w:val="194B54E8"/>
    <w:rsid w:val="19597C05"/>
    <w:rsid w:val="195E346D"/>
    <w:rsid w:val="195E6FCA"/>
    <w:rsid w:val="196A0DC3"/>
    <w:rsid w:val="197539F0"/>
    <w:rsid w:val="197607B7"/>
    <w:rsid w:val="1977008B"/>
    <w:rsid w:val="19786CF0"/>
    <w:rsid w:val="198033E4"/>
    <w:rsid w:val="19805192"/>
    <w:rsid w:val="19834C82"/>
    <w:rsid w:val="198A7DBF"/>
    <w:rsid w:val="198C7FDB"/>
    <w:rsid w:val="19935FA0"/>
    <w:rsid w:val="199B6470"/>
    <w:rsid w:val="199E1ABC"/>
    <w:rsid w:val="19A52E4A"/>
    <w:rsid w:val="19B80F45"/>
    <w:rsid w:val="19B97804"/>
    <w:rsid w:val="19C15150"/>
    <w:rsid w:val="19C5529B"/>
    <w:rsid w:val="19D43730"/>
    <w:rsid w:val="19D50FD7"/>
    <w:rsid w:val="19D633E5"/>
    <w:rsid w:val="19D76D7C"/>
    <w:rsid w:val="19D92AF4"/>
    <w:rsid w:val="19DC576F"/>
    <w:rsid w:val="19DD52F9"/>
    <w:rsid w:val="19DE635C"/>
    <w:rsid w:val="19E00326"/>
    <w:rsid w:val="19E049B8"/>
    <w:rsid w:val="19F706A7"/>
    <w:rsid w:val="1A02204B"/>
    <w:rsid w:val="1A064B0C"/>
    <w:rsid w:val="1A073B05"/>
    <w:rsid w:val="1A0C2EC9"/>
    <w:rsid w:val="1A147FD0"/>
    <w:rsid w:val="1A165AF6"/>
    <w:rsid w:val="1A1B310D"/>
    <w:rsid w:val="1A1C66C0"/>
    <w:rsid w:val="1A1D50D7"/>
    <w:rsid w:val="1A2800A5"/>
    <w:rsid w:val="1A42393B"/>
    <w:rsid w:val="1A491A28"/>
    <w:rsid w:val="1A5B175B"/>
    <w:rsid w:val="1A604FC3"/>
    <w:rsid w:val="1A611335"/>
    <w:rsid w:val="1A69031C"/>
    <w:rsid w:val="1A6E76E0"/>
    <w:rsid w:val="1A7366B4"/>
    <w:rsid w:val="1A7917D6"/>
    <w:rsid w:val="1A7D404B"/>
    <w:rsid w:val="1A7F1CED"/>
    <w:rsid w:val="1A824F3A"/>
    <w:rsid w:val="1A89451A"/>
    <w:rsid w:val="1A9058A9"/>
    <w:rsid w:val="1A965070"/>
    <w:rsid w:val="1A976C37"/>
    <w:rsid w:val="1A9C249F"/>
    <w:rsid w:val="1A9F5AEC"/>
    <w:rsid w:val="1AA43102"/>
    <w:rsid w:val="1AA72BF2"/>
    <w:rsid w:val="1AA749A0"/>
    <w:rsid w:val="1AAC1FB7"/>
    <w:rsid w:val="1AAD45DE"/>
    <w:rsid w:val="1AAE5AAF"/>
    <w:rsid w:val="1AB570BD"/>
    <w:rsid w:val="1AB8095B"/>
    <w:rsid w:val="1AB86BAD"/>
    <w:rsid w:val="1ABD2416"/>
    <w:rsid w:val="1AC35C7E"/>
    <w:rsid w:val="1AC45552"/>
    <w:rsid w:val="1AC75042"/>
    <w:rsid w:val="1ACD2659"/>
    <w:rsid w:val="1AD0039B"/>
    <w:rsid w:val="1AD01CE7"/>
    <w:rsid w:val="1AE6371B"/>
    <w:rsid w:val="1AE94FB9"/>
    <w:rsid w:val="1AEC6857"/>
    <w:rsid w:val="1AEE25CF"/>
    <w:rsid w:val="1AF20311"/>
    <w:rsid w:val="1AF51BB0"/>
    <w:rsid w:val="1AF851FC"/>
    <w:rsid w:val="1AFC2F3E"/>
    <w:rsid w:val="1B046F80"/>
    <w:rsid w:val="1B057F96"/>
    <w:rsid w:val="1B100797"/>
    <w:rsid w:val="1B134608"/>
    <w:rsid w:val="1B1738D4"/>
    <w:rsid w:val="1B190004"/>
    <w:rsid w:val="1B1A33C4"/>
    <w:rsid w:val="1B244243"/>
    <w:rsid w:val="1B2B1082"/>
    <w:rsid w:val="1B3267B5"/>
    <w:rsid w:val="1B391A9C"/>
    <w:rsid w:val="1B40161D"/>
    <w:rsid w:val="1B416BA3"/>
    <w:rsid w:val="1B441859"/>
    <w:rsid w:val="1B4D19EC"/>
    <w:rsid w:val="1B55264E"/>
    <w:rsid w:val="1B5728FE"/>
    <w:rsid w:val="1B6034CD"/>
    <w:rsid w:val="1B610FF3"/>
    <w:rsid w:val="1B656D35"/>
    <w:rsid w:val="1B6606B1"/>
    <w:rsid w:val="1B6C00C4"/>
    <w:rsid w:val="1B6D7998"/>
    <w:rsid w:val="1B6F3710"/>
    <w:rsid w:val="1B707488"/>
    <w:rsid w:val="1B757D85"/>
    <w:rsid w:val="1B7725C5"/>
    <w:rsid w:val="1B7A20B5"/>
    <w:rsid w:val="1B977D90"/>
    <w:rsid w:val="1BAA0BEC"/>
    <w:rsid w:val="1BAA438A"/>
    <w:rsid w:val="1BAB226E"/>
    <w:rsid w:val="1BAD4238"/>
    <w:rsid w:val="1BAE2366"/>
    <w:rsid w:val="1BAF6202"/>
    <w:rsid w:val="1BBB6955"/>
    <w:rsid w:val="1BBC26CD"/>
    <w:rsid w:val="1BBE6445"/>
    <w:rsid w:val="1BCC2910"/>
    <w:rsid w:val="1BD01CD5"/>
    <w:rsid w:val="1BD05350"/>
    <w:rsid w:val="1BD16179"/>
    <w:rsid w:val="1BD23C9F"/>
    <w:rsid w:val="1BD368F0"/>
    <w:rsid w:val="1BD417C5"/>
    <w:rsid w:val="1BD772A2"/>
    <w:rsid w:val="1BE36091"/>
    <w:rsid w:val="1BE7599C"/>
    <w:rsid w:val="1BE841A5"/>
    <w:rsid w:val="1BEA723A"/>
    <w:rsid w:val="1BED2887"/>
    <w:rsid w:val="1BF12377"/>
    <w:rsid w:val="1BF27E9D"/>
    <w:rsid w:val="1BFD51C0"/>
    <w:rsid w:val="1BFE4A94"/>
    <w:rsid w:val="1C054074"/>
    <w:rsid w:val="1C093B64"/>
    <w:rsid w:val="1C0C0F5F"/>
    <w:rsid w:val="1C1B3898"/>
    <w:rsid w:val="1C1D13BE"/>
    <w:rsid w:val="1C1D316C"/>
    <w:rsid w:val="1C1E6EE4"/>
    <w:rsid w:val="1C252021"/>
    <w:rsid w:val="1C25364A"/>
    <w:rsid w:val="1C3D43D1"/>
    <w:rsid w:val="1C420E24"/>
    <w:rsid w:val="1C480284"/>
    <w:rsid w:val="1C4A7CD9"/>
    <w:rsid w:val="1C4E5A1B"/>
    <w:rsid w:val="1C57156A"/>
    <w:rsid w:val="1C5A1B35"/>
    <w:rsid w:val="1C5E5533"/>
    <w:rsid w:val="1C5E7925"/>
    <w:rsid w:val="1C6A3ED7"/>
    <w:rsid w:val="1C716510"/>
    <w:rsid w:val="1C7D00AF"/>
    <w:rsid w:val="1C817B9F"/>
    <w:rsid w:val="1C876837"/>
    <w:rsid w:val="1C8B2587"/>
    <w:rsid w:val="1C8C02F2"/>
    <w:rsid w:val="1C8C20A0"/>
    <w:rsid w:val="1C8C6544"/>
    <w:rsid w:val="1C8D752E"/>
    <w:rsid w:val="1C901B90"/>
    <w:rsid w:val="1C984EE8"/>
    <w:rsid w:val="1C9A0C60"/>
    <w:rsid w:val="1C9B22E3"/>
    <w:rsid w:val="1C9F0025"/>
    <w:rsid w:val="1CA53161"/>
    <w:rsid w:val="1CA77539"/>
    <w:rsid w:val="1CAC7541"/>
    <w:rsid w:val="1CAE0268"/>
    <w:rsid w:val="1CB25FAA"/>
    <w:rsid w:val="1CB6536F"/>
    <w:rsid w:val="1CBC0BD7"/>
    <w:rsid w:val="1CC7132A"/>
    <w:rsid w:val="1CCF6E1E"/>
    <w:rsid w:val="1CD221A8"/>
    <w:rsid w:val="1CD37CCF"/>
    <w:rsid w:val="1CE1063D"/>
    <w:rsid w:val="1CE42AAD"/>
    <w:rsid w:val="1CE65C54"/>
    <w:rsid w:val="1CE75528"/>
    <w:rsid w:val="1CF10155"/>
    <w:rsid w:val="1CFD070F"/>
    <w:rsid w:val="1D04257E"/>
    <w:rsid w:val="1D091942"/>
    <w:rsid w:val="1D0B1216"/>
    <w:rsid w:val="1D0C4F8F"/>
    <w:rsid w:val="1D0E0D07"/>
    <w:rsid w:val="1D1150B4"/>
    <w:rsid w:val="1D152095"/>
    <w:rsid w:val="1D1722B1"/>
    <w:rsid w:val="1D17405F"/>
    <w:rsid w:val="1D181B85"/>
    <w:rsid w:val="1D210A3A"/>
    <w:rsid w:val="1D230C56"/>
    <w:rsid w:val="1D2D73DF"/>
    <w:rsid w:val="1D344C11"/>
    <w:rsid w:val="1D41732E"/>
    <w:rsid w:val="1D436C02"/>
    <w:rsid w:val="1D48246B"/>
    <w:rsid w:val="1D4D182F"/>
    <w:rsid w:val="1D507571"/>
    <w:rsid w:val="1D57445C"/>
    <w:rsid w:val="1D5801D4"/>
    <w:rsid w:val="1D5E1C8E"/>
    <w:rsid w:val="1D5F53D5"/>
    <w:rsid w:val="1D5F6196"/>
    <w:rsid w:val="1D6132A5"/>
    <w:rsid w:val="1D660B43"/>
    <w:rsid w:val="1D70376F"/>
    <w:rsid w:val="1D725739"/>
    <w:rsid w:val="1D7274E7"/>
    <w:rsid w:val="1D796AC8"/>
    <w:rsid w:val="1D7E5E8C"/>
    <w:rsid w:val="1D8E56D5"/>
    <w:rsid w:val="1D921938"/>
    <w:rsid w:val="1D9B4C90"/>
    <w:rsid w:val="1D9C27B6"/>
    <w:rsid w:val="1DA022A7"/>
    <w:rsid w:val="1DA04055"/>
    <w:rsid w:val="1DA201B6"/>
    <w:rsid w:val="1DBE097F"/>
    <w:rsid w:val="1DBF3C91"/>
    <w:rsid w:val="1DC173CE"/>
    <w:rsid w:val="1DCF0496"/>
    <w:rsid w:val="1DCF66E8"/>
    <w:rsid w:val="1DD43CFE"/>
    <w:rsid w:val="1DDA0C99"/>
    <w:rsid w:val="1DE1641B"/>
    <w:rsid w:val="1DE303E5"/>
    <w:rsid w:val="1DE33F41"/>
    <w:rsid w:val="1DEC54EC"/>
    <w:rsid w:val="1DF02A37"/>
    <w:rsid w:val="1DF20628"/>
    <w:rsid w:val="1DF830D7"/>
    <w:rsid w:val="1DFE521F"/>
    <w:rsid w:val="1E004AF3"/>
    <w:rsid w:val="1E0565AE"/>
    <w:rsid w:val="1E0A7720"/>
    <w:rsid w:val="1E1862E1"/>
    <w:rsid w:val="1E193E07"/>
    <w:rsid w:val="1E1B36DB"/>
    <w:rsid w:val="1E256308"/>
    <w:rsid w:val="1E2702D2"/>
    <w:rsid w:val="1E2D340E"/>
    <w:rsid w:val="1E2E0A6A"/>
    <w:rsid w:val="1E2F5997"/>
    <w:rsid w:val="1E334EC9"/>
    <w:rsid w:val="1E352934"/>
    <w:rsid w:val="1E416922"/>
    <w:rsid w:val="1E42335E"/>
    <w:rsid w:val="1E470974"/>
    <w:rsid w:val="1E4A12EB"/>
    <w:rsid w:val="1E4C1AE7"/>
    <w:rsid w:val="1E4C7D38"/>
    <w:rsid w:val="1E546BED"/>
    <w:rsid w:val="1E5B441F"/>
    <w:rsid w:val="1E6037E4"/>
    <w:rsid w:val="1E613446"/>
    <w:rsid w:val="1E62130A"/>
    <w:rsid w:val="1E6E5F01"/>
    <w:rsid w:val="1E7159F1"/>
    <w:rsid w:val="1E761259"/>
    <w:rsid w:val="1E780B2E"/>
    <w:rsid w:val="1E7A43DA"/>
    <w:rsid w:val="1E8219AC"/>
    <w:rsid w:val="1E84169C"/>
    <w:rsid w:val="1E8F7C25"/>
    <w:rsid w:val="1EA25BAA"/>
    <w:rsid w:val="1EA41923"/>
    <w:rsid w:val="1EAC07D7"/>
    <w:rsid w:val="1EC51899"/>
    <w:rsid w:val="1ECB3353"/>
    <w:rsid w:val="1ECB5101"/>
    <w:rsid w:val="1ECE4BF1"/>
    <w:rsid w:val="1ECF44C6"/>
    <w:rsid w:val="1ED02718"/>
    <w:rsid w:val="1ED146E2"/>
    <w:rsid w:val="1EDA6AB9"/>
    <w:rsid w:val="1EDE2D24"/>
    <w:rsid w:val="1EDF6DFF"/>
    <w:rsid w:val="1EEA12FF"/>
    <w:rsid w:val="1EF108E0"/>
    <w:rsid w:val="1EF81C6E"/>
    <w:rsid w:val="1EF9367F"/>
    <w:rsid w:val="1EFB350D"/>
    <w:rsid w:val="1F010B23"/>
    <w:rsid w:val="1F026649"/>
    <w:rsid w:val="1F066139"/>
    <w:rsid w:val="1F0B19A2"/>
    <w:rsid w:val="1F120F82"/>
    <w:rsid w:val="1F1A1BE5"/>
    <w:rsid w:val="1F226CEB"/>
    <w:rsid w:val="1F242A63"/>
    <w:rsid w:val="1F2962CC"/>
    <w:rsid w:val="1F301408"/>
    <w:rsid w:val="1F332323"/>
    <w:rsid w:val="1F354C5D"/>
    <w:rsid w:val="1F356A1F"/>
    <w:rsid w:val="1F392627"/>
    <w:rsid w:val="1F3F33F9"/>
    <w:rsid w:val="1F40083C"/>
    <w:rsid w:val="1F44251B"/>
    <w:rsid w:val="1F4849A4"/>
    <w:rsid w:val="1F494278"/>
    <w:rsid w:val="1F4A0FC8"/>
    <w:rsid w:val="1F4E7AE0"/>
    <w:rsid w:val="1F503046"/>
    <w:rsid w:val="1F552C1D"/>
    <w:rsid w:val="1F5C21FD"/>
    <w:rsid w:val="1F5D7D23"/>
    <w:rsid w:val="1F5E41C7"/>
    <w:rsid w:val="1F63358C"/>
    <w:rsid w:val="1F645556"/>
    <w:rsid w:val="1F646872"/>
    <w:rsid w:val="1F653646"/>
    <w:rsid w:val="1F67633E"/>
    <w:rsid w:val="1F6E3CDF"/>
    <w:rsid w:val="1F7237CF"/>
    <w:rsid w:val="1F8D685B"/>
    <w:rsid w:val="1F95570F"/>
    <w:rsid w:val="1F9951FF"/>
    <w:rsid w:val="1F9A4AD4"/>
    <w:rsid w:val="1FA0559E"/>
    <w:rsid w:val="1FA37E2C"/>
    <w:rsid w:val="1FA6791C"/>
    <w:rsid w:val="1FAB4F33"/>
    <w:rsid w:val="1FB106DB"/>
    <w:rsid w:val="1FB738D7"/>
    <w:rsid w:val="1FB82C68"/>
    <w:rsid w:val="1FB931AC"/>
    <w:rsid w:val="1FBC3C17"/>
    <w:rsid w:val="1FC57DA2"/>
    <w:rsid w:val="1FD2426D"/>
    <w:rsid w:val="1FDB5818"/>
    <w:rsid w:val="1FDE0E64"/>
    <w:rsid w:val="1FE02E2E"/>
    <w:rsid w:val="1FE521F3"/>
    <w:rsid w:val="1FE67D19"/>
    <w:rsid w:val="1FE7539E"/>
    <w:rsid w:val="1FEA5A5B"/>
    <w:rsid w:val="1FEC17D3"/>
    <w:rsid w:val="200A1C59"/>
    <w:rsid w:val="20140D2A"/>
    <w:rsid w:val="201A79C2"/>
    <w:rsid w:val="202A5E57"/>
    <w:rsid w:val="202C7E22"/>
    <w:rsid w:val="20427645"/>
    <w:rsid w:val="20474C5B"/>
    <w:rsid w:val="20511636"/>
    <w:rsid w:val="205630F0"/>
    <w:rsid w:val="20565F71"/>
    <w:rsid w:val="205B24B5"/>
    <w:rsid w:val="205C4640"/>
    <w:rsid w:val="20605D1D"/>
    <w:rsid w:val="20623843"/>
    <w:rsid w:val="20631369"/>
    <w:rsid w:val="20671BE0"/>
    <w:rsid w:val="20692E24"/>
    <w:rsid w:val="206D3F96"/>
    <w:rsid w:val="20803CC9"/>
    <w:rsid w:val="208539D6"/>
    <w:rsid w:val="20863B1A"/>
    <w:rsid w:val="20895274"/>
    <w:rsid w:val="208A0FEC"/>
    <w:rsid w:val="208C34F5"/>
    <w:rsid w:val="208D63E6"/>
    <w:rsid w:val="208F16C3"/>
    <w:rsid w:val="2091237A"/>
    <w:rsid w:val="20956B53"/>
    <w:rsid w:val="20963918"/>
    <w:rsid w:val="20963CB8"/>
    <w:rsid w:val="209C6CF7"/>
    <w:rsid w:val="209D2ACD"/>
    <w:rsid w:val="209E23A2"/>
    <w:rsid w:val="20A26336"/>
    <w:rsid w:val="20A57BD4"/>
    <w:rsid w:val="20A774A8"/>
    <w:rsid w:val="20A81A1B"/>
    <w:rsid w:val="20AF45AF"/>
    <w:rsid w:val="20B07FB6"/>
    <w:rsid w:val="20B101C0"/>
    <w:rsid w:val="20B16579"/>
    <w:rsid w:val="20B646FB"/>
    <w:rsid w:val="20BD316F"/>
    <w:rsid w:val="20C57EF8"/>
    <w:rsid w:val="20D3029D"/>
    <w:rsid w:val="20D83B05"/>
    <w:rsid w:val="20DF30E6"/>
    <w:rsid w:val="20E414B6"/>
    <w:rsid w:val="20EC75B1"/>
    <w:rsid w:val="20FA1CCE"/>
    <w:rsid w:val="20FA397C"/>
    <w:rsid w:val="21004E0A"/>
    <w:rsid w:val="21005984"/>
    <w:rsid w:val="210668C5"/>
    <w:rsid w:val="2107263D"/>
    <w:rsid w:val="210C7C53"/>
    <w:rsid w:val="2116462E"/>
    <w:rsid w:val="211C7E96"/>
    <w:rsid w:val="21217C0F"/>
    <w:rsid w:val="212D236A"/>
    <w:rsid w:val="212E5E1B"/>
    <w:rsid w:val="212F275E"/>
    <w:rsid w:val="21333432"/>
    <w:rsid w:val="213B74B1"/>
    <w:rsid w:val="213E726C"/>
    <w:rsid w:val="215018EE"/>
    <w:rsid w:val="21555156"/>
    <w:rsid w:val="215A2310"/>
    <w:rsid w:val="215F5C36"/>
    <w:rsid w:val="216B497A"/>
    <w:rsid w:val="21745B1D"/>
    <w:rsid w:val="21747CD2"/>
    <w:rsid w:val="217A696B"/>
    <w:rsid w:val="217C26E3"/>
    <w:rsid w:val="217D46AD"/>
    <w:rsid w:val="21815F4B"/>
    <w:rsid w:val="21894E00"/>
    <w:rsid w:val="218B0B78"/>
    <w:rsid w:val="218E2416"/>
    <w:rsid w:val="219A0F17"/>
    <w:rsid w:val="21A659B2"/>
    <w:rsid w:val="21AB121A"/>
    <w:rsid w:val="21B9115B"/>
    <w:rsid w:val="21BA6164"/>
    <w:rsid w:val="21C422DC"/>
    <w:rsid w:val="21D50045"/>
    <w:rsid w:val="21DE318A"/>
    <w:rsid w:val="21E5472C"/>
    <w:rsid w:val="21E972D2"/>
    <w:rsid w:val="21EB1616"/>
    <w:rsid w:val="21EE2A7D"/>
    <w:rsid w:val="21EF5B80"/>
    <w:rsid w:val="21F82AFB"/>
    <w:rsid w:val="21FA5DBD"/>
    <w:rsid w:val="21FA6D5D"/>
    <w:rsid w:val="2205092A"/>
    <w:rsid w:val="220A4192"/>
    <w:rsid w:val="220F3557"/>
    <w:rsid w:val="22171F6F"/>
    <w:rsid w:val="2217240B"/>
    <w:rsid w:val="22250FCC"/>
    <w:rsid w:val="222F3BF9"/>
    <w:rsid w:val="222F59A7"/>
    <w:rsid w:val="22372AAE"/>
    <w:rsid w:val="223B07F0"/>
    <w:rsid w:val="22521696"/>
    <w:rsid w:val="22576990"/>
    <w:rsid w:val="225B49EE"/>
    <w:rsid w:val="226D64CF"/>
    <w:rsid w:val="227C4964"/>
    <w:rsid w:val="228026A7"/>
    <w:rsid w:val="22813D29"/>
    <w:rsid w:val="22835CF3"/>
    <w:rsid w:val="22852B93"/>
    <w:rsid w:val="22853819"/>
    <w:rsid w:val="228A52D3"/>
    <w:rsid w:val="228F4698"/>
    <w:rsid w:val="228F5682"/>
    <w:rsid w:val="22967676"/>
    <w:rsid w:val="229B303C"/>
    <w:rsid w:val="22AF6AE8"/>
    <w:rsid w:val="22BA3F45"/>
    <w:rsid w:val="22C95DFC"/>
    <w:rsid w:val="22CA56D0"/>
    <w:rsid w:val="22CC58EC"/>
    <w:rsid w:val="22CE3412"/>
    <w:rsid w:val="22DB168B"/>
    <w:rsid w:val="22DB78DD"/>
    <w:rsid w:val="22DE117B"/>
    <w:rsid w:val="22E744D4"/>
    <w:rsid w:val="22EE7610"/>
    <w:rsid w:val="22F015DA"/>
    <w:rsid w:val="22F32E79"/>
    <w:rsid w:val="22F4686C"/>
    <w:rsid w:val="22F47480"/>
    <w:rsid w:val="22F95FB5"/>
    <w:rsid w:val="22FC5438"/>
    <w:rsid w:val="23052BAC"/>
    <w:rsid w:val="230C3A55"/>
    <w:rsid w:val="230C3F3A"/>
    <w:rsid w:val="231352C9"/>
    <w:rsid w:val="23137077"/>
    <w:rsid w:val="231D6147"/>
    <w:rsid w:val="232079E6"/>
    <w:rsid w:val="23227153"/>
    <w:rsid w:val="23243032"/>
    <w:rsid w:val="23244DE0"/>
    <w:rsid w:val="232748D0"/>
    <w:rsid w:val="232C0139"/>
    <w:rsid w:val="23307C29"/>
    <w:rsid w:val="23353491"/>
    <w:rsid w:val="23357B6D"/>
    <w:rsid w:val="23360FB7"/>
    <w:rsid w:val="23377209"/>
    <w:rsid w:val="234C2589"/>
    <w:rsid w:val="234C4337"/>
    <w:rsid w:val="23563407"/>
    <w:rsid w:val="23566043"/>
    <w:rsid w:val="235A4CA6"/>
    <w:rsid w:val="236911C0"/>
    <w:rsid w:val="23706277"/>
    <w:rsid w:val="237D223E"/>
    <w:rsid w:val="23825FAA"/>
    <w:rsid w:val="238C6E29"/>
    <w:rsid w:val="238E494F"/>
    <w:rsid w:val="23974DD6"/>
    <w:rsid w:val="239C706C"/>
    <w:rsid w:val="23A44173"/>
    <w:rsid w:val="23A61C99"/>
    <w:rsid w:val="23A6613D"/>
    <w:rsid w:val="23AD1279"/>
    <w:rsid w:val="23B819CC"/>
    <w:rsid w:val="23C2342E"/>
    <w:rsid w:val="23C465C3"/>
    <w:rsid w:val="23CB5BA3"/>
    <w:rsid w:val="23CB7951"/>
    <w:rsid w:val="23CD191B"/>
    <w:rsid w:val="23D34A58"/>
    <w:rsid w:val="23DA5DE6"/>
    <w:rsid w:val="23DC390D"/>
    <w:rsid w:val="23DE1C48"/>
    <w:rsid w:val="23E26F0C"/>
    <w:rsid w:val="23E56EB8"/>
    <w:rsid w:val="23E80E96"/>
    <w:rsid w:val="23F70746"/>
    <w:rsid w:val="23FF75FB"/>
    <w:rsid w:val="24015121"/>
    <w:rsid w:val="240210CD"/>
    <w:rsid w:val="24062738"/>
    <w:rsid w:val="24092228"/>
    <w:rsid w:val="24150BCD"/>
    <w:rsid w:val="24172B97"/>
    <w:rsid w:val="2418246B"/>
    <w:rsid w:val="241A31DC"/>
    <w:rsid w:val="24224B4D"/>
    <w:rsid w:val="2423153B"/>
    <w:rsid w:val="2423778D"/>
    <w:rsid w:val="2426102C"/>
    <w:rsid w:val="24266C9B"/>
    <w:rsid w:val="242A0B1C"/>
    <w:rsid w:val="242F7FE8"/>
    <w:rsid w:val="2432352D"/>
    <w:rsid w:val="243279D1"/>
    <w:rsid w:val="243454F7"/>
    <w:rsid w:val="24365593"/>
    <w:rsid w:val="24374FE7"/>
    <w:rsid w:val="243C084F"/>
    <w:rsid w:val="243E0123"/>
    <w:rsid w:val="24424498"/>
    <w:rsid w:val="2446347C"/>
    <w:rsid w:val="24466FD8"/>
    <w:rsid w:val="2455546D"/>
    <w:rsid w:val="24575689"/>
    <w:rsid w:val="2466767A"/>
    <w:rsid w:val="2472601F"/>
    <w:rsid w:val="24743B45"/>
    <w:rsid w:val="247C6E9E"/>
    <w:rsid w:val="2480073C"/>
    <w:rsid w:val="24841FFA"/>
    <w:rsid w:val="24853FA4"/>
    <w:rsid w:val="248C70E1"/>
    <w:rsid w:val="248D10AB"/>
    <w:rsid w:val="2492221D"/>
    <w:rsid w:val="249B37C8"/>
    <w:rsid w:val="249C4E4A"/>
    <w:rsid w:val="24A02B8C"/>
    <w:rsid w:val="24A87C93"/>
    <w:rsid w:val="24A91541"/>
    <w:rsid w:val="24AF4B7D"/>
    <w:rsid w:val="24AF7273"/>
    <w:rsid w:val="24B16B47"/>
    <w:rsid w:val="24B44889"/>
    <w:rsid w:val="24B46637"/>
    <w:rsid w:val="24BF09F7"/>
    <w:rsid w:val="24C0322E"/>
    <w:rsid w:val="24C26FA6"/>
    <w:rsid w:val="24D26ABE"/>
    <w:rsid w:val="24D97E4C"/>
    <w:rsid w:val="24E011DB"/>
    <w:rsid w:val="24F133E8"/>
    <w:rsid w:val="24F15196"/>
    <w:rsid w:val="24F627AC"/>
    <w:rsid w:val="24F84776"/>
    <w:rsid w:val="24FF0773"/>
    <w:rsid w:val="25050C41"/>
    <w:rsid w:val="250550E5"/>
    <w:rsid w:val="250A26FB"/>
    <w:rsid w:val="250A44A9"/>
    <w:rsid w:val="250E3F9A"/>
    <w:rsid w:val="250E4092"/>
    <w:rsid w:val="251175E6"/>
    <w:rsid w:val="25140E84"/>
    <w:rsid w:val="2514163E"/>
    <w:rsid w:val="251A098E"/>
    <w:rsid w:val="251E54C0"/>
    <w:rsid w:val="252217F3"/>
    <w:rsid w:val="25292B82"/>
    <w:rsid w:val="252A68FA"/>
    <w:rsid w:val="252D53FE"/>
    <w:rsid w:val="252F2DEB"/>
    <w:rsid w:val="25367268"/>
    <w:rsid w:val="25401C79"/>
    <w:rsid w:val="254A0D4A"/>
    <w:rsid w:val="254D2A71"/>
    <w:rsid w:val="2551032A"/>
    <w:rsid w:val="255319AC"/>
    <w:rsid w:val="25535E50"/>
    <w:rsid w:val="25583467"/>
    <w:rsid w:val="255B4D05"/>
    <w:rsid w:val="255B6AB3"/>
    <w:rsid w:val="255F2A47"/>
    <w:rsid w:val="25667360"/>
    <w:rsid w:val="256B13EC"/>
    <w:rsid w:val="256C0CC0"/>
    <w:rsid w:val="256D191F"/>
    <w:rsid w:val="25714529"/>
    <w:rsid w:val="257510D7"/>
    <w:rsid w:val="257A33DD"/>
    <w:rsid w:val="258204E4"/>
    <w:rsid w:val="258E50DA"/>
    <w:rsid w:val="25910727"/>
    <w:rsid w:val="259B3353"/>
    <w:rsid w:val="259D3570"/>
    <w:rsid w:val="25A246E2"/>
    <w:rsid w:val="25A42208"/>
    <w:rsid w:val="25A641D2"/>
    <w:rsid w:val="25A71CF8"/>
    <w:rsid w:val="25AE3087"/>
    <w:rsid w:val="25BA2F45"/>
    <w:rsid w:val="25BD151C"/>
    <w:rsid w:val="25C12DBA"/>
    <w:rsid w:val="25C805EC"/>
    <w:rsid w:val="25D074A1"/>
    <w:rsid w:val="25D16D75"/>
    <w:rsid w:val="25D80104"/>
    <w:rsid w:val="25D86356"/>
    <w:rsid w:val="25DB14CF"/>
    <w:rsid w:val="25EC2D81"/>
    <w:rsid w:val="25F30CBD"/>
    <w:rsid w:val="25FA62CC"/>
    <w:rsid w:val="26013AFE"/>
    <w:rsid w:val="2601765A"/>
    <w:rsid w:val="260D5FFF"/>
    <w:rsid w:val="260E3B25"/>
    <w:rsid w:val="260E7FC9"/>
    <w:rsid w:val="26111E8D"/>
    <w:rsid w:val="26153106"/>
    <w:rsid w:val="26196CED"/>
    <w:rsid w:val="261C26E6"/>
    <w:rsid w:val="26235823"/>
    <w:rsid w:val="2628108B"/>
    <w:rsid w:val="26296BB1"/>
    <w:rsid w:val="26323CB8"/>
    <w:rsid w:val="26357304"/>
    <w:rsid w:val="2638122B"/>
    <w:rsid w:val="263F33CC"/>
    <w:rsid w:val="263F5861"/>
    <w:rsid w:val="264438F0"/>
    <w:rsid w:val="264834DB"/>
    <w:rsid w:val="2648725E"/>
    <w:rsid w:val="264D28A0"/>
    <w:rsid w:val="26502390"/>
    <w:rsid w:val="26551754"/>
    <w:rsid w:val="265A6D6B"/>
    <w:rsid w:val="266B476D"/>
    <w:rsid w:val="266C4096"/>
    <w:rsid w:val="26730F15"/>
    <w:rsid w:val="268564DD"/>
    <w:rsid w:val="2696525F"/>
    <w:rsid w:val="26971D6D"/>
    <w:rsid w:val="26A06E73"/>
    <w:rsid w:val="26A665A3"/>
    <w:rsid w:val="26A76454"/>
    <w:rsid w:val="26A83F7A"/>
    <w:rsid w:val="26B60095"/>
    <w:rsid w:val="26B7240F"/>
    <w:rsid w:val="26B96187"/>
    <w:rsid w:val="26C16DEA"/>
    <w:rsid w:val="26CD1C32"/>
    <w:rsid w:val="26CD39E1"/>
    <w:rsid w:val="26E256DE"/>
    <w:rsid w:val="26EC20B9"/>
    <w:rsid w:val="26EE4083"/>
    <w:rsid w:val="26EF3957"/>
    <w:rsid w:val="26F176CF"/>
    <w:rsid w:val="26F31699"/>
    <w:rsid w:val="26FB67A0"/>
    <w:rsid w:val="27007912"/>
    <w:rsid w:val="27037402"/>
    <w:rsid w:val="270A69E3"/>
    <w:rsid w:val="27111B1F"/>
    <w:rsid w:val="27174C5C"/>
    <w:rsid w:val="271B299E"/>
    <w:rsid w:val="271D6716"/>
    <w:rsid w:val="27233601"/>
    <w:rsid w:val="273B3040"/>
    <w:rsid w:val="273C2EE6"/>
    <w:rsid w:val="273E2245"/>
    <w:rsid w:val="274A5031"/>
    <w:rsid w:val="27561C28"/>
    <w:rsid w:val="275B0FEC"/>
    <w:rsid w:val="275F6D2E"/>
    <w:rsid w:val="27604855"/>
    <w:rsid w:val="276460F3"/>
    <w:rsid w:val="27653C19"/>
    <w:rsid w:val="27673E35"/>
    <w:rsid w:val="27675BE3"/>
    <w:rsid w:val="277057A2"/>
    <w:rsid w:val="27716A62"/>
    <w:rsid w:val="277327DA"/>
    <w:rsid w:val="27734588"/>
    <w:rsid w:val="27840D89"/>
    <w:rsid w:val="27846795"/>
    <w:rsid w:val="278C73F8"/>
    <w:rsid w:val="2790513A"/>
    <w:rsid w:val="27A04C51"/>
    <w:rsid w:val="27A110F5"/>
    <w:rsid w:val="27A252CB"/>
    <w:rsid w:val="27A55E44"/>
    <w:rsid w:val="27A74232"/>
    <w:rsid w:val="27AC5D17"/>
    <w:rsid w:val="27B01974"/>
    <w:rsid w:val="27BD3A55"/>
    <w:rsid w:val="27C11D97"/>
    <w:rsid w:val="27C43035"/>
    <w:rsid w:val="27C70430"/>
    <w:rsid w:val="27D05536"/>
    <w:rsid w:val="27D36DD5"/>
    <w:rsid w:val="27D479ED"/>
    <w:rsid w:val="27E1561F"/>
    <w:rsid w:val="27E234BC"/>
    <w:rsid w:val="27E47234"/>
    <w:rsid w:val="27E62FAC"/>
    <w:rsid w:val="27E70AD2"/>
    <w:rsid w:val="27EC60E8"/>
    <w:rsid w:val="27FD48FE"/>
    <w:rsid w:val="28017DE6"/>
    <w:rsid w:val="28033B5E"/>
    <w:rsid w:val="280478D6"/>
    <w:rsid w:val="280777BA"/>
    <w:rsid w:val="28081174"/>
    <w:rsid w:val="28100029"/>
    <w:rsid w:val="28101DD7"/>
    <w:rsid w:val="281F026C"/>
    <w:rsid w:val="281F201A"/>
    <w:rsid w:val="28213FE4"/>
    <w:rsid w:val="28261BFA"/>
    <w:rsid w:val="282C5A6C"/>
    <w:rsid w:val="282F4953"/>
    <w:rsid w:val="283830DC"/>
    <w:rsid w:val="28425D08"/>
    <w:rsid w:val="284B1054"/>
    <w:rsid w:val="284B2485"/>
    <w:rsid w:val="284B2E0F"/>
    <w:rsid w:val="285048C9"/>
    <w:rsid w:val="285A12A4"/>
    <w:rsid w:val="2879797C"/>
    <w:rsid w:val="287A1946"/>
    <w:rsid w:val="287A443D"/>
    <w:rsid w:val="287C121A"/>
    <w:rsid w:val="287C56BE"/>
    <w:rsid w:val="28810F26"/>
    <w:rsid w:val="28815F2C"/>
    <w:rsid w:val="288325A9"/>
    <w:rsid w:val="28884063"/>
    <w:rsid w:val="28970289"/>
    <w:rsid w:val="289742A6"/>
    <w:rsid w:val="289C7B0E"/>
    <w:rsid w:val="28A075FF"/>
    <w:rsid w:val="28A32C4B"/>
    <w:rsid w:val="28A644E9"/>
    <w:rsid w:val="28A80C21"/>
    <w:rsid w:val="28A95D87"/>
    <w:rsid w:val="28AA3FD9"/>
    <w:rsid w:val="28AB4279"/>
    <w:rsid w:val="28AF339E"/>
    <w:rsid w:val="28B05368"/>
    <w:rsid w:val="28B44E58"/>
    <w:rsid w:val="28B66BE5"/>
    <w:rsid w:val="28C037FD"/>
    <w:rsid w:val="28C03C94"/>
    <w:rsid w:val="28C36E49"/>
    <w:rsid w:val="28C57065"/>
    <w:rsid w:val="28C8445F"/>
    <w:rsid w:val="28C963A6"/>
    <w:rsid w:val="28CA467C"/>
    <w:rsid w:val="28D64DCE"/>
    <w:rsid w:val="28E00995"/>
    <w:rsid w:val="28E6559F"/>
    <w:rsid w:val="28E84B02"/>
    <w:rsid w:val="28EA1015"/>
    <w:rsid w:val="28EB63A0"/>
    <w:rsid w:val="28ED2118"/>
    <w:rsid w:val="28F214DC"/>
    <w:rsid w:val="28F60FCD"/>
    <w:rsid w:val="28FB4835"/>
    <w:rsid w:val="28FD67FF"/>
    <w:rsid w:val="29014764"/>
    <w:rsid w:val="29017971"/>
    <w:rsid w:val="290731DA"/>
    <w:rsid w:val="290D27BA"/>
    <w:rsid w:val="29110395"/>
    <w:rsid w:val="29206EB8"/>
    <w:rsid w:val="2927748B"/>
    <w:rsid w:val="29347D47"/>
    <w:rsid w:val="29363ABF"/>
    <w:rsid w:val="293715E5"/>
    <w:rsid w:val="2939710B"/>
    <w:rsid w:val="293D309F"/>
    <w:rsid w:val="293D64D6"/>
    <w:rsid w:val="294143BF"/>
    <w:rsid w:val="29437F8A"/>
    <w:rsid w:val="29451F54"/>
    <w:rsid w:val="29471828"/>
    <w:rsid w:val="294855A0"/>
    <w:rsid w:val="29595666"/>
    <w:rsid w:val="295E6B72"/>
    <w:rsid w:val="29656152"/>
    <w:rsid w:val="296F0964"/>
    <w:rsid w:val="29736AC1"/>
    <w:rsid w:val="2976210D"/>
    <w:rsid w:val="297665B1"/>
    <w:rsid w:val="29787C34"/>
    <w:rsid w:val="2981582C"/>
    <w:rsid w:val="29874881"/>
    <w:rsid w:val="298A3E0B"/>
    <w:rsid w:val="29946A38"/>
    <w:rsid w:val="299627B0"/>
    <w:rsid w:val="29982084"/>
    <w:rsid w:val="299E408D"/>
    <w:rsid w:val="29A24CB1"/>
    <w:rsid w:val="29AA157C"/>
    <w:rsid w:val="29AC1FD3"/>
    <w:rsid w:val="29AE7AF9"/>
    <w:rsid w:val="29BB5D72"/>
    <w:rsid w:val="29C323D4"/>
    <w:rsid w:val="29D15596"/>
    <w:rsid w:val="29D82A1E"/>
    <w:rsid w:val="29D84B76"/>
    <w:rsid w:val="29DA067B"/>
    <w:rsid w:val="29DA6B40"/>
    <w:rsid w:val="29DB4666"/>
    <w:rsid w:val="29E11C7D"/>
    <w:rsid w:val="29E325E0"/>
    <w:rsid w:val="29E928DF"/>
    <w:rsid w:val="29ED336D"/>
    <w:rsid w:val="29F15C38"/>
    <w:rsid w:val="29F319B0"/>
    <w:rsid w:val="29FA4AED"/>
    <w:rsid w:val="29FB0865"/>
    <w:rsid w:val="2A0E0598"/>
    <w:rsid w:val="2A0E67EA"/>
    <w:rsid w:val="2A13795C"/>
    <w:rsid w:val="2A1A6F3D"/>
    <w:rsid w:val="2A1D4C7F"/>
    <w:rsid w:val="2A221B67"/>
    <w:rsid w:val="2A2747D2"/>
    <w:rsid w:val="2A2B2EF8"/>
    <w:rsid w:val="2A30050E"/>
    <w:rsid w:val="2A314286"/>
    <w:rsid w:val="2A336250"/>
    <w:rsid w:val="2A37548B"/>
    <w:rsid w:val="2A3873C3"/>
    <w:rsid w:val="2A3B65BE"/>
    <w:rsid w:val="2A3C3357"/>
    <w:rsid w:val="2A3E70CF"/>
    <w:rsid w:val="2A410794"/>
    <w:rsid w:val="2A443FBA"/>
    <w:rsid w:val="2A452503"/>
    <w:rsid w:val="2A475858"/>
    <w:rsid w:val="2A5561C7"/>
    <w:rsid w:val="2A570191"/>
    <w:rsid w:val="2A585CB7"/>
    <w:rsid w:val="2A587A65"/>
    <w:rsid w:val="2A5A37DD"/>
    <w:rsid w:val="2A5E151F"/>
    <w:rsid w:val="2A693A20"/>
    <w:rsid w:val="2A6B59EA"/>
    <w:rsid w:val="2A6C52BE"/>
    <w:rsid w:val="2A704DAF"/>
    <w:rsid w:val="2A7228D5"/>
    <w:rsid w:val="2A750617"/>
    <w:rsid w:val="2A7A3E7F"/>
    <w:rsid w:val="2A7A79DB"/>
    <w:rsid w:val="2A7D127A"/>
    <w:rsid w:val="2A7F4FF2"/>
    <w:rsid w:val="2A88034A"/>
    <w:rsid w:val="2A946CEF"/>
    <w:rsid w:val="2A95323A"/>
    <w:rsid w:val="2AC11AAE"/>
    <w:rsid w:val="2AC5334C"/>
    <w:rsid w:val="2AD25A69"/>
    <w:rsid w:val="2AD90BA6"/>
    <w:rsid w:val="2ADE4317"/>
    <w:rsid w:val="2AE80DE9"/>
    <w:rsid w:val="2AEB30AE"/>
    <w:rsid w:val="2AED4651"/>
    <w:rsid w:val="2AF61E1A"/>
    <w:rsid w:val="2AFA0B1C"/>
    <w:rsid w:val="2AFA28CA"/>
    <w:rsid w:val="2B013C59"/>
    <w:rsid w:val="2B065713"/>
    <w:rsid w:val="2B070299"/>
    <w:rsid w:val="2B0A5203"/>
    <w:rsid w:val="2B0B29BE"/>
    <w:rsid w:val="2B157704"/>
    <w:rsid w:val="2B275DB5"/>
    <w:rsid w:val="2B287437"/>
    <w:rsid w:val="2B2A1401"/>
    <w:rsid w:val="2B3109E2"/>
    <w:rsid w:val="2B342280"/>
    <w:rsid w:val="2B3E4EAD"/>
    <w:rsid w:val="2B404781"/>
    <w:rsid w:val="2B520958"/>
    <w:rsid w:val="2B536BAA"/>
    <w:rsid w:val="2B5E5E45"/>
    <w:rsid w:val="2B726905"/>
    <w:rsid w:val="2B77216D"/>
    <w:rsid w:val="2B797C93"/>
    <w:rsid w:val="2B7B3A0B"/>
    <w:rsid w:val="2B885F42"/>
    <w:rsid w:val="2B8C3E6A"/>
    <w:rsid w:val="2B942D1F"/>
    <w:rsid w:val="2B9D6077"/>
    <w:rsid w:val="2BA74800"/>
    <w:rsid w:val="2BA936A8"/>
    <w:rsid w:val="2BA94A1C"/>
    <w:rsid w:val="2BB313F7"/>
    <w:rsid w:val="2BC270C8"/>
    <w:rsid w:val="2BCA6741"/>
    <w:rsid w:val="2BCC24B9"/>
    <w:rsid w:val="2BCF1FA9"/>
    <w:rsid w:val="2BD001FB"/>
    <w:rsid w:val="2BD650E5"/>
    <w:rsid w:val="2BD82C0B"/>
    <w:rsid w:val="2BDA6A14"/>
    <w:rsid w:val="2BE05F64"/>
    <w:rsid w:val="2BE772F2"/>
    <w:rsid w:val="2BEC66B7"/>
    <w:rsid w:val="2BF0264B"/>
    <w:rsid w:val="2BF13CCD"/>
    <w:rsid w:val="2BF67536"/>
    <w:rsid w:val="2BF76EE4"/>
    <w:rsid w:val="2BF824C8"/>
    <w:rsid w:val="2BFC0FF0"/>
    <w:rsid w:val="2C041A4C"/>
    <w:rsid w:val="2C057779"/>
    <w:rsid w:val="2C0C0B07"/>
    <w:rsid w:val="2C106849"/>
    <w:rsid w:val="2C12555B"/>
    <w:rsid w:val="2C1520B2"/>
    <w:rsid w:val="2C163734"/>
    <w:rsid w:val="2C167BD8"/>
    <w:rsid w:val="2C1F6A8C"/>
    <w:rsid w:val="2C22443D"/>
    <w:rsid w:val="2C2A0110"/>
    <w:rsid w:val="2C2C2F57"/>
    <w:rsid w:val="2C302A48"/>
    <w:rsid w:val="2C315A5A"/>
    <w:rsid w:val="2C412EA7"/>
    <w:rsid w:val="2C414C55"/>
    <w:rsid w:val="2C4B1C25"/>
    <w:rsid w:val="2C4C3257"/>
    <w:rsid w:val="2C567FD4"/>
    <w:rsid w:val="2C5A42B6"/>
    <w:rsid w:val="2C5C383D"/>
    <w:rsid w:val="2C5C7090"/>
    <w:rsid w:val="2C5D1363"/>
    <w:rsid w:val="2C7342B9"/>
    <w:rsid w:val="2C73502A"/>
    <w:rsid w:val="2C7548FE"/>
    <w:rsid w:val="2C7C3EDF"/>
    <w:rsid w:val="2C7F577D"/>
    <w:rsid w:val="2C864D5D"/>
    <w:rsid w:val="2C8E776E"/>
    <w:rsid w:val="2C901738"/>
    <w:rsid w:val="2C9034E6"/>
    <w:rsid w:val="2C9A25B7"/>
    <w:rsid w:val="2C9A4365"/>
    <w:rsid w:val="2C9E029E"/>
    <w:rsid w:val="2CA13945"/>
    <w:rsid w:val="2CA156F3"/>
    <w:rsid w:val="2CA62D0A"/>
    <w:rsid w:val="2CAD22EA"/>
    <w:rsid w:val="2CB27900"/>
    <w:rsid w:val="2CBC252D"/>
    <w:rsid w:val="2CC032E9"/>
    <w:rsid w:val="2CC633AC"/>
    <w:rsid w:val="2CC969F8"/>
    <w:rsid w:val="2CCE400E"/>
    <w:rsid w:val="2CDA0C05"/>
    <w:rsid w:val="2CDC672B"/>
    <w:rsid w:val="2CDE6947"/>
    <w:rsid w:val="2CDF5C6E"/>
    <w:rsid w:val="2CDF7FCA"/>
    <w:rsid w:val="2CE81574"/>
    <w:rsid w:val="2CEB2E12"/>
    <w:rsid w:val="2CED0939"/>
    <w:rsid w:val="2CF00429"/>
    <w:rsid w:val="2CF03C85"/>
    <w:rsid w:val="2CF55A3F"/>
    <w:rsid w:val="2CF75313"/>
    <w:rsid w:val="2CFD2861"/>
    <w:rsid w:val="2D0363AE"/>
    <w:rsid w:val="2D087520"/>
    <w:rsid w:val="2D12039F"/>
    <w:rsid w:val="2D157E8F"/>
    <w:rsid w:val="2D1660E1"/>
    <w:rsid w:val="2D1C7470"/>
    <w:rsid w:val="2D202ABC"/>
    <w:rsid w:val="2D2105E2"/>
    <w:rsid w:val="2D26209C"/>
    <w:rsid w:val="2D263E4A"/>
    <w:rsid w:val="2D300825"/>
    <w:rsid w:val="2D306A77"/>
    <w:rsid w:val="2D371BB4"/>
    <w:rsid w:val="2D3B5B48"/>
    <w:rsid w:val="2D3E2F42"/>
    <w:rsid w:val="2D3E73E6"/>
    <w:rsid w:val="2D40315E"/>
    <w:rsid w:val="2D5262DB"/>
    <w:rsid w:val="2D597D7C"/>
    <w:rsid w:val="2D5C64C0"/>
    <w:rsid w:val="2D5E1836"/>
    <w:rsid w:val="2D63497F"/>
    <w:rsid w:val="2D665687"/>
    <w:rsid w:val="2D6706EB"/>
    <w:rsid w:val="2D6A3D37"/>
    <w:rsid w:val="2D6B72D5"/>
    <w:rsid w:val="2D6D3827"/>
    <w:rsid w:val="2D70500B"/>
    <w:rsid w:val="2D713318"/>
    <w:rsid w:val="2D746964"/>
    <w:rsid w:val="2D76092E"/>
    <w:rsid w:val="2D831D37"/>
    <w:rsid w:val="2D852B0F"/>
    <w:rsid w:val="2D870D8D"/>
    <w:rsid w:val="2D8C63A3"/>
    <w:rsid w:val="2D8D21DF"/>
    <w:rsid w:val="2D917516"/>
    <w:rsid w:val="2D926D35"/>
    <w:rsid w:val="2D956185"/>
    <w:rsid w:val="2D99286E"/>
    <w:rsid w:val="2D9D410D"/>
    <w:rsid w:val="2D9E56F5"/>
    <w:rsid w:val="2D9F14FF"/>
    <w:rsid w:val="2DA60AE7"/>
    <w:rsid w:val="2DAC07F4"/>
    <w:rsid w:val="2DAF5BEE"/>
    <w:rsid w:val="2DB256DE"/>
    <w:rsid w:val="2DB87198"/>
    <w:rsid w:val="2DBD655D"/>
    <w:rsid w:val="2DC72F38"/>
    <w:rsid w:val="2DCF2816"/>
    <w:rsid w:val="2DD45655"/>
    <w:rsid w:val="2DD90EBD"/>
    <w:rsid w:val="2DE0224B"/>
    <w:rsid w:val="2DE24215"/>
    <w:rsid w:val="2DE42613"/>
    <w:rsid w:val="2DEF66E3"/>
    <w:rsid w:val="2DF47AA5"/>
    <w:rsid w:val="2DF6248B"/>
    <w:rsid w:val="2DF857E7"/>
    <w:rsid w:val="2DFA1131"/>
    <w:rsid w:val="2DFB3102"/>
    <w:rsid w:val="2E00117A"/>
    <w:rsid w:val="2E00644A"/>
    <w:rsid w:val="2E0159A9"/>
    <w:rsid w:val="2E0C3040"/>
    <w:rsid w:val="2E0E6DB8"/>
    <w:rsid w:val="2E132621"/>
    <w:rsid w:val="2E1D349F"/>
    <w:rsid w:val="2E251DDB"/>
    <w:rsid w:val="2E2B796A"/>
    <w:rsid w:val="2E2C69E4"/>
    <w:rsid w:val="2E2F2C9F"/>
    <w:rsid w:val="2E3A195C"/>
    <w:rsid w:val="2E4324A5"/>
    <w:rsid w:val="2E4A0ED6"/>
    <w:rsid w:val="2E4C78E1"/>
    <w:rsid w:val="2E4E5407"/>
    <w:rsid w:val="2E5471A7"/>
    <w:rsid w:val="2E5A1FFE"/>
    <w:rsid w:val="2E5F7614"/>
    <w:rsid w:val="2E625356"/>
    <w:rsid w:val="2E667F96"/>
    <w:rsid w:val="2E67296D"/>
    <w:rsid w:val="2E681A5C"/>
    <w:rsid w:val="2E70537D"/>
    <w:rsid w:val="2E731311"/>
    <w:rsid w:val="2E7806D6"/>
    <w:rsid w:val="2E8226AB"/>
    <w:rsid w:val="2E825292"/>
    <w:rsid w:val="2E84707B"/>
    <w:rsid w:val="2E8D5077"/>
    <w:rsid w:val="2E8E7EF9"/>
    <w:rsid w:val="2E94389C"/>
    <w:rsid w:val="2E954DE4"/>
    <w:rsid w:val="2E9615FD"/>
    <w:rsid w:val="2E9848D4"/>
    <w:rsid w:val="2E9C43C4"/>
    <w:rsid w:val="2EAB2859"/>
    <w:rsid w:val="2EAF6A86"/>
    <w:rsid w:val="2EB060C2"/>
    <w:rsid w:val="2EB84F76"/>
    <w:rsid w:val="2EBA77A4"/>
    <w:rsid w:val="2EBE7E65"/>
    <w:rsid w:val="2EC100AF"/>
    <w:rsid w:val="2ECD0A22"/>
    <w:rsid w:val="2ED00512"/>
    <w:rsid w:val="2ED24003"/>
    <w:rsid w:val="2ED753FC"/>
    <w:rsid w:val="2EEB0EA8"/>
    <w:rsid w:val="2EEF6BEA"/>
    <w:rsid w:val="2EF107A5"/>
    <w:rsid w:val="2EF53AD4"/>
    <w:rsid w:val="2EF7784D"/>
    <w:rsid w:val="2EFC1307"/>
    <w:rsid w:val="2F0401BB"/>
    <w:rsid w:val="2F0B779C"/>
    <w:rsid w:val="2F230642"/>
    <w:rsid w:val="2F2443BA"/>
    <w:rsid w:val="2F2E4935"/>
    <w:rsid w:val="2F385624"/>
    <w:rsid w:val="2F3A3BDD"/>
    <w:rsid w:val="2F3C5BA7"/>
    <w:rsid w:val="2F4405B8"/>
    <w:rsid w:val="2F4F58DB"/>
    <w:rsid w:val="2F503401"/>
    <w:rsid w:val="2F527179"/>
    <w:rsid w:val="2F546A4D"/>
    <w:rsid w:val="2F5702EB"/>
    <w:rsid w:val="2F5A7DDB"/>
    <w:rsid w:val="2F5B602D"/>
    <w:rsid w:val="2F61116A"/>
    <w:rsid w:val="2F7013AD"/>
    <w:rsid w:val="2F740E9D"/>
    <w:rsid w:val="2F745341"/>
    <w:rsid w:val="2F7B20C0"/>
    <w:rsid w:val="2F7F1455"/>
    <w:rsid w:val="2F875074"/>
    <w:rsid w:val="2F880DEC"/>
    <w:rsid w:val="2F884949"/>
    <w:rsid w:val="2F8D062D"/>
    <w:rsid w:val="2F8F217B"/>
    <w:rsid w:val="2F927575"/>
    <w:rsid w:val="2FAF17DC"/>
    <w:rsid w:val="2FAF45CB"/>
    <w:rsid w:val="2FB25651"/>
    <w:rsid w:val="2FBB6ACC"/>
    <w:rsid w:val="2FBC45F2"/>
    <w:rsid w:val="2FC02334"/>
    <w:rsid w:val="2FC55B9D"/>
    <w:rsid w:val="2FC736C3"/>
    <w:rsid w:val="2FC82F97"/>
    <w:rsid w:val="2FD065E6"/>
    <w:rsid w:val="2FD22068"/>
    <w:rsid w:val="2FD962A4"/>
    <w:rsid w:val="2FD96870"/>
    <w:rsid w:val="2FDE6C5E"/>
    <w:rsid w:val="2FE204FD"/>
    <w:rsid w:val="2FE222AB"/>
    <w:rsid w:val="2FE37DD1"/>
    <w:rsid w:val="2FE53B49"/>
    <w:rsid w:val="2FEA5603"/>
    <w:rsid w:val="2FEC137B"/>
    <w:rsid w:val="2FEE6EA1"/>
    <w:rsid w:val="2FEF2C1A"/>
    <w:rsid w:val="2FEF6776"/>
    <w:rsid w:val="2FEF7C89"/>
    <w:rsid w:val="2FF124EE"/>
    <w:rsid w:val="2FF16992"/>
    <w:rsid w:val="2FF65D56"/>
    <w:rsid w:val="2FF975F4"/>
    <w:rsid w:val="2FFD0E93"/>
    <w:rsid w:val="300A7A53"/>
    <w:rsid w:val="301306B6"/>
    <w:rsid w:val="30182170"/>
    <w:rsid w:val="301D1535"/>
    <w:rsid w:val="301F52AD"/>
    <w:rsid w:val="30201025"/>
    <w:rsid w:val="30234671"/>
    <w:rsid w:val="30275F10"/>
    <w:rsid w:val="302C1778"/>
    <w:rsid w:val="302D729E"/>
    <w:rsid w:val="302D7B32"/>
    <w:rsid w:val="302E54F0"/>
    <w:rsid w:val="3034687E"/>
    <w:rsid w:val="303845C1"/>
    <w:rsid w:val="30444D13"/>
    <w:rsid w:val="30580BC9"/>
    <w:rsid w:val="305D5DD5"/>
    <w:rsid w:val="305F1B4D"/>
    <w:rsid w:val="3061391E"/>
    <w:rsid w:val="30696528"/>
    <w:rsid w:val="30731155"/>
    <w:rsid w:val="307B44AD"/>
    <w:rsid w:val="30801AC4"/>
    <w:rsid w:val="30817D16"/>
    <w:rsid w:val="308A649E"/>
    <w:rsid w:val="308B0B94"/>
    <w:rsid w:val="308C0468"/>
    <w:rsid w:val="308C054E"/>
    <w:rsid w:val="309E2963"/>
    <w:rsid w:val="30A27C8C"/>
    <w:rsid w:val="30A40C4B"/>
    <w:rsid w:val="30A43A04"/>
    <w:rsid w:val="30A50C98"/>
    <w:rsid w:val="30A92647"/>
    <w:rsid w:val="30AB6B41"/>
    <w:rsid w:val="30B17ECF"/>
    <w:rsid w:val="30B8125D"/>
    <w:rsid w:val="30C714A1"/>
    <w:rsid w:val="30C776F3"/>
    <w:rsid w:val="30D50061"/>
    <w:rsid w:val="30F524B2"/>
    <w:rsid w:val="30F74D2A"/>
    <w:rsid w:val="30F83ADD"/>
    <w:rsid w:val="30FD4EC2"/>
    <w:rsid w:val="3102072B"/>
    <w:rsid w:val="31101099"/>
    <w:rsid w:val="311741D6"/>
    <w:rsid w:val="31177F87"/>
    <w:rsid w:val="311C7A3E"/>
    <w:rsid w:val="311E2ED7"/>
    <w:rsid w:val="311E7E5A"/>
    <w:rsid w:val="31264419"/>
    <w:rsid w:val="313703D4"/>
    <w:rsid w:val="313C0812"/>
    <w:rsid w:val="31472AEA"/>
    <w:rsid w:val="315619EE"/>
    <w:rsid w:val="315C449C"/>
    <w:rsid w:val="315D05BD"/>
    <w:rsid w:val="3160503C"/>
    <w:rsid w:val="316867E0"/>
    <w:rsid w:val="31786BA7"/>
    <w:rsid w:val="317B29B7"/>
    <w:rsid w:val="317C672F"/>
    <w:rsid w:val="317F4F64"/>
    <w:rsid w:val="31880C30"/>
    <w:rsid w:val="318848C5"/>
    <w:rsid w:val="318A49A8"/>
    <w:rsid w:val="318B6972"/>
    <w:rsid w:val="318C4BC4"/>
    <w:rsid w:val="3195334D"/>
    <w:rsid w:val="319F0250"/>
    <w:rsid w:val="31AA329C"/>
    <w:rsid w:val="31AD0696"/>
    <w:rsid w:val="31AD4B3A"/>
    <w:rsid w:val="31AD68E8"/>
    <w:rsid w:val="31AE56D0"/>
    <w:rsid w:val="31B82709"/>
    <w:rsid w:val="31BE4652"/>
    <w:rsid w:val="31CD2AE7"/>
    <w:rsid w:val="31D05482"/>
    <w:rsid w:val="31D40319"/>
    <w:rsid w:val="31D47C7D"/>
    <w:rsid w:val="31DD5420"/>
    <w:rsid w:val="31E71DFA"/>
    <w:rsid w:val="31E83DC4"/>
    <w:rsid w:val="31EA18EB"/>
    <w:rsid w:val="31EF5153"/>
    <w:rsid w:val="31F44517"/>
    <w:rsid w:val="31F462C5"/>
    <w:rsid w:val="31F97D80"/>
    <w:rsid w:val="31FB58A6"/>
    <w:rsid w:val="31FE7144"/>
    <w:rsid w:val="3200110E"/>
    <w:rsid w:val="32004C6A"/>
    <w:rsid w:val="32024E86"/>
    <w:rsid w:val="32072C8E"/>
    <w:rsid w:val="32136C77"/>
    <w:rsid w:val="32151529"/>
    <w:rsid w:val="321E75CB"/>
    <w:rsid w:val="32223CE0"/>
    <w:rsid w:val="32274EC1"/>
    <w:rsid w:val="3227669B"/>
    <w:rsid w:val="322E7A29"/>
    <w:rsid w:val="323668DE"/>
    <w:rsid w:val="323A4620"/>
    <w:rsid w:val="323B0398"/>
    <w:rsid w:val="32400B34"/>
    <w:rsid w:val="32454D73"/>
    <w:rsid w:val="324C7EAF"/>
    <w:rsid w:val="324E00CB"/>
    <w:rsid w:val="32510CD9"/>
    <w:rsid w:val="32584BE5"/>
    <w:rsid w:val="32601BAD"/>
    <w:rsid w:val="32607DFF"/>
    <w:rsid w:val="326C67A3"/>
    <w:rsid w:val="326F3B9E"/>
    <w:rsid w:val="32737B32"/>
    <w:rsid w:val="3276317E"/>
    <w:rsid w:val="327F2033"/>
    <w:rsid w:val="32807B59"/>
    <w:rsid w:val="3284589B"/>
    <w:rsid w:val="32847649"/>
    <w:rsid w:val="3287538B"/>
    <w:rsid w:val="328A09D8"/>
    <w:rsid w:val="328C0BF4"/>
    <w:rsid w:val="328E31CF"/>
    <w:rsid w:val="329863B7"/>
    <w:rsid w:val="329E2070"/>
    <w:rsid w:val="329E6876"/>
    <w:rsid w:val="329F26D5"/>
    <w:rsid w:val="32A01FA9"/>
    <w:rsid w:val="32A0644D"/>
    <w:rsid w:val="32A221C5"/>
    <w:rsid w:val="32A41A99"/>
    <w:rsid w:val="32A61CB5"/>
    <w:rsid w:val="32A970B0"/>
    <w:rsid w:val="32AE0B6A"/>
    <w:rsid w:val="32B141B6"/>
    <w:rsid w:val="32B31CDC"/>
    <w:rsid w:val="32BF2D77"/>
    <w:rsid w:val="32C16A53"/>
    <w:rsid w:val="32C263C3"/>
    <w:rsid w:val="32C4038E"/>
    <w:rsid w:val="32D22AAA"/>
    <w:rsid w:val="32D677E9"/>
    <w:rsid w:val="32DA195F"/>
    <w:rsid w:val="32DA54BB"/>
    <w:rsid w:val="32DB1233"/>
    <w:rsid w:val="32DF2AD1"/>
    <w:rsid w:val="32E427DE"/>
    <w:rsid w:val="32E77BD8"/>
    <w:rsid w:val="32F32A21"/>
    <w:rsid w:val="32F522F5"/>
    <w:rsid w:val="32F56799"/>
    <w:rsid w:val="32F742BF"/>
    <w:rsid w:val="32FE389F"/>
    <w:rsid w:val="33010C9A"/>
    <w:rsid w:val="3301513E"/>
    <w:rsid w:val="33030EB6"/>
    <w:rsid w:val="330662B0"/>
    <w:rsid w:val="330D7CED"/>
    <w:rsid w:val="33105381"/>
    <w:rsid w:val="3316226B"/>
    <w:rsid w:val="331C1B71"/>
    <w:rsid w:val="333015F2"/>
    <w:rsid w:val="33304542"/>
    <w:rsid w:val="333430D6"/>
    <w:rsid w:val="33356E03"/>
    <w:rsid w:val="333C6176"/>
    <w:rsid w:val="333F7A14"/>
    <w:rsid w:val="33437504"/>
    <w:rsid w:val="33451189"/>
    <w:rsid w:val="334B6320"/>
    <w:rsid w:val="334B63B9"/>
    <w:rsid w:val="335331C4"/>
    <w:rsid w:val="33572FB0"/>
    <w:rsid w:val="335A65FC"/>
    <w:rsid w:val="335E08A0"/>
    <w:rsid w:val="335E60EC"/>
    <w:rsid w:val="337634BA"/>
    <w:rsid w:val="337C6572"/>
    <w:rsid w:val="337F42B4"/>
    <w:rsid w:val="337F6063"/>
    <w:rsid w:val="338D69D1"/>
    <w:rsid w:val="338E62A6"/>
    <w:rsid w:val="339A4C4A"/>
    <w:rsid w:val="33A06705"/>
    <w:rsid w:val="33AA1331"/>
    <w:rsid w:val="33AB6E58"/>
    <w:rsid w:val="33AD0235"/>
    <w:rsid w:val="33AD0E22"/>
    <w:rsid w:val="33AD2BD0"/>
    <w:rsid w:val="33AD7074"/>
    <w:rsid w:val="33B0446E"/>
    <w:rsid w:val="33BC77C0"/>
    <w:rsid w:val="33BE6B8B"/>
    <w:rsid w:val="33C00B55"/>
    <w:rsid w:val="33C323F3"/>
    <w:rsid w:val="33C341A1"/>
    <w:rsid w:val="33CA52E7"/>
    <w:rsid w:val="33CC574C"/>
    <w:rsid w:val="33CE345B"/>
    <w:rsid w:val="33D934D4"/>
    <w:rsid w:val="33DC1707"/>
    <w:rsid w:val="33DD2FB7"/>
    <w:rsid w:val="33E16D1D"/>
    <w:rsid w:val="33E256C4"/>
    <w:rsid w:val="33ED121E"/>
    <w:rsid w:val="33F05CCA"/>
    <w:rsid w:val="33F627C9"/>
    <w:rsid w:val="33F64577"/>
    <w:rsid w:val="33F94067"/>
    <w:rsid w:val="33FD7BDF"/>
    <w:rsid w:val="33FE2F6A"/>
    <w:rsid w:val="340A1DD0"/>
    <w:rsid w:val="340E07E5"/>
    <w:rsid w:val="34142C4F"/>
    <w:rsid w:val="3417273F"/>
    <w:rsid w:val="341E7629"/>
    <w:rsid w:val="34235BF7"/>
    <w:rsid w:val="34264730"/>
    <w:rsid w:val="343B467F"/>
    <w:rsid w:val="343B575B"/>
    <w:rsid w:val="34474DD2"/>
    <w:rsid w:val="34535360"/>
    <w:rsid w:val="34570B55"/>
    <w:rsid w:val="34580D8D"/>
    <w:rsid w:val="345968B4"/>
    <w:rsid w:val="345B7C0B"/>
    <w:rsid w:val="345D45F6"/>
    <w:rsid w:val="34621C0C"/>
    <w:rsid w:val="34645984"/>
    <w:rsid w:val="34647F2F"/>
    <w:rsid w:val="346724CE"/>
    <w:rsid w:val="346C2A8B"/>
    <w:rsid w:val="346C65E7"/>
    <w:rsid w:val="34727975"/>
    <w:rsid w:val="34754397"/>
    <w:rsid w:val="34790D04"/>
    <w:rsid w:val="347B0F20"/>
    <w:rsid w:val="34806536"/>
    <w:rsid w:val="34871673"/>
    <w:rsid w:val="34897199"/>
    <w:rsid w:val="348C0A37"/>
    <w:rsid w:val="348C32D1"/>
    <w:rsid w:val="348F0527"/>
    <w:rsid w:val="34943D90"/>
    <w:rsid w:val="34983880"/>
    <w:rsid w:val="349D0E96"/>
    <w:rsid w:val="349F4C0E"/>
    <w:rsid w:val="34A02734"/>
    <w:rsid w:val="34A35D81"/>
    <w:rsid w:val="34A915E9"/>
    <w:rsid w:val="34B00BC9"/>
    <w:rsid w:val="34B306BA"/>
    <w:rsid w:val="34B61F58"/>
    <w:rsid w:val="34BA37F6"/>
    <w:rsid w:val="34C226AB"/>
    <w:rsid w:val="34C53F49"/>
    <w:rsid w:val="34C75F13"/>
    <w:rsid w:val="34CC52D7"/>
    <w:rsid w:val="34CE2DFE"/>
    <w:rsid w:val="34D36666"/>
    <w:rsid w:val="34D50630"/>
    <w:rsid w:val="34D523DE"/>
    <w:rsid w:val="34D75BE6"/>
    <w:rsid w:val="34DA3E98"/>
    <w:rsid w:val="34E73EBF"/>
    <w:rsid w:val="34EC3BCC"/>
    <w:rsid w:val="34F34F5A"/>
    <w:rsid w:val="34FA1E45"/>
    <w:rsid w:val="34FB5BBD"/>
    <w:rsid w:val="35011425"/>
    <w:rsid w:val="35042CC3"/>
    <w:rsid w:val="351153E0"/>
    <w:rsid w:val="35156C7E"/>
    <w:rsid w:val="352A729A"/>
    <w:rsid w:val="352C3FC8"/>
    <w:rsid w:val="35366BF5"/>
    <w:rsid w:val="35372B0F"/>
    <w:rsid w:val="353A66E5"/>
    <w:rsid w:val="353C245D"/>
    <w:rsid w:val="353F5AA9"/>
    <w:rsid w:val="35411821"/>
    <w:rsid w:val="35492DCC"/>
    <w:rsid w:val="354C5D51"/>
    <w:rsid w:val="354E4778"/>
    <w:rsid w:val="35507CB7"/>
    <w:rsid w:val="355157DD"/>
    <w:rsid w:val="355552CD"/>
    <w:rsid w:val="355771C9"/>
    <w:rsid w:val="355F614C"/>
    <w:rsid w:val="35614370"/>
    <w:rsid w:val="356814A4"/>
    <w:rsid w:val="356B2B4D"/>
    <w:rsid w:val="357065AB"/>
    <w:rsid w:val="357240D1"/>
    <w:rsid w:val="357249F7"/>
    <w:rsid w:val="35780FBB"/>
    <w:rsid w:val="357E26F0"/>
    <w:rsid w:val="357F234A"/>
    <w:rsid w:val="3583755C"/>
    <w:rsid w:val="358C5FA8"/>
    <w:rsid w:val="358E07DF"/>
    <w:rsid w:val="35943595"/>
    <w:rsid w:val="359E6C74"/>
    <w:rsid w:val="35A973C7"/>
    <w:rsid w:val="35AF0E81"/>
    <w:rsid w:val="35B00755"/>
    <w:rsid w:val="35B2271F"/>
    <w:rsid w:val="35B3528C"/>
    <w:rsid w:val="35B93AAE"/>
    <w:rsid w:val="35BC359E"/>
    <w:rsid w:val="35BE10C4"/>
    <w:rsid w:val="35C12962"/>
    <w:rsid w:val="35C15DF1"/>
    <w:rsid w:val="35CD7559"/>
    <w:rsid w:val="35DB2935"/>
    <w:rsid w:val="35E02ECA"/>
    <w:rsid w:val="35EA1EB9"/>
    <w:rsid w:val="35EB79DF"/>
    <w:rsid w:val="35ED3757"/>
    <w:rsid w:val="35ED7BFB"/>
    <w:rsid w:val="35F03248"/>
    <w:rsid w:val="35FC2242"/>
    <w:rsid w:val="36032F7B"/>
    <w:rsid w:val="36035EE7"/>
    <w:rsid w:val="36047377"/>
    <w:rsid w:val="36074A7F"/>
    <w:rsid w:val="3608233F"/>
    <w:rsid w:val="360867E3"/>
    <w:rsid w:val="361051BB"/>
    <w:rsid w:val="36105698"/>
    <w:rsid w:val="36127662"/>
    <w:rsid w:val="36140CE4"/>
    <w:rsid w:val="36154A5C"/>
    <w:rsid w:val="361E430E"/>
    <w:rsid w:val="36280C33"/>
    <w:rsid w:val="36370E76"/>
    <w:rsid w:val="36372C24"/>
    <w:rsid w:val="363E0457"/>
    <w:rsid w:val="36413AA3"/>
    <w:rsid w:val="364315C9"/>
    <w:rsid w:val="36483084"/>
    <w:rsid w:val="364A6BFE"/>
    <w:rsid w:val="36525CB0"/>
    <w:rsid w:val="36545958"/>
    <w:rsid w:val="365B2DB7"/>
    <w:rsid w:val="36617CA1"/>
    <w:rsid w:val="36625EF3"/>
    <w:rsid w:val="366559E4"/>
    <w:rsid w:val="36716136"/>
    <w:rsid w:val="36721EAF"/>
    <w:rsid w:val="367774C5"/>
    <w:rsid w:val="36783969"/>
    <w:rsid w:val="367B4F73"/>
    <w:rsid w:val="367B6FB5"/>
    <w:rsid w:val="36820344"/>
    <w:rsid w:val="36853990"/>
    <w:rsid w:val="36857E34"/>
    <w:rsid w:val="368A544A"/>
    <w:rsid w:val="368C11C2"/>
    <w:rsid w:val="369167D9"/>
    <w:rsid w:val="36923549"/>
    <w:rsid w:val="3693308E"/>
    <w:rsid w:val="369342FF"/>
    <w:rsid w:val="36941E25"/>
    <w:rsid w:val="36962041"/>
    <w:rsid w:val="369938DF"/>
    <w:rsid w:val="369A2F9E"/>
    <w:rsid w:val="369B7657"/>
    <w:rsid w:val="369E4A52"/>
    <w:rsid w:val="36A54032"/>
    <w:rsid w:val="36AC53C0"/>
    <w:rsid w:val="36B75FBF"/>
    <w:rsid w:val="36BA5D2F"/>
    <w:rsid w:val="36BD0C45"/>
    <w:rsid w:val="36BF3346"/>
    <w:rsid w:val="36C24BE4"/>
    <w:rsid w:val="36C7044C"/>
    <w:rsid w:val="36CA1CEB"/>
    <w:rsid w:val="36CA4314"/>
    <w:rsid w:val="36CA5847"/>
    <w:rsid w:val="36CE17DB"/>
    <w:rsid w:val="36D466C5"/>
    <w:rsid w:val="36DA1F2E"/>
    <w:rsid w:val="36DB5CA6"/>
    <w:rsid w:val="36DE12F2"/>
    <w:rsid w:val="36DF5796"/>
    <w:rsid w:val="36E0150E"/>
    <w:rsid w:val="37021484"/>
    <w:rsid w:val="370945C1"/>
    <w:rsid w:val="370C40B1"/>
    <w:rsid w:val="370E607B"/>
    <w:rsid w:val="371575B2"/>
    <w:rsid w:val="37160A8C"/>
    <w:rsid w:val="371B2546"/>
    <w:rsid w:val="371B60A2"/>
    <w:rsid w:val="371D62BE"/>
    <w:rsid w:val="372431A9"/>
    <w:rsid w:val="372E2279"/>
    <w:rsid w:val="373A4238"/>
    <w:rsid w:val="373F6235"/>
    <w:rsid w:val="37407074"/>
    <w:rsid w:val="374E5A9B"/>
    <w:rsid w:val="374E6478"/>
    <w:rsid w:val="375810A4"/>
    <w:rsid w:val="37621F23"/>
    <w:rsid w:val="37633C30"/>
    <w:rsid w:val="376712E7"/>
    <w:rsid w:val="37751C56"/>
    <w:rsid w:val="377F0D27"/>
    <w:rsid w:val="377F2AD5"/>
    <w:rsid w:val="378620B5"/>
    <w:rsid w:val="37895702"/>
    <w:rsid w:val="378D6FA0"/>
    <w:rsid w:val="378E0F6A"/>
    <w:rsid w:val="37927838"/>
    <w:rsid w:val="379C5435"/>
    <w:rsid w:val="37A24350"/>
    <w:rsid w:val="37A34A15"/>
    <w:rsid w:val="37A442EA"/>
    <w:rsid w:val="37B22EAA"/>
    <w:rsid w:val="37B7226F"/>
    <w:rsid w:val="37B95FE7"/>
    <w:rsid w:val="37BA58BB"/>
    <w:rsid w:val="37C16C4A"/>
    <w:rsid w:val="37C8447C"/>
    <w:rsid w:val="37C93D50"/>
    <w:rsid w:val="37CB2F5F"/>
    <w:rsid w:val="37CD3840"/>
    <w:rsid w:val="37CE1367"/>
    <w:rsid w:val="37D20E57"/>
    <w:rsid w:val="37D4618A"/>
    <w:rsid w:val="37E00298"/>
    <w:rsid w:val="37E42938"/>
    <w:rsid w:val="37E64902"/>
    <w:rsid w:val="37EA43F2"/>
    <w:rsid w:val="37EB798A"/>
    <w:rsid w:val="37F012DD"/>
    <w:rsid w:val="37FB65FF"/>
    <w:rsid w:val="37FC5ED4"/>
    <w:rsid w:val="3801173C"/>
    <w:rsid w:val="3801798E"/>
    <w:rsid w:val="38037262"/>
    <w:rsid w:val="380E117F"/>
    <w:rsid w:val="38196A86"/>
    <w:rsid w:val="382611A3"/>
    <w:rsid w:val="38303DCF"/>
    <w:rsid w:val="38325D99"/>
    <w:rsid w:val="38397128"/>
    <w:rsid w:val="383C4522"/>
    <w:rsid w:val="38417D8A"/>
    <w:rsid w:val="384635F3"/>
    <w:rsid w:val="384855BD"/>
    <w:rsid w:val="38530FF4"/>
    <w:rsid w:val="385A0785"/>
    <w:rsid w:val="385C4BC4"/>
    <w:rsid w:val="385E6B8E"/>
    <w:rsid w:val="386046B4"/>
    <w:rsid w:val="38673C95"/>
    <w:rsid w:val="38685317"/>
    <w:rsid w:val="386C3059"/>
    <w:rsid w:val="386F48F8"/>
    <w:rsid w:val="38710670"/>
    <w:rsid w:val="387320C2"/>
    <w:rsid w:val="387C7014"/>
    <w:rsid w:val="387E15D3"/>
    <w:rsid w:val="38877E93"/>
    <w:rsid w:val="388D1185"/>
    <w:rsid w:val="388F6D48"/>
    <w:rsid w:val="389425B0"/>
    <w:rsid w:val="3894610C"/>
    <w:rsid w:val="389D5322"/>
    <w:rsid w:val="38A5205B"/>
    <w:rsid w:val="38A722E3"/>
    <w:rsid w:val="38A8464C"/>
    <w:rsid w:val="38AA5930"/>
    <w:rsid w:val="38B16CBE"/>
    <w:rsid w:val="38B302F9"/>
    <w:rsid w:val="38B44A00"/>
    <w:rsid w:val="38CC1D4A"/>
    <w:rsid w:val="38CD161E"/>
    <w:rsid w:val="38CD7870"/>
    <w:rsid w:val="38DB3D3B"/>
    <w:rsid w:val="38E01351"/>
    <w:rsid w:val="38EA21D0"/>
    <w:rsid w:val="38EC5D6C"/>
    <w:rsid w:val="38EC5F48"/>
    <w:rsid w:val="38EE1CC0"/>
    <w:rsid w:val="38F12CD3"/>
    <w:rsid w:val="38F1355F"/>
    <w:rsid w:val="38F94775"/>
    <w:rsid w:val="390430DB"/>
    <w:rsid w:val="39052747"/>
    <w:rsid w:val="390A2872"/>
    <w:rsid w:val="390B0AC4"/>
    <w:rsid w:val="390F7E89"/>
    <w:rsid w:val="39180229"/>
    <w:rsid w:val="39184F8F"/>
    <w:rsid w:val="39185E50"/>
    <w:rsid w:val="39203E44"/>
    <w:rsid w:val="3925145A"/>
    <w:rsid w:val="392971ED"/>
    <w:rsid w:val="39325651"/>
    <w:rsid w:val="39333B77"/>
    <w:rsid w:val="3934169D"/>
    <w:rsid w:val="39363667"/>
    <w:rsid w:val="39447B32"/>
    <w:rsid w:val="394B4EDC"/>
    <w:rsid w:val="394E275F"/>
    <w:rsid w:val="394E6C03"/>
    <w:rsid w:val="395A55A8"/>
    <w:rsid w:val="396226AE"/>
    <w:rsid w:val="39665CFB"/>
    <w:rsid w:val="39685B45"/>
    <w:rsid w:val="396E2E01"/>
    <w:rsid w:val="3971469F"/>
    <w:rsid w:val="39726453"/>
    <w:rsid w:val="397F500E"/>
    <w:rsid w:val="398048E2"/>
    <w:rsid w:val="3983569C"/>
    <w:rsid w:val="398443D3"/>
    <w:rsid w:val="398919E9"/>
    <w:rsid w:val="39894589"/>
    <w:rsid w:val="398E34A3"/>
    <w:rsid w:val="39902D77"/>
    <w:rsid w:val="39965EB4"/>
    <w:rsid w:val="399D11AA"/>
    <w:rsid w:val="39AE76A2"/>
    <w:rsid w:val="39B06F76"/>
    <w:rsid w:val="39C3314D"/>
    <w:rsid w:val="39CB0253"/>
    <w:rsid w:val="39CB3DB0"/>
    <w:rsid w:val="39DF3CFF"/>
    <w:rsid w:val="39E37595"/>
    <w:rsid w:val="39E430C3"/>
    <w:rsid w:val="39EE5CF0"/>
    <w:rsid w:val="39F23A32"/>
    <w:rsid w:val="3A117D2D"/>
    <w:rsid w:val="3A175247"/>
    <w:rsid w:val="3A1E65D5"/>
    <w:rsid w:val="3A1F234D"/>
    <w:rsid w:val="3A1F40FB"/>
    <w:rsid w:val="3A241712"/>
    <w:rsid w:val="3A257964"/>
    <w:rsid w:val="3A2D4A6A"/>
    <w:rsid w:val="3A2D6EB6"/>
    <w:rsid w:val="3A3556CD"/>
    <w:rsid w:val="3A3E27D3"/>
    <w:rsid w:val="3A42620D"/>
    <w:rsid w:val="3A445910"/>
    <w:rsid w:val="3A500759"/>
    <w:rsid w:val="3A541FF7"/>
    <w:rsid w:val="3A59585F"/>
    <w:rsid w:val="3A5E69D2"/>
    <w:rsid w:val="3A60099C"/>
    <w:rsid w:val="3A655FB2"/>
    <w:rsid w:val="3A663AD8"/>
    <w:rsid w:val="3A695377"/>
    <w:rsid w:val="3A706705"/>
    <w:rsid w:val="3A775CE5"/>
    <w:rsid w:val="3A816B64"/>
    <w:rsid w:val="3A827971"/>
    <w:rsid w:val="3A836438"/>
    <w:rsid w:val="3A844C77"/>
    <w:rsid w:val="3A872856"/>
    <w:rsid w:val="3A8B353F"/>
    <w:rsid w:val="3A940645"/>
    <w:rsid w:val="3A944AE9"/>
    <w:rsid w:val="3A960861"/>
    <w:rsid w:val="3A9B19D4"/>
    <w:rsid w:val="3AA36E5C"/>
    <w:rsid w:val="3AA80595"/>
    <w:rsid w:val="3AAF36D1"/>
    <w:rsid w:val="3AB331C1"/>
    <w:rsid w:val="3ABB02C8"/>
    <w:rsid w:val="3ABE56C2"/>
    <w:rsid w:val="3AC21656"/>
    <w:rsid w:val="3AC86541"/>
    <w:rsid w:val="3ADB0022"/>
    <w:rsid w:val="3AE710BD"/>
    <w:rsid w:val="3AE96BE3"/>
    <w:rsid w:val="3AEA18BE"/>
    <w:rsid w:val="3AEA211D"/>
    <w:rsid w:val="3AEA4709"/>
    <w:rsid w:val="3AF64E5C"/>
    <w:rsid w:val="3AFB2473"/>
    <w:rsid w:val="3AFB3AFA"/>
    <w:rsid w:val="3AFE1F63"/>
    <w:rsid w:val="3B136E3E"/>
    <w:rsid w:val="3B1B0D67"/>
    <w:rsid w:val="3B251346"/>
    <w:rsid w:val="3B2A0FAA"/>
    <w:rsid w:val="3B337E5E"/>
    <w:rsid w:val="3B3763D1"/>
    <w:rsid w:val="3B424545"/>
    <w:rsid w:val="3B497682"/>
    <w:rsid w:val="3B4A33FA"/>
    <w:rsid w:val="3B530501"/>
    <w:rsid w:val="3B5379E6"/>
    <w:rsid w:val="3B555854"/>
    <w:rsid w:val="3B561D9F"/>
    <w:rsid w:val="3B5E2A01"/>
    <w:rsid w:val="3B620744"/>
    <w:rsid w:val="3B6306F9"/>
    <w:rsid w:val="3B64626A"/>
    <w:rsid w:val="3B653D90"/>
    <w:rsid w:val="3B677B08"/>
    <w:rsid w:val="3B6A75F8"/>
    <w:rsid w:val="3B6F4C0F"/>
    <w:rsid w:val="3B7364AD"/>
    <w:rsid w:val="3B7B209C"/>
    <w:rsid w:val="3B7C35D0"/>
    <w:rsid w:val="3B842468"/>
    <w:rsid w:val="3B8763FC"/>
    <w:rsid w:val="3B903503"/>
    <w:rsid w:val="3B9C6A51"/>
    <w:rsid w:val="3BA0301A"/>
    <w:rsid w:val="3BA23236"/>
    <w:rsid w:val="3BB37C45"/>
    <w:rsid w:val="3BB625E0"/>
    <w:rsid w:val="3BB865B6"/>
    <w:rsid w:val="3BBA40DC"/>
    <w:rsid w:val="3BBF7944"/>
    <w:rsid w:val="3BC42677"/>
    <w:rsid w:val="3BC9431F"/>
    <w:rsid w:val="3BCE5DD9"/>
    <w:rsid w:val="3BD05797"/>
    <w:rsid w:val="3BD3519D"/>
    <w:rsid w:val="3BD57167"/>
    <w:rsid w:val="3BDD426E"/>
    <w:rsid w:val="3BDF3B42"/>
    <w:rsid w:val="3BDF7FE6"/>
    <w:rsid w:val="3BE96B9A"/>
    <w:rsid w:val="3BED565D"/>
    <w:rsid w:val="3BF13876"/>
    <w:rsid w:val="3BFA097C"/>
    <w:rsid w:val="3BFB4A65"/>
    <w:rsid w:val="3BFC2946"/>
    <w:rsid w:val="3BFD046C"/>
    <w:rsid w:val="3BFF2436"/>
    <w:rsid w:val="3C025A83"/>
    <w:rsid w:val="3C0572CE"/>
    <w:rsid w:val="3C0B2B89"/>
    <w:rsid w:val="3C131DDA"/>
    <w:rsid w:val="3C1557B6"/>
    <w:rsid w:val="3C1A7270"/>
    <w:rsid w:val="3C1E28BD"/>
    <w:rsid w:val="3C215F09"/>
    <w:rsid w:val="3C243C4B"/>
    <w:rsid w:val="3C267A21"/>
    <w:rsid w:val="3C2B4FD9"/>
    <w:rsid w:val="3C2D0D52"/>
    <w:rsid w:val="3C2F6E1E"/>
    <w:rsid w:val="3C3420E0"/>
    <w:rsid w:val="3C356086"/>
    <w:rsid w:val="3C3C0F95"/>
    <w:rsid w:val="3C3E2F5F"/>
    <w:rsid w:val="3C4340D1"/>
    <w:rsid w:val="3C447E49"/>
    <w:rsid w:val="3C4936B2"/>
    <w:rsid w:val="3C4F5748"/>
    <w:rsid w:val="3C4F64BA"/>
    <w:rsid w:val="3C5A58BF"/>
    <w:rsid w:val="3C5C46B5"/>
    <w:rsid w:val="3C5E04BE"/>
    <w:rsid w:val="3C5F4C83"/>
    <w:rsid w:val="3C6329C5"/>
    <w:rsid w:val="3C652E3A"/>
    <w:rsid w:val="3C67435C"/>
    <w:rsid w:val="3C6D4704"/>
    <w:rsid w:val="3C7050E2"/>
    <w:rsid w:val="3C74072E"/>
    <w:rsid w:val="3C771FCD"/>
    <w:rsid w:val="3C7C3A87"/>
    <w:rsid w:val="3C7C75E3"/>
    <w:rsid w:val="3C805325"/>
    <w:rsid w:val="3C8B2F20"/>
    <w:rsid w:val="3C8D17F0"/>
    <w:rsid w:val="3C8F5568"/>
    <w:rsid w:val="3C990195"/>
    <w:rsid w:val="3C9F32D2"/>
    <w:rsid w:val="3CA14597"/>
    <w:rsid w:val="3CA54D8C"/>
    <w:rsid w:val="3CA57A27"/>
    <w:rsid w:val="3CA60B04"/>
    <w:rsid w:val="3CAA4150"/>
    <w:rsid w:val="3CAD59EE"/>
    <w:rsid w:val="3CAE6865"/>
    <w:rsid w:val="3CB13731"/>
    <w:rsid w:val="3CB44FCF"/>
    <w:rsid w:val="3CB925E5"/>
    <w:rsid w:val="3CC316B6"/>
    <w:rsid w:val="3CC35212"/>
    <w:rsid w:val="3CC65551"/>
    <w:rsid w:val="3CCA46AB"/>
    <w:rsid w:val="3CD411CD"/>
    <w:rsid w:val="3CD63197"/>
    <w:rsid w:val="3CD92C87"/>
    <w:rsid w:val="3CDA245A"/>
    <w:rsid w:val="3CDD2385"/>
    <w:rsid w:val="3CDD2778"/>
    <w:rsid w:val="3CEC364C"/>
    <w:rsid w:val="3CF655E7"/>
    <w:rsid w:val="3CF90C34"/>
    <w:rsid w:val="3CF950D8"/>
    <w:rsid w:val="3CF96E86"/>
    <w:rsid w:val="3D0715A3"/>
    <w:rsid w:val="3D0719EB"/>
    <w:rsid w:val="3D073351"/>
    <w:rsid w:val="3D111306"/>
    <w:rsid w:val="3D1A69F8"/>
    <w:rsid w:val="3D1B504E"/>
    <w:rsid w:val="3D1E06B7"/>
    <w:rsid w:val="3D23084F"/>
    <w:rsid w:val="3D2959BD"/>
    <w:rsid w:val="3D2A5291"/>
    <w:rsid w:val="3D2E2FD3"/>
    <w:rsid w:val="3D2F28A7"/>
    <w:rsid w:val="3D31661F"/>
    <w:rsid w:val="3D346110"/>
    <w:rsid w:val="3D361E88"/>
    <w:rsid w:val="3D42082D"/>
    <w:rsid w:val="3D430101"/>
    <w:rsid w:val="3D45031D"/>
    <w:rsid w:val="3D463317"/>
    <w:rsid w:val="3D465530"/>
    <w:rsid w:val="3D483969"/>
    <w:rsid w:val="3D511400"/>
    <w:rsid w:val="3D5A3DC8"/>
    <w:rsid w:val="3D5D7415"/>
    <w:rsid w:val="3D605157"/>
    <w:rsid w:val="3D66188F"/>
    <w:rsid w:val="3D673DEF"/>
    <w:rsid w:val="3D734E8A"/>
    <w:rsid w:val="3D736C38"/>
    <w:rsid w:val="3D785FFC"/>
    <w:rsid w:val="3D7D1865"/>
    <w:rsid w:val="3D7E738B"/>
    <w:rsid w:val="3D89645B"/>
    <w:rsid w:val="3D8E5820"/>
    <w:rsid w:val="3DA0445F"/>
    <w:rsid w:val="3DA46DF1"/>
    <w:rsid w:val="3DA7782D"/>
    <w:rsid w:val="3DB039E8"/>
    <w:rsid w:val="3DB159B2"/>
    <w:rsid w:val="3DB84F0F"/>
    <w:rsid w:val="3DBC05DF"/>
    <w:rsid w:val="3DBD7EB3"/>
    <w:rsid w:val="3DC079A3"/>
    <w:rsid w:val="3DC7000C"/>
    <w:rsid w:val="3DC70D32"/>
    <w:rsid w:val="3DCB6A74"/>
    <w:rsid w:val="3DCE0312"/>
    <w:rsid w:val="3DD43653"/>
    <w:rsid w:val="3DDA6CB7"/>
    <w:rsid w:val="3DDF36D9"/>
    <w:rsid w:val="3DE107F5"/>
    <w:rsid w:val="3DEA67CE"/>
    <w:rsid w:val="3DF17B5D"/>
    <w:rsid w:val="3DF338D5"/>
    <w:rsid w:val="3DF71617"/>
    <w:rsid w:val="3DF77869"/>
    <w:rsid w:val="3DFE0BF8"/>
    <w:rsid w:val="3E03620E"/>
    <w:rsid w:val="3E0E070F"/>
    <w:rsid w:val="3E126451"/>
    <w:rsid w:val="3E1321C9"/>
    <w:rsid w:val="3E155F41"/>
    <w:rsid w:val="3E1656A3"/>
    <w:rsid w:val="3E173A67"/>
    <w:rsid w:val="3E2148E6"/>
    <w:rsid w:val="3E234596"/>
    <w:rsid w:val="3E285C74"/>
    <w:rsid w:val="3E295549"/>
    <w:rsid w:val="3E2B12C1"/>
    <w:rsid w:val="3E3A1504"/>
    <w:rsid w:val="3E3C1720"/>
    <w:rsid w:val="3E3C527C"/>
    <w:rsid w:val="3E3F4D6C"/>
    <w:rsid w:val="3E434174"/>
    <w:rsid w:val="3E442382"/>
    <w:rsid w:val="3E524A9F"/>
    <w:rsid w:val="3E546A69"/>
    <w:rsid w:val="3E573E64"/>
    <w:rsid w:val="3E580CE6"/>
    <w:rsid w:val="3E594080"/>
    <w:rsid w:val="3E5D51F2"/>
    <w:rsid w:val="3E5E1696"/>
    <w:rsid w:val="3E66679D"/>
    <w:rsid w:val="3E682C90"/>
    <w:rsid w:val="3E75078E"/>
    <w:rsid w:val="3E751276"/>
    <w:rsid w:val="3E79027E"/>
    <w:rsid w:val="3E7A5DA4"/>
    <w:rsid w:val="3E7E5894"/>
    <w:rsid w:val="3E841E0C"/>
    <w:rsid w:val="3E864749"/>
    <w:rsid w:val="3E900306"/>
    <w:rsid w:val="3E917166"/>
    <w:rsid w:val="3E9230EE"/>
    <w:rsid w:val="3E966286"/>
    <w:rsid w:val="3E970704"/>
    <w:rsid w:val="3E976956"/>
    <w:rsid w:val="3E9926CE"/>
    <w:rsid w:val="3E9A6446"/>
    <w:rsid w:val="3E9E1A93"/>
    <w:rsid w:val="3EA82911"/>
    <w:rsid w:val="3EAD43CC"/>
    <w:rsid w:val="3EAF3CA0"/>
    <w:rsid w:val="3EB2553E"/>
    <w:rsid w:val="3EB3014F"/>
    <w:rsid w:val="3EB47508"/>
    <w:rsid w:val="3EB84021"/>
    <w:rsid w:val="3EBE3EE3"/>
    <w:rsid w:val="3EC51715"/>
    <w:rsid w:val="3EC55271"/>
    <w:rsid w:val="3EC62D97"/>
    <w:rsid w:val="3ED6747E"/>
    <w:rsid w:val="3EDA0523"/>
    <w:rsid w:val="3EE33949"/>
    <w:rsid w:val="3EE576C2"/>
    <w:rsid w:val="3EE80F60"/>
    <w:rsid w:val="3EEC64A8"/>
    <w:rsid w:val="3EEC6CA2"/>
    <w:rsid w:val="3EF21DDE"/>
    <w:rsid w:val="3EFA5FD0"/>
    <w:rsid w:val="3F055FB6"/>
    <w:rsid w:val="3F0B16E8"/>
    <w:rsid w:val="3F0F0BE2"/>
    <w:rsid w:val="3F122481"/>
    <w:rsid w:val="3F141D55"/>
    <w:rsid w:val="3F204B9E"/>
    <w:rsid w:val="3F214472"/>
    <w:rsid w:val="3F255D10"/>
    <w:rsid w:val="3F375A43"/>
    <w:rsid w:val="3F381EE7"/>
    <w:rsid w:val="3F3C35A7"/>
    <w:rsid w:val="3F3E27B9"/>
    <w:rsid w:val="3F4D5267"/>
    <w:rsid w:val="3F536D21"/>
    <w:rsid w:val="3F5465F5"/>
    <w:rsid w:val="3F5860E5"/>
    <w:rsid w:val="3F5E7474"/>
    <w:rsid w:val="3F650802"/>
    <w:rsid w:val="3F6C2C66"/>
    <w:rsid w:val="3F6F78D3"/>
    <w:rsid w:val="3F724CCD"/>
    <w:rsid w:val="3F731171"/>
    <w:rsid w:val="3F762A0F"/>
    <w:rsid w:val="3F88629F"/>
    <w:rsid w:val="3F8F3AD1"/>
    <w:rsid w:val="3F9335C1"/>
    <w:rsid w:val="3F966C0E"/>
    <w:rsid w:val="3FA44AFA"/>
    <w:rsid w:val="3FAE21A9"/>
    <w:rsid w:val="3FB84DD6"/>
    <w:rsid w:val="3FBD23EC"/>
    <w:rsid w:val="3FC03C8B"/>
    <w:rsid w:val="3FC45529"/>
    <w:rsid w:val="3FC92B3F"/>
    <w:rsid w:val="3FCA68B7"/>
    <w:rsid w:val="3FD85478"/>
    <w:rsid w:val="3FD87226"/>
    <w:rsid w:val="3FDA11F0"/>
    <w:rsid w:val="3FDA2F9E"/>
    <w:rsid w:val="3FDD65EB"/>
    <w:rsid w:val="3FE061A2"/>
    <w:rsid w:val="3FE21E53"/>
    <w:rsid w:val="3FE831C7"/>
    <w:rsid w:val="3FE931E1"/>
    <w:rsid w:val="3FEC3646"/>
    <w:rsid w:val="3FEE6A4A"/>
    <w:rsid w:val="3FEF631E"/>
    <w:rsid w:val="3FF102E8"/>
    <w:rsid w:val="3FF43934"/>
    <w:rsid w:val="3FFD6C8D"/>
    <w:rsid w:val="400224F5"/>
    <w:rsid w:val="40061FE5"/>
    <w:rsid w:val="40077B0C"/>
    <w:rsid w:val="40091794"/>
    <w:rsid w:val="400C0C7E"/>
    <w:rsid w:val="400C5122"/>
    <w:rsid w:val="400E0E9A"/>
    <w:rsid w:val="40155C28"/>
    <w:rsid w:val="40185875"/>
    <w:rsid w:val="4021297B"/>
    <w:rsid w:val="402D5DC0"/>
    <w:rsid w:val="40330901"/>
    <w:rsid w:val="403501D5"/>
    <w:rsid w:val="40382520"/>
    <w:rsid w:val="40414DCB"/>
    <w:rsid w:val="40442B0E"/>
    <w:rsid w:val="40442FF3"/>
    <w:rsid w:val="404448BC"/>
    <w:rsid w:val="40493C80"/>
    <w:rsid w:val="404C551E"/>
    <w:rsid w:val="404F5E7F"/>
    <w:rsid w:val="405014B2"/>
    <w:rsid w:val="40534AFF"/>
    <w:rsid w:val="40583EC3"/>
    <w:rsid w:val="405C1C05"/>
    <w:rsid w:val="405E3BCF"/>
    <w:rsid w:val="40610FCA"/>
    <w:rsid w:val="4061546E"/>
    <w:rsid w:val="40644F5E"/>
    <w:rsid w:val="406665E0"/>
    <w:rsid w:val="406867FC"/>
    <w:rsid w:val="40774C8D"/>
    <w:rsid w:val="40786313"/>
    <w:rsid w:val="407A6407"/>
    <w:rsid w:val="407C5E04"/>
    <w:rsid w:val="407F3B46"/>
    <w:rsid w:val="40844CB8"/>
    <w:rsid w:val="409018AF"/>
    <w:rsid w:val="40925627"/>
    <w:rsid w:val="4093314D"/>
    <w:rsid w:val="409969B6"/>
    <w:rsid w:val="409C64A6"/>
    <w:rsid w:val="40A37834"/>
    <w:rsid w:val="40A62E81"/>
    <w:rsid w:val="40AB0497"/>
    <w:rsid w:val="40AD06B3"/>
    <w:rsid w:val="40AF442B"/>
    <w:rsid w:val="40B05AAD"/>
    <w:rsid w:val="40B27A77"/>
    <w:rsid w:val="40BC08F6"/>
    <w:rsid w:val="40BE466E"/>
    <w:rsid w:val="40C61775"/>
    <w:rsid w:val="40C96B6F"/>
    <w:rsid w:val="40CD48B1"/>
    <w:rsid w:val="40D53766"/>
    <w:rsid w:val="40D914A8"/>
    <w:rsid w:val="40DC2D46"/>
    <w:rsid w:val="40FA4F7A"/>
    <w:rsid w:val="410127AD"/>
    <w:rsid w:val="41016309"/>
    <w:rsid w:val="41087697"/>
    <w:rsid w:val="410C362B"/>
    <w:rsid w:val="410F6C78"/>
    <w:rsid w:val="411261A2"/>
    <w:rsid w:val="41174D01"/>
    <w:rsid w:val="41287D39"/>
    <w:rsid w:val="412B15D8"/>
    <w:rsid w:val="412D35A2"/>
    <w:rsid w:val="41393CF5"/>
    <w:rsid w:val="41452699"/>
    <w:rsid w:val="414C3A28"/>
    <w:rsid w:val="415723CD"/>
    <w:rsid w:val="415D2AD3"/>
    <w:rsid w:val="415F0858"/>
    <w:rsid w:val="41652D3C"/>
    <w:rsid w:val="416D1BF0"/>
    <w:rsid w:val="416F547E"/>
    <w:rsid w:val="41780CC1"/>
    <w:rsid w:val="41782A6F"/>
    <w:rsid w:val="417B255F"/>
    <w:rsid w:val="417E204F"/>
    <w:rsid w:val="41815E93"/>
    <w:rsid w:val="41856F3A"/>
    <w:rsid w:val="41872CB2"/>
    <w:rsid w:val="41886A2A"/>
    <w:rsid w:val="41892A4D"/>
    <w:rsid w:val="41A05B22"/>
    <w:rsid w:val="41A90E7A"/>
    <w:rsid w:val="41AA074E"/>
    <w:rsid w:val="41AC44C7"/>
    <w:rsid w:val="41AE6491"/>
    <w:rsid w:val="41AF3CD7"/>
    <w:rsid w:val="41B17D2F"/>
    <w:rsid w:val="41B31CF9"/>
    <w:rsid w:val="41B4781F"/>
    <w:rsid w:val="41B82E6B"/>
    <w:rsid w:val="41B96BE3"/>
    <w:rsid w:val="41BE244C"/>
    <w:rsid w:val="41C45CB4"/>
    <w:rsid w:val="41C537DA"/>
    <w:rsid w:val="41C71300"/>
    <w:rsid w:val="41CE08E1"/>
    <w:rsid w:val="41CF6407"/>
    <w:rsid w:val="41D1217F"/>
    <w:rsid w:val="41E2438C"/>
    <w:rsid w:val="41E579D9"/>
    <w:rsid w:val="41E77BF5"/>
    <w:rsid w:val="41FB36A0"/>
    <w:rsid w:val="4200449D"/>
    <w:rsid w:val="42004812"/>
    <w:rsid w:val="420267DC"/>
    <w:rsid w:val="42044303"/>
    <w:rsid w:val="42084BCD"/>
    <w:rsid w:val="420E6F2F"/>
    <w:rsid w:val="4210424C"/>
    <w:rsid w:val="421F738E"/>
    <w:rsid w:val="422704AB"/>
    <w:rsid w:val="42277FF1"/>
    <w:rsid w:val="42312C1E"/>
    <w:rsid w:val="423647FC"/>
    <w:rsid w:val="42375CB6"/>
    <w:rsid w:val="423A3BCC"/>
    <w:rsid w:val="423B3A9C"/>
    <w:rsid w:val="423D46F9"/>
    <w:rsid w:val="423D7815"/>
    <w:rsid w:val="423F358D"/>
    <w:rsid w:val="42441464"/>
    <w:rsid w:val="424E557E"/>
    <w:rsid w:val="424E57D2"/>
    <w:rsid w:val="425608D6"/>
    <w:rsid w:val="425E3F7C"/>
    <w:rsid w:val="425F59DD"/>
    <w:rsid w:val="42660529"/>
    <w:rsid w:val="42666D6B"/>
    <w:rsid w:val="4269060A"/>
    <w:rsid w:val="426B6130"/>
    <w:rsid w:val="42733338"/>
    <w:rsid w:val="42786A9F"/>
    <w:rsid w:val="42843695"/>
    <w:rsid w:val="428C42F8"/>
    <w:rsid w:val="429338D8"/>
    <w:rsid w:val="42937435"/>
    <w:rsid w:val="429E3380"/>
    <w:rsid w:val="42A258CA"/>
    <w:rsid w:val="42A423A7"/>
    <w:rsid w:val="42A930FC"/>
    <w:rsid w:val="42AB6E74"/>
    <w:rsid w:val="42AC04F6"/>
    <w:rsid w:val="42B26C49"/>
    <w:rsid w:val="42B75819"/>
    <w:rsid w:val="42B775C7"/>
    <w:rsid w:val="42C121F4"/>
    <w:rsid w:val="42C41CE4"/>
    <w:rsid w:val="42C65A5C"/>
    <w:rsid w:val="42C910A8"/>
    <w:rsid w:val="42CB6BCE"/>
    <w:rsid w:val="42CD2946"/>
    <w:rsid w:val="42CE4911"/>
    <w:rsid w:val="42D27F5D"/>
    <w:rsid w:val="42D31F27"/>
    <w:rsid w:val="42DF08CC"/>
    <w:rsid w:val="42E11291"/>
    <w:rsid w:val="42E61C5A"/>
    <w:rsid w:val="42E859D2"/>
    <w:rsid w:val="42EA174A"/>
    <w:rsid w:val="42EF6761"/>
    <w:rsid w:val="42F06635"/>
    <w:rsid w:val="42F246C4"/>
    <w:rsid w:val="42FA5706"/>
    <w:rsid w:val="42FC147E"/>
    <w:rsid w:val="4300574F"/>
    <w:rsid w:val="4303280C"/>
    <w:rsid w:val="43081BD1"/>
    <w:rsid w:val="430D71E7"/>
    <w:rsid w:val="43100A85"/>
    <w:rsid w:val="431542ED"/>
    <w:rsid w:val="431762B8"/>
    <w:rsid w:val="431E13F4"/>
    <w:rsid w:val="4326474D"/>
    <w:rsid w:val="432664FB"/>
    <w:rsid w:val="43291D6E"/>
    <w:rsid w:val="432B3B11"/>
    <w:rsid w:val="4331234A"/>
    <w:rsid w:val="433830FE"/>
    <w:rsid w:val="433A6012"/>
    <w:rsid w:val="433A6FE6"/>
    <w:rsid w:val="433F0E43"/>
    <w:rsid w:val="43454BD3"/>
    <w:rsid w:val="43480868"/>
    <w:rsid w:val="434A3F97"/>
    <w:rsid w:val="4350713C"/>
    <w:rsid w:val="4355293C"/>
    <w:rsid w:val="43581FDB"/>
    <w:rsid w:val="4359067E"/>
    <w:rsid w:val="435968D0"/>
    <w:rsid w:val="436335E0"/>
    <w:rsid w:val="436653E0"/>
    <w:rsid w:val="43677588"/>
    <w:rsid w:val="436D5ED7"/>
    <w:rsid w:val="436F1C50"/>
    <w:rsid w:val="437149DE"/>
    <w:rsid w:val="43776D56"/>
    <w:rsid w:val="437B05F4"/>
    <w:rsid w:val="43805C0B"/>
    <w:rsid w:val="438356FB"/>
    <w:rsid w:val="438927A9"/>
    <w:rsid w:val="439416B6"/>
    <w:rsid w:val="439B2A45"/>
    <w:rsid w:val="43A318F9"/>
    <w:rsid w:val="43A35D9D"/>
    <w:rsid w:val="43A60007"/>
    <w:rsid w:val="43A87F0C"/>
    <w:rsid w:val="43AA0EDA"/>
    <w:rsid w:val="43AC6A00"/>
    <w:rsid w:val="43AE09CA"/>
    <w:rsid w:val="43AF64F0"/>
    <w:rsid w:val="43B253F6"/>
    <w:rsid w:val="43B35FE0"/>
    <w:rsid w:val="43B458B4"/>
    <w:rsid w:val="43B835F7"/>
    <w:rsid w:val="43BA1AA7"/>
    <w:rsid w:val="43BB4E95"/>
    <w:rsid w:val="43BC29BB"/>
    <w:rsid w:val="43BD2088"/>
    <w:rsid w:val="43BD6E5F"/>
    <w:rsid w:val="43BE6733"/>
    <w:rsid w:val="43C10346"/>
    <w:rsid w:val="43C4431A"/>
    <w:rsid w:val="43C6640E"/>
    <w:rsid w:val="43CD4BC8"/>
    <w:rsid w:val="43D16466"/>
    <w:rsid w:val="43D47D05"/>
    <w:rsid w:val="43D9531B"/>
    <w:rsid w:val="43E4263E"/>
    <w:rsid w:val="43E77A38"/>
    <w:rsid w:val="43E837B0"/>
    <w:rsid w:val="43EF1957"/>
    <w:rsid w:val="43F40D90"/>
    <w:rsid w:val="43F5028E"/>
    <w:rsid w:val="43F959BD"/>
    <w:rsid w:val="43FD505A"/>
    <w:rsid w:val="44024872"/>
    <w:rsid w:val="440525B4"/>
    <w:rsid w:val="44071E88"/>
    <w:rsid w:val="440B5E1C"/>
    <w:rsid w:val="440E3217"/>
    <w:rsid w:val="441445A5"/>
    <w:rsid w:val="441B5933"/>
    <w:rsid w:val="442B1BAA"/>
    <w:rsid w:val="442C7B41"/>
    <w:rsid w:val="4447497A"/>
    <w:rsid w:val="4450382F"/>
    <w:rsid w:val="445214A9"/>
    <w:rsid w:val="44531571"/>
    <w:rsid w:val="445B21D4"/>
    <w:rsid w:val="445C6678"/>
    <w:rsid w:val="44627A06"/>
    <w:rsid w:val="44641089"/>
    <w:rsid w:val="447C2876"/>
    <w:rsid w:val="448259B3"/>
    <w:rsid w:val="448654A3"/>
    <w:rsid w:val="44872FC9"/>
    <w:rsid w:val="44986F84"/>
    <w:rsid w:val="44AB6CB7"/>
    <w:rsid w:val="44B30262"/>
    <w:rsid w:val="44B951CC"/>
    <w:rsid w:val="44C53B12"/>
    <w:rsid w:val="44CD14E0"/>
    <w:rsid w:val="44CD20C7"/>
    <w:rsid w:val="44CF2D69"/>
    <w:rsid w:val="44CF6935"/>
    <w:rsid w:val="44D22496"/>
    <w:rsid w:val="44D3183E"/>
    <w:rsid w:val="44D65FFB"/>
    <w:rsid w:val="44DE708D"/>
    <w:rsid w:val="44DF1057"/>
    <w:rsid w:val="44E16B7D"/>
    <w:rsid w:val="44E5618C"/>
    <w:rsid w:val="44E73A68"/>
    <w:rsid w:val="44EE4DF6"/>
    <w:rsid w:val="44F20B0B"/>
    <w:rsid w:val="44F56185"/>
    <w:rsid w:val="44F763A1"/>
    <w:rsid w:val="44FF77C6"/>
    <w:rsid w:val="45014B29"/>
    <w:rsid w:val="4511241C"/>
    <w:rsid w:val="4517434D"/>
    <w:rsid w:val="4521341D"/>
    <w:rsid w:val="452847AC"/>
    <w:rsid w:val="452901C3"/>
    <w:rsid w:val="452D1DC2"/>
    <w:rsid w:val="452E5F4C"/>
    <w:rsid w:val="45322F35"/>
    <w:rsid w:val="453A003B"/>
    <w:rsid w:val="453D5C70"/>
    <w:rsid w:val="45435142"/>
    <w:rsid w:val="454809AA"/>
    <w:rsid w:val="45486BFC"/>
    <w:rsid w:val="454D4212"/>
    <w:rsid w:val="45513D03"/>
    <w:rsid w:val="45612018"/>
    <w:rsid w:val="45633A36"/>
    <w:rsid w:val="456443B5"/>
    <w:rsid w:val="4568104C"/>
    <w:rsid w:val="45682DFA"/>
    <w:rsid w:val="456926CF"/>
    <w:rsid w:val="45703A5D"/>
    <w:rsid w:val="4571549B"/>
    <w:rsid w:val="4574179F"/>
    <w:rsid w:val="4577128F"/>
    <w:rsid w:val="45792014"/>
    <w:rsid w:val="45806396"/>
    <w:rsid w:val="45833790"/>
    <w:rsid w:val="458946E9"/>
    <w:rsid w:val="458B11BD"/>
    <w:rsid w:val="45965BB9"/>
    <w:rsid w:val="4597548E"/>
    <w:rsid w:val="4597723C"/>
    <w:rsid w:val="459B31D0"/>
    <w:rsid w:val="459B4F7E"/>
    <w:rsid w:val="45A47C0E"/>
    <w:rsid w:val="45AB2CE7"/>
    <w:rsid w:val="45AF4585"/>
    <w:rsid w:val="45B6791C"/>
    <w:rsid w:val="45B778DE"/>
    <w:rsid w:val="45BE0C6C"/>
    <w:rsid w:val="45C02C36"/>
    <w:rsid w:val="45C21642"/>
    <w:rsid w:val="45C85647"/>
    <w:rsid w:val="45CE5353"/>
    <w:rsid w:val="45D24718"/>
    <w:rsid w:val="45D264C6"/>
    <w:rsid w:val="45D40490"/>
    <w:rsid w:val="45DE130F"/>
    <w:rsid w:val="45E57758"/>
    <w:rsid w:val="45E701C3"/>
    <w:rsid w:val="45EA380F"/>
    <w:rsid w:val="45EA6BA0"/>
    <w:rsid w:val="45EC7588"/>
    <w:rsid w:val="45F34DBA"/>
    <w:rsid w:val="45F62FA2"/>
    <w:rsid w:val="45FB77CB"/>
    <w:rsid w:val="45FE72BB"/>
    <w:rsid w:val="460B122C"/>
    <w:rsid w:val="460C7C2A"/>
    <w:rsid w:val="460F14C8"/>
    <w:rsid w:val="46116FEE"/>
    <w:rsid w:val="461940F5"/>
    <w:rsid w:val="46207231"/>
    <w:rsid w:val="4622321D"/>
    <w:rsid w:val="4623563F"/>
    <w:rsid w:val="46244F73"/>
    <w:rsid w:val="462C02CC"/>
    <w:rsid w:val="46317690"/>
    <w:rsid w:val="46342CDD"/>
    <w:rsid w:val="463A4797"/>
    <w:rsid w:val="463B6FDA"/>
    <w:rsid w:val="4647518E"/>
    <w:rsid w:val="464E1FF0"/>
    <w:rsid w:val="464E3D9E"/>
    <w:rsid w:val="464F5D68"/>
    <w:rsid w:val="46577FD6"/>
    <w:rsid w:val="46647A66"/>
    <w:rsid w:val="466730B2"/>
    <w:rsid w:val="4670653C"/>
    <w:rsid w:val="46727FE3"/>
    <w:rsid w:val="46780E1B"/>
    <w:rsid w:val="46785889"/>
    <w:rsid w:val="467A2DE5"/>
    <w:rsid w:val="46804174"/>
    <w:rsid w:val="468C306A"/>
    <w:rsid w:val="468C48C7"/>
    <w:rsid w:val="469519CD"/>
    <w:rsid w:val="46965745"/>
    <w:rsid w:val="46A2058E"/>
    <w:rsid w:val="46A24AF9"/>
    <w:rsid w:val="46A47E62"/>
    <w:rsid w:val="46AB11F1"/>
    <w:rsid w:val="46B1432D"/>
    <w:rsid w:val="46B34549"/>
    <w:rsid w:val="46BC33FE"/>
    <w:rsid w:val="46BE763A"/>
    <w:rsid w:val="46BF4C9C"/>
    <w:rsid w:val="46C10A14"/>
    <w:rsid w:val="46C422B2"/>
    <w:rsid w:val="46C91677"/>
    <w:rsid w:val="46CC1167"/>
    <w:rsid w:val="46CD560B"/>
    <w:rsid w:val="46D30747"/>
    <w:rsid w:val="46D52711"/>
    <w:rsid w:val="46D955A7"/>
    <w:rsid w:val="46E22739"/>
    <w:rsid w:val="46F25071"/>
    <w:rsid w:val="46F62029"/>
    <w:rsid w:val="470728F3"/>
    <w:rsid w:val="470923BB"/>
    <w:rsid w:val="470B7EE1"/>
    <w:rsid w:val="470D1EAB"/>
    <w:rsid w:val="47121270"/>
    <w:rsid w:val="47133957"/>
    <w:rsid w:val="4719790D"/>
    <w:rsid w:val="471D19C3"/>
    <w:rsid w:val="472114B3"/>
    <w:rsid w:val="472D4FA9"/>
    <w:rsid w:val="472D7E58"/>
    <w:rsid w:val="473A2575"/>
    <w:rsid w:val="473C009B"/>
    <w:rsid w:val="47431429"/>
    <w:rsid w:val="47543636"/>
    <w:rsid w:val="475A2C17"/>
    <w:rsid w:val="475A49C5"/>
    <w:rsid w:val="475C073D"/>
    <w:rsid w:val="47631ACB"/>
    <w:rsid w:val="476615BC"/>
    <w:rsid w:val="47694C08"/>
    <w:rsid w:val="47794E4B"/>
    <w:rsid w:val="477A41B1"/>
    <w:rsid w:val="477A6E15"/>
    <w:rsid w:val="477C5785"/>
    <w:rsid w:val="47863A0C"/>
    <w:rsid w:val="478657BA"/>
    <w:rsid w:val="479003E6"/>
    <w:rsid w:val="47A07E0C"/>
    <w:rsid w:val="47A143A2"/>
    <w:rsid w:val="47AD0F98"/>
    <w:rsid w:val="47B16CDB"/>
    <w:rsid w:val="47BA5463"/>
    <w:rsid w:val="47BC11DC"/>
    <w:rsid w:val="47C9433C"/>
    <w:rsid w:val="47D74267"/>
    <w:rsid w:val="47DB78B4"/>
    <w:rsid w:val="47E0311C"/>
    <w:rsid w:val="47E66258"/>
    <w:rsid w:val="47E80223"/>
    <w:rsid w:val="47EA3F9B"/>
    <w:rsid w:val="47F210A1"/>
    <w:rsid w:val="47FB1C56"/>
    <w:rsid w:val="48036E0A"/>
    <w:rsid w:val="480706A9"/>
    <w:rsid w:val="480C51A9"/>
    <w:rsid w:val="480F1C53"/>
    <w:rsid w:val="48147269"/>
    <w:rsid w:val="48166B3E"/>
    <w:rsid w:val="48180B08"/>
    <w:rsid w:val="481B05F8"/>
    <w:rsid w:val="481C3C42"/>
    <w:rsid w:val="48205C0E"/>
    <w:rsid w:val="48216060"/>
    <w:rsid w:val="4825710A"/>
    <w:rsid w:val="48276F9D"/>
    <w:rsid w:val="4832149E"/>
    <w:rsid w:val="48343468"/>
    <w:rsid w:val="48435459"/>
    <w:rsid w:val="484A67E7"/>
    <w:rsid w:val="484F2050"/>
    <w:rsid w:val="48537D92"/>
    <w:rsid w:val="48541414"/>
    <w:rsid w:val="48547666"/>
    <w:rsid w:val="485B6C46"/>
    <w:rsid w:val="4860600B"/>
    <w:rsid w:val="4870272E"/>
    <w:rsid w:val="487321E2"/>
    <w:rsid w:val="48741AB6"/>
    <w:rsid w:val="4874727A"/>
    <w:rsid w:val="48790E7B"/>
    <w:rsid w:val="487A531F"/>
    <w:rsid w:val="48840A33"/>
    <w:rsid w:val="48861F15"/>
    <w:rsid w:val="488717E9"/>
    <w:rsid w:val="48877A3B"/>
    <w:rsid w:val="48897310"/>
    <w:rsid w:val="488C6E00"/>
    <w:rsid w:val="489108BA"/>
    <w:rsid w:val="48967C7F"/>
    <w:rsid w:val="489857A5"/>
    <w:rsid w:val="48AB2A1C"/>
    <w:rsid w:val="48AC7AFB"/>
    <w:rsid w:val="48AE6D76"/>
    <w:rsid w:val="48B16866"/>
    <w:rsid w:val="48B84099"/>
    <w:rsid w:val="48B9451E"/>
    <w:rsid w:val="48BB1493"/>
    <w:rsid w:val="48C4659A"/>
    <w:rsid w:val="48CF6744"/>
    <w:rsid w:val="48D45AB6"/>
    <w:rsid w:val="48D72771"/>
    <w:rsid w:val="48DA5DBD"/>
    <w:rsid w:val="48E704DA"/>
    <w:rsid w:val="48EA2154"/>
    <w:rsid w:val="48EB1D78"/>
    <w:rsid w:val="48EB621C"/>
    <w:rsid w:val="48F0286C"/>
    <w:rsid w:val="48F14EB5"/>
    <w:rsid w:val="4906149B"/>
    <w:rsid w:val="490746D8"/>
    <w:rsid w:val="490B41C9"/>
    <w:rsid w:val="490C1CEF"/>
    <w:rsid w:val="49115557"/>
    <w:rsid w:val="49153299"/>
    <w:rsid w:val="49163EDA"/>
    <w:rsid w:val="49212C3C"/>
    <w:rsid w:val="49247038"/>
    <w:rsid w:val="49331971"/>
    <w:rsid w:val="493556E9"/>
    <w:rsid w:val="493C4382"/>
    <w:rsid w:val="493D634C"/>
    <w:rsid w:val="493F3E72"/>
    <w:rsid w:val="494616A5"/>
    <w:rsid w:val="49496A9F"/>
    <w:rsid w:val="494D658F"/>
    <w:rsid w:val="494E2307"/>
    <w:rsid w:val="49520049"/>
    <w:rsid w:val="49521DF7"/>
    <w:rsid w:val="495C67D2"/>
    <w:rsid w:val="495D254A"/>
    <w:rsid w:val="495E079C"/>
    <w:rsid w:val="49634005"/>
    <w:rsid w:val="49635DB3"/>
    <w:rsid w:val="49693CBF"/>
    <w:rsid w:val="496B4C67"/>
    <w:rsid w:val="497004D0"/>
    <w:rsid w:val="49746212"/>
    <w:rsid w:val="49804BB7"/>
    <w:rsid w:val="4981448B"/>
    <w:rsid w:val="498D1081"/>
    <w:rsid w:val="498D72D3"/>
    <w:rsid w:val="499248EA"/>
    <w:rsid w:val="49951CE4"/>
    <w:rsid w:val="49A34401"/>
    <w:rsid w:val="49AA39E1"/>
    <w:rsid w:val="49B97F5E"/>
    <w:rsid w:val="49C12A7C"/>
    <w:rsid w:val="49C16F7D"/>
    <w:rsid w:val="49C5081B"/>
    <w:rsid w:val="49C820BA"/>
    <w:rsid w:val="49CD0FA2"/>
    <w:rsid w:val="49DC7715"/>
    <w:rsid w:val="49E113CD"/>
    <w:rsid w:val="49E32BE6"/>
    <w:rsid w:val="49EA2030"/>
    <w:rsid w:val="49EA64D4"/>
    <w:rsid w:val="49ED1B20"/>
    <w:rsid w:val="49EF3AEA"/>
    <w:rsid w:val="49F033BE"/>
    <w:rsid w:val="49F44C5D"/>
    <w:rsid w:val="49F509D5"/>
    <w:rsid w:val="49FD6841"/>
    <w:rsid w:val="4A013C4D"/>
    <w:rsid w:val="4A0155CC"/>
    <w:rsid w:val="4A01737A"/>
    <w:rsid w:val="4A023139"/>
    <w:rsid w:val="4A031344"/>
    <w:rsid w:val="4A0A4656"/>
    <w:rsid w:val="4A0D21C2"/>
    <w:rsid w:val="4A113A61"/>
    <w:rsid w:val="4A1470AD"/>
    <w:rsid w:val="4A1D52F6"/>
    <w:rsid w:val="4A225C6E"/>
    <w:rsid w:val="4A2319E6"/>
    <w:rsid w:val="4A235542"/>
    <w:rsid w:val="4A253068"/>
    <w:rsid w:val="4A282B58"/>
    <w:rsid w:val="4A2D63C1"/>
    <w:rsid w:val="4A315017"/>
    <w:rsid w:val="4A34774F"/>
    <w:rsid w:val="4A3B6D2F"/>
    <w:rsid w:val="4A426338"/>
    <w:rsid w:val="4A4554B8"/>
    <w:rsid w:val="4A495FA8"/>
    <w:rsid w:val="4A4F27DB"/>
    <w:rsid w:val="4A5170AE"/>
    <w:rsid w:val="4A541B9F"/>
    <w:rsid w:val="4A5E7611"/>
    <w:rsid w:val="4A730277"/>
    <w:rsid w:val="4A78588E"/>
    <w:rsid w:val="4A7B576F"/>
    <w:rsid w:val="4A7E2A5B"/>
    <w:rsid w:val="4A7F4855"/>
    <w:rsid w:val="4A8204BA"/>
    <w:rsid w:val="4A822161"/>
    <w:rsid w:val="4A835FE1"/>
    <w:rsid w:val="4A8561FD"/>
    <w:rsid w:val="4A871F75"/>
    <w:rsid w:val="4A8A736F"/>
    <w:rsid w:val="4A8C1339"/>
    <w:rsid w:val="4A8F4985"/>
    <w:rsid w:val="4A917BCE"/>
    <w:rsid w:val="4A930919"/>
    <w:rsid w:val="4AA04DE4"/>
    <w:rsid w:val="4AA91EEB"/>
    <w:rsid w:val="4AAE5753"/>
    <w:rsid w:val="4AB10DA0"/>
    <w:rsid w:val="4AB50890"/>
    <w:rsid w:val="4AB56AE2"/>
    <w:rsid w:val="4AB83EDC"/>
    <w:rsid w:val="4ABB1C1E"/>
    <w:rsid w:val="4ABD7744"/>
    <w:rsid w:val="4AC9433B"/>
    <w:rsid w:val="4ACC730D"/>
    <w:rsid w:val="4AD14F9E"/>
    <w:rsid w:val="4AD60806"/>
    <w:rsid w:val="4ADD1B95"/>
    <w:rsid w:val="4ADF3B5F"/>
    <w:rsid w:val="4AE01685"/>
    <w:rsid w:val="4AE051E1"/>
    <w:rsid w:val="4AE271AB"/>
    <w:rsid w:val="4AEC002A"/>
    <w:rsid w:val="4AEE07B5"/>
    <w:rsid w:val="4AF018C8"/>
    <w:rsid w:val="4AF4327F"/>
    <w:rsid w:val="4AF561A9"/>
    <w:rsid w:val="4AF64A04"/>
    <w:rsid w:val="4B052E99"/>
    <w:rsid w:val="4B076C12"/>
    <w:rsid w:val="4B11183E"/>
    <w:rsid w:val="4B133808"/>
    <w:rsid w:val="4B137364"/>
    <w:rsid w:val="4B217CD3"/>
    <w:rsid w:val="4B2D52E4"/>
    <w:rsid w:val="4B3B68BB"/>
    <w:rsid w:val="4B3F63AB"/>
    <w:rsid w:val="4B425E9C"/>
    <w:rsid w:val="4B441C14"/>
    <w:rsid w:val="4B4E6182"/>
    <w:rsid w:val="4B5005B9"/>
    <w:rsid w:val="4B551144"/>
    <w:rsid w:val="4B58746D"/>
    <w:rsid w:val="4B5C6F5D"/>
    <w:rsid w:val="4B6422B6"/>
    <w:rsid w:val="4B64762F"/>
    <w:rsid w:val="4B692A55"/>
    <w:rsid w:val="4B693428"/>
    <w:rsid w:val="4B6B71A0"/>
    <w:rsid w:val="4B6E6C91"/>
    <w:rsid w:val="4B72052F"/>
    <w:rsid w:val="4B7C13AE"/>
    <w:rsid w:val="4B8169C4"/>
    <w:rsid w:val="4B8A1D1C"/>
    <w:rsid w:val="4B9A5CD8"/>
    <w:rsid w:val="4B9C1A50"/>
    <w:rsid w:val="4BA95F1B"/>
    <w:rsid w:val="4BA97BA4"/>
    <w:rsid w:val="4BB275BC"/>
    <w:rsid w:val="4BB328F5"/>
    <w:rsid w:val="4BB70638"/>
    <w:rsid w:val="4BBC5C4E"/>
    <w:rsid w:val="4BC27510"/>
    <w:rsid w:val="4BC30D8B"/>
    <w:rsid w:val="4BCD1C09"/>
    <w:rsid w:val="4BCE772F"/>
    <w:rsid w:val="4BCF3BD3"/>
    <w:rsid w:val="4BD56D10"/>
    <w:rsid w:val="4BE27BE6"/>
    <w:rsid w:val="4BE3142D"/>
    <w:rsid w:val="4BE33F9B"/>
    <w:rsid w:val="4BEC01DC"/>
    <w:rsid w:val="4BF30464"/>
    <w:rsid w:val="4BFC429C"/>
    <w:rsid w:val="4C027573"/>
    <w:rsid w:val="4C03562B"/>
    <w:rsid w:val="4C0C0983"/>
    <w:rsid w:val="4C0E4C32"/>
    <w:rsid w:val="4C123AC0"/>
    <w:rsid w:val="4C1579F6"/>
    <w:rsid w:val="4C1710D6"/>
    <w:rsid w:val="4C1B2975"/>
    <w:rsid w:val="4C2061DD"/>
    <w:rsid w:val="4C211F55"/>
    <w:rsid w:val="4C2555A1"/>
    <w:rsid w:val="4C2C4B82"/>
    <w:rsid w:val="4C324162"/>
    <w:rsid w:val="4C3C28EB"/>
    <w:rsid w:val="4C40062D"/>
    <w:rsid w:val="4C417F01"/>
    <w:rsid w:val="4C4A0649"/>
    <w:rsid w:val="4C4F261E"/>
    <w:rsid w:val="4C5145E8"/>
    <w:rsid w:val="4C561BFF"/>
    <w:rsid w:val="4C59524B"/>
    <w:rsid w:val="4C675BBA"/>
    <w:rsid w:val="4C6D6F48"/>
    <w:rsid w:val="4C6F2CC0"/>
    <w:rsid w:val="4C7107E7"/>
    <w:rsid w:val="4C760D25"/>
    <w:rsid w:val="4C787DC7"/>
    <w:rsid w:val="4C7B1665"/>
    <w:rsid w:val="4C7E5ECA"/>
    <w:rsid w:val="4C856040"/>
    <w:rsid w:val="4C876AA5"/>
    <w:rsid w:val="4C8A5D4C"/>
    <w:rsid w:val="4C8D1398"/>
    <w:rsid w:val="4C957FC6"/>
    <w:rsid w:val="4C963EE9"/>
    <w:rsid w:val="4C96740C"/>
    <w:rsid w:val="4C9965DB"/>
    <w:rsid w:val="4CAA3CF8"/>
    <w:rsid w:val="4CAD5597"/>
    <w:rsid w:val="4CB4635D"/>
    <w:rsid w:val="4CB86415"/>
    <w:rsid w:val="4CBB5F06"/>
    <w:rsid w:val="4CBB7CB4"/>
    <w:rsid w:val="4CBF0DBD"/>
    <w:rsid w:val="4CC34DBA"/>
    <w:rsid w:val="4CC54B9A"/>
    <w:rsid w:val="4CCA5ABE"/>
    <w:rsid w:val="4CCA7EF7"/>
    <w:rsid w:val="4CCE79E7"/>
    <w:rsid w:val="4CD46FC7"/>
    <w:rsid w:val="4CE00E0F"/>
    <w:rsid w:val="4CE52F83"/>
    <w:rsid w:val="4CF11927"/>
    <w:rsid w:val="4CF51418"/>
    <w:rsid w:val="4CF91FCC"/>
    <w:rsid w:val="4D001B6A"/>
    <w:rsid w:val="4D023B34"/>
    <w:rsid w:val="4D0258E3"/>
    <w:rsid w:val="4D053FB2"/>
    <w:rsid w:val="4D063625"/>
    <w:rsid w:val="4D096C71"/>
    <w:rsid w:val="4D0E00FB"/>
    <w:rsid w:val="4D113D78"/>
    <w:rsid w:val="4D115B26"/>
    <w:rsid w:val="4D13189E"/>
    <w:rsid w:val="4D137AF0"/>
    <w:rsid w:val="4D16176A"/>
    <w:rsid w:val="4D176606"/>
    <w:rsid w:val="4D183358"/>
    <w:rsid w:val="4D1B4BF6"/>
    <w:rsid w:val="4D1D271C"/>
    <w:rsid w:val="4D243AAB"/>
    <w:rsid w:val="4D3178A1"/>
    <w:rsid w:val="4D3A32CE"/>
    <w:rsid w:val="4D493511"/>
    <w:rsid w:val="4D4E0B28"/>
    <w:rsid w:val="4D50664E"/>
    <w:rsid w:val="4D52686A"/>
    <w:rsid w:val="4D5B0D0C"/>
    <w:rsid w:val="4D5C3245"/>
    <w:rsid w:val="4D662315"/>
    <w:rsid w:val="4D665E71"/>
    <w:rsid w:val="4D677E3B"/>
    <w:rsid w:val="4D6E11CA"/>
    <w:rsid w:val="4D720CBA"/>
    <w:rsid w:val="4D7B7443"/>
    <w:rsid w:val="4D7D31BB"/>
    <w:rsid w:val="4D7F0CE1"/>
    <w:rsid w:val="4D812130"/>
    <w:rsid w:val="4D812CAB"/>
    <w:rsid w:val="4D814A59"/>
    <w:rsid w:val="4D8207D1"/>
    <w:rsid w:val="4D8339E7"/>
    <w:rsid w:val="4D834C75"/>
    <w:rsid w:val="4D891B60"/>
    <w:rsid w:val="4D896004"/>
    <w:rsid w:val="4D950505"/>
    <w:rsid w:val="4D9518BE"/>
    <w:rsid w:val="4D981DA3"/>
    <w:rsid w:val="4D9A3D6D"/>
    <w:rsid w:val="4D9A6E74"/>
    <w:rsid w:val="4DB72B71"/>
    <w:rsid w:val="4DBB45B6"/>
    <w:rsid w:val="4DC06882"/>
    <w:rsid w:val="4DC112FA"/>
    <w:rsid w:val="4DC25072"/>
    <w:rsid w:val="4DCA28A4"/>
    <w:rsid w:val="4DD54DA5"/>
    <w:rsid w:val="4DD70B1D"/>
    <w:rsid w:val="4DD74FC1"/>
    <w:rsid w:val="4DD92AE7"/>
    <w:rsid w:val="4DE07A13"/>
    <w:rsid w:val="4DE35714"/>
    <w:rsid w:val="4DEB45C9"/>
    <w:rsid w:val="4DEC4FB0"/>
    <w:rsid w:val="4DEF40B9"/>
    <w:rsid w:val="4DF06083"/>
    <w:rsid w:val="4DF32DAE"/>
    <w:rsid w:val="4DF72F6D"/>
    <w:rsid w:val="4DFC49A5"/>
    <w:rsid w:val="4DFE60AA"/>
    <w:rsid w:val="4E067654"/>
    <w:rsid w:val="4E075D8A"/>
    <w:rsid w:val="4E0B07C7"/>
    <w:rsid w:val="4E0D09E3"/>
    <w:rsid w:val="4E0F6509"/>
    <w:rsid w:val="4E191136"/>
    <w:rsid w:val="4E240D43"/>
    <w:rsid w:val="4E261AA5"/>
    <w:rsid w:val="4E2A3474"/>
    <w:rsid w:val="4E393586"/>
    <w:rsid w:val="4E3A10AC"/>
    <w:rsid w:val="4E3E0B9C"/>
    <w:rsid w:val="4E404914"/>
    <w:rsid w:val="4E4C2032"/>
    <w:rsid w:val="4E5959D6"/>
    <w:rsid w:val="4E5A52AA"/>
    <w:rsid w:val="4E5B174E"/>
    <w:rsid w:val="4E604FB7"/>
    <w:rsid w:val="4E656129"/>
    <w:rsid w:val="4E687D9B"/>
    <w:rsid w:val="4E760336"/>
    <w:rsid w:val="4E7740AE"/>
    <w:rsid w:val="4E7E368F"/>
    <w:rsid w:val="4E86609F"/>
    <w:rsid w:val="4E8862BB"/>
    <w:rsid w:val="4E8D5680"/>
    <w:rsid w:val="4E9764FE"/>
    <w:rsid w:val="4E9B7D9D"/>
    <w:rsid w:val="4EA529C9"/>
    <w:rsid w:val="4EA824BA"/>
    <w:rsid w:val="4EAA7FE0"/>
    <w:rsid w:val="4EAB722A"/>
    <w:rsid w:val="4EAC3D58"/>
    <w:rsid w:val="4EAF3848"/>
    <w:rsid w:val="4EB86BA1"/>
    <w:rsid w:val="4EB946C7"/>
    <w:rsid w:val="4EBB21ED"/>
    <w:rsid w:val="4EC00FAD"/>
    <w:rsid w:val="4EC015B1"/>
    <w:rsid w:val="4EC36343"/>
    <w:rsid w:val="4EC866B8"/>
    <w:rsid w:val="4ECD6284"/>
    <w:rsid w:val="4ED37BF8"/>
    <w:rsid w:val="4ED4505D"/>
    <w:rsid w:val="4EDB63EB"/>
    <w:rsid w:val="4EE5726A"/>
    <w:rsid w:val="4EE94FAC"/>
    <w:rsid w:val="4EF13E61"/>
    <w:rsid w:val="4EF474AD"/>
    <w:rsid w:val="4EF94AC3"/>
    <w:rsid w:val="4EF96AEF"/>
    <w:rsid w:val="4EFE032C"/>
    <w:rsid w:val="4F0A54F2"/>
    <w:rsid w:val="4F10078B"/>
    <w:rsid w:val="4F1D3C96"/>
    <w:rsid w:val="4F2064F4"/>
    <w:rsid w:val="4F244236"/>
    <w:rsid w:val="4F293C72"/>
    <w:rsid w:val="4F2A7373"/>
    <w:rsid w:val="4F2B766C"/>
    <w:rsid w:val="4F2C6C47"/>
    <w:rsid w:val="4F2F6737"/>
    <w:rsid w:val="4F304531"/>
    <w:rsid w:val="4F322963"/>
    <w:rsid w:val="4F4246BC"/>
    <w:rsid w:val="4F4A3571"/>
    <w:rsid w:val="4F4A6729"/>
    <w:rsid w:val="4F4F2935"/>
    <w:rsid w:val="4F561F16"/>
    <w:rsid w:val="4F5C39D0"/>
    <w:rsid w:val="4F652159"/>
    <w:rsid w:val="4F666F1D"/>
    <w:rsid w:val="4F697E9B"/>
    <w:rsid w:val="4F6B59C1"/>
    <w:rsid w:val="4F732AC8"/>
    <w:rsid w:val="4F77642C"/>
    <w:rsid w:val="4F813436"/>
    <w:rsid w:val="4F8B1BBF"/>
    <w:rsid w:val="4F934F18"/>
    <w:rsid w:val="4F9843DC"/>
    <w:rsid w:val="4F9D7B44"/>
    <w:rsid w:val="4FA71C3F"/>
    <w:rsid w:val="4FA9473B"/>
    <w:rsid w:val="4FA969EF"/>
    <w:rsid w:val="4FAE3B00"/>
    <w:rsid w:val="4FB85557"/>
    <w:rsid w:val="4FC41575"/>
    <w:rsid w:val="4FC62A8C"/>
    <w:rsid w:val="4FCC3F86"/>
    <w:rsid w:val="4FD23C92"/>
    <w:rsid w:val="4FD712A8"/>
    <w:rsid w:val="4FD74E04"/>
    <w:rsid w:val="4FE13ED5"/>
    <w:rsid w:val="4FE20F0D"/>
    <w:rsid w:val="4FE45773"/>
    <w:rsid w:val="4FE51552"/>
    <w:rsid w:val="4FF37764"/>
    <w:rsid w:val="4FF84D7B"/>
    <w:rsid w:val="5002279E"/>
    <w:rsid w:val="50067D0E"/>
    <w:rsid w:val="500E27F0"/>
    <w:rsid w:val="50100316"/>
    <w:rsid w:val="50137E07"/>
    <w:rsid w:val="50151DD1"/>
    <w:rsid w:val="501716A5"/>
    <w:rsid w:val="501E2A33"/>
    <w:rsid w:val="501E6ED7"/>
    <w:rsid w:val="5023004A"/>
    <w:rsid w:val="50286DD1"/>
    <w:rsid w:val="502D73C5"/>
    <w:rsid w:val="503404A9"/>
    <w:rsid w:val="50397723"/>
    <w:rsid w:val="50414974"/>
    <w:rsid w:val="50416722"/>
    <w:rsid w:val="504B134F"/>
    <w:rsid w:val="504B57F2"/>
    <w:rsid w:val="504B75A0"/>
    <w:rsid w:val="50504C4B"/>
    <w:rsid w:val="505428F9"/>
    <w:rsid w:val="505446A7"/>
    <w:rsid w:val="50574197"/>
    <w:rsid w:val="505C355C"/>
    <w:rsid w:val="505F4DFA"/>
    <w:rsid w:val="5064427A"/>
    <w:rsid w:val="506803D7"/>
    <w:rsid w:val="506D0DC4"/>
    <w:rsid w:val="50707007"/>
    <w:rsid w:val="50794365"/>
    <w:rsid w:val="50834F8C"/>
    <w:rsid w:val="50836D3A"/>
    <w:rsid w:val="50854860"/>
    <w:rsid w:val="50875E09"/>
    <w:rsid w:val="508A0C46"/>
    <w:rsid w:val="508A1E77"/>
    <w:rsid w:val="508B3E41"/>
    <w:rsid w:val="509C6E7C"/>
    <w:rsid w:val="50A05B3E"/>
    <w:rsid w:val="50A15412"/>
    <w:rsid w:val="50AA2519"/>
    <w:rsid w:val="50AC6291"/>
    <w:rsid w:val="50B323F4"/>
    <w:rsid w:val="50C07885"/>
    <w:rsid w:val="50C22ED4"/>
    <w:rsid w:val="50DA1665"/>
    <w:rsid w:val="50DE6667"/>
    <w:rsid w:val="50E51B64"/>
    <w:rsid w:val="50E579F5"/>
    <w:rsid w:val="50FE0AB7"/>
    <w:rsid w:val="50FF7CD1"/>
    <w:rsid w:val="5100038B"/>
    <w:rsid w:val="510432E0"/>
    <w:rsid w:val="510460CD"/>
    <w:rsid w:val="510E0CFA"/>
    <w:rsid w:val="51112598"/>
    <w:rsid w:val="51143E36"/>
    <w:rsid w:val="51165E00"/>
    <w:rsid w:val="5119144D"/>
    <w:rsid w:val="51200A2D"/>
    <w:rsid w:val="51254295"/>
    <w:rsid w:val="513242BC"/>
    <w:rsid w:val="513845AB"/>
    <w:rsid w:val="513B7615"/>
    <w:rsid w:val="51402E7D"/>
    <w:rsid w:val="514073F0"/>
    <w:rsid w:val="514209A3"/>
    <w:rsid w:val="51477D68"/>
    <w:rsid w:val="51493AE0"/>
    <w:rsid w:val="514A6BCF"/>
    <w:rsid w:val="515F1CFF"/>
    <w:rsid w:val="515F7B5F"/>
    <w:rsid w:val="5162104E"/>
    <w:rsid w:val="51644DBE"/>
    <w:rsid w:val="516528E4"/>
    <w:rsid w:val="516721B8"/>
    <w:rsid w:val="516E3547"/>
    <w:rsid w:val="516E79EA"/>
    <w:rsid w:val="517320C3"/>
    <w:rsid w:val="51733EED"/>
    <w:rsid w:val="51736DAF"/>
    <w:rsid w:val="517448D5"/>
    <w:rsid w:val="51764AF1"/>
    <w:rsid w:val="517D19DC"/>
    <w:rsid w:val="518165E6"/>
    <w:rsid w:val="51835FBF"/>
    <w:rsid w:val="51916D40"/>
    <w:rsid w:val="51937451"/>
    <w:rsid w:val="5196484B"/>
    <w:rsid w:val="51A06E75"/>
    <w:rsid w:val="51AB6549"/>
    <w:rsid w:val="51AC22C1"/>
    <w:rsid w:val="51AF590D"/>
    <w:rsid w:val="51B00003"/>
    <w:rsid w:val="51B01DB1"/>
    <w:rsid w:val="51BA2C30"/>
    <w:rsid w:val="51BA4B60"/>
    <w:rsid w:val="51C13FBE"/>
    <w:rsid w:val="51C70EA9"/>
    <w:rsid w:val="51C770FB"/>
    <w:rsid w:val="51CC37F7"/>
    <w:rsid w:val="51D07D5D"/>
    <w:rsid w:val="51DC49F7"/>
    <w:rsid w:val="51DF61F2"/>
    <w:rsid w:val="51E8779D"/>
    <w:rsid w:val="51E93115"/>
    <w:rsid w:val="51F577C4"/>
    <w:rsid w:val="51F7178E"/>
    <w:rsid w:val="51FA127E"/>
    <w:rsid w:val="51FD1EA1"/>
    <w:rsid w:val="51FD2B1C"/>
    <w:rsid w:val="5201260D"/>
    <w:rsid w:val="52065E75"/>
    <w:rsid w:val="520D6FEB"/>
    <w:rsid w:val="521560B8"/>
    <w:rsid w:val="522343BC"/>
    <w:rsid w:val="522D1654"/>
    <w:rsid w:val="52377DDC"/>
    <w:rsid w:val="523A167B"/>
    <w:rsid w:val="523C1674"/>
    <w:rsid w:val="52462715"/>
    <w:rsid w:val="52477B70"/>
    <w:rsid w:val="524D7600"/>
    <w:rsid w:val="52500E9E"/>
    <w:rsid w:val="5257047F"/>
    <w:rsid w:val="525F10E1"/>
    <w:rsid w:val="526037D7"/>
    <w:rsid w:val="526321EB"/>
    <w:rsid w:val="5268268C"/>
    <w:rsid w:val="526B5CD8"/>
    <w:rsid w:val="526E0D50"/>
    <w:rsid w:val="52763A03"/>
    <w:rsid w:val="527728CF"/>
    <w:rsid w:val="52814E2C"/>
    <w:rsid w:val="528172AA"/>
    <w:rsid w:val="528374C6"/>
    <w:rsid w:val="52880638"/>
    <w:rsid w:val="5288688A"/>
    <w:rsid w:val="52946FDD"/>
    <w:rsid w:val="529A036B"/>
    <w:rsid w:val="529F5AFD"/>
    <w:rsid w:val="52A64F62"/>
    <w:rsid w:val="52A66D10"/>
    <w:rsid w:val="52A80CDA"/>
    <w:rsid w:val="52AF02BB"/>
    <w:rsid w:val="52B14033"/>
    <w:rsid w:val="52B255CB"/>
    <w:rsid w:val="52B4142D"/>
    <w:rsid w:val="52BE22AC"/>
    <w:rsid w:val="52C04276"/>
    <w:rsid w:val="52D049DF"/>
    <w:rsid w:val="52D47D21"/>
    <w:rsid w:val="52DE3490"/>
    <w:rsid w:val="52E37F64"/>
    <w:rsid w:val="52E71802"/>
    <w:rsid w:val="52E77A54"/>
    <w:rsid w:val="52EC6E19"/>
    <w:rsid w:val="52F201A7"/>
    <w:rsid w:val="52F7756C"/>
    <w:rsid w:val="52FC3694"/>
    <w:rsid w:val="52FE6B4C"/>
    <w:rsid w:val="53004672"/>
    <w:rsid w:val="53065A01"/>
    <w:rsid w:val="530D6D8F"/>
    <w:rsid w:val="531573C8"/>
    <w:rsid w:val="531E2D4A"/>
    <w:rsid w:val="53206AC2"/>
    <w:rsid w:val="53234805"/>
    <w:rsid w:val="532760A3"/>
    <w:rsid w:val="53281E1B"/>
    <w:rsid w:val="533C4AB1"/>
    <w:rsid w:val="53407165"/>
    <w:rsid w:val="53424C8B"/>
    <w:rsid w:val="53470203"/>
    <w:rsid w:val="534E654C"/>
    <w:rsid w:val="534F73A8"/>
    <w:rsid w:val="53557158"/>
    <w:rsid w:val="53582700"/>
    <w:rsid w:val="535D3873"/>
    <w:rsid w:val="53690469"/>
    <w:rsid w:val="536E3CD2"/>
    <w:rsid w:val="536F7A4A"/>
    <w:rsid w:val="53715570"/>
    <w:rsid w:val="537D5CC3"/>
    <w:rsid w:val="537E1A3B"/>
    <w:rsid w:val="538057B3"/>
    <w:rsid w:val="53822CB3"/>
    <w:rsid w:val="5385101B"/>
    <w:rsid w:val="538708F0"/>
    <w:rsid w:val="538C0077"/>
    <w:rsid w:val="53930424"/>
    <w:rsid w:val="539B439B"/>
    <w:rsid w:val="53A039CC"/>
    <w:rsid w:val="53A1505A"/>
    <w:rsid w:val="53A414A2"/>
    <w:rsid w:val="53A70F92"/>
    <w:rsid w:val="53A771E4"/>
    <w:rsid w:val="53AA09A3"/>
    <w:rsid w:val="53B611D5"/>
    <w:rsid w:val="53BA6F17"/>
    <w:rsid w:val="53BB4A3D"/>
    <w:rsid w:val="53C02053"/>
    <w:rsid w:val="53C47D96"/>
    <w:rsid w:val="53C658BC"/>
    <w:rsid w:val="53C90F08"/>
    <w:rsid w:val="53CF31EB"/>
    <w:rsid w:val="53D02935"/>
    <w:rsid w:val="53D578AD"/>
    <w:rsid w:val="53D855EF"/>
    <w:rsid w:val="53DA4EC3"/>
    <w:rsid w:val="53DF697E"/>
    <w:rsid w:val="53E11C3A"/>
    <w:rsid w:val="53E144A4"/>
    <w:rsid w:val="53E43F94"/>
    <w:rsid w:val="53E775E0"/>
    <w:rsid w:val="53EB70D0"/>
    <w:rsid w:val="53EC109A"/>
    <w:rsid w:val="53EE096F"/>
    <w:rsid w:val="53F24D8C"/>
    <w:rsid w:val="53F32429"/>
    <w:rsid w:val="53FD0BB2"/>
    <w:rsid w:val="54063E08"/>
    <w:rsid w:val="54104D89"/>
    <w:rsid w:val="54106B37"/>
    <w:rsid w:val="54120B01"/>
    <w:rsid w:val="541805B7"/>
    <w:rsid w:val="541C1980"/>
    <w:rsid w:val="541C5B19"/>
    <w:rsid w:val="542425E2"/>
    <w:rsid w:val="54280325"/>
    <w:rsid w:val="54322F51"/>
    <w:rsid w:val="543437E8"/>
    <w:rsid w:val="543A1E06"/>
    <w:rsid w:val="54420CBA"/>
    <w:rsid w:val="544669FD"/>
    <w:rsid w:val="54493DF7"/>
    <w:rsid w:val="544A44D2"/>
    <w:rsid w:val="545C7FCE"/>
    <w:rsid w:val="545D5AF4"/>
    <w:rsid w:val="545E3D46"/>
    <w:rsid w:val="546155E5"/>
    <w:rsid w:val="54684BC5"/>
    <w:rsid w:val="54686973"/>
    <w:rsid w:val="546E385E"/>
    <w:rsid w:val="54705828"/>
    <w:rsid w:val="547277F2"/>
    <w:rsid w:val="54751090"/>
    <w:rsid w:val="54761CC6"/>
    <w:rsid w:val="547A0454"/>
    <w:rsid w:val="547F5A6B"/>
    <w:rsid w:val="548241FE"/>
    <w:rsid w:val="54825EB2"/>
    <w:rsid w:val="548728E1"/>
    <w:rsid w:val="548C26F2"/>
    <w:rsid w:val="548D462B"/>
    <w:rsid w:val="54901A26"/>
    <w:rsid w:val="54903A3A"/>
    <w:rsid w:val="54971006"/>
    <w:rsid w:val="549C661D"/>
    <w:rsid w:val="54A317D8"/>
    <w:rsid w:val="54A379AB"/>
    <w:rsid w:val="54A454D1"/>
    <w:rsid w:val="54A83213"/>
    <w:rsid w:val="54A92AE8"/>
    <w:rsid w:val="54AA0D3A"/>
    <w:rsid w:val="54BA6AA3"/>
    <w:rsid w:val="54C0055D"/>
    <w:rsid w:val="54D620C6"/>
    <w:rsid w:val="54E160DA"/>
    <w:rsid w:val="54E56216"/>
    <w:rsid w:val="54F16CCE"/>
    <w:rsid w:val="54F2623D"/>
    <w:rsid w:val="54F73313"/>
    <w:rsid w:val="54F80955"/>
    <w:rsid w:val="54F9581D"/>
    <w:rsid w:val="55061CE8"/>
    <w:rsid w:val="550C0424"/>
    <w:rsid w:val="551268DF"/>
    <w:rsid w:val="55142657"/>
    <w:rsid w:val="5516017D"/>
    <w:rsid w:val="5517495A"/>
    <w:rsid w:val="55180399"/>
    <w:rsid w:val="551C5231"/>
    <w:rsid w:val="551D5480"/>
    <w:rsid w:val="55264138"/>
    <w:rsid w:val="552A3C28"/>
    <w:rsid w:val="553511C7"/>
    <w:rsid w:val="553C5FBF"/>
    <w:rsid w:val="5540344C"/>
    <w:rsid w:val="55450A62"/>
    <w:rsid w:val="554576DE"/>
    <w:rsid w:val="555170A7"/>
    <w:rsid w:val="55562C6F"/>
    <w:rsid w:val="55565D6F"/>
    <w:rsid w:val="556202EC"/>
    <w:rsid w:val="5563538C"/>
    <w:rsid w:val="556C2493"/>
    <w:rsid w:val="55733821"/>
    <w:rsid w:val="5577027C"/>
    <w:rsid w:val="55782BE6"/>
    <w:rsid w:val="55821CB6"/>
    <w:rsid w:val="5587536D"/>
    <w:rsid w:val="5588094F"/>
    <w:rsid w:val="558C043F"/>
    <w:rsid w:val="55935598"/>
    <w:rsid w:val="55992B5C"/>
    <w:rsid w:val="559B174B"/>
    <w:rsid w:val="55A41C2D"/>
    <w:rsid w:val="55A7171D"/>
    <w:rsid w:val="55A90FF1"/>
    <w:rsid w:val="55A97243"/>
    <w:rsid w:val="55B47996"/>
    <w:rsid w:val="55B94FAC"/>
    <w:rsid w:val="55BC52DB"/>
    <w:rsid w:val="55BD6E86"/>
    <w:rsid w:val="55BF2419"/>
    <w:rsid w:val="55BF3C5C"/>
    <w:rsid w:val="55C23E61"/>
    <w:rsid w:val="55CC4CE0"/>
    <w:rsid w:val="55CE0CF4"/>
    <w:rsid w:val="55D43B94"/>
    <w:rsid w:val="55D803FA"/>
    <w:rsid w:val="55D818D6"/>
    <w:rsid w:val="55E262B1"/>
    <w:rsid w:val="55EE4C56"/>
    <w:rsid w:val="55F14746"/>
    <w:rsid w:val="55F45FE4"/>
    <w:rsid w:val="56015124"/>
    <w:rsid w:val="56064695"/>
    <w:rsid w:val="560D2537"/>
    <w:rsid w:val="561641AD"/>
    <w:rsid w:val="561843C9"/>
    <w:rsid w:val="561B45B6"/>
    <w:rsid w:val="561B7217"/>
    <w:rsid w:val="562763BA"/>
    <w:rsid w:val="56290384"/>
    <w:rsid w:val="56296C9F"/>
    <w:rsid w:val="56301712"/>
    <w:rsid w:val="56334D5F"/>
    <w:rsid w:val="563A433F"/>
    <w:rsid w:val="563B3C13"/>
    <w:rsid w:val="563C1E65"/>
    <w:rsid w:val="56440D1A"/>
    <w:rsid w:val="56472142"/>
    <w:rsid w:val="56506382"/>
    <w:rsid w:val="565A053D"/>
    <w:rsid w:val="565D3B8A"/>
    <w:rsid w:val="565F3DA6"/>
    <w:rsid w:val="56625644"/>
    <w:rsid w:val="566273F2"/>
    <w:rsid w:val="566413BC"/>
    <w:rsid w:val="566D0271"/>
    <w:rsid w:val="56725887"/>
    <w:rsid w:val="567315FF"/>
    <w:rsid w:val="567710EF"/>
    <w:rsid w:val="567A298E"/>
    <w:rsid w:val="56835CE6"/>
    <w:rsid w:val="568A0F85"/>
    <w:rsid w:val="568C5997"/>
    <w:rsid w:val="568D0FEA"/>
    <w:rsid w:val="568F6618"/>
    <w:rsid w:val="568F71F7"/>
    <w:rsid w:val="569021B1"/>
    <w:rsid w:val="56955A19"/>
    <w:rsid w:val="569752EE"/>
    <w:rsid w:val="569A3030"/>
    <w:rsid w:val="569D0B40"/>
    <w:rsid w:val="569E667C"/>
    <w:rsid w:val="569F23F4"/>
    <w:rsid w:val="56A47A0A"/>
    <w:rsid w:val="56B22A9C"/>
    <w:rsid w:val="56BA0FDC"/>
    <w:rsid w:val="56C67981"/>
    <w:rsid w:val="56CB143B"/>
    <w:rsid w:val="56CF353C"/>
    <w:rsid w:val="56D227CA"/>
    <w:rsid w:val="56D26326"/>
    <w:rsid w:val="56D71B8E"/>
    <w:rsid w:val="56DB18C8"/>
    <w:rsid w:val="56DC53F6"/>
    <w:rsid w:val="56E16569"/>
    <w:rsid w:val="56E322E1"/>
    <w:rsid w:val="56E85B49"/>
    <w:rsid w:val="56E9366F"/>
    <w:rsid w:val="56E95A14"/>
    <w:rsid w:val="56F52014"/>
    <w:rsid w:val="56FC2985"/>
    <w:rsid w:val="56FE68E2"/>
    <w:rsid w:val="57016C0B"/>
    <w:rsid w:val="57034309"/>
    <w:rsid w:val="57062473"/>
    <w:rsid w:val="570B3599"/>
    <w:rsid w:val="571050A0"/>
    <w:rsid w:val="57193F55"/>
    <w:rsid w:val="571B7CCD"/>
    <w:rsid w:val="572A43B4"/>
    <w:rsid w:val="572A6162"/>
    <w:rsid w:val="573214BA"/>
    <w:rsid w:val="573813C2"/>
    <w:rsid w:val="573E1C0D"/>
    <w:rsid w:val="57403CE4"/>
    <w:rsid w:val="57454D4A"/>
    <w:rsid w:val="57462870"/>
    <w:rsid w:val="57482A8C"/>
    <w:rsid w:val="57572CCF"/>
    <w:rsid w:val="575B456D"/>
    <w:rsid w:val="575B631B"/>
    <w:rsid w:val="576A47B0"/>
    <w:rsid w:val="576D24F2"/>
    <w:rsid w:val="577675F9"/>
    <w:rsid w:val="57790E97"/>
    <w:rsid w:val="577C44E3"/>
    <w:rsid w:val="57825F9E"/>
    <w:rsid w:val="578515EA"/>
    <w:rsid w:val="57853398"/>
    <w:rsid w:val="578730E0"/>
    <w:rsid w:val="578A4E52"/>
    <w:rsid w:val="578E4942"/>
    <w:rsid w:val="579E08FE"/>
    <w:rsid w:val="57A001D2"/>
    <w:rsid w:val="57A777B2"/>
    <w:rsid w:val="57AF6667"/>
    <w:rsid w:val="57B323AE"/>
    <w:rsid w:val="57B41ECF"/>
    <w:rsid w:val="57B72A76"/>
    <w:rsid w:val="57C14700"/>
    <w:rsid w:val="57C33EC0"/>
    <w:rsid w:val="57C3426C"/>
    <w:rsid w:val="57C87729"/>
    <w:rsid w:val="57CE1F93"/>
    <w:rsid w:val="57D04F5B"/>
    <w:rsid w:val="57D305A7"/>
    <w:rsid w:val="57D63BF4"/>
    <w:rsid w:val="57D8796C"/>
    <w:rsid w:val="57EC78BB"/>
    <w:rsid w:val="57F55CFE"/>
    <w:rsid w:val="58037926"/>
    <w:rsid w:val="5806097D"/>
    <w:rsid w:val="58093FC9"/>
    <w:rsid w:val="580E5A83"/>
    <w:rsid w:val="58150BC0"/>
    <w:rsid w:val="58242BB1"/>
    <w:rsid w:val="582E57DE"/>
    <w:rsid w:val="583059FA"/>
    <w:rsid w:val="584C3E7F"/>
    <w:rsid w:val="585A2049"/>
    <w:rsid w:val="585B059D"/>
    <w:rsid w:val="58615BB3"/>
    <w:rsid w:val="5866141B"/>
    <w:rsid w:val="58692CBA"/>
    <w:rsid w:val="58726012"/>
    <w:rsid w:val="587873A1"/>
    <w:rsid w:val="588743D1"/>
    <w:rsid w:val="5887701A"/>
    <w:rsid w:val="588B0E82"/>
    <w:rsid w:val="588F2098"/>
    <w:rsid w:val="58920462"/>
    <w:rsid w:val="58953AAF"/>
    <w:rsid w:val="58977827"/>
    <w:rsid w:val="58A837E2"/>
    <w:rsid w:val="58B2640F"/>
    <w:rsid w:val="58C3061C"/>
    <w:rsid w:val="58C61EBA"/>
    <w:rsid w:val="58C83E84"/>
    <w:rsid w:val="58CD3249"/>
    <w:rsid w:val="58CF5213"/>
    <w:rsid w:val="58D520FD"/>
    <w:rsid w:val="58E571EF"/>
    <w:rsid w:val="58E615F8"/>
    <w:rsid w:val="58F22CAF"/>
    <w:rsid w:val="58F76517"/>
    <w:rsid w:val="58F85DEC"/>
    <w:rsid w:val="5900361E"/>
    <w:rsid w:val="5907139E"/>
    <w:rsid w:val="59091DA7"/>
    <w:rsid w:val="59097FF9"/>
    <w:rsid w:val="590A624B"/>
    <w:rsid w:val="590D7AE9"/>
    <w:rsid w:val="590E0CA2"/>
    <w:rsid w:val="59103135"/>
    <w:rsid w:val="59123351"/>
    <w:rsid w:val="5915074C"/>
    <w:rsid w:val="59162E41"/>
    <w:rsid w:val="591A2206"/>
    <w:rsid w:val="591B0458"/>
    <w:rsid w:val="591F15CA"/>
    <w:rsid w:val="59280AFA"/>
    <w:rsid w:val="59282B75"/>
    <w:rsid w:val="592E0215"/>
    <w:rsid w:val="5934041B"/>
    <w:rsid w:val="5934151A"/>
    <w:rsid w:val="59396B30"/>
    <w:rsid w:val="593A6404"/>
    <w:rsid w:val="593B4656"/>
    <w:rsid w:val="594554D5"/>
    <w:rsid w:val="59457283"/>
    <w:rsid w:val="594C6863"/>
    <w:rsid w:val="594D794C"/>
    <w:rsid w:val="59505C28"/>
    <w:rsid w:val="5952374E"/>
    <w:rsid w:val="59570D64"/>
    <w:rsid w:val="596516D3"/>
    <w:rsid w:val="596A0A97"/>
    <w:rsid w:val="596F60AE"/>
    <w:rsid w:val="5970410F"/>
    <w:rsid w:val="59747B68"/>
    <w:rsid w:val="597933D0"/>
    <w:rsid w:val="59835FFD"/>
    <w:rsid w:val="598C197E"/>
    <w:rsid w:val="59951E40"/>
    <w:rsid w:val="59975605"/>
    <w:rsid w:val="59A0095D"/>
    <w:rsid w:val="59A6714C"/>
    <w:rsid w:val="59AA5338"/>
    <w:rsid w:val="59B05231"/>
    <w:rsid w:val="59BB12F3"/>
    <w:rsid w:val="59BE7035"/>
    <w:rsid w:val="59C0439F"/>
    <w:rsid w:val="59C330CE"/>
    <w:rsid w:val="59C860F4"/>
    <w:rsid w:val="59CE08BF"/>
    <w:rsid w:val="59D2663D"/>
    <w:rsid w:val="59D354B5"/>
    <w:rsid w:val="59D81EA5"/>
    <w:rsid w:val="59DD590F"/>
    <w:rsid w:val="59E24AD2"/>
    <w:rsid w:val="59E44CEE"/>
    <w:rsid w:val="59E545C2"/>
    <w:rsid w:val="59F91E1B"/>
    <w:rsid w:val="59FD190B"/>
    <w:rsid w:val="5A032C9A"/>
    <w:rsid w:val="5A0E58C7"/>
    <w:rsid w:val="5A1530F9"/>
    <w:rsid w:val="5A16290D"/>
    <w:rsid w:val="5A184997"/>
    <w:rsid w:val="5A1A332D"/>
    <w:rsid w:val="5A2275C4"/>
    <w:rsid w:val="5A272E2C"/>
    <w:rsid w:val="5A2C0443"/>
    <w:rsid w:val="5A2C21F1"/>
    <w:rsid w:val="5A2F1CE1"/>
    <w:rsid w:val="5A386DE8"/>
    <w:rsid w:val="5A3B2434"/>
    <w:rsid w:val="5A3C271F"/>
    <w:rsid w:val="5A3F1F24"/>
    <w:rsid w:val="5A4237C2"/>
    <w:rsid w:val="5A4E03B9"/>
    <w:rsid w:val="5A504131"/>
    <w:rsid w:val="5A513A05"/>
    <w:rsid w:val="5A613820"/>
    <w:rsid w:val="5A6B0F6B"/>
    <w:rsid w:val="5A6F6D99"/>
    <w:rsid w:val="5A702DFA"/>
    <w:rsid w:val="5A706581"/>
    <w:rsid w:val="5A737E20"/>
    <w:rsid w:val="5A845B89"/>
    <w:rsid w:val="5A865DA5"/>
    <w:rsid w:val="5A8C5D01"/>
    <w:rsid w:val="5A8E07B6"/>
    <w:rsid w:val="5A902780"/>
    <w:rsid w:val="5A99726A"/>
    <w:rsid w:val="5A9B49C0"/>
    <w:rsid w:val="5A9D6C4B"/>
    <w:rsid w:val="5AA24261"/>
    <w:rsid w:val="5AA25DC7"/>
    <w:rsid w:val="5AA75D1B"/>
    <w:rsid w:val="5AAF2166"/>
    <w:rsid w:val="5AB04BD0"/>
    <w:rsid w:val="5AB0697E"/>
    <w:rsid w:val="5AB3646E"/>
    <w:rsid w:val="5AB521E6"/>
    <w:rsid w:val="5AB75F5E"/>
    <w:rsid w:val="5ABB5323"/>
    <w:rsid w:val="5ABD553F"/>
    <w:rsid w:val="5ABE2233"/>
    <w:rsid w:val="5AC93EE4"/>
    <w:rsid w:val="5AD22D98"/>
    <w:rsid w:val="5AD3266C"/>
    <w:rsid w:val="5AE8436A"/>
    <w:rsid w:val="5AE91E90"/>
    <w:rsid w:val="5AF727FF"/>
    <w:rsid w:val="5AF947C9"/>
    <w:rsid w:val="5AFF7905"/>
    <w:rsid w:val="5B055D1F"/>
    <w:rsid w:val="5B070568"/>
    <w:rsid w:val="5B0B62AA"/>
    <w:rsid w:val="5B101B12"/>
    <w:rsid w:val="5B1213E7"/>
    <w:rsid w:val="5B157129"/>
    <w:rsid w:val="5B173D60"/>
    <w:rsid w:val="5B1A64ED"/>
    <w:rsid w:val="5B1E422F"/>
    <w:rsid w:val="5B1F1D55"/>
    <w:rsid w:val="5B21787C"/>
    <w:rsid w:val="5B231846"/>
    <w:rsid w:val="5B24111A"/>
    <w:rsid w:val="5B264E92"/>
    <w:rsid w:val="5B2E0F89"/>
    <w:rsid w:val="5B3203DE"/>
    <w:rsid w:val="5B45004C"/>
    <w:rsid w:val="5B4A4548"/>
    <w:rsid w:val="5B4A5024"/>
    <w:rsid w:val="5B4D241F"/>
    <w:rsid w:val="5B500B80"/>
    <w:rsid w:val="5B5639C9"/>
    <w:rsid w:val="5B5A4B3C"/>
    <w:rsid w:val="5B5E462C"/>
    <w:rsid w:val="5B661732"/>
    <w:rsid w:val="5B686CE2"/>
    <w:rsid w:val="5B694D7F"/>
    <w:rsid w:val="5B70435F"/>
    <w:rsid w:val="5B735536"/>
    <w:rsid w:val="5B7C65E8"/>
    <w:rsid w:val="5B841BB9"/>
    <w:rsid w:val="5B8F0C89"/>
    <w:rsid w:val="5B8F2A37"/>
    <w:rsid w:val="5B920779"/>
    <w:rsid w:val="5B9A6FA0"/>
    <w:rsid w:val="5B9C4E05"/>
    <w:rsid w:val="5B9C5154"/>
    <w:rsid w:val="5B9E2C7A"/>
    <w:rsid w:val="5BA26C0E"/>
    <w:rsid w:val="5BA601E0"/>
    <w:rsid w:val="5BA955F9"/>
    <w:rsid w:val="5BAA5AC3"/>
    <w:rsid w:val="5BB16E51"/>
    <w:rsid w:val="5BB22BCA"/>
    <w:rsid w:val="5BB34528"/>
    <w:rsid w:val="5BB41770"/>
    <w:rsid w:val="5BB66216"/>
    <w:rsid w:val="5BB71F8E"/>
    <w:rsid w:val="5BBD4F0B"/>
    <w:rsid w:val="5BC22E0D"/>
    <w:rsid w:val="5BC86A61"/>
    <w:rsid w:val="5BCD355F"/>
    <w:rsid w:val="5BD32AA3"/>
    <w:rsid w:val="5BD668B8"/>
    <w:rsid w:val="5BD82630"/>
    <w:rsid w:val="5BD946E4"/>
    <w:rsid w:val="5BDE751B"/>
    <w:rsid w:val="5BDF5D95"/>
    <w:rsid w:val="5BE24306"/>
    <w:rsid w:val="5BE93C03"/>
    <w:rsid w:val="5BEC1C38"/>
    <w:rsid w:val="5BED3C02"/>
    <w:rsid w:val="5BED59B0"/>
    <w:rsid w:val="5BEF11A2"/>
    <w:rsid w:val="5BF62AB6"/>
    <w:rsid w:val="5BFC2B13"/>
    <w:rsid w:val="5BFE7528"/>
    <w:rsid w:val="5BFE7BBD"/>
    <w:rsid w:val="5C003935"/>
    <w:rsid w:val="5C043425"/>
    <w:rsid w:val="5C090941"/>
    <w:rsid w:val="5C0C0812"/>
    <w:rsid w:val="5C0F3B78"/>
    <w:rsid w:val="5C1178F0"/>
    <w:rsid w:val="5C1403A4"/>
    <w:rsid w:val="5C166CB5"/>
    <w:rsid w:val="5C1F025F"/>
    <w:rsid w:val="5C2515ED"/>
    <w:rsid w:val="5C252EE1"/>
    <w:rsid w:val="5C270EC2"/>
    <w:rsid w:val="5C2C472A"/>
    <w:rsid w:val="5C313AEE"/>
    <w:rsid w:val="5C4576E4"/>
    <w:rsid w:val="5C4C26D6"/>
    <w:rsid w:val="5C4E46A0"/>
    <w:rsid w:val="5C5123E2"/>
    <w:rsid w:val="5C593045"/>
    <w:rsid w:val="5C5F68AD"/>
    <w:rsid w:val="5C621EFA"/>
    <w:rsid w:val="5C6E089F"/>
    <w:rsid w:val="5C735EB5"/>
    <w:rsid w:val="5C763BF7"/>
    <w:rsid w:val="5C7D31D8"/>
    <w:rsid w:val="5C7F0CFE"/>
    <w:rsid w:val="5C817C8B"/>
    <w:rsid w:val="5C853E3A"/>
    <w:rsid w:val="5C877BB2"/>
    <w:rsid w:val="5C8876DB"/>
    <w:rsid w:val="5C8A1451"/>
    <w:rsid w:val="5C8B0D0F"/>
    <w:rsid w:val="5C8F6A67"/>
    <w:rsid w:val="5C906DB7"/>
    <w:rsid w:val="5C936557"/>
    <w:rsid w:val="5CA50038"/>
    <w:rsid w:val="5CA93EA9"/>
    <w:rsid w:val="5CAC13C7"/>
    <w:rsid w:val="5CAF2C65"/>
    <w:rsid w:val="5CAF64A9"/>
    <w:rsid w:val="5CB12E81"/>
    <w:rsid w:val="5CB32755"/>
    <w:rsid w:val="5CB84210"/>
    <w:rsid w:val="5CBD1826"/>
    <w:rsid w:val="5CBD35D4"/>
    <w:rsid w:val="5CC26E3C"/>
    <w:rsid w:val="5CCB7A9F"/>
    <w:rsid w:val="5CCE28A7"/>
    <w:rsid w:val="5CD5091E"/>
    <w:rsid w:val="5CFA0384"/>
    <w:rsid w:val="5CFC40FC"/>
    <w:rsid w:val="5CFC7D64"/>
    <w:rsid w:val="5D027239"/>
    <w:rsid w:val="5D053720"/>
    <w:rsid w:val="5D07484F"/>
    <w:rsid w:val="5D080CF3"/>
    <w:rsid w:val="5D100732"/>
    <w:rsid w:val="5D177188"/>
    <w:rsid w:val="5D186A5C"/>
    <w:rsid w:val="5D1A6C78"/>
    <w:rsid w:val="5D292A17"/>
    <w:rsid w:val="5D2E1FFE"/>
    <w:rsid w:val="5D3C099D"/>
    <w:rsid w:val="5D411857"/>
    <w:rsid w:val="5D467A6D"/>
    <w:rsid w:val="5D480160"/>
    <w:rsid w:val="5D483AC0"/>
    <w:rsid w:val="5D521F6E"/>
    <w:rsid w:val="5D544EEC"/>
    <w:rsid w:val="5D5E6CE0"/>
    <w:rsid w:val="5D621348"/>
    <w:rsid w:val="5D6323CD"/>
    <w:rsid w:val="5D6B3030"/>
    <w:rsid w:val="5D6B74D4"/>
    <w:rsid w:val="5D6D4FFA"/>
    <w:rsid w:val="5D6E48CE"/>
    <w:rsid w:val="5D814602"/>
    <w:rsid w:val="5D83481E"/>
    <w:rsid w:val="5D852344"/>
    <w:rsid w:val="5D8B5480"/>
    <w:rsid w:val="5D922E97"/>
    <w:rsid w:val="5D92680F"/>
    <w:rsid w:val="5D9F0F2C"/>
    <w:rsid w:val="5DA12EF6"/>
    <w:rsid w:val="5DAC2B03"/>
    <w:rsid w:val="5DB04EE7"/>
    <w:rsid w:val="5DB10BF5"/>
    <w:rsid w:val="5DB1622D"/>
    <w:rsid w:val="5DB46B0F"/>
    <w:rsid w:val="5DBE7604"/>
    <w:rsid w:val="5DC170F4"/>
    <w:rsid w:val="5DC664B8"/>
    <w:rsid w:val="5DCA7D57"/>
    <w:rsid w:val="5DCB1D21"/>
    <w:rsid w:val="5DDC5CDC"/>
    <w:rsid w:val="5DF43025"/>
    <w:rsid w:val="5DFB4772"/>
    <w:rsid w:val="5E021BE6"/>
    <w:rsid w:val="5E055781"/>
    <w:rsid w:val="5E115985"/>
    <w:rsid w:val="5E1216FE"/>
    <w:rsid w:val="5E127950"/>
    <w:rsid w:val="5E1611EE"/>
    <w:rsid w:val="5E1A7924"/>
    <w:rsid w:val="5E2002BE"/>
    <w:rsid w:val="5E244E0E"/>
    <w:rsid w:val="5E2467F1"/>
    <w:rsid w:val="5E3873B6"/>
    <w:rsid w:val="5E391380"/>
    <w:rsid w:val="5E3C677A"/>
    <w:rsid w:val="5E3D49CC"/>
    <w:rsid w:val="5E412CFD"/>
    <w:rsid w:val="5E453881"/>
    <w:rsid w:val="5E473A9D"/>
    <w:rsid w:val="5E483371"/>
    <w:rsid w:val="5E4915C3"/>
    <w:rsid w:val="5E4C10B3"/>
    <w:rsid w:val="5E565A8E"/>
    <w:rsid w:val="5E587A58"/>
    <w:rsid w:val="5E655CD1"/>
    <w:rsid w:val="5E693A13"/>
    <w:rsid w:val="5E6A778C"/>
    <w:rsid w:val="5E6C3504"/>
    <w:rsid w:val="5E6F08FE"/>
    <w:rsid w:val="5E744166"/>
    <w:rsid w:val="5E7A79CF"/>
    <w:rsid w:val="5E802B0B"/>
    <w:rsid w:val="5E8036D0"/>
    <w:rsid w:val="5E8C4262"/>
    <w:rsid w:val="5E914D18"/>
    <w:rsid w:val="5E9345EC"/>
    <w:rsid w:val="5E9B5B97"/>
    <w:rsid w:val="5E9F7435"/>
    <w:rsid w:val="5EAB6A71"/>
    <w:rsid w:val="5EAC3900"/>
    <w:rsid w:val="5EAE35C5"/>
    <w:rsid w:val="5EB577D7"/>
    <w:rsid w:val="5EC450EE"/>
    <w:rsid w:val="5ECC5D50"/>
    <w:rsid w:val="5ECC7AFE"/>
    <w:rsid w:val="5ED13367"/>
    <w:rsid w:val="5ED15115"/>
    <w:rsid w:val="5ED15AB4"/>
    <w:rsid w:val="5EDA06AF"/>
    <w:rsid w:val="5EDB5F93"/>
    <w:rsid w:val="5EE831BD"/>
    <w:rsid w:val="5EE906B0"/>
    <w:rsid w:val="5EEC1F4F"/>
    <w:rsid w:val="5EF534F9"/>
    <w:rsid w:val="5EF77271"/>
    <w:rsid w:val="5EF86B45"/>
    <w:rsid w:val="5EFA28BD"/>
    <w:rsid w:val="5EFF1C82"/>
    <w:rsid w:val="5EFF7ED4"/>
    <w:rsid w:val="5F06356B"/>
    <w:rsid w:val="5F0B6879"/>
    <w:rsid w:val="5F157809"/>
    <w:rsid w:val="5F1A2B43"/>
    <w:rsid w:val="5F1A4D33"/>
    <w:rsid w:val="5F1F2324"/>
    <w:rsid w:val="5F223BC2"/>
    <w:rsid w:val="5F3758C0"/>
    <w:rsid w:val="5F3A715E"/>
    <w:rsid w:val="5F3E6C4E"/>
    <w:rsid w:val="5F3F05C2"/>
    <w:rsid w:val="5F3F4774"/>
    <w:rsid w:val="5F412870"/>
    <w:rsid w:val="5F427DC1"/>
    <w:rsid w:val="5F463D55"/>
    <w:rsid w:val="5F49114F"/>
    <w:rsid w:val="5F4B136B"/>
    <w:rsid w:val="5F4B3119"/>
    <w:rsid w:val="5F4D6E91"/>
    <w:rsid w:val="5F4D7B24"/>
    <w:rsid w:val="5F555D46"/>
    <w:rsid w:val="5F5C4462"/>
    <w:rsid w:val="5F610B8F"/>
    <w:rsid w:val="5F6B7317"/>
    <w:rsid w:val="5F732F80"/>
    <w:rsid w:val="5F7A57AC"/>
    <w:rsid w:val="5F824661"/>
    <w:rsid w:val="5F8403D9"/>
    <w:rsid w:val="5F84593D"/>
    <w:rsid w:val="5F864151"/>
    <w:rsid w:val="5F9920D6"/>
    <w:rsid w:val="5F9942B2"/>
    <w:rsid w:val="5F9A7BFD"/>
    <w:rsid w:val="5F9C5807"/>
    <w:rsid w:val="5FAB1E0A"/>
    <w:rsid w:val="5FAE5456"/>
    <w:rsid w:val="5FB35BB3"/>
    <w:rsid w:val="5FB837BB"/>
    <w:rsid w:val="5FBB029F"/>
    <w:rsid w:val="5FC133DB"/>
    <w:rsid w:val="5FC627A0"/>
    <w:rsid w:val="5FCD7FD2"/>
    <w:rsid w:val="5FDE21DF"/>
    <w:rsid w:val="5FE33352"/>
    <w:rsid w:val="5FEC48FC"/>
    <w:rsid w:val="5FED2422"/>
    <w:rsid w:val="5FEF1CF6"/>
    <w:rsid w:val="5FEF7F48"/>
    <w:rsid w:val="5FF11030"/>
    <w:rsid w:val="5FF437B1"/>
    <w:rsid w:val="5FF4555F"/>
    <w:rsid w:val="60025ECE"/>
    <w:rsid w:val="60107EBF"/>
    <w:rsid w:val="60194FC5"/>
    <w:rsid w:val="602120CC"/>
    <w:rsid w:val="60240906"/>
    <w:rsid w:val="60363DC9"/>
    <w:rsid w:val="604007A4"/>
    <w:rsid w:val="604030F9"/>
    <w:rsid w:val="6045400C"/>
    <w:rsid w:val="60471B32"/>
    <w:rsid w:val="604A33D1"/>
    <w:rsid w:val="604D4C6F"/>
    <w:rsid w:val="60522285"/>
    <w:rsid w:val="605E39AF"/>
    <w:rsid w:val="605E4E8F"/>
    <w:rsid w:val="606326E4"/>
    <w:rsid w:val="60686B73"/>
    <w:rsid w:val="60714E01"/>
    <w:rsid w:val="60770C85"/>
    <w:rsid w:val="60805A07"/>
    <w:rsid w:val="60820DBC"/>
    <w:rsid w:val="608A5EC3"/>
    <w:rsid w:val="609603C4"/>
    <w:rsid w:val="60966616"/>
    <w:rsid w:val="6097429F"/>
    <w:rsid w:val="609A3376"/>
    <w:rsid w:val="609F196E"/>
    <w:rsid w:val="60A56859"/>
    <w:rsid w:val="60A96349"/>
    <w:rsid w:val="60B60A66"/>
    <w:rsid w:val="60B82A30"/>
    <w:rsid w:val="60C07B37"/>
    <w:rsid w:val="60C23FB4"/>
    <w:rsid w:val="60C43183"/>
    <w:rsid w:val="60C541F5"/>
    <w:rsid w:val="60C82547"/>
    <w:rsid w:val="60CC028A"/>
    <w:rsid w:val="60CC405A"/>
    <w:rsid w:val="60E26C05"/>
    <w:rsid w:val="60EE6452"/>
    <w:rsid w:val="60F04F55"/>
    <w:rsid w:val="60F375C4"/>
    <w:rsid w:val="60F83C67"/>
    <w:rsid w:val="60FA4DF7"/>
    <w:rsid w:val="60FA6BA5"/>
    <w:rsid w:val="610712C2"/>
    <w:rsid w:val="610A2B60"/>
    <w:rsid w:val="610F0176"/>
    <w:rsid w:val="61112054"/>
    <w:rsid w:val="611408ED"/>
    <w:rsid w:val="6126799A"/>
    <w:rsid w:val="61291238"/>
    <w:rsid w:val="61365606"/>
    <w:rsid w:val="6139713B"/>
    <w:rsid w:val="613F280A"/>
    <w:rsid w:val="613F6CAD"/>
    <w:rsid w:val="614222FA"/>
    <w:rsid w:val="6146003C"/>
    <w:rsid w:val="61483DB4"/>
    <w:rsid w:val="614B11AE"/>
    <w:rsid w:val="615269E1"/>
    <w:rsid w:val="61616C24"/>
    <w:rsid w:val="61671D60"/>
    <w:rsid w:val="61686204"/>
    <w:rsid w:val="61693D2A"/>
    <w:rsid w:val="61706B6A"/>
    <w:rsid w:val="61750921"/>
    <w:rsid w:val="61795291"/>
    <w:rsid w:val="61891CD7"/>
    <w:rsid w:val="6189617B"/>
    <w:rsid w:val="618B3CA1"/>
    <w:rsid w:val="619052BD"/>
    <w:rsid w:val="61971F10"/>
    <w:rsid w:val="619863BE"/>
    <w:rsid w:val="619E1C26"/>
    <w:rsid w:val="61A92379"/>
    <w:rsid w:val="61AB7E9F"/>
    <w:rsid w:val="61B2747F"/>
    <w:rsid w:val="61B72CE8"/>
    <w:rsid w:val="61B731C5"/>
    <w:rsid w:val="61B825BC"/>
    <w:rsid w:val="61BF4E97"/>
    <w:rsid w:val="61C56252"/>
    <w:rsid w:val="61C86CA3"/>
    <w:rsid w:val="61CE1DDF"/>
    <w:rsid w:val="61D513C0"/>
    <w:rsid w:val="61DA69D6"/>
    <w:rsid w:val="61DC44FC"/>
    <w:rsid w:val="61E215D8"/>
    <w:rsid w:val="61EB0BE3"/>
    <w:rsid w:val="61EF4230"/>
    <w:rsid w:val="61F01D56"/>
    <w:rsid w:val="61F45CEA"/>
    <w:rsid w:val="61F85A9B"/>
    <w:rsid w:val="61FC694D"/>
    <w:rsid w:val="620121B5"/>
    <w:rsid w:val="62053A53"/>
    <w:rsid w:val="620D0B5A"/>
    <w:rsid w:val="620F042E"/>
    <w:rsid w:val="62105334"/>
    <w:rsid w:val="621721D2"/>
    <w:rsid w:val="621B3775"/>
    <w:rsid w:val="62214605"/>
    <w:rsid w:val="62255EA3"/>
    <w:rsid w:val="62287742"/>
    <w:rsid w:val="622B0FE0"/>
    <w:rsid w:val="622D2FAA"/>
    <w:rsid w:val="62364782"/>
    <w:rsid w:val="62377985"/>
    <w:rsid w:val="623C3ABD"/>
    <w:rsid w:val="62410803"/>
    <w:rsid w:val="62426A55"/>
    <w:rsid w:val="62436329"/>
    <w:rsid w:val="62456545"/>
    <w:rsid w:val="624D71A8"/>
    <w:rsid w:val="625271ED"/>
    <w:rsid w:val="62556B6D"/>
    <w:rsid w:val="62562501"/>
    <w:rsid w:val="625940D5"/>
    <w:rsid w:val="62606EDB"/>
    <w:rsid w:val="62612C54"/>
    <w:rsid w:val="62634C1E"/>
    <w:rsid w:val="626562A0"/>
    <w:rsid w:val="626764BC"/>
    <w:rsid w:val="62682234"/>
    <w:rsid w:val="62712E97"/>
    <w:rsid w:val="6283706E"/>
    <w:rsid w:val="628801E0"/>
    <w:rsid w:val="62913539"/>
    <w:rsid w:val="629B6165"/>
    <w:rsid w:val="629D13C9"/>
    <w:rsid w:val="62AE40EB"/>
    <w:rsid w:val="62B611F1"/>
    <w:rsid w:val="62B9483E"/>
    <w:rsid w:val="62C3746A"/>
    <w:rsid w:val="62C90F25"/>
    <w:rsid w:val="62CC08D5"/>
    <w:rsid w:val="62D376AD"/>
    <w:rsid w:val="62D96C8E"/>
    <w:rsid w:val="62DF24F6"/>
    <w:rsid w:val="62E0001C"/>
    <w:rsid w:val="62E73159"/>
    <w:rsid w:val="62E80C7F"/>
    <w:rsid w:val="62EC076F"/>
    <w:rsid w:val="62EE5670"/>
    <w:rsid w:val="62EF025F"/>
    <w:rsid w:val="62F85366"/>
    <w:rsid w:val="62FD0BCE"/>
    <w:rsid w:val="63065CD5"/>
    <w:rsid w:val="630A76A0"/>
    <w:rsid w:val="63136F0D"/>
    <w:rsid w:val="63163A3E"/>
    <w:rsid w:val="631F28F3"/>
    <w:rsid w:val="632223E3"/>
    <w:rsid w:val="632674CD"/>
    <w:rsid w:val="63273E9D"/>
    <w:rsid w:val="63274989"/>
    <w:rsid w:val="63304B00"/>
    <w:rsid w:val="63310878"/>
    <w:rsid w:val="63337F54"/>
    <w:rsid w:val="63350368"/>
    <w:rsid w:val="633839B4"/>
    <w:rsid w:val="63387E58"/>
    <w:rsid w:val="633C08FC"/>
    <w:rsid w:val="633F2F95"/>
    <w:rsid w:val="63400ABB"/>
    <w:rsid w:val="63422A85"/>
    <w:rsid w:val="634265E1"/>
    <w:rsid w:val="63442359"/>
    <w:rsid w:val="63471E49"/>
    <w:rsid w:val="634E142A"/>
    <w:rsid w:val="63510202"/>
    <w:rsid w:val="635527B8"/>
    <w:rsid w:val="635D78BF"/>
    <w:rsid w:val="636447A9"/>
    <w:rsid w:val="63671EF6"/>
    <w:rsid w:val="63676048"/>
    <w:rsid w:val="636A24EE"/>
    <w:rsid w:val="636B3D8A"/>
    <w:rsid w:val="63774857"/>
    <w:rsid w:val="637A5D7B"/>
    <w:rsid w:val="637D3ABD"/>
    <w:rsid w:val="63860BC4"/>
    <w:rsid w:val="638766EA"/>
    <w:rsid w:val="63896ADA"/>
    <w:rsid w:val="638D1EC9"/>
    <w:rsid w:val="6394356A"/>
    <w:rsid w:val="63974B7F"/>
    <w:rsid w:val="639866CD"/>
    <w:rsid w:val="639D5F0D"/>
    <w:rsid w:val="63A454EE"/>
    <w:rsid w:val="63A64DC2"/>
    <w:rsid w:val="63A96660"/>
    <w:rsid w:val="63B15515"/>
    <w:rsid w:val="63B514A9"/>
    <w:rsid w:val="63B95393"/>
    <w:rsid w:val="63BF7C32"/>
    <w:rsid w:val="63C11BFC"/>
    <w:rsid w:val="63C61B2C"/>
    <w:rsid w:val="63D40BE9"/>
    <w:rsid w:val="63D731CD"/>
    <w:rsid w:val="63D77671"/>
    <w:rsid w:val="63D96028"/>
    <w:rsid w:val="63E1229E"/>
    <w:rsid w:val="63E458EA"/>
    <w:rsid w:val="63E93A50"/>
    <w:rsid w:val="63ED0C43"/>
    <w:rsid w:val="63ED4609"/>
    <w:rsid w:val="63F91396"/>
    <w:rsid w:val="63FA3360"/>
    <w:rsid w:val="63FC2885"/>
    <w:rsid w:val="63FF2724"/>
    <w:rsid w:val="64025D70"/>
    <w:rsid w:val="640539DF"/>
    <w:rsid w:val="64085A7D"/>
    <w:rsid w:val="640D474B"/>
    <w:rsid w:val="64102431"/>
    <w:rsid w:val="641206A9"/>
    <w:rsid w:val="64175CC0"/>
    <w:rsid w:val="641A130C"/>
    <w:rsid w:val="641C5084"/>
    <w:rsid w:val="641E704E"/>
    <w:rsid w:val="64202DC6"/>
    <w:rsid w:val="6421269A"/>
    <w:rsid w:val="64262FF7"/>
    <w:rsid w:val="64356146"/>
    <w:rsid w:val="64393E88"/>
    <w:rsid w:val="643B19AE"/>
    <w:rsid w:val="643E4FFA"/>
    <w:rsid w:val="64412D3D"/>
    <w:rsid w:val="64436AB5"/>
    <w:rsid w:val="644545DB"/>
    <w:rsid w:val="644A6A0A"/>
    <w:rsid w:val="64520AA6"/>
    <w:rsid w:val="64547AAD"/>
    <w:rsid w:val="645C1924"/>
    <w:rsid w:val="645C7B76"/>
    <w:rsid w:val="64601415"/>
    <w:rsid w:val="64654DEB"/>
    <w:rsid w:val="646953AE"/>
    <w:rsid w:val="647749B0"/>
    <w:rsid w:val="647E189B"/>
    <w:rsid w:val="647E5D3F"/>
    <w:rsid w:val="6481138B"/>
    <w:rsid w:val="64852C29"/>
    <w:rsid w:val="6486074F"/>
    <w:rsid w:val="64917820"/>
    <w:rsid w:val="6497295D"/>
    <w:rsid w:val="649A3B21"/>
    <w:rsid w:val="649B069F"/>
    <w:rsid w:val="649B41FB"/>
    <w:rsid w:val="64A05CB5"/>
    <w:rsid w:val="64A5243A"/>
    <w:rsid w:val="64AA2690"/>
    <w:rsid w:val="64AA6967"/>
    <w:rsid w:val="64AC28AC"/>
    <w:rsid w:val="64AC465A"/>
    <w:rsid w:val="64B27796"/>
    <w:rsid w:val="64BB489D"/>
    <w:rsid w:val="64BE25DF"/>
    <w:rsid w:val="64C51278"/>
    <w:rsid w:val="64C73242"/>
    <w:rsid w:val="64CF5119"/>
    <w:rsid w:val="64D029A2"/>
    <w:rsid w:val="64D23995"/>
    <w:rsid w:val="64E04304"/>
    <w:rsid w:val="64EA5182"/>
    <w:rsid w:val="64EC4A56"/>
    <w:rsid w:val="64F531DE"/>
    <w:rsid w:val="64F8789F"/>
    <w:rsid w:val="64FD3107"/>
    <w:rsid w:val="65091D3A"/>
    <w:rsid w:val="650A213F"/>
    <w:rsid w:val="650A75D2"/>
    <w:rsid w:val="65167D25"/>
    <w:rsid w:val="65183A9D"/>
    <w:rsid w:val="651A5A67"/>
    <w:rsid w:val="65200BA4"/>
    <w:rsid w:val="65221BF0"/>
    <w:rsid w:val="6522491C"/>
    <w:rsid w:val="65314B5F"/>
    <w:rsid w:val="6533737D"/>
    <w:rsid w:val="65373578"/>
    <w:rsid w:val="65384140"/>
    <w:rsid w:val="654523B9"/>
    <w:rsid w:val="65476131"/>
    <w:rsid w:val="654900FB"/>
    <w:rsid w:val="654A5C21"/>
    <w:rsid w:val="654F4E62"/>
    <w:rsid w:val="65510D5D"/>
    <w:rsid w:val="65554CF2"/>
    <w:rsid w:val="656B4947"/>
    <w:rsid w:val="65752C9E"/>
    <w:rsid w:val="6575538E"/>
    <w:rsid w:val="65764C68"/>
    <w:rsid w:val="657A6506"/>
    <w:rsid w:val="65815AE7"/>
    <w:rsid w:val="65817895"/>
    <w:rsid w:val="65907AD8"/>
    <w:rsid w:val="659A6BA8"/>
    <w:rsid w:val="659C46CE"/>
    <w:rsid w:val="659F482A"/>
    <w:rsid w:val="65A11CE5"/>
    <w:rsid w:val="65A92947"/>
    <w:rsid w:val="65AB4911"/>
    <w:rsid w:val="65AD5709"/>
    <w:rsid w:val="65AE61B0"/>
    <w:rsid w:val="65B2574B"/>
    <w:rsid w:val="65B37C6A"/>
    <w:rsid w:val="65B512EC"/>
    <w:rsid w:val="65B579E1"/>
    <w:rsid w:val="65BB622A"/>
    <w:rsid w:val="65BD4645"/>
    <w:rsid w:val="65BE39C8"/>
    <w:rsid w:val="65C15EE3"/>
    <w:rsid w:val="65C37EAD"/>
    <w:rsid w:val="65D35C16"/>
    <w:rsid w:val="65D5198E"/>
    <w:rsid w:val="65D976D1"/>
    <w:rsid w:val="65DF280D"/>
    <w:rsid w:val="65E46075"/>
    <w:rsid w:val="65EB2F60"/>
    <w:rsid w:val="65EF654B"/>
    <w:rsid w:val="65F362B8"/>
    <w:rsid w:val="65F75DA9"/>
    <w:rsid w:val="65F8742B"/>
    <w:rsid w:val="65FA7647"/>
    <w:rsid w:val="65FC4B8B"/>
    <w:rsid w:val="65FF6A0B"/>
    <w:rsid w:val="66012783"/>
    <w:rsid w:val="66092EA8"/>
    <w:rsid w:val="661070A1"/>
    <w:rsid w:val="6618187B"/>
    <w:rsid w:val="661853E7"/>
    <w:rsid w:val="6623094C"/>
    <w:rsid w:val="662621EA"/>
    <w:rsid w:val="66320B8F"/>
    <w:rsid w:val="66344907"/>
    <w:rsid w:val="66383CCB"/>
    <w:rsid w:val="66383F59"/>
    <w:rsid w:val="663A7A43"/>
    <w:rsid w:val="66434B4A"/>
    <w:rsid w:val="66476133"/>
    <w:rsid w:val="664A237C"/>
    <w:rsid w:val="664B1C51"/>
    <w:rsid w:val="66544FA9"/>
    <w:rsid w:val="665705F5"/>
    <w:rsid w:val="66576847"/>
    <w:rsid w:val="665F56FC"/>
    <w:rsid w:val="66613222"/>
    <w:rsid w:val="666351EC"/>
    <w:rsid w:val="666B40A1"/>
    <w:rsid w:val="667016B7"/>
    <w:rsid w:val="667444A2"/>
    <w:rsid w:val="667A7B3E"/>
    <w:rsid w:val="668F1B3D"/>
    <w:rsid w:val="668F7D8F"/>
    <w:rsid w:val="66911D59"/>
    <w:rsid w:val="66952ECC"/>
    <w:rsid w:val="669B4986"/>
    <w:rsid w:val="669B5489"/>
    <w:rsid w:val="669C24AC"/>
    <w:rsid w:val="66A15D14"/>
    <w:rsid w:val="66A650D9"/>
    <w:rsid w:val="66AF0431"/>
    <w:rsid w:val="66B617C0"/>
    <w:rsid w:val="66B9305E"/>
    <w:rsid w:val="66BB0B84"/>
    <w:rsid w:val="66BE68C6"/>
    <w:rsid w:val="66C13CC1"/>
    <w:rsid w:val="66C56941"/>
    <w:rsid w:val="66CA0DC7"/>
    <w:rsid w:val="66CF1E96"/>
    <w:rsid w:val="66D566F3"/>
    <w:rsid w:val="66DB1226"/>
    <w:rsid w:val="66DB2FD4"/>
    <w:rsid w:val="66F127F8"/>
    <w:rsid w:val="66F347C2"/>
    <w:rsid w:val="66F67E0E"/>
    <w:rsid w:val="66FB3677"/>
    <w:rsid w:val="66FB71D3"/>
    <w:rsid w:val="670544F5"/>
    <w:rsid w:val="670A38BA"/>
    <w:rsid w:val="67112E9A"/>
    <w:rsid w:val="671367FA"/>
    <w:rsid w:val="67144738"/>
    <w:rsid w:val="6716225F"/>
    <w:rsid w:val="67184229"/>
    <w:rsid w:val="671B7875"/>
    <w:rsid w:val="671E1113"/>
    <w:rsid w:val="671E7365"/>
    <w:rsid w:val="671F124A"/>
    <w:rsid w:val="67200071"/>
    <w:rsid w:val="67236729"/>
    <w:rsid w:val="6727446C"/>
    <w:rsid w:val="672C626E"/>
    <w:rsid w:val="67317098"/>
    <w:rsid w:val="673821D5"/>
    <w:rsid w:val="67414E40"/>
    <w:rsid w:val="674A351B"/>
    <w:rsid w:val="675114E9"/>
    <w:rsid w:val="67530DBD"/>
    <w:rsid w:val="67564D51"/>
    <w:rsid w:val="675B2367"/>
    <w:rsid w:val="67713939"/>
    <w:rsid w:val="677A33C6"/>
    <w:rsid w:val="67852F40"/>
    <w:rsid w:val="67917B37"/>
    <w:rsid w:val="679D028A"/>
    <w:rsid w:val="67A13C28"/>
    <w:rsid w:val="67A755AC"/>
    <w:rsid w:val="67A91325"/>
    <w:rsid w:val="67B33F51"/>
    <w:rsid w:val="67B37AAD"/>
    <w:rsid w:val="67C41CBB"/>
    <w:rsid w:val="67C5088E"/>
    <w:rsid w:val="67C577E1"/>
    <w:rsid w:val="67D068B1"/>
    <w:rsid w:val="67D30150"/>
    <w:rsid w:val="67D31EFE"/>
    <w:rsid w:val="67D77C40"/>
    <w:rsid w:val="67E00D1C"/>
    <w:rsid w:val="67F51E74"/>
    <w:rsid w:val="67F56318"/>
    <w:rsid w:val="67FA392E"/>
    <w:rsid w:val="68000819"/>
    <w:rsid w:val="680B1697"/>
    <w:rsid w:val="680E2F36"/>
    <w:rsid w:val="68157E6E"/>
    <w:rsid w:val="6817628E"/>
    <w:rsid w:val="681D13CB"/>
    <w:rsid w:val="681F6961"/>
    <w:rsid w:val="682409AB"/>
    <w:rsid w:val="68276D85"/>
    <w:rsid w:val="682B7F8C"/>
    <w:rsid w:val="68324D3D"/>
    <w:rsid w:val="68330BEE"/>
    <w:rsid w:val="6833299C"/>
    <w:rsid w:val="683E4D93"/>
    <w:rsid w:val="68435627"/>
    <w:rsid w:val="684D7F02"/>
    <w:rsid w:val="684E5A28"/>
    <w:rsid w:val="684F3C7A"/>
    <w:rsid w:val="6852376A"/>
    <w:rsid w:val="685A43CD"/>
    <w:rsid w:val="6860334B"/>
    <w:rsid w:val="68610A2F"/>
    <w:rsid w:val="68721717"/>
    <w:rsid w:val="687234C5"/>
    <w:rsid w:val="68795138"/>
    <w:rsid w:val="687B05A1"/>
    <w:rsid w:val="687C2595"/>
    <w:rsid w:val="688040DB"/>
    <w:rsid w:val="68805514"/>
    <w:rsid w:val="68863414"/>
    <w:rsid w:val="68896A60"/>
    <w:rsid w:val="688B27D8"/>
    <w:rsid w:val="688F22C8"/>
    <w:rsid w:val="68923957"/>
    <w:rsid w:val="689C2C37"/>
    <w:rsid w:val="689F0032"/>
    <w:rsid w:val="689F14E3"/>
    <w:rsid w:val="68A13DAA"/>
    <w:rsid w:val="68AA0EB0"/>
    <w:rsid w:val="68AC2CF6"/>
    <w:rsid w:val="68B03FED"/>
    <w:rsid w:val="68B41D2F"/>
    <w:rsid w:val="68BE2BAE"/>
    <w:rsid w:val="68BF08FC"/>
    <w:rsid w:val="68C161FA"/>
    <w:rsid w:val="68C53F3C"/>
    <w:rsid w:val="68CD1043"/>
    <w:rsid w:val="68CF4DBB"/>
    <w:rsid w:val="68D0643D"/>
    <w:rsid w:val="68D75E60"/>
    <w:rsid w:val="68E51EE8"/>
    <w:rsid w:val="68E819D9"/>
    <w:rsid w:val="68EA39A3"/>
    <w:rsid w:val="68EF2D67"/>
    <w:rsid w:val="68F23CD8"/>
    <w:rsid w:val="68F4037D"/>
    <w:rsid w:val="68FC7232"/>
    <w:rsid w:val="69026F3E"/>
    <w:rsid w:val="690643FC"/>
    <w:rsid w:val="69076303"/>
    <w:rsid w:val="6908207B"/>
    <w:rsid w:val="690A7BA1"/>
    <w:rsid w:val="690F02BE"/>
    <w:rsid w:val="69151320"/>
    <w:rsid w:val="691602F4"/>
    <w:rsid w:val="691B68D3"/>
    <w:rsid w:val="69216C99"/>
    <w:rsid w:val="6922138F"/>
    <w:rsid w:val="69256789"/>
    <w:rsid w:val="69286279"/>
    <w:rsid w:val="692A3D9F"/>
    <w:rsid w:val="69316E2F"/>
    <w:rsid w:val="693370F8"/>
    <w:rsid w:val="693764BC"/>
    <w:rsid w:val="693B41FE"/>
    <w:rsid w:val="693D21D2"/>
    <w:rsid w:val="69401815"/>
    <w:rsid w:val="694035C3"/>
    <w:rsid w:val="694D5AE0"/>
    <w:rsid w:val="694E2071"/>
    <w:rsid w:val="69504FA3"/>
    <w:rsid w:val="6951757E"/>
    <w:rsid w:val="69584DB0"/>
    <w:rsid w:val="69586B5E"/>
    <w:rsid w:val="695A0B28"/>
    <w:rsid w:val="695D4175"/>
    <w:rsid w:val="69603C65"/>
    <w:rsid w:val="69623539"/>
    <w:rsid w:val="696848C8"/>
    <w:rsid w:val="69733998"/>
    <w:rsid w:val="697563C2"/>
    <w:rsid w:val="69766163"/>
    <w:rsid w:val="69766FE4"/>
    <w:rsid w:val="69787200"/>
    <w:rsid w:val="697A3B33"/>
    <w:rsid w:val="6989589F"/>
    <w:rsid w:val="698C2CAC"/>
    <w:rsid w:val="699E02E9"/>
    <w:rsid w:val="69A00D58"/>
    <w:rsid w:val="69AC0C58"/>
    <w:rsid w:val="69AE6D52"/>
    <w:rsid w:val="69B0699A"/>
    <w:rsid w:val="69B31FE7"/>
    <w:rsid w:val="69B67D29"/>
    <w:rsid w:val="69BD76C5"/>
    <w:rsid w:val="69C2222A"/>
    <w:rsid w:val="69C359AB"/>
    <w:rsid w:val="69C67F6C"/>
    <w:rsid w:val="69CB5582"/>
    <w:rsid w:val="69CD7D75"/>
    <w:rsid w:val="69D44760"/>
    <w:rsid w:val="69D56401"/>
    <w:rsid w:val="69D97A59"/>
    <w:rsid w:val="69DD3507"/>
    <w:rsid w:val="69E228CC"/>
    <w:rsid w:val="69EC54F9"/>
    <w:rsid w:val="69F454C1"/>
    <w:rsid w:val="69FD14B4"/>
    <w:rsid w:val="6A0868C0"/>
    <w:rsid w:val="6A097E59"/>
    <w:rsid w:val="6A0A597F"/>
    <w:rsid w:val="6A136F29"/>
    <w:rsid w:val="6A154269"/>
    <w:rsid w:val="6A18009C"/>
    <w:rsid w:val="6A1D56B2"/>
    <w:rsid w:val="6A1F142A"/>
    <w:rsid w:val="6A2133F4"/>
    <w:rsid w:val="6A260A0B"/>
    <w:rsid w:val="6A294057"/>
    <w:rsid w:val="6A31115D"/>
    <w:rsid w:val="6A373C58"/>
    <w:rsid w:val="6A3824EC"/>
    <w:rsid w:val="6A3D1DC1"/>
    <w:rsid w:val="6A3F387A"/>
    <w:rsid w:val="6A420834"/>
    <w:rsid w:val="6A425119"/>
    <w:rsid w:val="6A4610AD"/>
    <w:rsid w:val="6A4F06D0"/>
    <w:rsid w:val="6A520EC7"/>
    <w:rsid w:val="6A5A4573"/>
    <w:rsid w:val="6A5C442C"/>
    <w:rsid w:val="6A62486A"/>
    <w:rsid w:val="6A62768C"/>
    <w:rsid w:val="6A672BCB"/>
    <w:rsid w:val="6A6D26DE"/>
    <w:rsid w:val="6A720567"/>
    <w:rsid w:val="6A7A6FA8"/>
    <w:rsid w:val="6A843983"/>
    <w:rsid w:val="6A876FCF"/>
    <w:rsid w:val="6A890F99"/>
    <w:rsid w:val="6A8B3798"/>
    <w:rsid w:val="6A8D6CDC"/>
    <w:rsid w:val="6A9F07BD"/>
    <w:rsid w:val="6AAD6A36"/>
    <w:rsid w:val="6AAF6C52"/>
    <w:rsid w:val="6AB06526"/>
    <w:rsid w:val="6AC16985"/>
    <w:rsid w:val="6AC22951"/>
    <w:rsid w:val="6ACA583A"/>
    <w:rsid w:val="6ACC4CA7"/>
    <w:rsid w:val="6ACF10A2"/>
    <w:rsid w:val="6AD2649C"/>
    <w:rsid w:val="6ADC37BF"/>
    <w:rsid w:val="6AE10DD5"/>
    <w:rsid w:val="6AEB755E"/>
    <w:rsid w:val="6AF705F9"/>
    <w:rsid w:val="6AF82E4F"/>
    <w:rsid w:val="6AF87E20"/>
    <w:rsid w:val="6B032AFA"/>
    <w:rsid w:val="6B054AC4"/>
    <w:rsid w:val="6B056872"/>
    <w:rsid w:val="6B0D1BCA"/>
    <w:rsid w:val="6B0F149F"/>
    <w:rsid w:val="6B1221E3"/>
    <w:rsid w:val="6B1C3BBC"/>
    <w:rsid w:val="6B1F6B4F"/>
    <w:rsid w:val="6B225676"/>
    <w:rsid w:val="6B2A0087"/>
    <w:rsid w:val="6B2A62D8"/>
    <w:rsid w:val="6B2B5629"/>
    <w:rsid w:val="6B2F7D93"/>
    <w:rsid w:val="6B317667"/>
    <w:rsid w:val="6B322639"/>
    <w:rsid w:val="6B39476E"/>
    <w:rsid w:val="6B3B2294"/>
    <w:rsid w:val="6B3E7FD6"/>
    <w:rsid w:val="6B405AFC"/>
    <w:rsid w:val="6B4E24B7"/>
    <w:rsid w:val="6B563571"/>
    <w:rsid w:val="6B622AA4"/>
    <w:rsid w:val="6B637A3C"/>
    <w:rsid w:val="6B657311"/>
    <w:rsid w:val="6B6D4417"/>
    <w:rsid w:val="6B6F1F3D"/>
    <w:rsid w:val="6B713F07"/>
    <w:rsid w:val="6B767770"/>
    <w:rsid w:val="6B7B2FD8"/>
    <w:rsid w:val="6B80414A"/>
    <w:rsid w:val="6B8A4FC9"/>
    <w:rsid w:val="6B8E4C13"/>
    <w:rsid w:val="6B8F0831"/>
    <w:rsid w:val="6B916358"/>
    <w:rsid w:val="6B9D4CFC"/>
    <w:rsid w:val="6BA442DD"/>
    <w:rsid w:val="6BB12556"/>
    <w:rsid w:val="6BB34520"/>
    <w:rsid w:val="6BC4672D"/>
    <w:rsid w:val="6BC524A5"/>
    <w:rsid w:val="6BC73B27"/>
    <w:rsid w:val="6BC95AF1"/>
    <w:rsid w:val="6BD02C50"/>
    <w:rsid w:val="6BD34BC2"/>
    <w:rsid w:val="6BD65075"/>
    <w:rsid w:val="6BDE3191"/>
    <w:rsid w:val="6BDF70C3"/>
    <w:rsid w:val="6BF54B38"/>
    <w:rsid w:val="6BF568E6"/>
    <w:rsid w:val="6BF608B1"/>
    <w:rsid w:val="6C022DB1"/>
    <w:rsid w:val="6C054650"/>
    <w:rsid w:val="6C0E5BFA"/>
    <w:rsid w:val="6C1256EA"/>
    <w:rsid w:val="6C150D37"/>
    <w:rsid w:val="6C1812DB"/>
    <w:rsid w:val="6C184383"/>
    <w:rsid w:val="6C1B3E73"/>
    <w:rsid w:val="6C1D7BEB"/>
    <w:rsid w:val="6C1E4FBB"/>
    <w:rsid w:val="6C1F5711"/>
    <w:rsid w:val="6C2C42D2"/>
    <w:rsid w:val="6C2E3BA6"/>
    <w:rsid w:val="6C303DC2"/>
    <w:rsid w:val="6C332FD3"/>
    <w:rsid w:val="6C3867D3"/>
    <w:rsid w:val="6C3D028D"/>
    <w:rsid w:val="6C3D64DF"/>
    <w:rsid w:val="6C3F4006"/>
    <w:rsid w:val="6C4258A4"/>
    <w:rsid w:val="6C44786E"/>
    <w:rsid w:val="6C4909E0"/>
    <w:rsid w:val="6C4B6506"/>
    <w:rsid w:val="6C50457C"/>
    <w:rsid w:val="6C557385"/>
    <w:rsid w:val="6C5A0E3F"/>
    <w:rsid w:val="6C6121CE"/>
    <w:rsid w:val="6C636C38"/>
    <w:rsid w:val="6C6475C8"/>
    <w:rsid w:val="6C6A1D5E"/>
    <w:rsid w:val="6C6C46CF"/>
    <w:rsid w:val="6C6D2921"/>
    <w:rsid w:val="6C702411"/>
    <w:rsid w:val="6C77554D"/>
    <w:rsid w:val="6C7C2B64"/>
    <w:rsid w:val="6C7D068A"/>
    <w:rsid w:val="6C7D4B2E"/>
    <w:rsid w:val="6C81017A"/>
    <w:rsid w:val="6C823EF2"/>
    <w:rsid w:val="6C87624D"/>
    <w:rsid w:val="6C895281"/>
    <w:rsid w:val="6C8E6D3B"/>
    <w:rsid w:val="6C9D0D2C"/>
    <w:rsid w:val="6C9F2CF6"/>
    <w:rsid w:val="6CA83959"/>
    <w:rsid w:val="6CAA294A"/>
    <w:rsid w:val="6CB22A29"/>
    <w:rsid w:val="6CB25226"/>
    <w:rsid w:val="6CB26586"/>
    <w:rsid w:val="6CB86BB6"/>
    <w:rsid w:val="6CB93DB8"/>
    <w:rsid w:val="6CBC7404"/>
    <w:rsid w:val="6CC61005"/>
    <w:rsid w:val="6CCE0EE6"/>
    <w:rsid w:val="6CDA788A"/>
    <w:rsid w:val="6CDB5909"/>
    <w:rsid w:val="6CDC3602"/>
    <w:rsid w:val="6CF07DF1"/>
    <w:rsid w:val="6CFA1CDB"/>
    <w:rsid w:val="6D056FFD"/>
    <w:rsid w:val="6D0D1A0E"/>
    <w:rsid w:val="6D162FB8"/>
    <w:rsid w:val="6D17288C"/>
    <w:rsid w:val="6D192AA9"/>
    <w:rsid w:val="6D196605"/>
    <w:rsid w:val="6D284A9A"/>
    <w:rsid w:val="6D2F4995"/>
    <w:rsid w:val="6D374CDD"/>
    <w:rsid w:val="6D4837B7"/>
    <w:rsid w:val="6D512242"/>
    <w:rsid w:val="6D5238C5"/>
    <w:rsid w:val="6D5835D1"/>
    <w:rsid w:val="6D5B4E6F"/>
    <w:rsid w:val="6D5C1A88"/>
    <w:rsid w:val="6D62136E"/>
    <w:rsid w:val="6D624205"/>
    <w:rsid w:val="6D680678"/>
    <w:rsid w:val="6D6B4986"/>
    <w:rsid w:val="6D6D06FE"/>
    <w:rsid w:val="6D6F26C8"/>
    <w:rsid w:val="6D77332B"/>
    <w:rsid w:val="6D910891"/>
    <w:rsid w:val="6D934609"/>
    <w:rsid w:val="6D943EDD"/>
    <w:rsid w:val="6D985493"/>
    <w:rsid w:val="6D997745"/>
    <w:rsid w:val="6D9D09CE"/>
    <w:rsid w:val="6DA5433C"/>
    <w:rsid w:val="6DA560EA"/>
    <w:rsid w:val="6DAC7479"/>
    <w:rsid w:val="6DAF6F69"/>
    <w:rsid w:val="6DB34098"/>
    <w:rsid w:val="6DB545B6"/>
    <w:rsid w:val="6DC02F24"/>
    <w:rsid w:val="6DDA2238"/>
    <w:rsid w:val="6DDD5884"/>
    <w:rsid w:val="6DDE33AA"/>
    <w:rsid w:val="6DE02FB4"/>
    <w:rsid w:val="6DE035C6"/>
    <w:rsid w:val="6DE309C1"/>
    <w:rsid w:val="6DEF3809"/>
    <w:rsid w:val="6DF130DE"/>
    <w:rsid w:val="6DF8446C"/>
    <w:rsid w:val="6DFB0400"/>
    <w:rsid w:val="6DFD7CD4"/>
    <w:rsid w:val="6DFF34D0"/>
    <w:rsid w:val="6DFF4827"/>
    <w:rsid w:val="6E001573"/>
    <w:rsid w:val="6E02353D"/>
    <w:rsid w:val="6E0A23F1"/>
    <w:rsid w:val="6E11552E"/>
    <w:rsid w:val="6E14501E"/>
    <w:rsid w:val="6E146DCC"/>
    <w:rsid w:val="6E182D60"/>
    <w:rsid w:val="6E192634"/>
    <w:rsid w:val="6E1A0886"/>
    <w:rsid w:val="6E213D41"/>
    <w:rsid w:val="6E2711F5"/>
    <w:rsid w:val="6E272FA3"/>
    <w:rsid w:val="6E2E60E0"/>
    <w:rsid w:val="6E2E7E8E"/>
    <w:rsid w:val="6E3000AA"/>
    <w:rsid w:val="6E3278CD"/>
    <w:rsid w:val="6E34348F"/>
    <w:rsid w:val="6E35746E"/>
    <w:rsid w:val="6E380D0C"/>
    <w:rsid w:val="6E3851B0"/>
    <w:rsid w:val="6E3A4A84"/>
    <w:rsid w:val="6E3B6A4F"/>
    <w:rsid w:val="6E3D27C7"/>
    <w:rsid w:val="6E446F87"/>
    <w:rsid w:val="6E4771A1"/>
    <w:rsid w:val="6E5024FA"/>
    <w:rsid w:val="6E514CED"/>
    <w:rsid w:val="6E533D98"/>
    <w:rsid w:val="6E600263"/>
    <w:rsid w:val="6E620F28"/>
    <w:rsid w:val="6E652A4D"/>
    <w:rsid w:val="6E661D1D"/>
    <w:rsid w:val="6E6748E5"/>
    <w:rsid w:val="6E677844"/>
    <w:rsid w:val="6E6E2980"/>
    <w:rsid w:val="6E7D2BC3"/>
    <w:rsid w:val="6E7E0654"/>
    <w:rsid w:val="6E7F06E9"/>
    <w:rsid w:val="6E7F4B8D"/>
    <w:rsid w:val="6E870BE2"/>
    <w:rsid w:val="6E8A6B81"/>
    <w:rsid w:val="6E9A5523"/>
    <w:rsid w:val="6EA30B42"/>
    <w:rsid w:val="6EA42846"/>
    <w:rsid w:val="6EAB7730"/>
    <w:rsid w:val="6EB563D5"/>
    <w:rsid w:val="6EBC193D"/>
    <w:rsid w:val="6EC14468"/>
    <w:rsid w:val="6EC6456A"/>
    <w:rsid w:val="6ECB7DD2"/>
    <w:rsid w:val="6ECC77D7"/>
    <w:rsid w:val="6ED021E2"/>
    <w:rsid w:val="6ED27BFD"/>
    <w:rsid w:val="6ED35817"/>
    <w:rsid w:val="6ED92677"/>
    <w:rsid w:val="6EDC1FE0"/>
    <w:rsid w:val="6EDC3D8E"/>
    <w:rsid w:val="6EE13152"/>
    <w:rsid w:val="6EE175F6"/>
    <w:rsid w:val="6EE22F72"/>
    <w:rsid w:val="6EE842AA"/>
    <w:rsid w:val="6EED7D49"/>
    <w:rsid w:val="6EF410D7"/>
    <w:rsid w:val="6EF530A1"/>
    <w:rsid w:val="6EFF7A7C"/>
    <w:rsid w:val="6F0313D9"/>
    <w:rsid w:val="6F045092"/>
    <w:rsid w:val="6F082DD5"/>
    <w:rsid w:val="6F0D3F47"/>
    <w:rsid w:val="6F1B2B08"/>
    <w:rsid w:val="6F1F3C7A"/>
    <w:rsid w:val="6F2130FB"/>
    <w:rsid w:val="6F213E96"/>
    <w:rsid w:val="6F225983"/>
    <w:rsid w:val="6F23376B"/>
    <w:rsid w:val="6F307C36"/>
    <w:rsid w:val="6F35349E"/>
    <w:rsid w:val="6F3E2352"/>
    <w:rsid w:val="6F4436E1"/>
    <w:rsid w:val="6F4517DF"/>
    <w:rsid w:val="6F4B2CC1"/>
    <w:rsid w:val="6F5B73A8"/>
    <w:rsid w:val="6F63000B"/>
    <w:rsid w:val="6F7044D6"/>
    <w:rsid w:val="6F7264A0"/>
    <w:rsid w:val="6F751AEC"/>
    <w:rsid w:val="6F834209"/>
    <w:rsid w:val="6F835308"/>
    <w:rsid w:val="6F85534E"/>
    <w:rsid w:val="6F865AA7"/>
    <w:rsid w:val="6F8C7562"/>
    <w:rsid w:val="6F926B42"/>
    <w:rsid w:val="6F9274A1"/>
    <w:rsid w:val="6F944668"/>
    <w:rsid w:val="6F96218E"/>
    <w:rsid w:val="6F9B77A5"/>
    <w:rsid w:val="6F9C351D"/>
    <w:rsid w:val="6FA0300D"/>
    <w:rsid w:val="6FA32AFD"/>
    <w:rsid w:val="6FB40867"/>
    <w:rsid w:val="6FB42615"/>
    <w:rsid w:val="6FBB39A3"/>
    <w:rsid w:val="6FC0545D"/>
    <w:rsid w:val="6FCB7577"/>
    <w:rsid w:val="6FCF38F2"/>
    <w:rsid w:val="6FF9271D"/>
    <w:rsid w:val="6FFB0243"/>
    <w:rsid w:val="6FFC5590"/>
    <w:rsid w:val="700A0487"/>
    <w:rsid w:val="7012558D"/>
    <w:rsid w:val="70227EC6"/>
    <w:rsid w:val="702754DC"/>
    <w:rsid w:val="70335C2F"/>
    <w:rsid w:val="70384FF4"/>
    <w:rsid w:val="704C4365"/>
    <w:rsid w:val="705067E1"/>
    <w:rsid w:val="70553DF8"/>
    <w:rsid w:val="705A140E"/>
    <w:rsid w:val="705A7660"/>
    <w:rsid w:val="70622071"/>
    <w:rsid w:val="70626515"/>
    <w:rsid w:val="706D1DD0"/>
    <w:rsid w:val="707A1AB0"/>
    <w:rsid w:val="707B1384"/>
    <w:rsid w:val="7080699B"/>
    <w:rsid w:val="70822713"/>
    <w:rsid w:val="70856B87"/>
    <w:rsid w:val="708741CD"/>
    <w:rsid w:val="70912956"/>
    <w:rsid w:val="70967F6C"/>
    <w:rsid w:val="70984BC8"/>
    <w:rsid w:val="709D6004"/>
    <w:rsid w:val="709D754D"/>
    <w:rsid w:val="709E6AF3"/>
    <w:rsid w:val="70AA6F37"/>
    <w:rsid w:val="70AC59E2"/>
    <w:rsid w:val="70B36D70"/>
    <w:rsid w:val="70BA00FF"/>
    <w:rsid w:val="70BD7BEF"/>
    <w:rsid w:val="70BF74C3"/>
    <w:rsid w:val="70C57C29"/>
    <w:rsid w:val="70D07922"/>
    <w:rsid w:val="70D2369A"/>
    <w:rsid w:val="70D311C0"/>
    <w:rsid w:val="70D527EE"/>
    <w:rsid w:val="70DC0CFB"/>
    <w:rsid w:val="70E17439"/>
    <w:rsid w:val="70E41C98"/>
    <w:rsid w:val="70EC5DDE"/>
    <w:rsid w:val="70EE5FFA"/>
    <w:rsid w:val="70F3716D"/>
    <w:rsid w:val="70F76C5D"/>
    <w:rsid w:val="70F84783"/>
    <w:rsid w:val="70FA674D"/>
    <w:rsid w:val="70FC24C5"/>
    <w:rsid w:val="70FC4273"/>
    <w:rsid w:val="70FF5B11"/>
    <w:rsid w:val="710743C3"/>
    <w:rsid w:val="710D6480"/>
    <w:rsid w:val="712B4B58"/>
    <w:rsid w:val="712B6906"/>
    <w:rsid w:val="71306613"/>
    <w:rsid w:val="71325EE7"/>
    <w:rsid w:val="714300F4"/>
    <w:rsid w:val="714B0D57"/>
    <w:rsid w:val="714B2030"/>
    <w:rsid w:val="714B5C34"/>
    <w:rsid w:val="71500A63"/>
    <w:rsid w:val="71566079"/>
    <w:rsid w:val="715900B6"/>
    <w:rsid w:val="715B3690"/>
    <w:rsid w:val="715B5300"/>
    <w:rsid w:val="715F2A54"/>
    <w:rsid w:val="71681909"/>
    <w:rsid w:val="716D51BB"/>
    <w:rsid w:val="71707F90"/>
    <w:rsid w:val="71777D9E"/>
    <w:rsid w:val="717C3606"/>
    <w:rsid w:val="717E112C"/>
    <w:rsid w:val="717E737E"/>
    <w:rsid w:val="717F6C52"/>
    <w:rsid w:val="718129CA"/>
    <w:rsid w:val="7186296C"/>
    <w:rsid w:val="718A7AD1"/>
    <w:rsid w:val="718B3849"/>
    <w:rsid w:val="718D75C1"/>
    <w:rsid w:val="718F158B"/>
    <w:rsid w:val="718F6E95"/>
    <w:rsid w:val="719170B1"/>
    <w:rsid w:val="71950172"/>
    <w:rsid w:val="719646C8"/>
    <w:rsid w:val="71973F9C"/>
    <w:rsid w:val="71AA1F21"/>
    <w:rsid w:val="71AD37BF"/>
    <w:rsid w:val="71AF7537"/>
    <w:rsid w:val="71B132B0"/>
    <w:rsid w:val="71B21CC2"/>
    <w:rsid w:val="71B40FF2"/>
    <w:rsid w:val="71B608C6"/>
    <w:rsid w:val="71B763EC"/>
    <w:rsid w:val="71B903B6"/>
    <w:rsid w:val="71C01745"/>
    <w:rsid w:val="71C11019"/>
    <w:rsid w:val="71C32FE3"/>
    <w:rsid w:val="71C64881"/>
    <w:rsid w:val="71CD20B4"/>
    <w:rsid w:val="71D27F8A"/>
    <w:rsid w:val="71D451F0"/>
    <w:rsid w:val="71DB657E"/>
    <w:rsid w:val="71DD0BA0"/>
    <w:rsid w:val="71E116BB"/>
    <w:rsid w:val="71E573FD"/>
    <w:rsid w:val="71E80C9B"/>
    <w:rsid w:val="71ED0060"/>
    <w:rsid w:val="71F32978"/>
    <w:rsid w:val="71F4319C"/>
    <w:rsid w:val="71F43828"/>
    <w:rsid w:val="71F46A46"/>
    <w:rsid w:val="71F534A2"/>
    <w:rsid w:val="71F66F14"/>
    <w:rsid w:val="71F72C8D"/>
    <w:rsid w:val="71FF3B8D"/>
    <w:rsid w:val="72007D93"/>
    <w:rsid w:val="72023B0B"/>
    <w:rsid w:val="7205184D"/>
    <w:rsid w:val="72062ED0"/>
    <w:rsid w:val="720C498A"/>
    <w:rsid w:val="72141A90"/>
    <w:rsid w:val="7218332F"/>
    <w:rsid w:val="721D18D3"/>
    <w:rsid w:val="721F4658"/>
    <w:rsid w:val="723102E8"/>
    <w:rsid w:val="723839D1"/>
    <w:rsid w:val="723932A5"/>
    <w:rsid w:val="7242215A"/>
    <w:rsid w:val="72451C4A"/>
    <w:rsid w:val="724A54B2"/>
    <w:rsid w:val="724C4D86"/>
    <w:rsid w:val="72553024"/>
    <w:rsid w:val="725E4ABA"/>
    <w:rsid w:val="72617EFA"/>
    <w:rsid w:val="72640322"/>
    <w:rsid w:val="72646574"/>
    <w:rsid w:val="726C5429"/>
    <w:rsid w:val="726E73F3"/>
    <w:rsid w:val="727B566C"/>
    <w:rsid w:val="72834520"/>
    <w:rsid w:val="728423AD"/>
    <w:rsid w:val="728C2FB9"/>
    <w:rsid w:val="729055BB"/>
    <w:rsid w:val="72907369"/>
    <w:rsid w:val="7294672D"/>
    <w:rsid w:val="729945ED"/>
    <w:rsid w:val="729F16E9"/>
    <w:rsid w:val="72A250D8"/>
    <w:rsid w:val="72A252EE"/>
    <w:rsid w:val="72AB5F51"/>
    <w:rsid w:val="72BF37AA"/>
    <w:rsid w:val="72C37F18"/>
    <w:rsid w:val="72C45265"/>
    <w:rsid w:val="72C52616"/>
    <w:rsid w:val="72C60FDD"/>
    <w:rsid w:val="72D03C09"/>
    <w:rsid w:val="72D66D46"/>
    <w:rsid w:val="72DD00D4"/>
    <w:rsid w:val="72E025CA"/>
    <w:rsid w:val="72E96A79"/>
    <w:rsid w:val="72EE0533"/>
    <w:rsid w:val="72F71196"/>
    <w:rsid w:val="72F90AFB"/>
    <w:rsid w:val="73090EC9"/>
    <w:rsid w:val="73092C77"/>
    <w:rsid w:val="730D09BA"/>
    <w:rsid w:val="731004AA"/>
    <w:rsid w:val="73122968"/>
    <w:rsid w:val="73125FD0"/>
    <w:rsid w:val="731A4E85"/>
    <w:rsid w:val="731D6723"/>
    <w:rsid w:val="731F5D5E"/>
    <w:rsid w:val="732857F3"/>
    <w:rsid w:val="732E0930"/>
    <w:rsid w:val="73334198"/>
    <w:rsid w:val="73397A01"/>
    <w:rsid w:val="733A0A1E"/>
    <w:rsid w:val="73410663"/>
    <w:rsid w:val="734273A9"/>
    <w:rsid w:val="734343DB"/>
    <w:rsid w:val="73447343"/>
    <w:rsid w:val="734809C5"/>
    <w:rsid w:val="734939BC"/>
    <w:rsid w:val="734B3290"/>
    <w:rsid w:val="734E2D80"/>
    <w:rsid w:val="734F0FD2"/>
    <w:rsid w:val="735008A6"/>
    <w:rsid w:val="73530396"/>
    <w:rsid w:val="73577E87"/>
    <w:rsid w:val="73581BE2"/>
    <w:rsid w:val="73593BFF"/>
    <w:rsid w:val="735F6D3B"/>
    <w:rsid w:val="73661E78"/>
    <w:rsid w:val="736D76AA"/>
    <w:rsid w:val="7370719A"/>
    <w:rsid w:val="73774085"/>
    <w:rsid w:val="737A1DC7"/>
    <w:rsid w:val="737E5413"/>
    <w:rsid w:val="737F3399"/>
    <w:rsid w:val="7386076C"/>
    <w:rsid w:val="738846F0"/>
    <w:rsid w:val="738B18DE"/>
    <w:rsid w:val="73923FFC"/>
    <w:rsid w:val="73A56E44"/>
    <w:rsid w:val="73AA6208"/>
    <w:rsid w:val="73AB3D2F"/>
    <w:rsid w:val="73B057E9"/>
    <w:rsid w:val="73B3245A"/>
    <w:rsid w:val="73C31078"/>
    <w:rsid w:val="73C3551C"/>
    <w:rsid w:val="73C51AD5"/>
    <w:rsid w:val="73CE0CD1"/>
    <w:rsid w:val="73D82E23"/>
    <w:rsid w:val="73E00845"/>
    <w:rsid w:val="73E060CE"/>
    <w:rsid w:val="73EA0EDA"/>
    <w:rsid w:val="73EF6311"/>
    <w:rsid w:val="73F676A0"/>
    <w:rsid w:val="73FF2206"/>
    <w:rsid w:val="7400407A"/>
    <w:rsid w:val="74024296"/>
    <w:rsid w:val="74055B35"/>
    <w:rsid w:val="740C133F"/>
    <w:rsid w:val="74116287"/>
    <w:rsid w:val="74164A89"/>
    <w:rsid w:val="7419338E"/>
    <w:rsid w:val="741C4C2C"/>
    <w:rsid w:val="741E793C"/>
    <w:rsid w:val="74213FF1"/>
    <w:rsid w:val="74277859"/>
    <w:rsid w:val="74281823"/>
    <w:rsid w:val="742F670E"/>
    <w:rsid w:val="743106D8"/>
    <w:rsid w:val="743179E9"/>
    <w:rsid w:val="743326A2"/>
    <w:rsid w:val="743B1556"/>
    <w:rsid w:val="74404DBF"/>
    <w:rsid w:val="7443040B"/>
    <w:rsid w:val="7443665D"/>
    <w:rsid w:val="74455F31"/>
    <w:rsid w:val="74477EFB"/>
    <w:rsid w:val="74493C73"/>
    <w:rsid w:val="745368A0"/>
    <w:rsid w:val="745E3944"/>
    <w:rsid w:val="746D2206"/>
    <w:rsid w:val="746E5488"/>
    <w:rsid w:val="74714F78"/>
    <w:rsid w:val="747405C4"/>
    <w:rsid w:val="74795ECB"/>
    <w:rsid w:val="747D1B6F"/>
    <w:rsid w:val="747F58E7"/>
    <w:rsid w:val="7487479C"/>
    <w:rsid w:val="749D5D6D"/>
    <w:rsid w:val="749F7D37"/>
    <w:rsid w:val="74A92964"/>
    <w:rsid w:val="74AE7F7A"/>
    <w:rsid w:val="74B145BA"/>
    <w:rsid w:val="74BB61F3"/>
    <w:rsid w:val="74BF5CE3"/>
    <w:rsid w:val="74C0380A"/>
    <w:rsid w:val="74C94FF8"/>
    <w:rsid w:val="74CA6436"/>
    <w:rsid w:val="74D379E1"/>
    <w:rsid w:val="74D774D1"/>
    <w:rsid w:val="74DA2B1D"/>
    <w:rsid w:val="74DB0643"/>
    <w:rsid w:val="74E110B2"/>
    <w:rsid w:val="74E7523A"/>
    <w:rsid w:val="74F87447"/>
    <w:rsid w:val="74FD680C"/>
    <w:rsid w:val="750162FC"/>
    <w:rsid w:val="75053C12"/>
    <w:rsid w:val="75063912"/>
    <w:rsid w:val="750D2EF3"/>
    <w:rsid w:val="7513602F"/>
    <w:rsid w:val="75220020"/>
    <w:rsid w:val="75241FEA"/>
    <w:rsid w:val="75324707"/>
    <w:rsid w:val="753D12FE"/>
    <w:rsid w:val="753D30AC"/>
    <w:rsid w:val="753E3188"/>
    <w:rsid w:val="75461F61"/>
    <w:rsid w:val="75491A51"/>
    <w:rsid w:val="75530B22"/>
    <w:rsid w:val="7557416E"/>
    <w:rsid w:val="75622B13"/>
    <w:rsid w:val="756248C1"/>
    <w:rsid w:val="756B5E6B"/>
    <w:rsid w:val="75722D56"/>
    <w:rsid w:val="7577036C"/>
    <w:rsid w:val="757C3BD5"/>
    <w:rsid w:val="75842A89"/>
    <w:rsid w:val="75864A53"/>
    <w:rsid w:val="75895385"/>
    <w:rsid w:val="758D193E"/>
    <w:rsid w:val="758D63EE"/>
    <w:rsid w:val="7592164A"/>
    <w:rsid w:val="75984B37"/>
    <w:rsid w:val="759A3818"/>
    <w:rsid w:val="759F5B15"/>
    <w:rsid w:val="75A47685"/>
    <w:rsid w:val="75A629FF"/>
    <w:rsid w:val="75AB270C"/>
    <w:rsid w:val="75AC62E9"/>
    <w:rsid w:val="75B94E29"/>
    <w:rsid w:val="75BA46FD"/>
    <w:rsid w:val="75BD7F3E"/>
    <w:rsid w:val="75C17839"/>
    <w:rsid w:val="75CA2B92"/>
    <w:rsid w:val="75D03F20"/>
    <w:rsid w:val="75D51537"/>
    <w:rsid w:val="75D92DD5"/>
    <w:rsid w:val="75E605B0"/>
    <w:rsid w:val="75E706DE"/>
    <w:rsid w:val="75E83018"/>
    <w:rsid w:val="75ED6880"/>
    <w:rsid w:val="75EF084A"/>
    <w:rsid w:val="75F145C2"/>
    <w:rsid w:val="75F87ED3"/>
    <w:rsid w:val="75FA2D4B"/>
    <w:rsid w:val="760342F6"/>
    <w:rsid w:val="760A5684"/>
    <w:rsid w:val="760D0CD1"/>
    <w:rsid w:val="760D2FC2"/>
    <w:rsid w:val="761920DD"/>
    <w:rsid w:val="761D53B8"/>
    <w:rsid w:val="761E4C8C"/>
    <w:rsid w:val="76200A04"/>
    <w:rsid w:val="762F0C47"/>
    <w:rsid w:val="76342701"/>
    <w:rsid w:val="7634625D"/>
    <w:rsid w:val="7635099D"/>
    <w:rsid w:val="76360227"/>
    <w:rsid w:val="76366479"/>
    <w:rsid w:val="76375D4D"/>
    <w:rsid w:val="76393874"/>
    <w:rsid w:val="764741E2"/>
    <w:rsid w:val="764C6972"/>
    <w:rsid w:val="76522B87"/>
    <w:rsid w:val="76573A0C"/>
    <w:rsid w:val="765C7562"/>
    <w:rsid w:val="766905FD"/>
    <w:rsid w:val="767174B1"/>
    <w:rsid w:val="767B0330"/>
    <w:rsid w:val="767E572A"/>
    <w:rsid w:val="768216BE"/>
    <w:rsid w:val="76852F5D"/>
    <w:rsid w:val="768554B4"/>
    <w:rsid w:val="76885BE6"/>
    <w:rsid w:val="768947FB"/>
    <w:rsid w:val="7693567A"/>
    <w:rsid w:val="76966F18"/>
    <w:rsid w:val="769B452E"/>
    <w:rsid w:val="769F401E"/>
    <w:rsid w:val="76A01B45"/>
    <w:rsid w:val="76A07D97"/>
    <w:rsid w:val="76A809F9"/>
    <w:rsid w:val="76A96C4B"/>
    <w:rsid w:val="76AA4771"/>
    <w:rsid w:val="76B13D52"/>
    <w:rsid w:val="76B64EC4"/>
    <w:rsid w:val="76B80C3C"/>
    <w:rsid w:val="76C375E1"/>
    <w:rsid w:val="76C43A85"/>
    <w:rsid w:val="76C45833"/>
    <w:rsid w:val="76D01F34"/>
    <w:rsid w:val="76D200C0"/>
    <w:rsid w:val="76D22E4C"/>
    <w:rsid w:val="76D33CC8"/>
    <w:rsid w:val="76D37824"/>
    <w:rsid w:val="76D65566"/>
    <w:rsid w:val="76D812DE"/>
    <w:rsid w:val="76DB0DCF"/>
    <w:rsid w:val="76DD06A3"/>
    <w:rsid w:val="76EC4D8A"/>
    <w:rsid w:val="76F123A0"/>
    <w:rsid w:val="76F35E33"/>
    <w:rsid w:val="76F52AFE"/>
    <w:rsid w:val="76F93003"/>
    <w:rsid w:val="76FF2D0F"/>
    <w:rsid w:val="770420D4"/>
    <w:rsid w:val="77065500"/>
    <w:rsid w:val="77091498"/>
    <w:rsid w:val="77106CCA"/>
    <w:rsid w:val="77130569"/>
    <w:rsid w:val="77167266"/>
    <w:rsid w:val="77185B7F"/>
    <w:rsid w:val="771D3195"/>
    <w:rsid w:val="772A140E"/>
    <w:rsid w:val="77322F37"/>
    <w:rsid w:val="7735228D"/>
    <w:rsid w:val="773724A9"/>
    <w:rsid w:val="774422E4"/>
    <w:rsid w:val="77443A25"/>
    <w:rsid w:val="77476464"/>
    <w:rsid w:val="774D7DD6"/>
    <w:rsid w:val="775841CD"/>
    <w:rsid w:val="77591186"/>
    <w:rsid w:val="775A6197"/>
    <w:rsid w:val="775E5C88"/>
    <w:rsid w:val="775F555C"/>
    <w:rsid w:val="775F730A"/>
    <w:rsid w:val="77617526"/>
    <w:rsid w:val="77642B72"/>
    <w:rsid w:val="77672662"/>
    <w:rsid w:val="776A6F9C"/>
    <w:rsid w:val="77762421"/>
    <w:rsid w:val="77764653"/>
    <w:rsid w:val="777803CC"/>
    <w:rsid w:val="778D11F7"/>
    <w:rsid w:val="77901BB9"/>
    <w:rsid w:val="77950F7E"/>
    <w:rsid w:val="77993624"/>
    <w:rsid w:val="779A47E6"/>
    <w:rsid w:val="779F004E"/>
    <w:rsid w:val="77A003E9"/>
    <w:rsid w:val="77A61681"/>
    <w:rsid w:val="77A80CB1"/>
    <w:rsid w:val="77A83FA1"/>
    <w:rsid w:val="77A967D7"/>
    <w:rsid w:val="77AB64A3"/>
    <w:rsid w:val="77AD4519"/>
    <w:rsid w:val="77B120C2"/>
    <w:rsid w:val="77B441B3"/>
    <w:rsid w:val="77B5517C"/>
    <w:rsid w:val="77B56B1F"/>
    <w:rsid w:val="77BF249E"/>
    <w:rsid w:val="77C41863"/>
    <w:rsid w:val="77C87708"/>
    <w:rsid w:val="77CA50CB"/>
    <w:rsid w:val="77CE4490"/>
    <w:rsid w:val="77DA0571"/>
    <w:rsid w:val="77DA2E34"/>
    <w:rsid w:val="77E01BB3"/>
    <w:rsid w:val="77E23445"/>
    <w:rsid w:val="77E617D9"/>
    <w:rsid w:val="77EB5041"/>
    <w:rsid w:val="77ED0DBA"/>
    <w:rsid w:val="77FD3B3C"/>
    <w:rsid w:val="77FE2B5B"/>
    <w:rsid w:val="78000AED"/>
    <w:rsid w:val="78061E7B"/>
    <w:rsid w:val="780F09F4"/>
    <w:rsid w:val="78144598"/>
    <w:rsid w:val="7820118F"/>
    <w:rsid w:val="78250553"/>
    <w:rsid w:val="782642CC"/>
    <w:rsid w:val="782D47A0"/>
    <w:rsid w:val="78322C70"/>
    <w:rsid w:val="78340796"/>
    <w:rsid w:val="78396466"/>
    <w:rsid w:val="783F0EE9"/>
    <w:rsid w:val="784A1D68"/>
    <w:rsid w:val="784F3822"/>
    <w:rsid w:val="7855070D"/>
    <w:rsid w:val="785726D7"/>
    <w:rsid w:val="78632E2A"/>
    <w:rsid w:val="78760DAF"/>
    <w:rsid w:val="78783B4B"/>
    <w:rsid w:val="787D038F"/>
    <w:rsid w:val="78911745"/>
    <w:rsid w:val="7892370F"/>
    <w:rsid w:val="789254BD"/>
    <w:rsid w:val="78947487"/>
    <w:rsid w:val="78A70F68"/>
    <w:rsid w:val="78A90480"/>
    <w:rsid w:val="78A97EDD"/>
    <w:rsid w:val="78AA6CAB"/>
    <w:rsid w:val="78B10039"/>
    <w:rsid w:val="78B75539"/>
    <w:rsid w:val="78B95140"/>
    <w:rsid w:val="78C008A1"/>
    <w:rsid w:val="78C95383"/>
    <w:rsid w:val="78D930EC"/>
    <w:rsid w:val="78DE29FC"/>
    <w:rsid w:val="78DE6954"/>
    <w:rsid w:val="78EA52F9"/>
    <w:rsid w:val="78EE303B"/>
    <w:rsid w:val="78EF46BD"/>
    <w:rsid w:val="78F45A6B"/>
    <w:rsid w:val="78F46178"/>
    <w:rsid w:val="78FB5758"/>
    <w:rsid w:val="78FE2B52"/>
    <w:rsid w:val="790463BB"/>
    <w:rsid w:val="79075EAB"/>
    <w:rsid w:val="790939D1"/>
    <w:rsid w:val="790C1713"/>
    <w:rsid w:val="790C34C1"/>
    <w:rsid w:val="79163205"/>
    <w:rsid w:val="791A5BDE"/>
    <w:rsid w:val="791E4FA3"/>
    <w:rsid w:val="792151BF"/>
    <w:rsid w:val="792425B9"/>
    <w:rsid w:val="793B7903"/>
    <w:rsid w:val="79450781"/>
    <w:rsid w:val="794669D3"/>
    <w:rsid w:val="79471FB8"/>
    <w:rsid w:val="794C38BE"/>
    <w:rsid w:val="794F4180"/>
    <w:rsid w:val="795135CA"/>
    <w:rsid w:val="795310F0"/>
    <w:rsid w:val="795409C4"/>
    <w:rsid w:val="795F169C"/>
    <w:rsid w:val="795F5E2D"/>
    <w:rsid w:val="79607369"/>
    <w:rsid w:val="79674631"/>
    <w:rsid w:val="7967694A"/>
    <w:rsid w:val="796C5D0E"/>
    <w:rsid w:val="797057FE"/>
    <w:rsid w:val="797352EE"/>
    <w:rsid w:val="79782905"/>
    <w:rsid w:val="79786DA9"/>
    <w:rsid w:val="797A667D"/>
    <w:rsid w:val="798017B9"/>
    <w:rsid w:val="798D4602"/>
    <w:rsid w:val="79907C4E"/>
    <w:rsid w:val="79915775"/>
    <w:rsid w:val="799314ED"/>
    <w:rsid w:val="79935991"/>
    <w:rsid w:val="79986942"/>
    <w:rsid w:val="799C2A97"/>
    <w:rsid w:val="799F60E4"/>
    <w:rsid w:val="79A656C4"/>
    <w:rsid w:val="79A96F62"/>
    <w:rsid w:val="79AE27CB"/>
    <w:rsid w:val="79B53B59"/>
    <w:rsid w:val="79BF6786"/>
    <w:rsid w:val="79C913B2"/>
    <w:rsid w:val="79C95A94"/>
    <w:rsid w:val="79C97604"/>
    <w:rsid w:val="79CE69C9"/>
    <w:rsid w:val="79D00993"/>
    <w:rsid w:val="79D20267"/>
    <w:rsid w:val="79D33FDF"/>
    <w:rsid w:val="79D35D8D"/>
    <w:rsid w:val="79D7762B"/>
    <w:rsid w:val="79E63D12"/>
    <w:rsid w:val="79E81839"/>
    <w:rsid w:val="79FC05FF"/>
    <w:rsid w:val="79FC1788"/>
    <w:rsid w:val="79FE1462"/>
    <w:rsid w:val="7A083C89"/>
    <w:rsid w:val="7A1540A7"/>
    <w:rsid w:val="7A252A8D"/>
    <w:rsid w:val="7A262361"/>
    <w:rsid w:val="7A2A00A3"/>
    <w:rsid w:val="7A2F5E00"/>
    <w:rsid w:val="7A3031E0"/>
    <w:rsid w:val="7A364017"/>
    <w:rsid w:val="7A392094"/>
    <w:rsid w:val="7A456C8B"/>
    <w:rsid w:val="7A480529"/>
    <w:rsid w:val="7A4A5456"/>
    <w:rsid w:val="7A4B0019"/>
    <w:rsid w:val="7A581980"/>
    <w:rsid w:val="7A601D17"/>
    <w:rsid w:val="7A660E17"/>
    <w:rsid w:val="7A6C06BC"/>
    <w:rsid w:val="7A6D61E2"/>
    <w:rsid w:val="7A777060"/>
    <w:rsid w:val="7A8265E1"/>
    <w:rsid w:val="7A831561"/>
    <w:rsid w:val="7A85352B"/>
    <w:rsid w:val="7A8A6D94"/>
    <w:rsid w:val="7A903C7E"/>
    <w:rsid w:val="7A9279F6"/>
    <w:rsid w:val="7A9B2D4F"/>
    <w:rsid w:val="7AA23F80"/>
    <w:rsid w:val="7AAB35F8"/>
    <w:rsid w:val="7AB160CE"/>
    <w:rsid w:val="7AB21E46"/>
    <w:rsid w:val="7ABF784A"/>
    <w:rsid w:val="7ACC2F08"/>
    <w:rsid w:val="7ACF682E"/>
    <w:rsid w:val="7AD41DBD"/>
    <w:rsid w:val="7ADE49EA"/>
    <w:rsid w:val="7AE04C06"/>
    <w:rsid w:val="7AE77D42"/>
    <w:rsid w:val="7AED2E7F"/>
    <w:rsid w:val="7AF05B67"/>
    <w:rsid w:val="7AF16E13"/>
    <w:rsid w:val="7AF554D8"/>
    <w:rsid w:val="7AF83CFD"/>
    <w:rsid w:val="7AF97A75"/>
    <w:rsid w:val="7AFC7A85"/>
    <w:rsid w:val="7AFD57B8"/>
    <w:rsid w:val="7AFE328D"/>
    <w:rsid w:val="7B022DCE"/>
    <w:rsid w:val="7B087CB8"/>
    <w:rsid w:val="7B0F54EB"/>
    <w:rsid w:val="7B1228E5"/>
    <w:rsid w:val="7B1448AF"/>
    <w:rsid w:val="7B2368A0"/>
    <w:rsid w:val="7B260AB7"/>
    <w:rsid w:val="7B2A5F12"/>
    <w:rsid w:val="7B2E5971"/>
    <w:rsid w:val="7B30793B"/>
    <w:rsid w:val="7B3A2568"/>
    <w:rsid w:val="7B486307"/>
    <w:rsid w:val="7B4E6013"/>
    <w:rsid w:val="7B4F7695"/>
    <w:rsid w:val="7B51165F"/>
    <w:rsid w:val="7B5A6766"/>
    <w:rsid w:val="7B5D1DB2"/>
    <w:rsid w:val="7B6018A2"/>
    <w:rsid w:val="7B6770D5"/>
    <w:rsid w:val="7B686D42"/>
    <w:rsid w:val="7B6A5D5B"/>
    <w:rsid w:val="7B7535A0"/>
    <w:rsid w:val="7B75534E"/>
    <w:rsid w:val="7B7F7F7B"/>
    <w:rsid w:val="7B841746"/>
    <w:rsid w:val="7B8437E3"/>
    <w:rsid w:val="7B8B38C2"/>
    <w:rsid w:val="7B8C6B3B"/>
    <w:rsid w:val="7B8E31C3"/>
    <w:rsid w:val="7B933A26"/>
    <w:rsid w:val="7B937ECA"/>
    <w:rsid w:val="7B9D5998"/>
    <w:rsid w:val="7B9F061D"/>
    <w:rsid w:val="7BA479E1"/>
    <w:rsid w:val="7BA94FF8"/>
    <w:rsid w:val="7BAE6AB2"/>
    <w:rsid w:val="7BB21980"/>
    <w:rsid w:val="7BB3231A"/>
    <w:rsid w:val="7BBA7205"/>
    <w:rsid w:val="7BBC2F7D"/>
    <w:rsid w:val="7BC63DFB"/>
    <w:rsid w:val="7BC71922"/>
    <w:rsid w:val="7BC77B74"/>
    <w:rsid w:val="7BCC5773"/>
    <w:rsid w:val="7BCC6F38"/>
    <w:rsid w:val="7BCE2CB0"/>
    <w:rsid w:val="7BD81D81"/>
    <w:rsid w:val="7BE14791"/>
    <w:rsid w:val="7BE67FFA"/>
    <w:rsid w:val="7BF2699E"/>
    <w:rsid w:val="7BF32717"/>
    <w:rsid w:val="7C014E34"/>
    <w:rsid w:val="7C030BAC"/>
    <w:rsid w:val="7C122B9D"/>
    <w:rsid w:val="7C1254D3"/>
    <w:rsid w:val="7C127041"/>
    <w:rsid w:val="7C136915"/>
    <w:rsid w:val="7C18217D"/>
    <w:rsid w:val="7C1A5EF5"/>
    <w:rsid w:val="7C1C7EBF"/>
    <w:rsid w:val="7C1E3A6D"/>
    <w:rsid w:val="7C314FF5"/>
    <w:rsid w:val="7C324FED"/>
    <w:rsid w:val="7C330D65"/>
    <w:rsid w:val="7C374CF9"/>
    <w:rsid w:val="7C38637B"/>
    <w:rsid w:val="7C4222CD"/>
    <w:rsid w:val="7C460A98"/>
    <w:rsid w:val="7C4B60AF"/>
    <w:rsid w:val="7C4E488C"/>
    <w:rsid w:val="7C541407"/>
    <w:rsid w:val="7C547659"/>
    <w:rsid w:val="7C570EF7"/>
    <w:rsid w:val="7C5C650E"/>
    <w:rsid w:val="7C5E5DE2"/>
    <w:rsid w:val="7C6B6751"/>
    <w:rsid w:val="7C6C5AC7"/>
    <w:rsid w:val="7C6F2B32"/>
    <w:rsid w:val="7C725D31"/>
    <w:rsid w:val="7C741AA9"/>
    <w:rsid w:val="7C765821"/>
    <w:rsid w:val="7C7C270C"/>
    <w:rsid w:val="7C7C44BA"/>
    <w:rsid w:val="7C7E6484"/>
    <w:rsid w:val="7C835849"/>
    <w:rsid w:val="7C8A4E29"/>
    <w:rsid w:val="7C8E41ED"/>
    <w:rsid w:val="7C8F243F"/>
    <w:rsid w:val="7C9B5BF7"/>
    <w:rsid w:val="7C9B7036"/>
    <w:rsid w:val="7CA0289E"/>
    <w:rsid w:val="7CA51C63"/>
    <w:rsid w:val="7CAA1027"/>
    <w:rsid w:val="7CB002AD"/>
    <w:rsid w:val="7CB43C54"/>
    <w:rsid w:val="7CB71996"/>
    <w:rsid w:val="7CB73744"/>
    <w:rsid w:val="7CBA4FE2"/>
    <w:rsid w:val="7CC12815"/>
    <w:rsid w:val="7CC145C3"/>
    <w:rsid w:val="7CC320E9"/>
    <w:rsid w:val="7CC6544B"/>
    <w:rsid w:val="7CC66918"/>
    <w:rsid w:val="7CCF4F32"/>
    <w:rsid w:val="7CCF6CE0"/>
    <w:rsid w:val="7CD42548"/>
    <w:rsid w:val="7CD442F6"/>
    <w:rsid w:val="7CDB7433"/>
    <w:rsid w:val="7CE0713F"/>
    <w:rsid w:val="7CE22E28"/>
    <w:rsid w:val="7CE7227B"/>
    <w:rsid w:val="7CE94D88"/>
    <w:rsid w:val="7CED360A"/>
    <w:rsid w:val="7CF33F26"/>
    <w:rsid w:val="7CF6426C"/>
    <w:rsid w:val="7CFB5D27"/>
    <w:rsid w:val="7CFE0C20"/>
    <w:rsid w:val="7CFE75C5"/>
    <w:rsid w:val="7D0239FF"/>
    <w:rsid w:val="7D050953"/>
    <w:rsid w:val="7D0A41BC"/>
    <w:rsid w:val="7D0D7808"/>
    <w:rsid w:val="7D1868D9"/>
    <w:rsid w:val="7D1E1A15"/>
    <w:rsid w:val="7D221505"/>
    <w:rsid w:val="7D225061"/>
    <w:rsid w:val="7D23702C"/>
    <w:rsid w:val="7D284642"/>
    <w:rsid w:val="7D2B0984"/>
    <w:rsid w:val="7D2D1C58"/>
    <w:rsid w:val="7D2E7EAA"/>
    <w:rsid w:val="7D4274B2"/>
    <w:rsid w:val="7D496A92"/>
    <w:rsid w:val="7D552A01"/>
    <w:rsid w:val="7D580A83"/>
    <w:rsid w:val="7D5D078F"/>
    <w:rsid w:val="7D5E0064"/>
    <w:rsid w:val="7D5E40CD"/>
    <w:rsid w:val="7D5F62B6"/>
    <w:rsid w:val="7D5F63C8"/>
    <w:rsid w:val="7D60202E"/>
    <w:rsid w:val="7D641B1E"/>
    <w:rsid w:val="7D657644"/>
    <w:rsid w:val="7D692C90"/>
    <w:rsid w:val="7D715FE9"/>
    <w:rsid w:val="7D741635"/>
    <w:rsid w:val="7D77486F"/>
    <w:rsid w:val="7D7C7A36"/>
    <w:rsid w:val="7D80622C"/>
    <w:rsid w:val="7D807847"/>
    <w:rsid w:val="7D870FF1"/>
    <w:rsid w:val="7D893333"/>
    <w:rsid w:val="7D935F5F"/>
    <w:rsid w:val="7D9817C8"/>
    <w:rsid w:val="7D99109C"/>
    <w:rsid w:val="7D9D0B8C"/>
    <w:rsid w:val="7D9D293A"/>
    <w:rsid w:val="7DAC40A3"/>
    <w:rsid w:val="7DAF3C2E"/>
    <w:rsid w:val="7DB859C6"/>
    <w:rsid w:val="7DC223A1"/>
    <w:rsid w:val="7DCD56F2"/>
    <w:rsid w:val="7DD02D0F"/>
    <w:rsid w:val="7DD32800"/>
    <w:rsid w:val="7DD33150"/>
    <w:rsid w:val="7DDC7906"/>
    <w:rsid w:val="7DE60785"/>
    <w:rsid w:val="7DEE689A"/>
    <w:rsid w:val="7DEE7639"/>
    <w:rsid w:val="7DF77033"/>
    <w:rsid w:val="7DF86EFC"/>
    <w:rsid w:val="7DFA4230"/>
    <w:rsid w:val="7DFB53AD"/>
    <w:rsid w:val="7DFC3B04"/>
    <w:rsid w:val="7E064983"/>
    <w:rsid w:val="7E0724A9"/>
    <w:rsid w:val="7E0D3F64"/>
    <w:rsid w:val="7E1075B0"/>
    <w:rsid w:val="7E132BFC"/>
    <w:rsid w:val="7E2506B4"/>
    <w:rsid w:val="7E2B6198"/>
    <w:rsid w:val="7E2D0687"/>
    <w:rsid w:val="7E2E5C88"/>
    <w:rsid w:val="7E325778"/>
    <w:rsid w:val="7E367559"/>
    <w:rsid w:val="7E370FE0"/>
    <w:rsid w:val="7E3A63DB"/>
    <w:rsid w:val="7E4A4798"/>
    <w:rsid w:val="7E4F5D33"/>
    <w:rsid w:val="7E4F632A"/>
    <w:rsid w:val="7E503E50"/>
    <w:rsid w:val="7E553215"/>
    <w:rsid w:val="7E584AB3"/>
    <w:rsid w:val="7E5C45A3"/>
    <w:rsid w:val="7E70004F"/>
    <w:rsid w:val="7E744BA0"/>
    <w:rsid w:val="7E77762F"/>
    <w:rsid w:val="7E786F03"/>
    <w:rsid w:val="7E7B3A68"/>
    <w:rsid w:val="7E7F4735"/>
    <w:rsid w:val="7E7F64E4"/>
    <w:rsid w:val="7E8458A8"/>
    <w:rsid w:val="7E865AC4"/>
    <w:rsid w:val="7E8B6C36"/>
    <w:rsid w:val="7E8D6E52"/>
    <w:rsid w:val="7E8F2BCB"/>
    <w:rsid w:val="7E924469"/>
    <w:rsid w:val="7E9401E1"/>
    <w:rsid w:val="7E950C65"/>
    <w:rsid w:val="7E9E4BBC"/>
    <w:rsid w:val="7E9F542B"/>
    <w:rsid w:val="7E9F7B01"/>
    <w:rsid w:val="7EA33B4A"/>
    <w:rsid w:val="7EA85A3A"/>
    <w:rsid w:val="7EA877E8"/>
    <w:rsid w:val="7EB443DF"/>
    <w:rsid w:val="7EC81C39"/>
    <w:rsid w:val="7ECF1219"/>
    <w:rsid w:val="7ED700CE"/>
    <w:rsid w:val="7ED846A5"/>
    <w:rsid w:val="7ED95BF4"/>
    <w:rsid w:val="7EDC1B88"/>
    <w:rsid w:val="7EDE320A"/>
    <w:rsid w:val="7EDF0783"/>
    <w:rsid w:val="7EEA0E80"/>
    <w:rsid w:val="7EFC5D86"/>
    <w:rsid w:val="7F001CE7"/>
    <w:rsid w:val="7F033814"/>
    <w:rsid w:val="7F0569E9"/>
    <w:rsid w:val="7F160BF6"/>
    <w:rsid w:val="7F21759B"/>
    <w:rsid w:val="7F272E03"/>
    <w:rsid w:val="7F2A644F"/>
    <w:rsid w:val="7F2D612E"/>
    <w:rsid w:val="7F2F1CB8"/>
    <w:rsid w:val="7F3177DE"/>
    <w:rsid w:val="7F3E014D"/>
    <w:rsid w:val="7F402117"/>
    <w:rsid w:val="7F4339B5"/>
    <w:rsid w:val="7F473382"/>
    <w:rsid w:val="7F4734A5"/>
    <w:rsid w:val="7F475253"/>
    <w:rsid w:val="7F4A4D43"/>
    <w:rsid w:val="7F5B068A"/>
    <w:rsid w:val="7F5B485B"/>
    <w:rsid w:val="7F623E3B"/>
    <w:rsid w:val="7F673200"/>
    <w:rsid w:val="7F791185"/>
    <w:rsid w:val="7F7973D7"/>
    <w:rsid w:val="7F7B6CAB"/>
    <w:rsid w:val="7F8C0EB8"/>
    <w:rsid w:val="7F967F89"/>
    <w:rsid w:val="7FA04963"/>
    <w:rsid w:val="7FA97CBC"/>
    <w:rsid w:val="7FB4040F"/>
    <w:rsid w:val="7FB83A5B"/>
    <w:rsid w:val="7FBF303C"/>
    <w:rsid w:val="7FC05006"/>
    <w:rsid w:val="7FC22B2C"/>
    <w:rsid w:val="7FC76394"/>
    <w:rsid w:val="7FC9210C"/>
    <w:rsid w:val="7FC93EBA"/>
    <w:rsid w:val="7FCB5757"/>
    <w:rsid w:val="7FCB7C32"/>
    <w:rsid w:val="7FCC39AA"/>
    <w:rsid w:val="7FD0349B"/>
    <w:rsid w:val="7FD60385"/>
    <w:rsid w:val="7FD665D7"/>
    <w:rsid w:val="7FD8234F"/>
    <w:rsid w:val="7FDA7E75"/>
    <w:rsid w:val="7FDD5BB8"/>
    <w:rsid w:val="7FDF723A"/>
    <w:rsid w:val="7FE17456"/>
    <w:rsid w:val="7FE40CF4"/>
    <w:rsid w:val="7FE47E50"/>
    <w:rsid w:val="7FEC7BA9"/>
    <w:rsid w:val="7FEE1876"/>
    <w:rsid w:val="7FEE56CF"/>
    <w:rsid w:val="7FF308BE"/>
    <w:rsid w:val="7FF56A5D"/>
  </w:rsid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0" w:semiHidden="0" w:name="heading 2" w:locked="1"/>
    <w:lsdException w:qFormat="1" w:uiPriority="9" w:semiHidden="0" w:name="heading 3" w:locked="1"/>
    <w:lsdException w:qFormat="1"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qFormat="1"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iPriority="35" w:semiHidden="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qFormat="1"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qFormat="1" w:unhideWhenUsed="0" w:uiPriority="99" w:name="Salutation" w:locked="1"/>
    <w:lsdException w:qFormat="1" w:unhideWhenUsed="0" w:uiPriority="0" w:semiHidden="0" w:name="Date"/>
    <w:lsdException w:unhideWhenUsed="0" w:uiPriority="0" w:semiHidden="0" w:name="Body Text First Indent" w:locked="1"/>
    <w:lsdException w:qFormat="1" w:uiPriority="0" w:semiHidden="0" w:name="Body Text First Indent 2" w:locked="1"/>
    <w:lsdException w:unhideWhenUsed="0" w:uiPriority="0" w:semiHidden="0" w:name="Note Heading" w:locked="1"/>
    <w:lsdException w:qFormat="1" w:unhideWhenUsed="0" w:uiPriority="0" w:semiHidden="0" w:name="Body Text 2" w:locked="1"/>
    <w:lsdException w:unhideWhenUsed="0" w:uiPriority="0" w:semiHidden="0" w:name="Body Text 3" w:locked="1"/>
    <w:lsdException w:unhideWhenUsed="0" w:uiPriority="0" w:semiHidden="0" w:name="Body Text Indent 2" w:locked="1"/>
    <w:lsdException w:unhideWhenUsed="0" w:uiPriority="0" w:semiHidden="0" w:name="Body Text Indent 3" w:locked="1"/>
    <w:lsdException w:qFormat="1" w:unhideWhenUsed="0" w:uiPriority="0" w:semiHidden="0" w:name="Block Text" w:locked="1"/>
    <w:lsdException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nhideWhenUsed="0" w:uiPriority="0"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qFormat/>
    <w:locked/>
    <w:uiPriority w:val="0"/>
    <w:pPr>
      <w:keepNext/>
      <w:keepLines/>
      <w:spacing w:before="260" w:after="260" w:line="413" w:lineRule="auto"/>
      <w:outlineLvl w:val="1"/>
    </w:pPr>
    <w:rPr>
      <w:rFonts w:ascii="宋体" w:hAnsi="宋体" w:eastAsia="Arial"/>
      <w:b/>
      <w:sz w:val="32"/>
    </w:rPr>
  </w:style>
  <w:style w:type="paragraph" w:styleId="4">
    <w:name w:val="heading 3"/>
    <w:basedOn w:val="1"/>
    <w:next w:val="1"/>
    <w:unhideWhenUsed/>
    <w:qFormat/>
    <w:locked/>
    <w:uiPriority w:val="9"/>
    <w:pPr>
      <w:keepNext/>
      <w:keepLines/>
      <w:spacing w:before="260" w:after="260" w:line="416" w:lineRule="auto"/>
      <w:outlineLvl w:val="2"/>
    </w:pPr>
    <w:rPr>
      <w:b/>
      <w:bCs/>
      <w:sz w:val="32"/>
      <w:szCs w:val="32"/>
    </w:rPr>
  </w:style>
  <w:style w:type="paragraph" w:styleId="5">
    <w:name w:val="heading 4"/>
    <w:basedOn w:val="1"/>
    <w:next w:val="1"/>
    <w:unhideWhenUsed/>
    <w:qFormat/>
    <w:locked/>
    <w:uiPriority w:val="0"/>
    <w:pPr>
      <w:keepNext/>
      <w:keepLines/>
      <w:spacing w:before="280" w:after="290" w:line="376" w:lineRule="auto"/>
      <w:outlineLvl w:val="3"/>
    </w:pPr>
    <w:rPr>
      <w:rFonts w:ascii="Cambria" w:hAnsi="Cambria" w:eastAsia="宋体" w:cs="Times New Roman"/>
      <w:b/>
      <w:bCs/>
      <w:sz w:val="28"/>
      <w:szCs w:val="28"/>
    </w:rPr>
  </w:style>
  <w:style w:type="character" w:default="1" w:styleId="24">
    <w:name w:val="Default Paragraph Font"/>
    <w:semiHidden/>
    <w:qFormat/>
    <w:uiPriority w:val="0"/>
  </w:style>
  <w:style w:type="table" w:default="1" w:styleId="27">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6">
    <w:name w:val="annotation subject"/>
    <w:basedOn w:val="7"/>
    <w:next w:val="7"/>
    <w:link w:val="39"/>
    <w:semiHidden/>
    <w:qFormat/>
    <w:uiPriority w:val="0"/>
    <w:rPr>
      <w:b/>
      <w:sz w:val="24"/>
      <w:szCs w:val="20"/>
    </w:rPr>
  </w:style>
  <w:style w:type="paragraph" w:styleId="7">
    <w:name w:val="annotation text"/>
    <w:basedOn w:val="1"/>
    <w:link w:val="31"/>
    <w:semiHidden/>
    <w:qFormat/>
    <w:uiPriority w:val="0"/>
    <w:pPr>
      <w:jc w:val="left"/>
    </w:pPr>
    <w:rPr>
      <w:kern w:val="0"/>
      <w:sz w:val="24"/>
      <w:szCs w:val="20"/>
    </w:rPr>
  </w:style>
  <w:style w:type="paragraph" w:styleId="8">
    <w:name w:val="Normal Indent"/>
    <w:basedOn w:val="1"/>
    <w:next w:val="1"/>
    <w:semiHidden/>
    <w:qFormat/>
    <w:locked/>
    <w:uiPriority w:val="0"/>
    <w:pPr>
      <w:snapToGrid/>
      <w:spacing w:before="0" w:beforeLines="0" w:line="312" w:lineRule="atLeast"/>
      <w:ind w:firstLine="420"/>
      <w:textAlignment w:val="baseline"/>
    </w:pPr>
    <w:rPr>
      <w:snapToGrid/>
      <w:sz w:val="21"/>
      <w:szCs w:val="20"/>
    </w:rPr>
  </w:style>
  <w:style w:type="paragraph" w:styleId="9">
    <w:name w:val="caption"/>
    <w:basedOn w:val="1"/>
    <w:next w:val="1"/>
    <w:unhideWhenUsed/>
    <w:qFormat/>
    <w:locked/>
    <w:uiPriority w:val="35"/>
    <w:rPr>
      <w:rFonts w:ascii="Cambria" w:hAnsi="Cambria" w:eastAsia="黑体" w:cs="Times New Roman"/>
      <w:sz w:val="20"/>
      <w:szCs w:val="20"/>
    </w:rPr>
  </w:style>
  <w:style w:type="paragraph" w:styleId="10">
    <w:name w:val="Salutation"/>
    <w:basedOn w:val="1"/>
    <w:next w:val="1"/>
    <w:semiHidden/>
    <w:qFormat/>
    <w:locked/>
    <w:uiPriority w:val="99"/>
    <w:pPr>
      <w:pBdr>
        <w:top w:val="single" w:color="auto" w:sz="4" w:space="1"/>
      </w:pBdr>
      <w:adjustRightInd w:val="0"/>
      <w:spacing w:line="360" w:lineRule="atLeast"/>
      <w:jc w:val="left"/>
      <w:textAlignment w:val="baseline"/>
    </w:pPr>
    <w:rPr>
      <w:kern w:val="0"/>
      <w:sz w:val="24"/>
      <w:szCs w:val="24"/>
    </w:rPr>
  </w:style>
  <w:style w:type="paragraph" w:styleId="11">
    <w:name w:val="Body Text"/>
    <w:basedOn w:val="1"/>
    <w:next w:val="12"/>
    <w:link w:val="32"/>
    <w:qFormat/>
    <w:uiPriority w:val="0"/>
    <w:pPr>
      <w:widowControl/>
      <w:snapToGrid w:val="0"/>
      <w:spacing w:before="60" w:after="160" w:line="259" w:lineRule="auto"/>
      <w:ind w:right="113"/>
    </w:pPr>
    <w:rPr>
      <w:kern w:val="0"/>
      <w:sz w:val="18"/>
      <w:szCs w:val="20"/>
    </w:rPr>
  </w:style>
  <w:style w:type="paragraph" w:styleId="12">
    <w:name w:val="Body Text 2"/>
    <w:basedOn w:val="1"/>
    <w:qFormat/>
    <w:locked/>
    <w:uiPriority w:val="0"/>
    <w:pPr>
      <w:spacing w:after="120" w:line="480" w:lineRule="auto"/>
    </w:pPr>
  </w:style>
  <w:style w:type="paragraph" w:styleId="13">
    <w:name w:val="Body Text Indent"/>
    <w:basedOn w:val="1"/>
    <w:link w:val="33"/>
    <w:qFormat/>
    <w:uiPriority w:val="0"/>
    <w:pPr>
      <w:spacing w:after="120"/>
      <w:ind w:left="420" w:leftChars="200"/>
    </w:pPr>
    <w:rPr>
      <w:kern w:val="0"/>
      <w:sz w:val="24"/>
      <w:szCs w:val="20"/>
    </w:rPr>
  </w:style>
  <w:style w:type="paragraph" w:styleId="14">
    <w:name w:val="Block Text"/>
    <w:basedOn w:val="1"/>
    <w:next w:val="1"/>
    <w:qFormat/>
    <w:locked/>
    <w:uiPriority w:val="0"/>
    <w:pPr>
      <w:adjustRightInd w:val="0"/>
      <w:snapToGrid w:val="0"/>
      <w:spacing w:line="400" w:lineRule="exact"/>
      <w:ind w:left="13" w:leftChars="6" w:right="57" w:firstLine="480" w:firstLineChars="200"/>
    </w:pPr>
    <w:rPr>
      <w:sz w:val="24"/>
    </w:rPr>
  </w:style>
  <w:style w:type="paragraph" w:styleId="15">
    <w:name w:val="Plain Text"/>
    <w:basedOn w:val="1"/>
    <w:qFormat/>
    <w:locked/>
    <w:uiPriority w:val="0"/>
    <w:rPr>
      <w:rFonts w:ascii="仿宋_GB2312" w:hAnsi="仿宋_GB2312"/>
      <w:sz w:val="20"/>
    </w:rPr>
  </w:style>
  <w:style w:type="paragraph" w:styleId="16">
    <w:name w:val="List Bullet 5"/>
    <w:basedOn w:val="1"/>
    <w:qFormat/>
    <w:locked/>
    <w:uiPriority w:val="0"/>
    <w:pPr>
      <w:numPr>
        <w:ilvl w:val="0"/>
        <w:numId w:val="1"/>
      </w:numPr>
      <w:tabs>
        <w:tab w:val="left" w:pos="2040"/>
      </w:tabs>
    </w:pPr>
  </w:style>
  <w:style w:type="paragraph" w:styleId="17">
    <w:name w:val="Date"/>
    <w:basedOn w:val="1"/>
    <w:next w:val="1"/>
    <w:link w:val="34"/>
    <w:qFormat/>
    <w:uiPriority w:val="0"/>
    <w:pPr>
      <w:ind w:left="100" w:leftChars="2500"/>
    </w:pPr>
    <w:rPr>
      <w:kern w:val="0"/>
      <w:sz w:val="24"/>
      <w:szCs w:val="20"/>
    </w:rPr>
  </w:style>
  <w:style w:type="paragraph" w:styleId="18">
    <w:name w:val="Balloon Text"/>
    <w:basedOn w:val="1"/>
    <w:link w:val="35"/>
    <w:semiHidden/>
    <w:qFormat/>
    <w:uiPriority w:val="0"/>
    <w:rPr>
      <w:kern w:val="0"/>
      <w:sz w:val="18"/>
      <w:szCs w:val="20"/>
    </w:rPr>
  </w:style>
  <w:style w:type="paragraph" w:styleId="19">
    <w:name w:val="footer"/>
    <w:basedOn w:val="1"/>
    <w:link w:val="36"/>
    <w:qFormat/>
    <w:uiPriority w:val="99"/>
    <w:pPr>
      <w:tabs>
        <w:tab w:val="center" w:pos="4153"/>
        <w:tab w:val="right" w:pos="8306"/>
      </w:tabs>
      <w:snapToGrid w:val="0"/>
      <w:jc w:val="left"/>
    </w:pPr>
    <w:rPr>
      <w:kern w:val="0"/>
      <w:sz w:val="18"/>
      <w:szCs w:val="20"/>
    </w:rPr>
  </w:style>
  <w:style w:type="paragraph" w:styleId="20">
    <w:name w:val="Body Text First Indent 2"/>
    <w:basedOn w:val="13"/>
    <w:next w:val="1"/>
    <w:unhideWhenUsed/>
    <w:qFormat/>
    <w:locked/>
    <w:uiPriority w:val="0"/>
    <w:pPr>
      <w:spacing w:after="120"/>
      <w:ind w:left="420" w:leftChars="200" w:firstLine="420"/>
    </w:pPr>
    <w:rPr>
      <w:sz w:val="21"/>
    </w:rPr>
  </w:style>
  <w:style w:type="paragraph" w:styleId="21">
    <w:name w:val="header"/>
    <w:basedOn w:val="1"/>
    <w:link w:val="37"/>
    <w:qFormat/>
    <w:uiPriority w:val="0"/>
    <w:pPr>
      <w:pBdr>
        <w:bottom w:val="single" w:color="auto" w:sz="6" w:space="1"/>
      </w:pBdr>
      <w:tabs>
        <w:tab w:val="center" w:pos="4153"/>
        <w:tab w:val="right" w:pos="8306"/>
      </w:tabs>
      <w:snapToGrid w:val="0"/>
      <w:jc w:val="center"/>
    </w:pPr>
    <w:rPr>
      <w:kern w:val="0"/>
      <w:sz w:val="18"/>
      <w:szCs w:val="20"/>
    </w:rPr>
  </w:style>
  <w:style w:type="paragraph" w:styleId="22">
    <w:name w:val="toc 2"/>
    <w:basedOn w:val="1"/>
    <w:next w:val="1"/>
    <w:qFormat/>
    <w:locked/>
    <w:uiPriority w:val="0"/>
    <w:pPr>
      <w:ind w:left="280"/>
      <w:jc w:val="left"/>
    </w:pPr>
    <w:rPr>
      <w:smallCaps/>
      <w:snapToGrid w:val="0"/>
      <w:kern w:val="0"/>
      <w:sz w:val="20"/>
    </w:rPr>
  </w:style>
  <w:style w:type="paragraph" w:styleId="23">
    <w:name w:val="Normal (Web)"/>
    <w:basedOn w:val="1"/>
    <w:link w:val="38"/>
    <w:qFormat/>
    <w:uiPriority w:val="0"/>
    <w:pPr>
      <w:widowControl/>
      <w:spacing w:before="100" w:beforeAutospacing="1" w:after="100" w:afterAutospacing="1"/>
      <w:jc w:val="left"/>
    </w:pPr>
    <w:rPr>
      <w:rFonts w:ascii="宋体" w:hAnsi="宋体"/>
      <w:kern w:val="0"/>
      <w:sz w:val="24"/>
      <w:szCs w:val="20"/>
    </w:rPr>
  </w:style>
  <w:style w:type="character" w:styleId="25">
    <w:name w:val="page number"/>
    <w:basedOn w:val="24"/>
    <w:qFormat/>
    <w:locked/>
    <w:uiPriority w:val="0"/>
  </w:style>
  <w:style w:type="character" w:styleId="26">
    <w:name w:val="annotation reference"/>
    <w:semiHidden/>
    <w:qFormat/>
    <w:uiPriority w:val="0"/>
    <w:rPr>
      <w:sz w:val="21"/>
    </w:rPr>
  </w:style>
  <w:style w:type="table" w:styleId="28">
    <w:name w:val="Table Grid"/>
    <w:basedOn w:val="27"/>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29">
    <w:name w:val="Default"/>
    <w:basedOn w:val="30"/>
    <w:qFormat/>
    <w:uiPriority w:val="0"/>
    <w:pPr>
      <w:widowControl w:val="0"/>
      <w:autoSpaceDE w:val="0"/>
      <w:autoSpaceDN w:val="0"/>
      <w:adjustRightInd w:val="0"/>
    </w:pPr>
    <w:rPr>
      <w:rFonts w:ascii="宋体" w:cs="宋体"/>
      <w:color w:val="000000"/>
      <w:sz w:val="24"/>
      <w:szCs w:val="24"/>
      <w:lang w:val="en-US" w:eastAsia="zh-CN" w:bidi="ar-SA"/>
    </w:rPr>
  </w:style>
  <w:style w:type="paragraph" w:customStyle="1" w:styleId="30">
    <w:name w:val="标题 段落4级"/>
    <w:qFormat/>
    <w:uiPriority w:val="0"/>
    <w:pPr>
      <w:spacing w:line="500" w:lineRule="exact"/>
      <w:outlineLvl w:val="3"/>
    </w:pPr>
    <w:rPr>
      <w:rFonts w:ascii="Times New Roman" w:hAnsi="Times New Roman" w:eastAsia="仿宋_GB2312" w:cs="Calibri"/>
      <w:b/>
      <w:kern w:val="2"/>
      <w:sz w:val="28"/>
      <w:szCs w:val="24"/>
      <w:lang w:val="en-US" w:eastAsia="zh-CN" w:bidi="ar-SA"/>
    </w:rPr>
  </w:style>
  <w:style w:type="character" w:customStyle="1" w:styleId="31">
    <w:name w:val="批注文字 Char"/>
    <w:link w:val="7"/>
    <w:qFormat/>
    <w:locked/>
    <w:uiPriority w:val="0"/>
    <w:rPr>
      <w:rFonts w:ascii="Times New Roman" w:hAnsi="Times New Roman" w:eastAsia="宋体"/>
      <w:sz w:val="24"/>
    </w:rPr>
  </w:style>
  <w:style w:type="character" w:customStyle="1" w:styleId="32">
    <w:name w:val="正文文本 Char"/>
    <w:link w:val="11"/>
    <w:qFormat/>
    <w:locked/>
    <w:uiPriority w:val="0"/>
    <w:rPr>
      <w:sz w:val="18"/>
    </w:rPr>
  </w:style>
  <w:style w:type="character" w:customStyle="1" w:styleId="33">
    <w:name w:val="正文文本缩进 Char"/>
    <w:link w:val="13"/>
    <w:semiHidden/>
    <w:qFormat/>
    <w:locked/>
    <w:uiPriority w:val="0"/>
    <w:rPr>
      <w:rFonts w:ascii="Times New Roman" w:hAnsi="Times New Roman" w:eastAsia="宋体"/>
      <w:sz w:val="24"/>
    </w:rPr>
  </w:style>
  <w:style w:type="character" w:customStyle="1" w:styleId="34">
    <w:name w:val="日期 Char"/>
    <w:link w:val="17"/>
    <w:qFormat/>
    <w:locked/>
    <w:uiPriority w:val="0"/>
    <w:rPr>
      <w:rFonts w:ascii="Times New Roman" w:hAnsi="Times New Roman" w:eastAsia="宋体"/>
      <w:sz w:val="24"/>
    </w:rPr>
  </w:style>
  <w:style w:type="character" w:customStyle="1" w:styleId="35">
    <w:name w:val="批注框文本 Char"/>
    <w:link w:val="18"/>
    <w:semiHidden/>
    <w:qFormat/>
    <w:locked/>
    <w:uiPriority w:val="0"/>
    <w:rPr>
      <w:rFonts w:ascii="Times New Roman" w:hAnsi="Times New Roman" w:eastAsia="宋体"/>
      <w:sz w:val="18"/>
    </w:rPr>
  </w:style>
  <w:style w:type="character" w:customStyle="1" w:styleId="36">
    <w:name w:val="页脚 Char"/>
    <w:link w:val="19"/>
    <w:qFormat/>
    <w:locked/>
    <w:uiPriority w:val="99"/>
    <w:rPr>
      <w:sz w:val="18"/>
    </w:rPr>
  </w:style>
  <w:style w:type="character" w:customStyle="1" w:styleId="37">
    <w:name w:val="页眉 Char"/>
    <w:link w:val="21"/>
    <w:qFormat/>
    <w:locked/>
    <w:uiPriority w:val="0"/>
    <w:rPr>
      <w:sz w:val="18"/>
    </w:rPr>
  </w:style>
  <w:style w:type="character" w:customStyle="1" w:styleId="38">
    <w:name w:val="普通(网站) Char"/>
    <w:link w:val="23"/>
    <w:qFormat/>
    <w:locked/>
    <w:uiPriority w:val="0"/>
    <w:rPr>
      <w:rFonts w:ascii="宋体" w:hAnsi="宋体" w:eastAsia="宋体"/>
      <w:sz w:val="24"/>
    </w:rPr>
  </w:style>
  <w:style w:type="character" w:customStyle="1" w:styleId="39">
    <w:name w:val="批注主题 Char"/>
    <w:link w:val="6"/>
    <w:semiHidden/>
    <w:qFormat/>
    <w:locked/>
    <w:uiPriority w:val="0"/>
    <w:rPr>
      <w:rFonts w:ascii="Times New Roman" w:hAnsi="Times New Roman" w:eastAsia="宋体"/>
      <w:b/>
      <w:kern w:val="2"/>
      <w:sz w:val="24"/>
    </w:rPr>
  </w:style>
  <w:style w:type="paragraph" w:customStyle="1" w:styleId="40">
    <w:name w:val="xl27"/>
    <w:basedOn w:val="1"/>
    <w:next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新宋体-18030" w:hAnsi="新宋体-18030" w:eastAsia="新宋体-18030" w:cs="新宋体-18030"/>
      <w:kern w:val="0"/>
    </w:rPr>
  </w:style>
  <w:style w:type="character" w:customStyle="1" w:styleId="41">
    <w:name w:val="页脚 字符"/>
    <w:basedOn w:val="24"/>
    <w:qFormat/>
    <w:uiPriority w:val="99"/>
  </w:style>
  <w:style w:type="character" w:customStyle="1" w:styleId="42">
    <w:name w:val="批注文字 字符1"/>
    <w:semiHidden/>
    <w:qFormat/>
    <w:uiPriority w:val="0"/>
    <w:rPr>
      <w:rFonts w:ascii="Times New Roman" w:hAnsi="Times New Roman" w:eastAsia="宋体"/>
      <w:sz w:val="24"/>
    </w:rPr>
  </w:style>
  <w:style w:type="character" w:customStyle="1" w:styleId="43">
    <w:name w:val="正文文本 字符1"/>
    <w:semiHidden/>
    <w:qFormat/>
    <w:uiPriority w:val="0"/>
    <w:rPr>
      <w:rFonts w:ascii="Times New Roman" w:hAnsi="Times New Roman" w:eastAsia="宋体"/>
      <w:sz w:val="24"/>
    </w:rPr>
  </w:style>
  <w:style w:type="character" w:customStyle="1" w:styleId="44">
    <w:name w:val="日期 字符"/>
    <w:semiHidden/>
    <w:qFormat/>
    <w:uiPriority w:val="0"/>
    <w:rPr>
      <w:rFonts w:ascii="Times New Roman" w:hAnsi="Times New Roman" w:eastAsia="宋体"/>
      <w:sz w:val="24"/>
    </w:rPr>
  </w:style>
  <w:style w:type="character" w:customStyle="1" w:styleId="45">
    <w:name w:val="表格 Char"/>
    <w:link w:val="46"/>
    <w:qFormat/>
    <w:locked/>
    <w:uiPriority w:val="0"/>
    <w:rPr>
      <w:rFonts w:ascii="宋体"/>
      <w:sz w:val="21"/>
    </w:rPr>
  </w:style>
  <w:style w:type="paragraph" w:customStyle="1" w:styleId="46">
    <w:name w:val="表格"/>
    <w:basedOn w:val="8"/>
    <w:next w:val="1"/>
    <w:link w:val="45"/>
    <w:qFormat/>
    <w:uiPriority w:val="0"/>
    <w:pPr>
      <w:adjustRightInd w:val="0"/>
      <w:snapToGrid w:val="0"/>
      <w:spacing w:beforeLines="10" w:afterLines="10" w:line="259" w:lineRule="auto"/>
      <w:jc w:val="center"/>
    </w:pPr>
    <w:rPr>
      <w:rFonts w:ascii="宋体"/>
      <w:kern w:val="0"/>
      <w:szCs w:val="20"/>
    </w:rPr>
  </w:style>
  <w:style w:type="paragraph" w:customStyle="1" w:styleId="47">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8">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49">
    <w:name w:val="报告表正文格式"/>
    <w:basedOn w:val="1"/>
    <w:qFormat/>
    <w:uiPriority w:val="0"/>
    <w:pPr>
      <w:tabs>
        <w:tab w:val="center" w:pos="0"/>
      </w:tabs>
      <w:spacing w:line="360" w:lineRule="auto"/>
      <w:ind w:firstLine="200" w:firstLineChars="200"/>
    </w:pPr>
    <w:rPr>
      <w:rFonts w:ascii="Times New Roman" w:hAnsi="Times New Roman" w:eastAsia="宋体"/>
      <w:sz w:val="24"/>
    </w:rPr>
  </w:style>
  <w:style w:type="paragraph" w:customStyle="1" w:styleId="50">
    <w:name w:val="3正文"/>
    <w:qFormat/>
    <w:uiPriority w:val="0"/>
    <w:pPr>
      <w:widowControl w:val="0"/>
      <w:spacing w:line="520" w:lineRule="exact"/>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51">
    <w:name w:val="表格内容"/>
    <w:basedOn w:val="1"/>
    <w:next w:val="1"/>
    <w:qFormat/>
    <w:uiPriority w:val="0"/>
    <w:pPr>
      <w:spacing w:line="240" w:lineRule="auto"/>
      <w:ind w:firstLine="0" w:firstLineChars="0"/>
      <w:jc w:val="center"/>
    </w:pPr>
    <w:rPr>
      <w:bCs/>
      <w:sz w:val="21"/>
    </w:rPr>
  </w:style>
  <w:style w:type="paragraph" w:customStyle="1" w:styleId="52">
    <w:name w:val="表格正文"/>
    <w:basedOn w:val="1"/>
    <w:qFormat/>
    <w:uiPriority w:val="0"/>
    <w:pPr>
      <w:tabs>
        <w:tab w:val="right" w:leader="dot" w:pos="8925"/>
        <w:tab w:val="right" w:leader="dot" w:pos="9030"/>
      </w:tabs>
      <w:jc w:val="center"/>
    </w:pPr>
    <w:rPr>
      <w:rFonts w:ascii="Calibri" w:hAnsi="Calibri" w:eastAsia="宋体" w:cs="Times New Roman"/>
      <w:sz w:val="24"/>
      <w:szCs w:val="24"/>
    </w:rPr>
  </w:style>
  <w:style w:type="paragraph" w:customStyle="1" w:styleId="53">
    <w:name w:val="3btt"/>
    <w:basedOn w:val="1"/>
    <w:qFormat/>
    <w:uiPriority w:val="0"/>
    <w:pPr>
      <w:adjustRightInd w:val="0"/>
      <w:snapToGrid w:val="0"/>
      <w:spacing w:before="50" w:beforeLines="50" w:after="50" w:afterLines="50"/>
      <w:ind w:firstLine="100" w:firstLineChars="100"/>
      <w:jc w:val="left"/>
      <w:outlineLvl w:val="2"/>
    </w:pPr>
    <w:rPr>
      <w:rFonts w:ascii="Calibri" w:hAnsi="Calibri" w:eastAsia="Yu Mincho Light" w:cs="Times New Roman"/>
      <w:bCs/>
      <w:sz w:val="24"/>
    </w:rPr>
  </w:style>
  <w:style w:type="paragraph" w:customStyle="1" w:styleId="54">
    <w:name w:val="样式 (符号) 宋体 黑色"/>
    <w:basedOn w:val="4"/>
    <w:next w:val="1"/>
    <w:qFormat/>
    <w:uiPriority w:val="0"/>
    <w:pPr>
      <w:tabs>
        <w:tab w:val="left" w:pos="2370"/>
      </w:tabs>
      <w:autoSpaceDE w:val="0"/>
      <w:autoSpaceDN w:val="0"/>
      <w:adjustRightInd w:val="0"/>
      <w:snapToGrid w:val="0"/>
      <w:spacing w:before="0" w:beforeLines="50" w:after="0" w:line="360" w:lineRule="auto"/>
      <w:ind w:firstLine="83" w:firstLineChars="83"/>
    </w:pPr>
    <w:rPr>
      <w:rFonts w:ascii="Yu Mincho Light" w:hAnsi="Yu Mincho Light" w:eastAsia="Yu Mincho Light"/>
      <w:bCs w:val="0"/>
      <w:color w:val="000000"/>
      <w:kern w:val="28"/>
      <w:sz w:val="24"/>
      <w:szCs w:val="20"/>
    </w:rPr>
  </w:style>
  <w:style w:type="paragraph" w:customStyle="1" w:styleId="55">
    <w:name w:val="21"/>
    <w:basedOn w:val="1"/>
    <w:qFormat/>
    <w:uiPriority w:val="0"/>
    <w:pPr>
      <w:widowControl/>
      <w:spacing w:before="100" w:beforeAutospacing="1" w:after="100" w:afterAutospacing="1"/>
      <w:jc w:val="left"/>
    </w:pPr>
    <w:rPr>
      <w:rFonts w:ascii="Yu Mincho Light" w:hAnsi="Yu Mincho Light" w:eastAsia="Yu Mincho Light" w:cs="Yu Mincho Light"/>
      <w:kern w:val="0"/>
      <w:sz w:val="24"/>
      <w:szCs w:val="20"/>
    </w:rPr>
  </w:style>
  <w:style w:type="paragraph" w:customStyle="1" w:styleId="56">
    <w:name w:val="正"/>
    <w:basedOn w:val="1"/>
    <w:qFormat/>
    <w:uiPriority w:val="0"/>
    <w:pPr>
      <w:adjustRightInd w:val="0"/>
      <w:spacing w:line="360" w:lineRule="auto"/>
      <w:ind w:left="23" w:leftChars="11" w:firstLine="480" w:firstLineChars="200"/>
    </w:pPr>
    <w:rPr>
      <w:rFonts w:ascii="Calibri" w:hAnsi="Calibri" w:eastAsia="宋体" w:cs="Times New Roman"/>
      <w:sz w:val="24"/>
    </w:rPr>
  </w:style>
  <w:style w:type="paragraph" w:customStyle="1" w:styleId="57">
    <w:name w:val="表格啊啊"/>
    <w:basedOn w:val="1"/>
    <w:qFormat/>
    <w:uiPriority w:val="0"/>
    <w:pPr>
      <w:suppressAutoHyphens/>
      <w:topLinePunct/>
      <w:autoSpaceDE w:val="0"/>
      <w:autoSpaceDN w:val="0"/>
      <w:adjustRightInd w:val="0"/>
      <w:snapToGrid w:val="0"/>
      <w:spacing w:line="360" w:lineRule="auto"/>
      <w:jc w:val="center"/>
    </w:pPr>
    <w:rPr>
      <w:rFonts w:ascii="宋体" w:hAnsi="宋体" w:cs="宋体"/>
      <w:szCs w:val="21"/>
    </w:rPr>
  </w:style>
  <w:style w:type="paragraph" w:customStyle="1" w:styleId="58">
    <w:name w:val="表内"/>
    <w:basedOn w:val="22"/>
    <w:qFormat/>
    <w:uiPriority w:val="0"/>
    <w:pPr>
      <w:tabs>
        <w:tab w:val="right" w:leader="dot" w:pos="8296"/>
      </w:tabs>
      <w:ind w:left="0"/>
      <w:jc w:val="center"/>
    </w:pPr>
    <w:rPr>
      <w:rFonts w:eastAsia="宋体"/>
      <w:smallCaps w:val="0"/>
      <w:sz w:val="21"/>
      <w:szCs w:val="21"/>
    </w:rPr>
  </w:style>
  <w:style w:type="paragraph" w:customStyle="1" w:styleId="59">
    <w:name w:val="Normal (Web)"/>
    <w:basedOn w:val="1"/>
    <w:qFormat/>
    <w:uiPriority w:val="0"/>
    <w:pPr>
      <w:widowControl/>
      <w:autoSpaceDE/>
      <w:autoSpaceDN/>
      <w:snapToGrid/>
      <w:spacing w:before="100" w:beforeLines="0" w:beforeAutospacing="1" w:after="100" w:afterLines="0" w:afterAutospacing="1" w:line="240" w:lineRule="auto"/>
      <w:ind w:firstLine="0"/>
      <w:jc w:val="left"/>
    </w:pPr>
    <w:rPr>
      <w:rFonts w:hint="eastAsia" w:ascii="宋体" w:hAnsi="宋体" w:eastAsia="宋体"/>
      <w:sz w:val="24"/>
    </w:rPr>
  </w:style>
  <w:style w:type="paragraph" w:customStyle="1" w:styleId="60">
    <w:name w:val="Table Paragraph"/>
    <w:basedOn w:val="1"/>
    <w:unhideWhenUsed/>
    <w:qFormat/>
    <w:uiPriority w:val="1"/>
    <w:pPr>
      <w:spacing w:beforeLines="0" w:afterLines="0"/>
    </w:pPr>
    <w:rPr>
      <w:rFonts w:hint="default"/>
      <w:sz w:val="24"/>
      <w:szCs w:val="24"/>
    </w:rPr>
  </w:style>
  <w:style w:type="paragraph" w:customStyle="1" w:styleId="61">
    <w:name w:val="表头"/>
    <w:basedOn w:val="58"/>
    <w:next w:val="46"/>
    <w:qFormat/>
    <w:uiPriority w:val="0"/>
    <w:pPr>
      <w:keepNext/>
      <w:ind w:firstLine="0" w:firstLineChars="0"/>
      <w:jc w:val="center"/>
    </w:pPr>
    <w:rPr>
      <w:rFonts w:ascii="Times New Roman" w:hAnsi="Times New Roman" w:cs="Times New Roman"/>
      <w:b/>
      <w:sz w:val="24"/>
      <w:szCs w:val="24"/>
    </w:rPr>
  </w:style>
  <w:style w:type="paragraph" w:customStyle="1" w:styleId="62">
    <w:name w:val="1-表内"/>
    <w:basedOn w:val="1"/>
    <w:qFormat/>
    <w:uiPriority w:val="0"/>
    <w:pPr>
      <w:tabs>
        <w:tab w:val="left" w:pos="3960"/>
      </w:tabs>
      <w:spacing w:line="240" w:lineRule="auto"/>
      <w:ind w:firstLine="0" w:firstLineChars="0"/>
      <w:jc w:val="center"/>
    </w:pPr>
    <w:rPr>
      <w:rFonts w:ascii="Times New Roman" w:hAnsi="Times New Roman"/>
      <w:sz w:val="21"/>
      <w:szCs w:val="21"/>
    </w:rPr>
  </w:style>
  <w:style w:type="paragraph" w:customStyle="1" w:styleId="63">
    <w:name w:val="中祥表标题"/>
    <w:basedOn w:val="1"/>
    <w:qFormat/>
    <w:uiPriority w:val="0"/>
    <w:pPr>
      <w:spacing w:line="320" w:lineRule="exact"/>
      <w:ind w:firstLine="542"/>
      <w:jc w:val="center"/>
    </w:pPr>
    <w:rPr>
      <w:rFonts w:ascii="Calibri" w:hAnsi="Calibri"/>
      <w:b/>
      <w:color w:val="000000"/>
      <w:kern w:val="0"/>
      <w:szCs w:val="22"/>
    </w:rPr>
  </w:style>
  <w:style w:type="paragraph" w:customStyle="1" w:styleId="64">
    <w:name w:val="中祥表格内容"/>
    <w:basedOn w:val="1"/>
    <w:qFormat/>
    <w:uiPriority w:val="0"/>
    <w:pPr>
      <w:spacing w:line="240" w:lineRule="auto"/>
      <w:ind w:firstLine="0" w:firstLineChars="0"/>
      <w:jc w:val="center"/>
    </w:pPr>
    <w:rPr>
      <w:rFonts w:ascii="Times New Roman" w:hAnsi="Times New Roman" w:eastAsia="宋体" w:cs="Times New Roman"/>
      <w:kern w:val="0"/>
      <w:sz w:val="21"/>
      <w:szCs w:val="21"/>
    </w:rPr>
  </w:style>
  <w:style w:type="character" w:customStyle="1" w:styleId="65">
    <w:name w:val="fontstyle01"/>
    <w:basedOn w:val="24"/>
    <w:qFormat/>
    <w:uiPriority w:val="0"/>
    <w:rPr>
      <w:rFonts w:ascii="宋体" w:hAnsi="宋体" w:eastAsia="宋体" w:cs="宋体"/>
      <w:color w:val="000000"/>
      <w:sz w:val="30"/>
      <w:szCs w:val="30"/>
    </w:rPr>
  </w:style>
  <w:style w:type="paragraph" w:customStyle="1" w:styleId="66">
    <w:name w:val="WPSOffice手动目录 1"/>
    <w:qFormat/>
    <w:uiPriority w:val="0"/>
    <w:pPr>
      <w:ind w:leftChars="0"/>
    </w:pPr>
    <w:rPr>
      <w:rFonts w:ascii="Times New Roman" w:hAnsi="Times New Roman" w:eastAsia="宋体" w:cs="Times New Roman"/>
      <w:sz w:val="20"/>
      <w:szCs w:val="20"/>
    </w:rPr>
  </w:style>
  <w:style w:type="paragraph" w:customStyle="1" w:styleId="67">
    <w:name w:val="表格数字"/>
    <w:basedOn w:val="1"/>
    <w:qFormat/>
    <w:uiPriority w:val="0"/>
    <w:pPr>
      <w:spacing w:line="360" w:lineRule="exact"/>
      <w:jc w:val="center"/>
    </w:pPr>
    <w:rPr>
      <w:rFonts w:ascii="Arial" w:hAnsi="Arial" w:cs="宋体"/>
    </w:rPr>
  </w:style>
  <w:style w:type="paragraph" w:customStyle="1" w:styleId="68">
    <w:name w:val="标准正文"/>
    <w:basedOn w:val="1"/>
    <w:qFormat/>
    <w:uiPriority w:val="0"/>
    <w:pPr>
      <w:adjustRightInd w:val="0"/>
      <w:spacing w:line="460" w:lineRule="atLeast"/>
      <w:ind w:firstLine="567"/>
      <w:jc w:val="left"/>
    </w:pPr>
    <w:rPr>
      <w:kern w:val="28"/>
      <w:sz w:val="28"/>
      <w:szCs w:val="20"/>
    </w:rPr>
  </w:style>
  <w:style w:type="character" w:customStyle="1" w:styleId="69">
    <w:name w:val="font21"/>
    <w:basedOn w:val="24"/>
    <w:qFormat/>
    <w:uiPriority w:val="0"/>
    <w:rPr>
      <w:rFonts w:hint="default" w:ascii="Times New Roman" w:hAnsi="Times New Roman" w:cs="Times New Roman"/>
      <w:color w:val="000000"/>
      <w:sz w:val="18"/>
      <w:szCs w:val="18"/>
      <w:u w:val="none"/>
    </w:rPr>
  </w:style>
  <w:style w:type="paragraph" w:customStyle="1" w:styleId="70">
    <w:name w:val="鸿达表格文字"/>
    <w:basedOn w:val="1"/>
    <w:qFormat/>
    <w:uiPriority w:val="0"/>
    <w:pPr>
      <w:contextualSpacing/>
      <w:jc w:val="center"/>
      <w:textAlignment w:val="baseline"/>
    </w:pPr>
    <w:rPr>
      <w:kern w:val="0"/>
      <w:szCs w:val="21"/>
    </w:rPr>
  </w:style>
  <w:style w:type="character" w:customStyle="1" w:styleId="71">
    <w:name w:val="font51"/>
    <w:basedOn w:val="24"/>
    <w:qFormat/>
    <w:uiPriority w:val="0"/>
    <w:rPr>
      <w:rFonts w:hint="default" w:ascii="Times New Roman" w:hAnsi="Times New Roman" w:cs="Times New Roman"/>
      <w:b/>
      <w:bCs/>
      <w:color w:val="000000"/>
      <w:sz w:val="21"/>
      <w:szCs w:val="21"/>
      <w:u w:val="none"/>
    </w:rPr>
  </w:style>
  <w:style w:type="character" w:customStyle="1" w:styleId="72">
    <w:name w:val="font11"/>
    <w:basedOn w:val="24"/>
    <w:qFormat/>
    <w:uiPriority w:val="0"/>
    <w:rPr>
      <w:rFonts w:hint="eastAsia" w:ascii="宋体" w:hAnsi="宋体" w:eastAsia="宋体" w:cs="宋体"/>
      <w:color w:val="000000"/>
      <w:sz w:val="21"/>
      <w:szCs w:val="21"/>
      <w:u w:val="none"/>
    </w:rPr>
  </w:style>
  <w:style w:type="character" w:customStyle="1" w:styleId="73">
    <w:name w:val="font41"/>
    <w:basedOn w:val="24"/>
    <w:qFormat/>
    <w:uiPriority w:val="0"/>
    <w:rPr>
      <w:rFonts w:hint="default" w:ascii="Times New Roman" w:hAnsi="Times New Roman" w:cs="Times New Roman"/>
      <w:color w:val="000000"/>
      <w:sz w:val="21"/>
      <w:szCs w:val="21"/>
      <w:u w:val="none"/>
    </w:rPr>
  </w:style>
  <w:style w:type="paragraph" w:customStyle="1" w:styleId="74">
    <w:name w:val="表格题目"/>
    <w:qFormat/>
    <w:uiPriority w:val="0"/>
    <w:pPr>
      <w:keepNext w:val="0"/>
      <w:keepLines w:val="0"/>
      <w:widowControl/>
      <w:suppressLineNumbers w:val="0"/>
      <w:spacing w:before="0" w:beforeAutospacing="0" w:after="0" w:afterAutospacing="0"/>
      <w:ind w:left="0" w:right="0"/>
      <w:jc w:val="center"/>
    </w:pPr>
    <w:rPr>
      <w:rFonts w:hint="eastAsia" w:ascii="Times New Roman" w:hAnsi="Times New Roman" w:eastAsia="宋体" w:cs="Times New Roman"/>
      <w:b/>
      <w:kern w:val="0"/>
      <w:sz w:val="21"/>
      <w:szCs w:val="21"/>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footer" Target="footer1.xml"/><Relationship Id="rId29" Type="http://schemas.openxmlformats.org/officeDocument/2006/relationships/customXml" Target="../customXml/item1.xml"/><Relationship Id="rId28" Type="http://schemas.openxmlformats.org/officeDocument/2006/relationships/image" Target="media/image20.png"/><Relationship Id="rId27" Type="http://schemas.openxmlformats.org/officeDocument/2006/relationships/image" Target="media/image19.jpeg"/><Relationship Id="rId26" Type="http://schemas.openxmlformats.org/officeDocument/2006/relationships/image" Target="media/image18.png"/><Relationship Id="rId25" Type="http://schemas.openxmlformats.org/officeDocument/2006/relationships/image" Target="media/image17.png"/><Relationship Id="rId24" Type="http://schemas.openxmlformats.org/officeDocument/2006/relationships/image" Target="media/image16.png"/><Relationship Id="rId23" Type="http://schemas.openxmlformats.org/officeDocument/2006/relationships/image" Target="media/image15.png"/><Relationship Id="rId22" Type="http://schemas.openxmlformats.org/officeDocument/2006/relationships/image" Target="media/image14.png"/><Relationship Id="rId21" Type="http://schemas.openxmlformats.org/officeDocument/2006/relationships/image" Target="media/image13.png"/><Relationship Id="rId20" Type="http://schemas.openxmlformats.org/officeDocument/2006/relationships/image" Target="media/image12.png"/><Relationship Id="rId2" Type="http://schemas.openxmlformats.org/officeDocument/2006/relationships/settings" Target="settings.xml"/><Relationship Id="rId19" Type="http://schemas.openxmlformats.org/officeDocument/2006/relationships/image" Target="media/image11.png"/><Relationship Id="rId18" Type="http://schemas.openxmlformats.org/officeDocument/2006/relationships/image" Target="media/image10.png"/><Relationship Id="rId17" Type="http://schemas.openxmlformats.org/officeDocument/2006/relationships/image" Target="media/image9.png"/><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87</Pages>
  <Words>51258</Words>
  <Characters>58896</Characters>
  <Lines>1</Lines>
  <Paragraphs>1</Paragraphs>
  <TotalTime>0</TotalTime>
  <ScaleCrop>false</ScaleCrop>
  <LinksUpToDate>false</LinksUpToDate>
  <CharactersWithSpaces>59075</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lhj</dc:creator>
  <cp:lastModifiedBy>Administrator</cp:lastModifiedBy>
  <cp:lastPrinted>2025-09-01T00:51:00Z</cp:lastPrinted>
  <dcterms:modified xsi:type="dcterms:W3CDTF">2025-09-10T07:17:47Z</dcterms:modified>
  <dc:title>附件2</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y fmtid="{D5CDD505-2E9C-101B-9397-08002B2CF9AE}" pid="3" name="ICV">
    <vt:lpwstr>6B75655E335443549535C94797A4D65A_13</vt:lpwstr>
  </property>
  <property fmtid="{D5CDD505-2E9C-101B-9397-08002B2CF9AE}" pid="4" name="KSOTemplateDocerSaveRecord">
    <vt:lpwstr>eyJoZGlkIjoiY2I2ZDk2Mjk2MGNjOGRhYjQyOTM2MGE5N2VjYzhiNTUiLCJ1c2VySWQiOiI0MzEwMjQxNTEifQ==</vt:lpwstr>
  </property>
</Properties>
</file>