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72"/>
          <w:szCs w:val="7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72"/>
          <w:szCs w:val="72"/>
        </w:rPr>
        <w:t>20</w:t>
      </w:r>
      <w:r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z w:val="72"/>
          <w:szCs w:val="72"/>
        </w:rPr>
        <w:t>年</w:t>
      </w:r>
      <w:r>
        <w:rPr>
          <w:rFonts w:hint="eastAsia" w:ascii="方正小标宋简体" w:hAnsi="方正小标宋简体" w:eastAsia="方正小标宋简体" w:cs="方正小标宋简体"/>
          <w:sz w:val="72"/>
          <w:szCs w:val="72"/>
          <w:lang w:eastAsia="zh-CN"/>
        </w:rPr>
        <w:t>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sz w:val="72"/>
          <w:szCs w:val="72"/>
          <w:lang w:eastAsia="zh-CN"/>
        </w:rPr>
        <w:t>安阳市城乡一体化</w:t>
      </w:r>
      <w:r>
        <w:rPr>
          <w:rFonts w:hint="eastAsia" w:ascii="方正小标宋简体" w:hAnsi="方正小标宋简体" w:eastAsia="方正小标宋简体" w:cs="方正小标宋简体"/>
          <w:sz w:val="72"/>
          <w:szCs w:val="72"/>
        </w:rPr>
        <w:t>示范区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72"/>
          <w:szCs w:val="7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72"/>
          <w:szCs w:val="72"/>
          <w:lang w:eastAsia="zh-CN"/>
        </w:rPr>
        <w:t>政府</w:t>
      </w:r>
      <w:r>
        <w:rPr>
          <w:rFonts w:hint="eastAsia" w:ascii="方正小标宋简体" w:hAnsi="方正小标宋简体" w:eastAsia="方正小标宋简体" w:cs="方正小标宋简体"/>
          <w:sz w:val="72"/>
          <w:szCs w:val="72"/>
        </w:rPr>
        <w:t>总决算</w:t>
      </w:r>
      <w:r>
        <w:rPr>
          <w:rFonts w:hint="eastAsia" w:ascii="方正小标宋简体" w:hAnsi="方正小标宋简体" w:eastAsia="方正小标宋简体" w:cs="方正小标宋简体"/>
          <w:sz w:val="72"/>
          <w:szCs w:val="72"/>
          <w:lang w:eastAsia="zh-CN"/>
        </w:rPr>
        <w:t>情况说明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 xml:space="preserve"> 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</w:p>
    <w:p>
      <w:pPr>
        <w:pStyle w:val="2"/>
        <w:snapToGrid w:val="0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</w:p>
    <w:p>
      <w:pPr>
        <w:pStyle w:val="2"/>
        <w:snapToGrid w:val="0"/>
        <w:jc w:val="both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snapToGrid w:val="0"/>
        <w:jc w:val="left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pStyle w:val="2"/>
        <w:snapToGrid w:val="0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pStyle w:val="2"/>
        <w:snapToGrid w:val="0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pStyle w:val="2"/>
        <w:snapToGrid w:val="0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pStyle w:val="2"/>
        <w:snapToGrid w:val="0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pStyle w:val="2"/>
        <w:snapToGrid w:val="0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pStyle w:val="2"/>
        <w:snapToGrid w:val="0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rPr>
          <w:rFonts w:hint="default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2"/>
        <w:snapToGrid w:val="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目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录</w:t>
      </w:r>
    </w:p>
    <w:p>
      <w:pPr>
        <w:pStyle w:val="2"/>
        <w:snapToGrid w:val="0"/>
        <w:jc w:val="left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pStyle w:val="2"/>
        <w:snapToGrid w:val="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一般公共预算收入完成情况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.........................1</w:t>
      </w:r>
    </w:p>
    <w:p>
      <w:pPr>
        <w:pStyle w:val="2"/>
        <w:snapToGrid w:val="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一般公共预算支出完成情况.........................3</w:t>
      </w:r>
    </w:p>
    <w:p>
      <w:pPr>
        <w:pStyle w:val="2"/>
        <w:snapToGrid w:val="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政府性基金预算收入分项完成情况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...................5</w:t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政府性基金预算支出分项完成情况...................6</w:t>
      </w:r>
    </w:p>
    <w:p>
      <w:pPr>
        <w:jc w:val="left"/>
        <w:rPr>
          <w:rFonts w:hint="default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国有资本经营收支情况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.............................7</w:t>
      </w:r>
    </w:p>
    <w:p>
      <w:pP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社会保险基金完成情况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.............................8</w:t>
      </w:r>
    </w:p>
    <w:p>
      <w:pP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转移支付执行情况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................................9</w:t>
      </w:r>
    </w:p>
    <w:p>
      <w:pP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举借债务情况说明................................10</w:t>
      </w:r>
      <w:r>
        <w:rPr>
          <w:rFonts w:hint="default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部门“三公”经费情况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............................12</w:t>
      </w:r>
    </w:p>
    <w:p>
      <w:pP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预算绩效工作开展情况说明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........................14</w:t>
      </w:r>
      <w:r>
        <w:rPr>
          <w:rFonts w:hint="default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重大政策和重点项目绩效执行结果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..................15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pStyle w:val="2"/>
        <w:snapToGrid w:val="0"/>
        <w:jc w:val="both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snapToGrid w:val="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年示范区</w:t>
      </w:r>
    </w:p>
    <w:p>
      <w:pPr>
        <w:pStyle w:val="2"/>
        <w:snapToGrid w:val="0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一般公共预算收入完成情况</w:t>
      </w:r>
    </w:p>
    <w:p>
      <w:pPr>
        <w:pStyle w:val="10"/>
        <w:suppressAutoHyphens/>
        <w:spacing w:line="580" w:lineRule="exact"/>
        <w:ind w:firstLine="600" w:firstLineChars="200"/>
        <w:rPr>
          <w:rStyle w:val="9"/>
          <w:rFonts w:hint="eastAsia" w:ascii="仿宋_GB2312" w:hAnsi="仿宋_GB2312" w:eastAsia="仿宋_GB2312" w:cs="仿宋_GB2312"/>
          <w:color w:val="auto"/>
        </w:rPr>
      </w:pP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  <w:lang w:val="en-US"/>
        </w:rPr>
      </w:pPr>
      <w:r>
        <w:rPr>
          <w:rStyle w:val="8"/>
          <w:rFonts w:hint="eastAsia" w:ascii="仿宋_GB2312" w:hAnsi="仿宋_GB2312" w:eastAsia="仿宋_GB2312" w:cs="仿宋_GB2312"/>
          <w:color w:val="auto"/>
          <w:sz w:val="32"/>
          <w:szCs w:val="32"/>
        </w:rPr>
        <w:t>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安阳市第十四届人大常委会第二十一次会议批准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批准</w:t>
      </w:r>
      <w:r>
        <w:rPr>
          <w:rStyle w:val="8"/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Style w:val="8"/>
          <w:rFonts w:hint="eastAsia" w:ascii="仿宋_GB2312" w:hAnsi="宋体" w:eastAsia="仿宋_GB2312"/>
          <w:highlight w:val="none"/>
        </w:rPr>
        <w:t>20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20</w:t>
      </w:r>
      <w:r>
        <w:rPr>
          <w:rStyle w:val="8"/>
          <w:rFonts w:hint="eastAsia" w:ascii="仿宋_GB2312" w:hAnsi="宋体" w:eastAsia="仿宋_GB2312"/>
          <w:highlight w:val="none"/>
        </w:rPr>
        <w:t>年安阳市城乡一体化示范区一般公共预算收入预算为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47200万</w:t>
      </w:r>
      <w:r>
        <w:rPr>
          <w:rStyle w:val="8"/>
          <w:rFonts w:hint="eastAsia" w:ascii="仿宋_GB2312" w:hAnsi="宋体" w:eastAsia="仿宋_GB2312"/>
          <w:highlight w:val="none"/>
        </w:rPr>
        <w:t>元。实际完成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61914万</w:t>
      </w:r>
      <w:r>
        <w:rPr>
          <w:rStyle w:val="8"/>
          <w:rFonts w:hint="eastAsia" w:ascii="仿宋_GB2312" w:hAnsi="宋体" w:eastAsia="仿宋_GB2312"/>
          <w:highlight w:val="none"/>
        </w:rPr>
        <w:t>元，为年初预算的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132.2</w:t>
      </w:r>
      <w:r>
        <w:rPr>
          <w:rStyle w:val="8"/>
          <w:rFonts w:hint="eastAsia" w:ascii="仿宋_GB2312" w:hAnsi="宋体" w:eastAsia="仿宋_GB2312"/>
          <w:highlight w:val="none"/>
        </w:rPr>
        <w:t>%，较上年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增加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18861万</w:t>
      </w:r>
      <w:r>
        <w:rPr>
          <w:rStyle w:val="8"/>
          <w:rFonts w:hint="eastAsia" w:ascii="仿宋_GB2312" w:hAnsi="宋体" w:eastAsia="仿宋_GB2312"/>
          <w:highlight w:val="none"/>
        </w:rPr>
        <w:t>元，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增长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43.8</w:t>
      </w:r>
      <w:r>
        <w:rPr>
          <w:rStyle w:val="8"/>
          <w:rFonts w:hint="eastAsia" w:ascii="仿宋_GB2312" w:hAnsi="宋体" w:eastAsia="仿宋_GB2312"/>
          <w:highlight w:val="none"/>
        </w:rPr>
        <w:t>%。其中税收收入完成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51854万</w:t>
      </w:r>
      <w:r>
        <w:rPr>
          <w:rStyle w:val="8"/>
          <w:rFonts w:hint="eastAsia" w:ascii="仿宋_GB2312" w:hAnsi="宋体" w:eastAsia="仿宋_GB2312"/>
          <w:highlight w:val="none"/>
        </w:rPr>
        <w:t>元，为年初预算的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139.4</w:t>
      </w:r>
      <w:r>
        <w:rPr>
          <w:rStyle w:val="8"/>
          <w:rFonts w:hint="eastAsia" w:ascii="仿宋_GB2312" w:hAnsi="宋体" w:eastAsia="仿宋_GB2312"/>
          <w:highlight w:val="none"/>
        </w:rPr>
        <w:t>%，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较上年增加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21790万元，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增长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72.5</w:t>
      </w:r>
      <w:r>
        <w:rPr>
          <w:rStyle w:val="8"/>
          <w:rFonts w:hint="eastAsia" w:ascii="仿宋_GB2312" w:hAnsi="宋体" w:eastAsia="仿宋_GB2312"/>
          <w:highlight w:val="none"/>
        </w:rPr>
        <w:t>%，占一般公共预算收入的比重为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83.8</w:t>
      </w:r>
      <w:r>
        <w:rPr>
          <w:rStyle w:val="8"/>
          <w:rFonts w:hint="eastAsia" w:ascii="仿宋_GB2312" w:hAnsi="宋体" w:eastAsia="仿宋_GB2312"/>
          <w:highlight w:val="none"/>
        </w:rPr>
        <w:t>%。非税收入完成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10060万</w:t>
      </w:r>
      <w:r>
        <w:rPr>
          <w:rStyle w:val="8"/>
          <w:rFonts w:hint="eastAsia" w:ascii="仿宋_GB2312" w:hAnsi="宋体" w:eastAsia="仿宋_GB2312"/>
          <w:highlight w:val="none"/>
        </w:rPr>
        <w:t>元，为年初预算的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100.6</w:t>
      </w:r>
      <w:r>
        <w:rPr>
          <w:rStyle w:val="8"/>
          <w:rFonts w:hint="eastAsia" w:ascii="仿宋_GB2312" w:hAnsi="宋体" w:eastAsia="仿宋_GB2312"/>
          <w:highlight w:val="none"/>
        </w:rPr>
        <w:t>%，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较上年减少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2929万元，降低22.5</w:t>
      </w:r>
      <w:r>
        <w:rPr>
          <w:rStyle w:val="8"/>
          <w:rFonts w:hint="eastAsia" w:ascii="仿宋_GB2312" w:hAnsi="宋体" w:eastAsia="仿宋_GB2312"/>
          <w:highlight w:val="none"/>
        </w:rPr>
        <w:t>%。主要项目执行情况是：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</w:rPr>
      </w:pPr>
      <w:r>
        <w:rPr>
          <w:rStyle w:val="8"/>
          <w:rFonts w:hint="eastAsia" w:ascii="仿宋_GB2312" w:hAnsi="宋体" w:eastAsia="仿宋_GB2312"/>
          <w:highlight w:val="none"/>
        </w:rPr>
        <w:t>1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.</w:t>
      </w:r>
      <w:r>
        <w:rPr>
          <w:rStyle w:val="8"/>
          <w:rFonts w:hint="eastAsia" w:ascii="仿宋_GB2312" w:hAnsi="宋体" w:eastAsia="仿宋_GB2312"/>
          <w:highlight w:val="none"/>
        </w:rPr>
        <w:t>增值税完成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14950万</w:t>
      </w:r>
      <w:r>
        <w:rPr>
          <w:rStyle w:val="8"/>
          <w:rFonts w:hint="eastAsia" w:ascii="仿宋_GB2312" w:hAnsi="宋体" w:eastAsia="仿宋_GB2312"/>
          <w:highlight w:val="none"/>
        </w:rPr>
        <w:t>元，为年初预算的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112</w:t>
      </w:r>
      <w:r>
        <w:rPr>
          <w:rStyle w:val="8"/>
          <w:rFonts w:hint="eastAsia" w:ascii="仿宋_GB2312" w:hAnsi="宋体" w:eastAsia="仿宋_GB2312"/>
          <w:highlight w:val="none"/>
        </w:rPr>
        <w:t>%，增长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20.4</w:t>
      </w:r>
      <w:r>
        <w:rPr>
          <w:rStyle w:val="8"/>
          <w:rFonts w:hint="eastAsia" w:ascii="仿宋_GB2312" w:hAnsi="宋体" w:eastAsia="仿宋_GB2312"/>
          <w:highlight w:val="none"/>
        </w:rPr>
        <w:t>%。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</w:rPr>
      </w:pPr>
      <w:r>
        <w:rPr>
          <w:rStyle w:val="8"/>
          <w:rFonts w:hint="eastAsia" w:ascii="仿宋_GB2312" w:hAnsi="宋体" w:eastAsia="仿宋_GB2312"/>
          <w:highlight w:val="none"/>
        </w:rPr>
        <w:t>2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.</w:t>
      </w:r>
      <w:r>
        <w:rPr>
          <w:rStyle w:val="8"/>
          <w:rFonts w:hint="eastAsia" w:ascii="仿宋_GB2312" w:hAnsi="宋体" w:eastAsia="仿宋_GB2312"/>
          <w:highlight w:val="none"/>
        </w:rPr>
        <w:t>企业所得税完成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4045</w:t>
      </w:r>
      <w:r>
        <w:rPr>
          <w:rStyle w:val="8"/>
          <w:rFonts w:hint="eastAsia" w:ascii="仿宋_GB2312" w:hAnsi="宋体" w:eastAsia="仿宋_GB2312"/>
          <w:highlight w:val="none"/>
        </w:rPr>
        <w:t>万元，为年初预算的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98.2</w:t>
      </w:r>
      <w:r>
        <w:rPr>
          <w:rStyle w:val="8"/>
          <w:rFonts w:hint="eastAsia" w:ascii="仿宋_GB2312" w:hAnsi="宋体" w:eastAsia="仿宋_GB2312"/>
          <w:highlight w:val="none"/>
        </w:rPr>
        <w:t>%，增长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5.3</w:t>
      </w:r>
      <w:r>
        <w:rPr>
          <w:rStyle w:val="8"/>
          <w:rFonts w:hint="eastAsia" w:ascii="仿宋_GB2312" w:hAnsi="宋体" w:eastAsia="仿宋_GB2312"/>
          <w:highlight w:val="none"/>
        </w:rPr>
        <w:t>%。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</w:rPr>
      </w:pPr>
      <w:r>
        <w:rPr>
          <w:rStyle w:val="8"/>
          <w:rFonts w:hint="eastAsia" w:ascii="仿宋_GB2312" w:hAnsi="宋体" w:eastAsia="仿宋_GB2312"/>
          <w:highlight w:val="none"/>
        </w:rPr>
        <w:t>3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.</w:t>
      </w:r>
      <w:r>
        <w:rPr>
          <w:rStyle w:val="8"/>
          <w:rFonts w:hint="eastAsia" w:ascii="仿宋_GB2312" w:hAnsi="宋体" w:eastAsia="仿宋_GB2312"/>
          <w:highlight w:val="none"/>
        </w:rPr>
        <w:t>个人所得税完成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736</w:t>
      </w:r>
      <w:r>
        <w:rPr>
          <w:rStyle w:val="8"/>
          <w:rFonts w:hint="eastAsia" w:ascii="仿宋_GB2312" w:hAnsi="宋体" w:eastAsia="仿宋_GB2312"/>
          <w:highlight w:val="none"/>
        </w:rPr>
        <w:t>万元，为年初预算的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252.9</w:t>
      </w:r>
      <w:r>
        <w:rPr>
          <w:rStyle w:val="8"/>
          <w:rFonts w:hint="eastAsia" w:ascii="仿宋_GB2312" w:hAnsi="宋体" w:eastAsia="仿宋_GB2312"/>
          <w:highlight w:val="none"/>
        </w:rPr>
        <w:t>%，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增长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170.6</w:t>
      </w:r>
      <w:r>
        <w:rPr>
          <w:rStyle w:val="8"/>
          <w:rFonts w:hint="eastAsia" w:ascii="仿宋_GB2312" w:hAnsi="宋体" w:eastAsia="仿宋_GB2312"/>
          <w:highlight w:val="none"/>
        </w:rPr>
        <w:t>%。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default" w:ascii="仿宋_GB2312" w:hAnsi="宋体" w:eastAsia="仿宋_GB2312"/>
          <w:highlight w:val="none"/>
          <w:lang w:val="en-US" w:eastAsia="zh-CN"/>
        </w:rPr>
      </w:pPr>
      <w:r>
        <w:rPr>
          <w:rStyle w:val="8"/>
          <w:rFonts w:hint="eastAsia" w:ascii="仿宋_GB2312" w:hAnsi="宋体" w:eastAsia="仿宋_GB2312"/>
          <w:highlight w:val="none"/>
        </w:rPr>
        <w:t>4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.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资源税完成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91万元，无年初预算，上年无收入。主要为本年上下级体制变更，资源税改变征收级次。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</w:rPr>
      </w:pP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5.</w:t>
      </w:r>
      <w:r>
        <w:rPr>
          <w:rStyle w:val="8"/>
          <w:rFonts w:hint="eastAsia" w:ascii="仿宋_GB2312" w:hAnsi="宋体" w:eastAsia="仿宋_GB2312"/>
          <w:highlight w:val="none"/>
        </w:rPr>
        <w:t>城市维护建设税完成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2304</w:t>
      </w:r>
      <w:r>
        <w:rPr>
          <w:rStyle w:val="8"/>
          <w:rFonts w:hint="eastAsia" w:ascii="仿宋_GB2312" w:hAnsi="宋体" w:eastAsia="仿宋_GB2312"/>
          <w:highlight w:val="none"/>
        </w:rPr>
        <w:t>万元，为年初预算的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125.2</w:t>
      </w:r>
      <w:r>
        <w:rPr>
          <w:rStyle w:val="8"/>
          <w:rFonts w:hint="eastAsia" w:ascii="仿宋_GB2312" w:hAnsi="宋体" w:eastAsia="仿宋_GB2312"/>
          <w:highlight w:val="none"/>
        </w:rPr>
        <w:t>%，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增长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34</w:t>
      </w:r>
      <w:r>
        <w:rPr>
          <w:rStyle w:val="8"/>
          <w:rFonts w:hint="eastAsia" w:ascii="仿宋_GB2312" w:hAnsi="宋体" w:eastAsia="仿宋_GB2312"/>
          <w:highlight w:val="none"/>
        </w:rPr>
        <w:t>%。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</w:rPr>
      </w:pP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6.</w:t>
      </w:r>
      <w:r>
        <w:rPr>
          <w:rStyle w:val="8"/>
          <w:rFonts w:hint="eastAsia" w:ascii="仿宋_GB2312" w:hAnsi="宋体" w:eastAsia="仿宋_GB2312"/>
          <w:highlight w:val="none"/>
        </w:rPr>
        <w:t>房产税完成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887</w:t>
      </w:r>
      <w:r>
        <w:rPr>
          <w:rStyle w:val="8"/>
          <w:rFonts w:hint="eastAsia" w:ascii="仿宋_GB2312" w:hAnsi="宋体" w:eastAsia="仿宋_GB2312"/>
          <w:highlight w:val="none"/>
        </w:rPr>
        <w:t>万元，为年初预算的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268.8</w:t>
      </w:r>
      <w:r>
        <w:rPr>
          <w:rStyle w:val="8"/>
          <w:rFonts w:hint="eastAsia" w:ascii="仿宋_GB2312" w:hAnsi="宋体" w:eastAsia="仿宋_GB2312"/>
          <w:highlight w:val="none"/>
        </w:rPr>
        <w:t>%，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增长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188.9</w:t>
      </w:r>
      <w:r>
        <w:rPr>
          <w:rStyle w:val="8"/>
          <w:rFonts w:hint="eastAsia" w:ascii="仿宋_GB2312" w:hAnsi="宋体" w:eastAsia="仿宋_GB2312"/>
          <w:highlight w:val="none"/>
        </w:rPr>
        <w:t>%。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</w:rPr>
      </w:pP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7.</w:t>
      </w:r>
      <w:r>
        <w:rPr>
          <w:rStyle w:val="8"/>
          <w:rFonts w:hint="eastAsia" w:ascii="仿宋_GB2312" w:hAnsi="宋体" w:eastAsia="仿宋_GB2312"/>
          <w:highlight w:val="none"/>
        </w:rPr>
        <w:t>印花税完成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750</w:t>
      </w:r>
      <w:r>
        <w:rPr>
          <w:rStyle w:val="8"/>
          <w:rFonts w:hint="eastAsia" w:ascii="仿宋_GB2312" w:hAnsi="宋体" w:eastAsia="仿宋_GB2312"/>
          <w:highlight w:val="none"/>
        </w:rPr>
        <w:t>万元，为年初预算的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100.9</w:t>
      </w:r>
      <w:r>
        <w:rPr>
          <w:rStyle w:val="8"/>
          <w:rFonts w:hint="eastAsia" w:ascii="仿宋_GB2312" w:hAnsi="宋体" w:eastAsia="仿宋_GB2312"/>
          <w:highlight w:val="none"/>
        </w:rPr>
        <w:t>%，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增长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8.1</w:t>
      </w:r>
      <w:r>
        <w:rPr>
          <w:rStyle w:val="8"/>
          <w:rFonts w:hint="eastAsia" w:ascii="仿宋_GB2312" w:hAnsi="宋体" w:eastAsia="仿宋_GB2312"/>
          <w:highlight w:val="none"/>
        </w:rPr>
        <w:t>%。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</w:rPr>
      </w:pP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8.</w:t>
      </w:r>
      <w:r>
        <w:rPr>
          <w:rStyle w:val="8"/>
          <w:rFonts w:hint="eastAsia" w:ascii="仿宋_GB2312" w:hAnsi="宋体" w:eastAsia="仿宋_GB2312"/>
          <w:highlight w:val="none"/>
        </w:rPr>
        <w:t>城镇土地使用税完成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3118</w:t>
      </w:r>
      <w:r>
        <w:rPr>
          <w:rStyle w:val="8"/>
          <w:rFonts w:hint="eastAsia" w:ascii="仿宋_GB2312" w:hAnsi="宋体" w:eastAsia="仿宋_GB2312"/>
          <w:highlight w:val="none"/>
        </w:rPr>
        <w:t>万元，为年初预算的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171.3</w:t>
      </w:r>
      <w:r>
        <w:rPr>
          <w:rStyle w:val="8"/>
          <w:rFonts w:hint="eastAsia" w:ascii="仿宋_GB2312" w:hAnsi="宋体" w:eastAsia="仿宋_GB2312"/>
          <w:highlight w:val="none"/>
        </w:rPr>
        <w:t>%，增长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83.4</w:t>
      </w:r>
      <w:r>
        <w:rPr>
          <w:rStyle w:val="8"/>
          <w:rFonts w:hint="eastAsia" w:ascii="仿宋_GB2312" w:hAnsi="宋体" w:eastAsia="仿宋_GB2312"/>
          <w:highlight w:val="none"/>
        </w:rPr>
        <w:t>%。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</w:rPr>
      </w:pP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9.</w:t>
      </w:r>
      <w:r>
        <w:rPr>
          <w:rStyle w:val="8"/>
          <w:rFonts w:hint="eastAsia" w:ascii="仿宋_GB2312" w:hAnsi="宋体" w:eastAsia="仿宋_GB2312"/>
          <w:highlight w:val="none"/>
        </w:rPr>
        <w:t>土地增值税完成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16527</w:t>
      </w:r>
      <w:r>
        <w:rPr>
          <w:rStyle w:val="8"/>
          <w:rFonts w:hint="eastAsia" w:ascii="仿宋_GB2312" w:hAnsi="宋体" w:eastAsia="仿宋_GB2312"/>
          <w:highlight w:val="none"/>
        </w:rPr>
        <w:t>万元，为年初预算的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173.8</w:t>
      </w:r>
      <w:r>
        <w:rPr>
          <w:rStyle w:val="8"/>
          <w:rFonts w:hint="eastAsia" w:ascii="仿宋_GB2312" w:hAnsi="宋体" w:eastAsia="仿宋_GB2312"/>
          <w:highlight w:val="none"/>
        </w:rPr>
        <w:t>%，增长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86</w:t>
      </w:r>
      <w:r>
        <w:rPr>
          <w:rStyle w:val="8"/>
          <w:rFonts w:hint="eastAsia" w:ascii="仿宋_GB2312" w:hAnsi="宋体" w:eastAsia="仿宋_GB2312"/>
          <w:highlight w:val="none"/>
        </w:rPr>
        <w:t>%。主要是示范区商品房项目单位经营形势好于预期，拉动土地增值税增幅较高。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</w:rPr>
      </w:pP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10.</w:t>
      </w:r>
      <w:r>
        <w:rPr>
          <w:rStyle w:val="8"/>
          <w:rFonts w:hint="eastAsia" w:ascii="仿宋_GB2312" w:hAnsi="宋体" w:eastAsia="仿宋_GB2312"/>
          <w:highlight w:val="none"/>
        </w:rPr>
        <w:t>车船税完成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22</w:t>
      </w:r>
      <w:r>
        <w:rPr>
          <w:rStyle w:val="8"/>
          <w:rFonts w:hint="eastAsia" w:ascii="仿宋_GB2312" w:hAnsi="宋体" w:eastAsia="仿宋_GB2312"/>
          <w:highlight w:val="none"/>
        </w:rPr>
        <w:t>万元，为年初预算的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23.4</w:t>
      </w:r>
      <w:r>
        <w:rPr>
          <w:rStyle w:val="8"/>
          <w:rFonts w:hint="eastAsia" w:ascii="仿宋_GB2312" w:hAnsi="宋体" w:eastAsia="仿宋_GB2312"/>
          <w:highlight w:val="none"/>
        </w:rPr>
        <w:t>%，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降低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75</w:t>
      </w:r>
      <w:r>
        <w:rPr>
          <w:rStyle w:val="8"/>
          <w:rFonts w:hint="eastAsia" w:ascii="仿宋_GB2312" w:hAnsi="宋体" w:eastAsia="仿宋_GB2312"/>
          <w:highlight w:val="none"/>
        </w:rPr>
        <w:t>%。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</w:rPr>
      </w:pPr>
      <w:r>
        <w:rPr>
          <w:rStyle w:val="8"/>
          <w:rFonts w:hint="eastAsia" w:ascii="仿宋_GB2312" w:hAnsi="宋体" w:eastAsia="仿宋_GB2312"/>
          <w:highlight w:val="none"/>
        </w:rPr>
        <w:t>1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1.</w:t>
      </w:r>
      <w:r>
        <w:rPr>
          <w:rStyle w:val="8"/>
          <w:rFonts w:hint="eastAsia" w:ascii="仿宋_GB2312" w:hAnsi="宋体" w:eastAsia="仿宋_GB2312"/>
          <w:highlight w:val="none"/>
        </w:rPr>
        <w:t>耕地占用税完成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1974</w:t>
      </w:r>
      <w:r>
        <w:rPr>
          <w:rStyle w:val="8"/>
          <w:rFonts w:hint="eastAsia" w:ascii="仿宋_GB2312" w:hAnsi="宋体" w:eastAsia="仿宋_GB2312"/>
          <w:highlight w:val="none"/>
          <w:lang w:val="en-US"/>
        </w:rPr>
        <w:t>万元</w:t>
      </w:r>
      <w:r>
        <w:rPr>
          <w:rStyle w:val="8"/>
          <w:rFonts w:hint="eastAsia" w:ascii="仿宋_GB2312" w:hAnsi="宋体" w:eastAsia="仿宋_GB2312"/>
          <w:highlight w:val="none"/>
        </w:rPr>
        <w:t>，为年初预算的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1898.1</w:t>
      </w:r>
      <w:r>
        <w:rPr>
          <w:rStyle w:val="8"/>
          <w:rFonts w:hint="eastAsia" w:ascii="仿宋_GB2312" w:hAnsi="宋体" w:eastAsia="仿宋_GB2312"/>
          <w:highlight w:val="none"/>
        </w:rPr>
        <w:t>%，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增长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1935.1</w:t>
      </w:r>
      <w:r>
        <w:rPr>
          <w:rStyle w:val="8"/>
          <w:rFonts w:hint="eastAsia" w:ascii="仿宋_GB2312" w:hAnsi="宋体" w:eastAsia="仿宋_GB2312"/>
          <w:highlight w:val="none"/>
        </w:rPr>
        <w:t>%。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</w:rPr>
      </w:pPr>
      <w:r>
        <w:rPr>
          <w:rStyle w:val="8"/>
          <w:rFonts w:hint="eastAsia" w:ascii="仿宋_GB2312" w:hAnsi="宋体" w:eastAsia="仿宋_GB2312"/>
          <w:highlight w:val="none"/>
        </w:rPr>
        <w:t>1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2.</w:t>
      </w:r>
      <w:r>
        <w:rPr>
          <w:rStyle w:val="8"/>
          <w:rFonts w:hint="eastAsia" w:ascii="仿宋_GB2312" w:hAnsi="宋体" w:eastAsia="仿宋_GB2312"/>
          <w:highlight w:val="none"/>
        </w:rPr>
        <w:t>契税完成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6441</w:t>
      </w:r>
      <w:r>
        <w:rPr>
          <w:rStyle w:val="8"/>
          <w:rFonts w:hint="eastAsia" w:ascii="仿宋_GB2312" w:hAnsi="宋体" w:eastAsia="仿宋_GB2312"/>
          <w:highlight w:val="none"/>
          <w:lang w:val="en-US"/>
        </w:rPr>
        <w:t>万元</w:t>
      </w:r>
      <w:r>
        <w:rPr>
          <w:rStyle w:val="8"/>
          <w:rFonts w:hint="eastAsia" w:ascii="仿宋_GB2312" w:hAnsi="宋体" w:eastAsia="仿宋_GB2312"/>
          <w:highlight w:val="none"/>
        </w:rPr>
        <w:t>，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128.8</w:t>
      </w:r>
      <w:r>
        <w:rPr>
          <w:rStyle w:val="8"/>
          <w:rFonts w:hint="eastAsia" w:ascii="仿宋_GB2312" w:hAnsi="宋体" w:eastAsia="仿宋_GB2312"/>
          <w:highlight w:val="none"/>
        </w:rPr>
        <w:t>%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，增长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15609%</w:t>
      </w:r>
      <w:r>
        <w:rPr>
          <w:rStyle w:val="8"/>
          <w:rFonts w:hint="eastAsia" w:ascii="仿宋_GB2312" w:hAnsi="宋体" w:eastAsia="仿宋_GB2312"/>
          <w:highlight w:val="none"/>
        </w:rPr>
        <w:t>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  <w:lang w:val="en-US" w:eastAsia="zh-CN"/>
        </w:rPr>
      </w:pPr>
      <w:r>
        <w:rPr>
          <w:rStyle w:val="8"/>
          <w:rFonts w:hint="eastAsia" w:ascii="仿宋_GB2312" w:hAnsi="宋体" w:eastAsia="仿宋_GB2312"/>
          <w:highlight w:val="none"/>
        </w:rPr>
        <w:t>1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3.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环境保护税完成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9万元，无年初预算，上年无收入。主要为本年上下级体制变更，资源税改变征收级次。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</w:rPr>
      </w:pP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14.</w:t>
      </w:r>
      <w:r>
        <w:rPr>
          <w:rStyle w:val="8"/>
          <w:rFonts w:hint="eastAsia" w:ascii="仿宋_GB2312" w:hAnsi="宋体" w:eastAsia="仿宋_GB2312"/>
          <w:highlight w:val="none"/>
        </w:rPr>
        <w:t>专项收入完成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1359</w:t>
      </w:r>
      <w:r>
        <w:rPr>
          <w:rStyle w:val="8"/>
          <w:rFonts w:hint="eastAsia" w:ascii="仿宋_GB2312" w:hAnsi="宋体" w:eastAsia="仿宋_GB2312"/>
          <w:highlight w:val="none"/>
        </w:rPr>
        <w:t>万元，为年初预算的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181.2</w:t>
      </w:r>
      <w:r>
        <w:rPr>
          <w:rStyle w:val="8"/>
          <w:rFonts w:hint="eastAsia" w:ascii="仿宋_GB2312" w:hAnsi="宋体" w:eastAsia="仿宋_GB2312"/>
          <w:highlight w:val="none"/>
        </w:rPr>
        <w:t>%，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增长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37.6</w:t>
      </w:r>
      <w:r>
        <w:rPr>
          <w:rStyle w:val="8"/>
          <w:rFonts w:hint="eastAsia" w:ascii="仿宋_GB2312" w:hAnsi="宋体" w:eastAsia="仿宋_GB2312"/>
          <w:highlight w:val="none"/>
        </w:rPr>
        <w:t>%。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</w:rPr>
      </w:pPr>
      <w:r>
        <w:rPr>
          <w:rStyle w:val="8"/>
          <w:rFonts w:hint="eastAsia" w:ascii="仿宋_GB2312" w:hAnsi="宋体" w:eastAsia="仿宋_GB2312"/>
          <w:highlight w:val="none"/>
        </w:rPr>
        <w:t>1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5.</w:t>
      </w:r>
      <w:r>
        <w:rPr>
          <w:rStyle w:val="8"/>
          <w:rFonts w:hint="eastAsia" w:ascii="仿宋_GB2312" w:hAnsi="宋体" w:eastAsia="仿宋_GB2312"/>
          <w:highlight w:val="none"/>
        </w:rPr>
        <w:t>行政事业性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收费</w:t>
      </w:r>
      <w:r>
        <w:rPr>
          <w:rStyle w:val="8"/>
          <w:rFonts w:hint="eastAsia" w:ascii="仿宋_GB2312" w:hAnsi="宋体" w:eastAsia="仿宋_GB2312"/>
          <w:highlight w:val="none"/>
        </w:rPr>
        <w:t>收入完成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39</w:t>
      </w:r>
      <w:r>
        <w:rPr>
          <w:rStyle w:val="8"/>
          <w:rFonts w:hint="eastAsia" w:ascii="仿宋_GB2312" w:hAnsi="宋体" w:eastAsia="仿宋_GB2312"/>
          <w:highlight w:val="none"/>
          <w:lang w:val="en-US"/>
        </w:rPr>
        <w:t>万元</w:t>
      </w:r>
      <w:r>
        <w:rPr>
          <w:rStyle w:val="8"/>
          <w:rFonts w:hint="eastAsia" w:ascii="仿宋_GB2312" w:hAnsi="宋体" w:eastAsia="仿宋_GB2312"/>
          <w:highlight w:val="none"/>
        </w:rPr>
        <w:t>，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0%，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降低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73.1</w:t>
      </w:r>
      <w:r>
        <w:rPr>
          <w:rStyle w:val="8"/>
          <w:rFonts w:hint="eastAsia" w:ascii="仿宋_GB2312" w:hAnsi="宋体" w:eastAsia="仿宋_GB2312"/>
          <w:highlight w:val="none"/>
        </w:rPr>
        <w:t>%。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</w:rPr>
      </w:pPr>
      <w:r>
        <w:rPr>
          <w:rStyle w:val="8"/>
          <w:rFonts w:hint="eastAsia" w:ascii="仿宋_GB2312" w:hAnsi="宋体" w:eastAsia="仿宋_GB2312"/>
          <w:highlight w:val="none"/>
        </w:rPr>
        <w:t>1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6.</w:t>
      </w:r>
      <w:r>
        <w:rPr>
          <w:rStyle w:val="8"/>
          <w:rFonts w:hint="eastAsia" w:ascii="仿宋_GB2312" w:hAnsi="宋体" w:eastAsia="仿宋_GB2312"/>
          <w:highlight w:val="none"/>
        </w:rPr>
        <w:t>罚没收入完成</w:t>
      </w:r>
      <w:r>
        <w:rPr>
          <w:rStyle w:val="8"/>
          <w:rFonts w:hint="eastAsia" w:ascii="仿宋_GB2312" w:hAnsi="宋体" w:eastAsia="仿宋_GB2312"/>
          <w:highlight w:val="none"/>
          <w:lang w:val="en-US"/>
        </w:rPr>
        <w:t>1</w:t>
      </w:r>
      <w:r>
        <w:rPr>
          <w:rStyle w:val="8"/>
          <w:rFonts w:hint="eastAsia" w:ascii="仿宋_GB2312" w:hAnsi="宋体" w:eastAsia="仿宋_GB2312"/>
          <w:highlight w:val="none"/>
        </w:rPr>
        <w:t>万元，为年初预算的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</w:t>
      </w:r>
      <w:r>
        <w:rPr>
          <w:rStyle w:val="8"/>
          <w:rFonts w:hint="eastAsia" w:ascii="仿宋_GB2312" w:hAnsi="宋体" w:eastAsia="仿宋_GB2312"/>
          <w:highlight w:val="none"/>
        </w:rPr>
        <w:t>%，降低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99.9</w:t>
      </w:r>
      <w:r>
        <w:rPr>
          <w:rStyle w:val="8"/>
          <w:rFonts w:hint="eastAsia" w:ascii="仿宋_GB2312" w:hAnsi="宋体" w:eastAsia="仿宋_GB2312"/>
          <w:highlight w:val="none"/>
        </w:rPr>
        <w:t>%。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  <w:lang w:val="en-US" w:eastAsia="zh-CN"/>
        </w:rPr>
      </w:pPr>
      <w:r>
        <w:rPr>
          <w:rStyle w:val="8"/>
          <w:rFonts w:hint="eastAsia" w:ascii="仿宋_GB2312" w:hAnsi="宋体" w:eastAsia="仿宋_GB2312"/>
          <w:highlight w:val="none"/>
        </w:rPr>
        <w:t>1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7.国有资本经营收入完成142万元，无年初预算，上年无收入。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</w:rPr>
      </w:pP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18.</w:t>
      </w:r>
      <w:r>
        <w:rPr>
          <w:rStyle w:val="8"/>
          <w:rFonts w:hint="eastAsia" w:ascii="仿宋_GB2312" w:hAnsi="宋体" w:eastAsia="仿宋_GB2312"/>
          <w:highlight w:val="none"/>
        </w:rPr>
        <w:t>国有资源（资产）有偿使用收入完成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2271</w:t>
      </w:r>
      <w:r>
        <w:rPr>
          <w:rStyle w:val="8"/>
          <w:rFonts w:hint="eastAsia" w:ascii="仿宋_GB2312" w:hAnsi="宋体" w:eastAsia="仿宋_GB2312"/>
          <w:highlight w:val="none"/>
        </w:rPr>
        <w:t>万元，为年初预算的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1514</w:t>
      </w:r>
      <w:r>
        <w:rPr>
          <w:rStyle w:val="8"/>
          <w:rFonts w:hint="eastAsia" w:ascii="仿宋_GB2312" w:hAnsi="宋体" w:eastAsia="仿宋_GB2312"/>
          <w:highlight w:val="none"/>
        </w:rPr>
        <w:t>%，增长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280.4</w:t>
      </w:r>
      <w:r>
        <w:rPr>
          <w:rStyle w:val="8"/>
          <w:rFonts w:hint="eastAsia" w:ascii="仿宋_GB2312" w:hAnsi="宋体" w:eastAsia="仿宋_GB2312"/>
          <w:highlight w:val="none"/>
        </w:rPr>
        <w:t>%。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highlight w:val="none"/>
        </w:rPr>
      </w:pPr>
      <w:r>
        <w:rPr>
          <w:rStyle w:val="8"/>
          <w:rFonts w:hint="eastAsia" w:ascii="仿宋_GB2312" w:hAnsi="宋体" w:eastAsia="仿宋_GB2312"/>
          <w:highlight w:val="none"/>
        </w:rPr>
        <w:t>1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9.</w:t>
      </w:r>
      <w:r>
        <w:rPr>
          <w:rStyle w:val="8"/>
          <w:rFonts w:hint="eastAsia" w:ascii="仿宋_GB2312" w:hAnsi="宋体" w:eastAsia="仿宋_GB2312"/>
          <w:highlight w:val="none"/>
        </w:rPr>
        <w:t>政府住房基金收入完成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6248万</w:t>
      </w:r>
      <w:r>
        <w:rPr>
          <w:rStyle w:val="8"/>
          <w:rFonts w:hint="eastAsia" w:ascii="仿宋_GB2312" w:hAnsi="宋体" w:eastAsia="仿宋_GB2312"/>
          <w:highlight w:val="none"/>
        </w:rPr>
        <w:t>元，为年初预算的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69.4</w:t>
      </w:r>
      <w:r>
        <w:rPr>
          <w:rStyle w:val="8"/>
          <w:rFonts w:hint="eastAsia" w:ascii="仿宋_GB2312" w:hAnsi="宋体" w:eastAsia="仿宋_GB2312"/>
          <w:highlight w:val="none"/>
        </w:rPr>
        <w:t>%，</w:t>
      </w:r>
      <w:r>
        <w:rPr>
          <w:rStyle w:val="8"/>
          <w:rFonts w:hint="eastAsia" w:ascii="仿宋_GB2312" w:hAnsi="宋体" w:eastAsia="仿宋_GB2312"/>
          <w:highlight w:val="none"/>
          <w:lang w:eastAsia="zh-CN"/>
        </w:rPr>
        <w:t>降低</w:t>
      </w:r>
      <w:r>
        <w:rPr>
          <w:rStyle w:val="8"/>
          <w:rFonts w:hint="eastAsia" w:ascii="仿宋_GB2312" w:hAnsi="宋体" w:eastAsia="仿宋_GB2312"/>
          <w:highlight w:val="none"/>
          <w:lang w:val="en-US" w:eastAsia="zh-CN"/>
        </w:rPr>
        <w:t>38</w:t>
      </w:r>
      <w:r>
        <w:rPr>
          <w:rStyle w:val="8"/>
          <w:rFonts w:hint="eastAsia" w:ascii="仿宋_GB2312" w:hAnsi="宋体" w:eastAsia="仿宋_GB2312"/>
          <w:highlight w:val="none"/>
        </w:rPr>
        <w:t>%。主要为政府住房基金收入。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  <w:r>
        <w:rPr>
          <w:rStyle w:val="13"/>
          <w:rFonts w:hint="eastAsia" w:ascii="方正小标宋简体" w:hAnsi="宋体" w:eastAsia="方正小标宋简体"/>
          <w:sz w:val="36"/>
          <w:szCs w:val="36"/>
        </w:rPr>
        <w:t>20</w:t>
      </w:r>
      <w:r>
        <w:rPr>
          <w:rStyle w:val="13"/>
          <w:rFonts w:hint="eastAsia" w:ascii="方正小标宋简体" w:hAnsi="宋体" w:eastAsia="方正小标宋简体"/>
          <w:sz w:val="36"/>
          <w:szCs w:val="36"/>
          <w:lang w:val="en-US" w:eastAsia="zh-CN"/>
        </w:rPr>
        <w:t>20</w:t>
      </w:r>
      <w:r>
        <w:rPr>
          <w:rStyle w:val="13"/>
          <w:rFonts w:hint="eastAsia" w:ascii="方正小标宋简体" w:hAnsi="宋体" w:eastAsia="方正小标宋简体"/>
          <w:sz w:val="36"/>
          <w:szCs w:val="36"/>
        </w:rPr>
        <w:t>年示范区</w:t>
      </w: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  <w:r>
        <w:rPr>
          <w:rStyle w:val="13"/>
          <w:rFonts w:hint="eastAsia" w:ascii="方正小标宋简体" w:hAnsi="宋体" w:eastAsia="方正小标宋简体"/>
          <w:sz w:val="36"/>
          <w:szCs w:val="36"/>
        </w:rPr>
        <w:t>一般公共预算支出完成情况</w:t>
      </w:r>
    </w:p>
    <w:p>
      <w:pPr>
        <w:pStyle w:val="10"/>
        <w:suppressAutoHyphens/>
        <w:spacing w:line="560" w:lineRule="exact"/>
        <w:ind w:firstLine="624"/>
        <w:rPr>
          <w:rStyle w:val="8"/>
          <w:rFonts w:hint="eastAsia" w:ascii="仿宋_GB2312" w:hAnsi="宋体" w:eastAsia="仿宋_GB2312"/>
        </w:rPr>
      </w:pPr>
    </w:p>
    <w:p>
      <w:pPr>
        <w:pStyle w:val="10"/>
        <w:suppressAutoHyphens/>
        <w:spacing w:line="560" w:lineRule="exact"/>
        <w:ind w:firstLine="624"/>
        <w:rPr>
          <w:rStyle w:val="9"/>
          <w:rFonts w:ascii="仿宋_GB2312" w:hAnsi="宋体" w:eastAsia="仿宋_GB2312"/>
          <w:highlight w:val="none"/>
        </w:rPr>
      </w:pPr>
      <w:r>
        <w:rPr>
          <w:rStyle w:val="9"/>
          <w:rFonts w:hint="eastAsia" w:ascii="仿宋_GB2312" w:hAnsi="宋体" w:eastAsia="仿宋_GB2312"/>
          <w:sz w:val="32"/>
          <w:szCs w:val="32"/>
        </w:rPr>
        <w:t>人大会议通过的</w:t>
      </w:r>
      <w:r>
        <w:rPr>
          <w:rStyle w:val="9"/>
          <w:rFonts w:hint="eastAsia" w:ascii="仿宋_GB2312" w:hAnsi="宋体" w:eastAsia="仿宋_GB2312"/>
          <w:highlight w:val="none"/>
        </w:rPr>
        <w:t>20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20</w:t>
      </w:r>
      <w:r>
        <w:rPr>
          <w:rStyle w:val="9"/>
          <w:rFonts w:hint="eastAsia" w:ascii="仿宋_GB2312" w:hAnsi="宋体" w:eastAsia="仿宋_GB2312"/>
          <w:highlight w:val="none"/>
        </w:rPr>
        <w:t>年示范区一般公共预算支出预算为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 w:eastAsia="zh-CN"/>
        </w:rPr>
        <w:t>49723万</w:t>
      </w:r>
      <w:r>
        <w:rPr>
          <w:rStyle w:val="9"/>
          <w:rFonts w:hint="eastAsia" w:ascii="仿宋_GB2312" w:hAnsi="宋体" w:eastAsia="仿宋_GB2312"/>
          <w:color w:val="auto"/>
          <w:highlight w:val="none"/>
        </w:rPr>
        <w:t>元。执行中，由于中央、省、市增加补助等，剔除上解</w:t>
      </w:r>
      <w:r>
        <w:rPr>
          <w:rStyle w:val="9"/>
          <w:rFonts w:hint="eastAsia" w:ascii="仿宋_GB2312" w:hAnsi="宋体" w:eastAsia="仿宋_GB2312"/>
          <w:highlight w:val="none"/>
        </w:rPr>
        <w:t>上级支出等因素，实际支出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49723万</w:t>
      </w:r>
      <w:r>
        <w:rPr>
          <w:rStyle w:val="9"/>
          <w:rFonts w:hint="eastAsia" w:ascii="仿宋_GB2312" w:hAnsi="宋体" w:eastAsia="仿宋_GB2312"/>
          <w:highlight w:val="none"/>
        </w:rPr>
        <w:t>元，为调整预算的100%，</w:t>
      </w:r>
      <w:r>
        <w:rPr>
          <w:rStyle w:val="9"/>
          <w:rFonts w:hint="eastAsia" w:ascii="仿宋_GB2312" w:hAnsi="宋体" w:eastAsia="仿宋_GB2312"/>
          <w:highlight w:val="none"/>
          <w:lang w:eastAsia="zh-CN"/>
        </w:rPr>
        <w:t>降低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23.12</w:t>
      </w:r>
      <w:r>
        <w:rPr>
          <w:rStyle w:val="9"/>
          <w:rFonts w:hint="eastAsia" w:ascii="仿宋_GB2312" w:hAnsi="宋体" w:eastAsia="仿宋_GB2312"/>
          <w:highlight w:val="none"/>
        </w:rPr>
        <w:t>%。</w:t>
      </w:r>
    </w:p>
    <w:p>
      <w:pPr>
        <w:pStyle w:val="12"/>
        <w:spacing w:line="560" w:lineRule="exact"/>
        <w:ind w:firstLine="624"/>
        <w:rPr>
          <w:rStyle w:val="9"/>
          <w:rFonts w:hint="eastAsia" w:ascii="仿宋_GB2312" w:hAnsi="宋体" w:eastAsia="仿宋_GB2312"/>
          <w:color w:val="auto"/>
          <w:highlight w:val="none"/>
        </w:rPr>
      </w:pPr>
      <w:r>
        <w:rPr>
          <w:rStyle w:val="9"/>
          <w:rFonts w:hint="eastAsia" w:ascii="仿宋_GB2312" w:hAnsi="宋体" w:eastAsia="仿宋_GB2312"/>
          <w:color w:val="auto"/>
          <w:highlight w:val="none"/>
        </w:rPr>
        <w:t>分项目安排情况为：工资福利支出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 w:eastAsia="zh-CN"/>
        </w:rPr>
        <w:t>17022万</w:t>
      </w:r>
      <w:r>
        <w:rPr>
          <w:rStyle w:val="9"/>
          <w:rFonts w:hint="eastAsia" w:ascii="仿宋_GB2312" w:hAnsi="宋体" w:eastAsia="仿宋_GB2312"/>
          <w:color w:val="auto"/>
          <w:highlight w:val="none"/>
        </w:rPr>
        <w:t>元，为调整预算的100%；商品服务支出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 w:eastAsia="zh-CN"/>
        </w:rPr>
        <w:t>10382万</w:t>
      </w:r>
      <w:r>
        <w:rPr>
          <w:rStyle w:val="9"/>
          <w:rFonts w:hint="eastAsia" w:ascii="仿宋_GB2312" w:hAnsi="宋体" w:eastAsia="仿宋_GB2312"/>
          <w:color w:val="auto"/>
          <w:highlight w:val="none"/>
        </w:rPr>
        <w:t>元，为调整预算的100%；对个人和家庭补助支出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 w:eastAsia="zh-CN"/>
        </w:rPr>
        <w:t>598</w:t>
      </w:r>
      <w:r>
        <w:rPr>
          <w:rStyle w:val="9"/>
          <w:rFonts w:hint="eastAsia" w:ascii="仿宋_GB2312" w:hAnsi="宋体" w:eastAsia="仿宋_GB2312"/>
          <w:color w:val="auto"/>
          <w:highlight w:val="none"/>
        </w:rPr>
        <w:t>万元，为调整预算的100%；项目支出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 w:eastAsia="zh-CN"/>
        </w:rPr>
        <w:t>20599万</w:t>
      </w:r>
      <w:r>
        <w:rPr>
          <w:rStyle w:val="9"/>
          <w:rFonts w:hint="eastAsia" w:ascii="仿宋_GB2312" w:hAnsi="宋体" w:eastAsia="仿宋_GB2312"/>
          <w:color w:val="auto"/>
          <w:highlight w:val="none"/>
        </w:rPr>
        <w:t>元，为调整预算的100%；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eastAsia="zh-CN"/>
        </w:rPr>
        <w:t>提前告知</w:t>
      </w:r>
      <w:r>
        <w:rPr>
          <w:rStyle w:val="9"/>
          <w:rFonts w:hint="eastAsia" w:ascii="仿宋_GB2312" w:hAnsi="宋体" w:eastAsia="仿宋_GB2312"/>
          <w:color w:val="auto"/>
          <w:highlight w:val="none"/>
        </w:rPr>
        <w:t>专项转移支付支出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 w:eastAsia="zh-CN"/>
        </w:rPr>
        <w:t>1122万</w:t>
      </w:r>
      <w:r>
        <w:rPr>
          <w:rStyle w:val="9"/>
          <w:rFonts w:hint="eastAsia" w:ascii="仿宋_GB2312" w:hAnsi="宋体" w:eastAsia="仿宋_GB2312"/>
          <w:color w:val="auto"/>
          <w:highlight w:val="none"/>
        </w:rPr>
        <w:t>元。</w:t>
      </w:r>
    </w:p>
    <w:p>
      <w:pPr>
        <w:pStyle w:val="12"/>
        <w:spacing w:line="560" w:lineRule="exact"/>
        <w:ind w:firstLine="624"/>
        <w:rPr>
          <w:rStyle w:val="9"/>
          <w:rFonts w:hint="eastAsia" w:ascii="仿宋_GB2312" w:hAnsi="宋体" w:eastAsia="仿宋_GB2312"/>
          <w:color w:val="auto"/>
          <w:highlight w:val="none"/>
        </w:rPr>
      </w:pPr>
      <w:r>
        <w:rPr>
          <w:rStyle w:val="11"/>
          <w:rFonts w:hint="eastAsia" w:ascii="仿宋_GB2312" w:hAnsi="宋体" w:eastAsia="仿宋_GB2312"/>
          <w:color w:val="auto"/>
          <w:highlight w:val="none"/>
        </w:rPr>
        <w:t>一般公共预算支出安排的主要支出科目：</w:t>
      </w:r>
    </w:p>
    <w:p>
      <w:pPr>
        <w:pStyle w:val="12"/>
        <w:spacing w:line="560" w:lineRule="exact"/>
        <w:ind w:firstLine="624"/>
        <w:rPr>
          <w:rStyle w:val="9"/>
          <w:rFonts w:hint="eastAsia" w:ascii="仿宋_GB2312" w:hAnsi="宋体" w:eastAsia="仿宋_GB2312"/>
          <w:color w:val="FF0000"/>
          <w:highlight w:val="none"/>
        </w:rPr>
      </w:pPr>
      <w:r>
        <w:rPr>
          <w:rStyle w:val="9"/>
          <w:rFonts w:hint="eastAsia" w:ascii="仿宋_GB2312" w:hAnsi="宋体" w:eastAsia="仿宋_GB2312"/>
          <w:highlight w:val="none"/>
        </w:rPr>
        <w:t>一般公共服务支出完成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301</w:t>
      </w:r>
      <w:r>
        <w:rPr>
          <w:rStyle w:val="9"/>
          <w:rFonts w:hint="eastAsia" w:ascii="仿宋_GB2312" w:hAnsi="宋体" w:eastAsia="仿宋_GB2312"/>
          <w:highlight w:val="none"/>
        </w:rPr>
        <w:t>万元，为调整预算的100%，</w:t>
      </w:r>
      <w:r>
        <w:rPr>
          <w:rStyle w:val="9"/>
          <w:rFonts w:hint="eastAsia" w:ascii="仿宋_GB2312" w:hAnsi="宋体" w:eastAsia="仿宋_GB2312"/>
          <w:highlight w:val="none"/>
          <w:lang w:eastAsia="zh-CN"/>
        </w:rPr>
        <w:t>降低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23.41</w:t>
      </w:r>
      <w:r>
        <w:rPr>
          <w:rStyle w:val="9"/>
          <w:rFonts w:hint="eastAsia" w:ascii="仿宋_GB2312" w:hAnsi="宋体" w:eastAsia="仿宋_GB2312"/>
          <w:highlight w:val="none"/>
        </w:rPr>
        <w:t>%。</w:t>
      </w:r>
    </w:p>
    <w:p>
      <w:pPr>
        <w:pStyle w:val="12"/>
        <w:spacing w:line="560" w:lineRule="exact"/>
        <w:ind w:firstLine="624"/>
        <w:rPr>
          <w:rStyle w:val="9"/>
          <w:rFonts w:hint="eastAsia" w:ascii="仿宋_GB2312" w:hAnsi="宋体" w:eastAsia="仿宋_GB2312"/>
          <w:highlight w:val="none"/>
        </w:rPr>
      </w:pPr>
      <w:r>
        <w:rPr>
          <w:rStyle w:val="9"/>
          <w:rFonts w:hint="eastAsia" w:ascii="仿宋_GB2312" w:hAnsi="宋体" w:eastAsia="仿宋_GB2312"/>
          <w:highlight w:val="none"/>
        </w:rPr>
        <w:t>教育支出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6735</w:t>
      </w:r>
      <w:r>
        <w:rPr>
          <w:rStyle w:val="9"/>
          <w:rFonts w:hint="eastAsia" w:ascii="仿宋_GB2312" w:hAnsi="宋体" w:eastAsia="仿宋_GB2312"/>
          <w:highlight w:val="none"/>
          <w:lang w:val="en-US"/>
        </w:rPr>
        <w:t>万</w:t>
      </w:r>
      <w:r>
        <w:rPr>
          <w:rStyle w:val="9"/>
          <w:rFonts w:hint="eastAsia" w:ascii="仿宋_GB2312" w:hAnsi="宋体" w:eastAsia="仿宋_GB2312"/>
          <w:highlight w:val="none"/>
        </w:rPr>
        <w:t>元，为调整预算的100%，降低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2.46</w:t>
      </w:r>
      <w:r>
        <w:rPr>
          <w:rStyle w:val="9"/>
          <w:rFonts w:hint="eastAsia" w:ascii="仿宋_GB2312" w:hAnsi="宋体" w:eastAsia="仿宋_GB2312"/>
          <w:highlight w:val="none"/>
        </w:rPr>
        <w:t>%。</w:t>
      </w:r>
    </w:p>
    <w:p>
      <w:pPr>
        <w:pStyle w:val="12"/>
        <w:spacing w:line="560" w:lineRule="exact"/>
        <w:ind w:firstLine="624"/>
        <w:rPr>
          <w:rStyle w:val="9"/>
          <w:rFonts w:hint="default" w:ascii="仿宋_GB2312" w:hAnsi="宋体" w:eastAsia="仿宋_GB2312"/>
          <w:highlight w:val="none"/>
          <w:lang w:val="en-US" w:eastAsia="zh-CN"/>
        </w:rPr>
      </w:pPr>
      <w:r>
        <w:rPr>
          <w:rStyle w:val="9"/>
          <w:rFonts w:hint="eastAsia" w:ascii="仿宋_GB2312" w:hAnsi="宋体" w:eastAsia="仿宋_GB2312"/>
          <w:highlight w:val="none"/>
          <w:lang w:eastAsia="zh-CN"/>
        </w:rPr>
        <w:t>科学技术支出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110万元，为调整预算的100%，均为上级转移支付安排的支出。</w:t>
      </w:r>
    </w:p>
    <w:p>
      <w:pPr>
        <w:pStyle w:val="12"/>
        <w:spacing w:line="560" w:lineRule="exact"/>
        <w:ind w:firstLine="624"/>
        <w:rPr>
          <w:rStyle w:val="9"/>
          <w:rFonts w:hint="eastAsia" w:ascii="仿宋_GB2312" w:eastAsia="仿宋_GB2312"/>
          <w:color w:val="auto"/>
          <w:highlight w:val="none"/>
        </w:rPr>
      </w:pPr>
      <w:r>
        <w:rPr>
          <w:rStyle w:val="9"/>
          <w:rFonts w:hint="eastAsia" w:ascii="仿宋_GB2312" w:hAnsi="宋体" w:eastAsia="仿宋_GB2312"/>
          <w:highlight w:val="none"/>
        </w:rPr>
        <w:t>社会保障和就业支出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2512</w:t>
      </w:r>
      <w:r>
        <w:rPr>
          <w:rStyle w:val="9"/>
          <w:rFonts w:hint="eastAsia" w:ascii="仿宋_GB2312" w:hAnsi="宋体" w:eastAsia="仿宋_GB2312"/>
          <w:highlight w:val="none"/>
          <w:lang w:val="en-US"/>
        </w:rPr>
        <w:t>万</w:t>
      </w:r>
      <w:r>
        <w:rPr>
          <w:rStyle w:val="9"/>
          <w:rFonts w:hint="eastAsia" w:ascii="仿宋_GB2312" w:hAnsi="宋体" w:eastAsia="仿宋_GB2312"/>
          <w:highlight w:val="none"/>
        </w:rPr>
        <w:t>元，为调整预算的100%，增长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12.19</w:t>
      </w:r>
      <w:r>
        <w:rPr>
          <w:rStyle w:val="9"/>
          <w:rFonts w:hint="eastAsia" w:ascii="仿宋_GB2312" w:hAnsi="宋体" w:eastAsia="仿宋_GB2312"/>
          <w:highlight w:val="none"/>
        </w:rPr>
        <w:t>%，</w:t>
      </w:r>
      <w:r>
        <w:rPr>
          <w:rStyle w:val="9"/>
          <w:rFonts w:hint="eastAsia" w:ascii="仿宋_GB2312" w:hAnsi="宋体" w:eastAsia="仿宋_GB2312"/>
          <w:color w:val="auto"/>
          <w:highlight w:val="none"/>
        </w:rPr>
        <w:t>主要为机关事业单位基本养老保险缴费支出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 w:eastAsia="zh-CN"/>
        </w:rPr>
        <w:t>1240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/>
        </w:rPr>
        <w:t>万元、对机关事业单位基本养老保险基金的补助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 w:eastAsia="zh-CN"/>
        </w:rPr>
        <w:t>618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/>
        </w:rPr>
        <w:t>万元、</w:t>
      </w:r>
      <w:r>
        <w:rPr>
          <w:rStyle w:val="9"/>
          <w:rFonts w:hint="eastAsia" w:ascii="仿宋_GB2312" w:eastAsia="仿宋_GB2312"/>
          <w:color w:val="auto"/>
          <w:highlight w:val="none"/>
        </w:rPr>
        <w:t>机关事业单位职业年金缴费支出</w:t>
      </w:r>
      <w:r>
        <w:rPr>
          <w:rStyle w:val="9"/>
          <w:rFonts w:hint="eastAsia" w:ascii="仿宋_GB2312" w:eastAsia="仿宋_GB2312"/>
          <w:color w:val="auto"/>
          <w:highlight w:val="none"/>
          <w:lang w:val="en-US" w:eastAsia="zh-CN"/>
        </w:rPr>
        <w:t>399</w:t>
      </w:r>
      <w:r>
        <w:rPr>
          <w:rStyle w:val="9"/>
          <w:rFonts w:hint="eastAsia" w:ascii="仿宋_GB2312" w:eastAsia="仿宋_GB2312"/>
          <w:color w:val="auto"/>
          <w:highlight w:val="none"/>
          <w:lang w:val="en-US"/>
        </w:rPr>
        <w:t>万元</w:t>
      </w:r>
      <w:r>
        <w:rPr>
          <w:rStyle w:val="9"/>
          <w:rFonts w:hint="eastAsia" w:ascii="仿宋_GB2312" w:eastAsia="仿宋_GB2312"/>
          <w:color w:val="auto"/>
          <w:highlight w:val="none"/>
          <w:lang w:val="en-US" w:eastAsia="zh-CN"/>
        </w:rPr>
        <w:t>等支出</w:t>
      </w:r>
      <w:r>
        <w:rPr>
          <w:rStyle w:val="9"/>
          <w:rFonts w:hint="eastAsia" w:ascii="仿宋_GB2312" w:eastAsia="仿宋_GB2312"/>
          <w:color w:val="auto"/>
          <w:highlight w:val="none"/>
        </w:rPr>
        <w:t>。</w:t>
      </w:r>
    </w:p>
    <w:p>
      <w:pPr>
        <w:pStyle w:val="12"/>
        <w:spacing w:line="560" w:lineRule="exact"/>
        <w:ind w:firstLine="624"/>
        <w:rPr>
          <w:rStyle w:val="9"/>
          <w:rFonts w:hint="eastAsia" w:ascii="仿宋_GB2312" w:hAnsi="宋体" w:eastAsia="仿宋_GB2312"/>
          <w:color w:val="auto"/>
          <w:highlight w:val="none"/>
        </w:rPr>
      </w:pPr>
      <w:r>
        <w:rPr>
          <w:rStyle w:val="9"/>
          <w:rFonts w:hint="eastAsia" w:ascii="仿宋_GB2312" w:hAnsi="宋体" w:eastAsia="仿宋_GB2312"/>
          <w:highlight w:val="none"/>
          <w:lang w:eastAsia="zh-CN"/>
        </w:rPr>
        <w:t>卫生健康</w:t>
      </w:r>
      <w:r>
        <w:rPr>
          <w:rStyle w:val="9"/>
          <w:rFonts w:hint="eastAsia" w:ascii="仿宋_GB2312" w:hAnsi="宋体" w:eastAsia="仿宋_GB2312"/>
          <w:highlight w:val="none"/>
        </w:rPr>
        <w:t>支出</w:t>
      </w:r>
      <w:r>
        <w:rPr>
          <w:rStyle w:val="9"/>
          <w:rFonts w:hint="eastAsia" w:ascii="仿宋_GB2312" w:hAnsi="宋体" w:eastAsia="仿宋_GB2312"/>
          <w:highlight w:val="none"/>
          <w:lang w:val="en-US"/>
        </w:rPr>
        <w:t>11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93</w:t>
      </w:r>
      <w:r>
        <w:rPr>
          <w:rStyle w:val="9"/>
          <w:rFonts w:hint="eastAsia" w:ascii="仿宋_GB2312" w:hAnsi="宋体" w:eastAsia="仿宋_GB2312"/>
          <w:highlight w:val="none"/>
          <w:lang w:val="en-US"/>
        </w:rPr>
        <w:t>万</w:t>
      </w:r>
      <w:r>
        <w:rPr>
          <w:rStyle w:val="9"/>
          <w:rFonts w:hint="eastAsia" w:ascii="仿宋_GB2312" w:hAnsi="宋体" w:eastAsia="仿宋_GB2312"/>
          <w:highlight w:val="none"/>
        </w:rPr>
        <w:t>元，为调整预算的100%，增长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6.9</w:t>
      </w:r>
      <w:r>
        <w:rPr>
          <w:rStyle w:val="9"/>
          <w:rFonts w:hint="eastAsia" w:ascii="仿宋_GB2312" w:hAnsi="宋体" w:eastAsia="仿宋_GB2312"/>
          <w:highlight w:val="none"/>
          <w:lang w:val="en-US"/>
        </w:rPr>
        <w:t>%</w:t>
      </w:r>
      <w:r>
        <w:rPr>
          <w:rStyle w:val="9"/>
          <w:rFonts w:hint="eastAsia" w:ascii="仿宋_GB2312" w:hAnsi="宋体" w:eastAsia="仿宋_GB2312"/>
          <w:highlight w:val="none"/>
        </w:rPr>
        <w:t>，</w:t>
      </w:r>
      <w:r>
        <w:rPr>
          <w:rStyle w:val="9"/>
          <w:rFonts w:hint="eastAsia" w:ascii="仿宋_GB2312" w:hAnsi="宋体" w:eastAsia="仿宋_GB2312"/>
          <w:color w:val="auto"/>
          <w:highlight w:val="none"/>
        </w:rPr>
        <w:t>主要为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eastAsia="zh-CN"/>
        </w:rPr>
        <w:t>行政、事业单位医疗支出</w:t>
      </w:r>
      <w:r>
        <w:rPr>
          <w:rStyle w:val="9"/>
          <w:rFonts w:hint="eastAsia" w:ascii="仿宋_GB2312" w:hAnsi="宋体" w:eastAsia="仿宋_GB2312"/>
          <w:color w:val="auto"/>
          <w:highlight w:val="none"/>
        </w:rPr>
        <w:t>。</w:t>
      </w:r>
    </w:p>
    <w:p>
      <w:pPr>
        <w:pStyle w:val="12"/>
        <w:spacing w:line="560" w:lineRule="exact"/>
        <w:ind w:firstLine="624"/>
        <w:rPr>
          <w:rStyle w:val="9"/>
          <w:rFonts w:hint="eastAsia" w:ascii="仿宋_GB2312" w:hAnsi="宋体" w:eastAsia="仿宋_GB2312"/>
          <w:color w:val="FF0000"/>
          <w:highlight w:val="none"/>
        </w:rPr>
      </w:pPr>
      <w:r>
        <w:rPr>
          <w:rStyle w:val="9"/>
          <w:rFonts w:hint="eastAsia" w:ascii="仿宋_GB2312" w:hAnsi="宋体" w:eastAsia="仿宋_GB2312"/>
          <w:highlight w:val="none"/>
        </w:rPr>
        <w:t>节能环保支出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361</w:t>
      </w:r>
      <w:r>
        <w:rPr>
          <w:rStyle w:val="9"/>
          <w:rFonts w:hint="eastAsia" w:ascii="仿宋_GB2312" w:hAnsi="宋体" w:eastAsia="仿宋_GB2312"/>
          <w:highlight w:val="none"/>
          <w:lang w:val="en-US"/>
        </w:rPr>
        <w:t>万元，为调整预算的100%，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增长253.92</w:t>
      </w:r>
      <w:r>
        <w:rPr>
          <w:rStyle w:val="9"/>
          <w:rFonts w:hint="eastAsia" w:ascii="仿宋_GB2312" w:hAnsi="宋体" w:eastAsia="仿宋_GB2312"/>
          <w:highlight w:val="none"/>
          <w:lang w:val="en-US"/>
        </w:rPr>
        <w:t>%，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/>
        </w:rPr>
        <w:t>主要为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 w:eastAsia="zh-CN"/>
        </w:rPr>
        <w:t>水体污染防治支出及污染减排支出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/>
        </w:rPr>
        <w:t>。</w:t>
      </w:r>
    </w:p>
    <w:p>
      <w:pPr>
        <w:pStyle w:val="12"/>
        <w:spacing w:line="560" w:lineRule="exact"/>
        <w:ind w:firstLine="624"/>
        <w:rPr>
          <w:rStyle w:val="9"/>
          <w:rFonts w:hint="eastAsia" w:ascii="仿宋_GB2312" w:hAnsi="宋体" w:eastAsia="仿宋_GB2312"/>
          <w:highlight w:val="none"/>
        </w:rPr>
      </w:pPr>
      <w:r>
        <w:rPr>
          <w:rStyle w:val="9"/>
          <w:rFonts w:hint="eastAsia" w:ascii="仿宋_GB2312" w:hAnsi="宋体" w:eastAsia="仿宋_GB2312"/>
          <w:highlight w:val="none"/>
        </w:rPr>
        <w:t>城乡社区支出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22141万</w:t>
      </w:r>
      <w:r>
        <w:rPr>
          <w:rStyle w:val="9"/>
          <w:rFonts w:hint="eastAsia" w:ascii="仿宋_GB2312" w:hAnsi="宋体" w:eastAsia="仿宋_GB2312"/>
          <w:highlight w:val="none"/>
        </w:rPr>
        <w:t>元，为调整预算的100%，</w:t>
      </w:r>
      <w:r>
        <w:rPr>
          <w:rStyle w:val="9"/>
          <w:rFonts w:hint="eastAsia" w:ascii="仿宋_GB2312" w:hAnsi="宋体" w:eastAsia="仿宋_GB2312"/>
          <w:highlight w:val="none"/>
          <w:lang w:eastAsia="zh-CN"/>
        </w:rPr>
        <w:t>降低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0.13</w:t>
      </w:r>
      <w:r>
        <w:rPr>
          <w:rStyle w:val="9"/>
          <w:rFonts w:hint="eastAsia" w:ascii="仿宋_GB2312" w:hAnsi="宋体" w:eastAsia="仿宋_GB2312"/>
          <w:highlight w:val="none"/>
        </w:rPr>
        <w:t>%。</w:t>
      </w:r>
      <w:r>
        <w:rPr>
          <w:rStyle w:val="9"/>
          <w:rFonts w:hint="eastAsia" w:ascii="仿宋_GB2312" w:hAnsi="宋体" w:eastAsia="仿宋_GB2312"/>
          <w:highlight w:val="none"/>
          <w:lang w:eastAsia="zh-CN"/>
        </w:rPr>
        <w:t>主要为示范区单位人员工资与运行经费支出。</w:t>
      </w:r>
      <w:r>
        <w:rPr>
          <w:rStyle w:val="9"/>
          <w:rFonts w:hint="eastAsia" w:ascii="仿宋_GB2312" w:hAnsi="宋体" w:eastAsia="仿宋_GB2312"/>
          <w:highlight w:val="none"/>
        </w:rPr>
        <w:t xml:space="preserve"> </w:t>
      </w:r>
    </w:p>
    <w:p>
      <w:pPr>
        <w:pStyle w:val="12"/>
        <w:spacing w:line="560" w:lineRule="exact"/>
        <w:ind w:firstLine="624"/>
        <w:rPr>
          <w:rStyle w:val="9"/>
          <w:rFonts w:hint="eastAsia" w:ascii="仿宋_GB2312" w:hAnsi="宋体" w:eastAsia="仿宋_GB2312"/>
          <w:color w:val="auto"/>
          <w:highlight w:val="none"/>
          <w:lang w:val="en-US"/>
        </w:rPr>
      </w:pPr>
      <w:r>
        <w:rPr>
          <w:rStyle w:val="9"/>
          <w:rFonts w:hint="eastAsia" w:ascii="仿宋_GB2312" w:hAnsi="宋体" w:eastAsia="仿宋_GB2312"/>
          <w:color w:val="auto"/>
          <w:highlight w:val="none"/>
          <w:lang w:val="en-US"/>
        </w:rPr>
        <w:t>资源勘探信息支出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 w:eastAsia="zh-CN"/>
        </w:rPr>
        <w:t>4809万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/>
        </w:rPr>
        <w:t>元，为调整预算的100%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 w:eastAsia="zh-CN"/>
        </w:rPr>
        <w:t>，降低68.31%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/>
        </w:rPr>
        <w:t>。</w:t>
      </w:r>
    </w:p>
    <w:p>
      <w:pPr>
        <w:pStyle w:val="12"/>
        <w:spacing w:line="560" w:lineRule="exact"/>
        <w:ind w:firstLine="624"/>
        <w:rPr>
          <w:rStyle w:val="9"/>
          <w:rFonts w:hint="eastAsia" w:ascii="仿宋_GB2312" w:hAnsi="宋体" w:eastAsia="仿宋_GB2312"/>
          <w:color w:val="auto"/>
          <w:highlight w:val="none"/>
        </w:rPr>
      </w:pPr>
      <w:r>
        <w:rPr>
          <w:rStyle w:val="9"/>
          <w:rFonts w:hint="eastAsia" w:ascii="仿宋_GB2312" w:hAnsi="宋体" w:eastAsia="仿宋_GB2312"/>
          <w:highlight w:val="none"/>
        </w:rPr>
        <w:t>住房保障支出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11400万</w:t>
      </w:r>
      <w:r>
        <w:rPr>
          <w:rStyle w:val="9"/>
          <w:rFonts w:hint="eastAsia" w:ascii="仿宋_GB2312" w:hAnsi="宋体" w:eastAsia="仿宋_GB2312"/>
          <w:highlight w:val="none"/>
        </w:rPr>
        <w:t>元，为调整预算的100%，</w:t>
      </w:r>
      <w:r>
        <w:rPr>
          <w:rStyle w:val="9"/>
          <w:rFonts w:hint="eastAsia" w:ascii="仿宋_GB2312" w:hAnsi="宋体" w:eastAsia="仿宋_GB2312"/>
          <w:highlight w:val="none"/>
          <w:lang w:eastAsia="zh-CN"/>
        </w:rPr>
        <w:t>降低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26.68</w:t>
      </w:r>
      <w:r>
        <w:rPr>
          <w:rStyle w:val="9"/>
          <w:rFonts w:hint="eastAsia" w:ascii="仿宋_GB2312" w:hAnsi="宋体" w:eastAsia="仿宋_GB2312"/>
          <w:highlight w:val="none"/>
        </w:rPr>
        <w:t>%，</w:t>
      </w:r>
      <w:r>
        <w:rPr>
          <w:rStyle w:val="9"/>
          <w:rFonts w:hint="eastAsia" w:ascii="仿宋_GB2312" w:hAnsi="宋体" w:eastAsia="仿宋_GB2312"/>
          <w:color w:val="auto"/>
          <w:highlight w:val="none"/>
        </w:rPr>
        <w:t>其中：行政事业单位住房公积金支出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 w:eastAsia="zh-CN"/>
        </w:rPr>
        <w:t>1450</w:t>
      </w:r>
      <w:r>
        <w:rPr>
          <w:rStyle w:val="9"/>
          <w:rFonts w:hint="eastAsia" w:ascii="仿宋_GB2312" w:hAnsi="宋体" w:eastAsia="仿宋_GB2312"/>
          <w:color w:val="auto"/>
          <w:highlight w:val="none"/>
        </w:rPr>
        <w:t>万元，棚户区改造支出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 w:eastAsia="zh-CN"/>
        </w:rPr>
        <w:t>2701</w:t>
      </w:r>
      <w:r>
        <w:rPr>
          <w:rStyle w:val="9"/>
          <w:rFonts w:hint="eastAsia" w:ascii="仿宋_GB2312" w:hAnsi="宋体" w:eastAsia="仿宋_GB2312"/>
          <w:color w:val="auto"/>
          <w:highlight w:val="none"/>
        </w:rPr>
        <w:t>万元，公共租赁住房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 w:eastAsia="zh-CN"/>
        </w:rPr>
        <w:t>1712</w:t>
      </w:r>
      <w:r>
        <w:rPr>
          <w:rStyle w:val="9"/>
          <w:rFonts w:hint="eastAsia" w:ascii="仿宋_GB2312" w:hAnsi="宋体" w:eastAsia="仿宋_GB2312"/>
          <w:color w:val="auto"/>
          <w:highlight w:val="none"/>
        </w:rPr>
        <w:t>万元，其他保障性安居工程支出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 w:eastAsia="zh-CN"/>
        </w:rPr>
        <w:t>5537</w:t>
      </w:r>
      <w:r>
        <w:rPr>
          <w:rStyle w:val="9"/>
          <w:rFonts w:hint="eastAsia" w:ascii="仿宋_GB2312" w:hAnsi="宋体" w:eastAsia="仿宋_GB2312"/>
          <w:color w:val="auto"/>
          <w:highlight w:val="none"/>
          <w:lang w:val="en-US"/>
        </w:rPr>
        <w:t>万元</w:t>
      </w:r>
      <w:r>
        <w:rPr>
          <w:rStyle w:val="9"/>
          <w:rFonts w:hint="eastAsia" w:ascii="仿宋_GB2312" w:hAnsi="宋体" w:eastAsia="仿宋_GB2312"/>
          <w:color w:val="auto"/>
          <w:highlight w:val="none"/>
        </w:rPr>
        <w:t>。</w:t>
      </w:r>
    </w:p>
    <w:p>
      <w:pPr>
        <w:pStyle w:val="12"/>
        <w:spacing w:line="560" w:lineRule="exact"/>
        <w:ind w:firstLine="624"/>
        <w:rPr>
          <w:rStyle w:val="9"/>
          <w:rFonts w:hint="eastAsia" w:ascii="仿宋_GB2312" w:hAnsi="宋体" w:eastAsia="仿宋_GB2312"/>
          <w:highlight w:val="none"/>
        </w:rPr>
      </w:pPr>
      <w:r>
        <w:rPr>
          <w:rStyle w:val="9"/>
          <w:rFonts w:hint="eastAsia" w:ascii="仿宋_GB2312" w:hAnsi="宋体" w:eastAsia="仿宋_GB2312"/>
          <w:highlight w:val="none"/>
        </w:rPr>
        <w:t>国债还本付息支出</w:t>
      </w:r>
      <w:r>
        <w:rPr>
          <w:rStyle w:val="9"/>
          <w:rFonts w:hint="eastAsia" w:ascii="仿宋_GB2312" w:hAnsi="宋体" w:eastAsia="仿宋_GB2312"/>
          <w:highlight w:val="none"/>
          <w:lang w:val="en-US"/>
        </w:rPr>
        <w:t>15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2</w:t>
      </w:r>
      <w:r>
        <w:rPr>
          <w:rStyle w:val="9"/>
          <w:rFonts w:hint="eastAsia" w:ascii="仿宋_GB2312" w:hAnsi="宋体" w:eastAsia="仿宋_GB2312"/>
          <w:highlight w:val="none"/>
          <w:lang w:val="en-US"/>
        </w:rPr>
        <w:t>万元，为调整预算的100%，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均</w:t>
      </w:r>
      <w:r>
        <w:rPr>
          <w:rStyle w:val="9"/>
          <w:rFonts w:hint="eastAsia" w:ascii="仿宋_GB2312" w:hAnsi="宋体" w:eastAsia="仿宋_GB2312"/>
          <w:highlight w:val="none"/>
          <w:lang w:val="en-US"/>
        </w:rPr>
        <w:t>为一般债券利息支出。</w:t>
      </w:r>
    </w:p>
    <w:p>
      <w:pPr>
        <w:pStyle w:val="12"/>
        <w:spacing w:line="560" w:lineRule="exact"/>
        <w:ind w:firstLine="624"/>
        <w:rPr>
          <w:rStyle w:val="9"/>
          <w:rFonts w:ascii="仿宋_GB2312" w:hAnsi="宋体" w:eastAsia="仿宋_GB2312"/>
          <w:highlight w:val="none"/>
        </w:rPr>
      </w:pPr>
      <w:r>
        <w:rPr>
          <w:rStyle w:val="9"/>
          <w:rFonts w:hint="eastAsia" w:ascii="仿宋_GB2312" w:hAnsi="宋体" w:eastAsia="仿宋_GB2312"/>
          <w:highlight w:val="none"/>
        </w:rPr>
        <w:t>其他支出</w:t>
      </w:r>
      <w:r>
        <w:rPr>
          <w:rStyle w:val="9"/>
          <w:rFonts w:hint="eastAsia" w:ascii="仿宋_GB2312" w:hAnsi="宋体" w:eastAsia="仿宋_GB2312"/>
          <w:highlight w:val="none"/>
          <w:lang w:val="en-US"/>
        </w:rPr>
        <w:t>9</w:t>
      </w:r>
      <w:r>
        <w:rPr>
          <w:rStyle w:val="9"/>
          <w:rFonts w:hint="eastAsia" w:ascii="仿宋_GB2312" w:hAnsi="宋体" w:eastAsia="仿宋_GB2312"/>
          <w:highlight w:val="none"/>
        </w:rPr>
        <w:t>万元，为调整预算的100%，</w:t>
      </w:r>
      <w:r>
        <w:rPr>
          <w:rStyle w:val="9"/>
          <w:rFonts w:hint="eastAsia" w:ascii="仿宋_GB2312" w:hAnsi="宋体" w:eastAsia="仿宋_GB2312"/>
          <w:highlight w:val="none"/>
          <w:lang w:eastAsia="zh-CN"/>
        </w:rPr>
        <w:t>与上年持平</w:t>
      </w:r>
      <w:r>
        <w:rPr>
          <w:rStyle w:val="9"/>
          <w:rFonts w:hint="eastAsia" w:ascii="仿宋_GB2312" w:hAnsi="宋体" w:eastAsia="仿宋_GB2312"/>
          <w:highlight w:val="none"/>
        </w:rPr>
        <w:t>，为</w:t>
      </w:r>
      <w:r>
        <w:rPr>
          <w:rStyle w:val="9"/>
          <w:rFonts w:hint="eastAsia" w:ascii="仿宋_GB2312" w:hAnsi="宋体" w:eastAsia="仿宋_GB2312"/>
          <w:color w:val="auto"/>
          <w:highlight w:val="none"/>
        </w:rPr>
        <w:t>援疆支出。</w:t>
      </w:r>
    </w:p>
    <w:p>
      <w:pPr>
        <w:pStyle w:val="12"/>
        <w:spacing w:line="560" w:lineRule="exact"/>
        <w:ind w:firstLine="624"/>
        <w:rPr>
          <w:rStyle w:val="9"/>
          <w:rFonts w:ascii="仿宋_GB2312" w:hAnsi="宋体" w:eastAsia="仿宋_GB2312"/>
          <w:color w:val="auto"/>
          <w:sz w:val="32"/>
          <w:szCs w:val="32"/>
          <w:highlight w:val="none"/>
        </w:rPr>
      </w:pPr>
    </w:p>
    <w:p>
      <w:pPr>
        <w:pStyle w:val="10"/>
        <w:suppressAutoHyphens/>
        <w:spacing w:line="560" w:lineRule="exact"/>
        <w:ind w:firstLine="624"/>
        <w:rPr>
          <w:rStyle w:val="11"/>
          <w:rFonts w:hint="eastAsia" w:ascii="仿宋_GB2312" w:hAnsi="宋体" w:eastAsia="仿宋_GB2312"/>
          <w:b/>
          <w:color w:val="auto"/>
          <w:highlight w:val="none"/>
        </w:rPr>
      </w:pPr>
    </w:p>
    <w:p>
      <w:pPr>
        <w:pStyle w:val="10"/>
        <w:suppressAutoHyphens/>
        <w:spacing w:line="560" w:lineRule="exact"/>
        <w:ind w:firstLine="624"/>
        <w:rPr>
          <w:rStyle w:val="11"/>
          <w:rFonts w:hint="eastAsia" w:ascii="仿宋_GB2312" w:hAnsi="宋体" w:eastAsia="仿宋_GB2312"/>
          <w:b/>
          <w:color w:val="auto"/>
          <w:highlight w:val="none"/>
        </w:rPr>
      </w:pPr>
    </w:p>
    <w:p>
      <w:pPr>
        <w:pStyle w:val="10"/>
        <w:suppressAutoHyphens/>
        <w:spacing w:line="560" w:lineRule="exact"/>
        <w:ind w:firstLine="624"/>
        <w:rPr>
          <w:rStyle w:val="11"/>
          <w:rFonts w:hint="eastAsia" w:ascii="仿宋_GB2312" w:hAnsi="宋体" w:eastAsia="仿宋_GB2312"/>
          <w:b/>
          <w:color w:val="auto"/>
          <w:highlight w:val="none"/>
        </w:rPr>
      </w:pPr>
    </w:p>
    <w:p>
      <w:pPr>
        <w:pStyle w:val="10"/>
        <w:suppressAutoHyphens/>
        <w:spacing w:line="560" w:lineRule="exact"/>
        <w:ind w:firstLine="624"/>
        <w:rPr>
          <w:rStyle w:val="11"/>
          <w:rFonts w:hint="eastAsia" w:ascii="仿宋_GB2312" w:hAnsi="宋体" w:eastAsia="仿宋_GB2312"/>
          <w:b/>
          <w:color w:val="auto"/>
          <w:highlight w:val="none"/>
        </w:rPr>
      </w:pPr>
    </w:p>
    <w:p>
      <w:pPr>
        <w:pStyle w:val="10"/>
        <w:suppressAutoHyphens/>
        <w:spacing w:line="560" w:lineRule="exact"/>
        <w:ind w:firstLine="624"/>
        <w:rPr>
          <w:rStyle w:val="11"/>
          <w:rFonts w:hint="eastAsia" w:ascii="仿宋_GB2312" w:hAnsi="宋体" w:eastAsia="仿宋_GB2312"/>
          <w:b/>
          <w:color w:val="auto"/>
          <w:highlight w:val="none"/>
        </w:rPr>
      </w:pPr>
    </w:p>
    <w:p>
      <w:pPr>
        <w:pStyle w:val="10"/>
        <w:suppressAutoHyphens/>
        <w:spacing w:line="560" w:lineRule="exact"/>
        <w:ind w:firstLine="624"/>
        <w:rPr>
          <w:rStyle w:val="11"/>
          <w:rFonts w:hint="eastAsia" w:ascii="仿宋_GB2312" w:hAnsi="宋体" w:eastAsia="仿宋_GB2312"/>
          <w:b/>
          <w:color w:val="auto"/>
          <w:highlight w:val="none"/>
        </w:rPr>
      </w:pPr>
    </w:p>
    <w:p>
      <w:pPr>
        <w:pStyle w:val="10"/>
        <w:suppressAutoHyphens/>
        <w:spacing w:line="560" w:lineRule="exact"/>
        <w:ind w:firstLine="624"/>
        <w:rPr>
          <w:rStyle w:val="11"/>
          <w:rFonts w:hint="eastAsia" w:ascii="仿宋_GB2312" w:hAnsi="宋体" w:eastAsia="仿宋_GB2312"/>
          <w:b/>
          <w:color w:val="auto"/>
          <w:highlight w:val="none"/>
        </w:rPr>
      </w:pPr>
    </w:p>
    <w:p>
      <w:pPr>
        <w:pStyle w:val="10"/>
        <w:suppressAutoHyphens/>
        <w:spacing w:line="560" w:lineRule="exact"/>
        <w:ind w:firstLine="624"/>
        <w:rPr>
          <w:rStyle w:val="11"/>
          <w:rFonts w:hint="eastAsia" w:ascii="仿宋_GB2312" w:hAnsi="宋体" w:eastAsia="仿宋_GB2312"/>
          <w:b/>
          <w:color w:val="auto"/>
          <w:highlight w:val="none"/>
        </w:rPr>
      </w:pPr>
    </w:p>
    <w:p>
      <w:pPr>
        <w:jc w:val="center"/>
        <w:rPr>
          <w:rFonts w:hint="eastAsia" w:ascii="黑体" w:eastAsia="黑体"/>
          <w:sz w:val="32"/>
          <w:szCs w:val="32"/>
        </w:rPr>
      </w:pPr>
    </w:p>
    <w:p>
      <w:pPr>
        <w:jc w:val="both"/>
        <w:rPr>
          <w:rFonts w:hint="eastAsia" w:ascii="黑体" w:eastAsia="黑体"/>
          <w:sz w:val="32"/>
          <w:szCs w:val="32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  <w:r>
        <w:rPr>
          <w:rStyle w:val="13"/>
          <w:rFonts w:hint="eastAsia" w:ascii="方正小标宋简体" w:hAnsi="宋体" w:eastAsia="方正小标宋简体"/>
          <w:sz w:val="36"/>
          <w:szCs w:val="36"/>
          <w:lang w:val="en-US" w:eastAsia="zh-CN"/>
        </w:rPr>
        <w:t>2020</w:t>
      </w:r>
      <w:r>
        <w:rPr>
          <w:rStyle w:val="13"/>
          <w:rFonts w:hint="eastAsia" w:ascii="方正小标宋简体" w:hAnsi="宋体" w:eastAsia="方正小标宋简体"/>
          <w:sz w:val="36"/>
          <w:szCs w:val="36"/>
        </w:rPr>
        <w:t>年示范区</w:t>
      </w: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  <w:r>
        <w:rPr>
          <w:rStyle w:val="13"/>
          <w:rFonts w:hint="eastAsia" w:ascii="方正小标宋简体" w:hAnsi="宋体" w:eastAsia="方正小标宋简体"/>
          <w:sz w:val="36"/>
          <w:szCs w:val="36"/>
        </w:rPr>
        <w:t>政府性基金预算收入分项完成情况</w:t>
      </w:r>
    </w:p>
    <w:p>
      <w:pPr>
        <w:pStyle w:val="10"/>
        <w:suppressAutoHyphens/>
        <w:spacing w:line="560" w:lineRule="exact"/>
        <w:ind w:firstLine="624"/>
        <w:rPr>
          <w:rStyle w:val="9"/>
          <w:rFonts w:ascii="仿宋_GB2312" w:hAnsi="宋体" w:eastAsia="仿宋_GB2312"/>
          <w:b/>
        </w:rPr>
      </w:pPr>
    </w:p>
    <w:p>
      <w:pPr>
        <w:spacing w:line="560" w:lineRule="exact"/>
        <w:ind w:firstLine="675" w:firstLineChars="225"/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</w:pP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人大会议批准的20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20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年示范区政府性基金收入预算为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250000万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元，实际完成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209824万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元，为年初预算的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83.9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%，降低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1.4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%。主要收入项目执行情况是：</w:t>
      </w:r>
    </w:p>
    <w:p>
      <w:pPr>
        <w:numPr>
          <w:ilvl w:val="0"/>
          <w:numId w:val="1"/>
        </w:numPr>
        <w:spacing w:line="560" w:lineRule="exact"/>
        <w:ind w:firstLine="675" w:firstLineChars="225"/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</w:pP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国有土地使用权出让收入完成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192980万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元，为年初预算的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85.8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%，增长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3.5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%。</w:t>
      </w:r>
    </w:p>
    <w:p>
      <w:pPr>
        <w:spacing w:line="560" w:lineRule="exact"/>
        <w:ind w:firstLine="600" w:firstLineChars="200"/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</w:pP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2、国有土地收益基金收入完成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5038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万元，为年初预算的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167.9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%，增长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33.1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%。</w:t>
      </w:r>
    </w:p>
    <w:p>
      <w:pPr>
        <w:spacing w:line="560" w:lineRule="exact"/>
        <w:ind w:firstLine="675" w:firstLineChars="225"/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</w:pP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3、农业土地开发资金收入完成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1059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万元，为年初预算的</w:t>
      </w:r>
      <w:r>
        <w:rPr>
          <w:rStyle w:val="9"/>
          <w:rFonts w:hint="eastAsia" w:ascii="仿宋_GB2312" w:hAnsi="宋体" w:eastAsia="仿宋_GB2312"/>
          <w:kern w:val="0"/>
          <w:highlight w:val="none"/>
        </w:rPr>
        <w:t>5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3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%，降低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33.3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%。</w:t>
      </w:r>
    </w:p>
    <w:p>
      <w:pPr>
        <w:spacing w:line="560" w:lineRule="exact"/>
        <w:ind w:firstLine="675" w:firstLineChars="225"/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</w:pP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4、城市基础设施配套费收入完成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10747万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元，为年初预算的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53.7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%，降低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48.7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%。</w:t>
      </w: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  <w:r>
        <w:rPr>
          <w:rStyle w:val="13"/>
          <w:rFonts w:hint="eastAsia" w:ascii="方正小标宋简体" w:hAnsi="宋体" w:eastAsia="方正小标宋简体"/>
          <w:sz w:val="36"/>
          <w:szCs w:val="36"/>
        </w:rPr>
        <w:t>20</w:t>
      </w:r>
      <w:r>
        <w:rPr>
          <w:rStyle w:val="13"/>
          <w:rFonts w:hint="eastAsia" w:ascii="方正小标宋简体" w:hAnsi="宋体" w:eastAsia="方正小标宋简体"/>
          <w:sz w:val="36"/>
          <w:szCs w:val="36"/>
          <w:lang w:val="en-US" w:eastAsia="zh-CN"/>
        </w:rPr>
        <w:t>20</w:t>
      </w:r>
      <w:r>
        <w:rPr>
          <w:rStyle w:val="13"/>
          <w:rFonts w:hint="eastAsia" w:ascii="方正小标宋简体" w:hAnsi="宋体" w:eastAsia="方正小标宋简体"/>
          <w:sz w:val="36"/>
          <w:szCs w:val="36"/>
        </w:rPr>
        <w:t>年示范区</w:t>
      </w: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  <w:r>
        <w:rPr>
          <w:rStyle w:val="13"/>
          <w:rFonts w:hint="eastAsia" w:ascii="方正小标宋简体" w:hAnsi="宋体" w:eastAsia="方正小标宋简体"/>
          <w:sz w:val="36"/>
          <w:szCs w:val="36"/>
        </w:rPr>
        <w:t>政府性基金预算支出分项完成情况</w:t>
      </w:r>
    </w:p>
    <w:p>
      <w:pPr>
        <w:pStyle w:val="10"/>
        <w:suppressAutoHyphens/>
        <w:spacing w:line="560" w:lineRule="exact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spacing w:line="560" w:lineRule="exact"/>
        <w:ind w:firstLine="675" w:firstLineChars="225"/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</w:pP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人大会议批准的20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20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年示范区政府性基金支出预算为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189474万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元，实际安排支出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189474万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元，为</w:t>
      </w:r>
      <w:r>
        <w:rPr>
          <w:rStyle w:val="9"/>
          <w:rFonts w:hint="eastAsia" w:ascii="仿宋_GB2312" w:hAnsi="宋体" w:eastAsia="仿宋_GB2312"/>
          <w:highlight w:val="none"/>
        </w:rPr>
        <w:t>调整预算的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100</w:t>
      </w:r>
      <w:r>
        <w:rPr>
          <w:rStyle w:val="9"/>
          <w:rFonts w:hint="eastAsia" w:ascii="仿宋_GB2312" w:hAnsi="宋体" w:eastAsia="仿宋_GB2312"/>
          <w:highlight w:val="none"/>
        </w:rPr>
        <w:t>%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，增长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2.41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%。主要支出项目执行情况如下：</w:t>
      </w:r>
    </w:p>
    <w:p>
      <w:pPr>
        <w:numPr>
          <w:ilvl w:val="0"/>
          <w:numId w:val="2"/>
        </w:numPr>
        <w:spacing w:line="560" w:lineRule="exact"/>
        <w:ind w:firstLine="675" w:firstLineChars="225"/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</w:pP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国有土地使用权出让收入安排的支出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163767万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元，为调整预算的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100</w:t>
      </w:r>
      <w:r>
        <w:rPr>
          <w:rStyle w:val="9"/>
          <w:rFonts w:hint="eastAsia" w:ascii="仿宋_GB2312" w:hAnsi="宋体" w:eastAsia="仿宋_GB2312"/>
          <w:kern w:val="0"/>
          <w:highlight w:val="none"/>
        </w:rPr>
        <w:t>%，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增长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1.04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%。</w:t>
      </w:r>
    </w:p>
    <w:p>
      <w:pPr>
        <w:numPr>
          <w:ilvl w:val="0"/>
          <w:numId w:val="2"/>
        </w:numPr>
        <w:spacing w:line="560" w:lineRule="exact"/>
        <w:ind w:firstLine="675" w:firstLineChars="225"/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</w:pP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城市基础设施配套费安排的支出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10206万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元，为调整预算的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100</w:t>
      </w:r>
      <w:r>
        <w:rPr>
          <w:rStyle w:val="9"/>
          <w:rFonts w:hint="eastAsia" w:ascii="仿宋_GB2312" w:hAnsi="宋体" w:eastAsia="仿宋_GB2312"/>
          <w:kern w:val="0"/>
          <w:highlight w:val="none"/>
        </w:rPr>
        <w:t>%，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降低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33.98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%。</w:t>
      </w:r>
    </w:p>
    <w:p>
      <w:pPr>
        <w:spacing w:line="560" w:lineRule="exact"/>
        <w:ind w:firstLine="675" w:firstLineChars="225"/>
        <w:rPr>
          <w:rStyle w:val="9"/>
          <w:rFonts w:hint="default" w:ascii="仿宋_GB2312" w:hAnsi="宋体" w:eastAsia="仿宋_GB2312"/>
          <w:kern w:val="0"/>
          <w:highlight w:val="none"/>
          <w:lang w:val="en-US" w:eastAsia="zh-CN"/>
        </w:rPr>
      </w:pPr>
      <w:r>
        <w:rPr>
          <w:rStyle w:val="9"/>
          <w:rFonts w:hint="eastAsia" w:ascii="仿宋_GB2312" w:hAnsi="宋体" w:eastAsia="仿宋_GB2312"/>
          <w:kern w:val="0"/>
          <w:highlight w:val="none"/>
        </w:rPr>
        <w:t>3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、棚户区改造专项债券收入安排的支出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13000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万元，为</w:t>
      </w:r>
      <w:r>
        <w:rPr>
          <w:rStyle w:val="9"/>
          <w:rFonts w:hint="eastAsia" w:ascii="仿宋_GB2312" w:hAnsi="宋体" w:eastAsia="仿宋_GB2312"/>
          <w:highlight w:val="none"/>
        </w:rPr>
        <w:t>调整预算的100%</w:t>
      </w:r>
      <w:r>
        <w:rPr>
          <w:rStyle w:val="9"/>
          <w:rFonts w:hint="eastAsia" w:ascii="仿宋_GB2312" w:hAnsi="宋体" w:eastAsia="仿宋_GB2312"/>
          <w:highlight w:val="none"/>
          <w:lang w:eastAsia="zh-CN"/>
        </w:rPr>
        <w:t>，增长</w:t>
      </w:r>
      <w:r>
        <w:rPr>
          <w:rStyle w:val="9"/>
          <w:rFonts w:hint="eastAsia" w:ascii="仿宋_GB2312" w:hAnsi="宋体" w:eastAsia="仿宋_GB2312"/>
          <w:highlight w:val="none"/>
          <w:lang w:val="en-US" w:eastAsia="zh-CN"/>
        </w:rPr>
        <w:t>160%。</w:t>
      </w:r>
    </w:p>
    <w:p>
      <w:pPr>
        <w:spacing w:line="560" w:lineRule="exact"/>
        <w:ind w:firstLine="675" w:firstLineChars="225"/>
        <w:rPr>
          <w:rStyle w:val="9"/>
          <w:rFonts w:hint="eastAsia" w:ascii="仿宋_GB2312" w:eastAsia="仿宋_GB2312"/>
          <w:kern w:val="0"/>
          <w:highlight w:val="none"/>
          <w:lang w:val="zh-CN"/>
        </w:rPr>
      </w:pPr>
      <w:r>
        <w:rPr>
          <w:rStyle w:val="9"/>
          <w:rFonts w:hint="eastAsia" w:ascii="仿宋_GB2312" w:hAnsi="宋体" w:eastAsia="仿宋_GB2312"/>
          <w:kern w:val="0"/>
          <w:highlight w:val="none"/>
        </w:rPr>
        <w:t>4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、债务付息支出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2500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万元，为调整预算的</w:t>
      </w:r>
      <w:r>
        <w:rPr>
          <w:rStyle w:val="9"/>
          <w:rFonts w:hint="eastAsia" w:ascii="仿宋_GB2312" w:hAnsi="宋体" w:eastAsia="仿宋_GB2312"/>
          <w:kern w:val="0"/>
          <w:highlight w:val="none"/>
        </w:rPr>
        <w:t>100%，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增长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0.93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%，均为政府专项债券利息支出。</w:t>
      </w:r>
    </w:p>
    <w:p>
      <w:pPr>
        <w:pStyle w:val="10"/>
        <w:suppressAutoHyphens/>
        <w:spacing w:line="560" w:lineRule="exact"/>
        <w:rPr>
          <w:rStyle w:val="9"/>
          <w:rFonts w:hint="eastAsia" w:ascii="仿宋_GB2312" w:eastAsia="仿宋_GB2312"/>
        </w:rPr>
      </w:pPr>
    </w:p>
    <w:p>
      <w:pPr>
        <w:pStyle w:val="10"/>
        <w:suppressAutoHyphens/>
        <w:spacing w:line="560" w:lineRule="exact"/>
        <w:rPr>
          <w:rStyle w:val="13"/>
          <w:rFonts w:hint="eastAsia" w:ascii="方正小标宋简体" w:hAnsi="宋体" w:eastAsia="方正小标宋简体"/>
          <w:sz w:val="36"/>
          <w:szCs w:val="36"/>
          <w:lang w:val="en-US"/>
        </w:rPr>
      </w:pPr>
    </w:p>
    <w:p>
      <w:pPr>
        <w:pStyle w:val="10"/>
        <w:suppressAutoHyphens/>
        <w:spacing w:line="560" w:lineRule="exact"/>
        <w:rPr>
          <w:rStyle w:val="13"/>
          <w:rFonts w:hint="eastAsia" w:ascii="方正小标宋简体" w:hAnsi="宋体" w:eastAsia="方正小标宋简体"/>
          <w:sz w:val="36"/>
          <w:szCs w:val="36"/>
          <w:lang w:val="en-US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  <w:r>
        <w:rPr>
          <w:rStyle w:val="13"/>
          <w:rFonts w:hint="eastAsia" w:ascii="方正小标宋简体" w:hAnsi="宋体" w:eastAsia="方正小标宋简体"/>
          <w:sz w:val="36"/>
          <w:szCs w:val="36"/>
          <w:lang w:val="en-US" w:eastAsia="zh-CN"/>
        </w:rPr>
        <w:t>2020</w:t>
      </w:r>
      <w:r>
        <w:rPr>
          <w:rStyle w:val="13"/>
          <w:rFonts w:hint="eastAsia" w:ascii="方正小标宋简体" w:hAnsi="宋体" w:eastAsia="方正小标宋简体"/>
          <w:sz w:val="36"/>
          <w:szCs w:val="36"/>
        </w:rPr>
        <w:t>年示范区</w:t>
      </w: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  <w:r>
        <w:rPr>
          <w:rStyle w:val="13"/>
          <w:rFonts w:hint="eastAsia" w:ascii="方正小标宋简体" w:hAnsi="宋体" w:eastAsia="方正小标宋简体"/>
          <w:sz w:val="36"/>
          <w:szCs w:val="36"/>
          <w:lang w:val="en-US" w:eastAsia="zh-CN"/>
        </w:rPr>
        <w:t>国有资本经营收支</w:t>
      </w:r>
      <w:r>
        <w:rPr>
          <w:rStyle w:val="13"/>
          <w:rFonts w:hint="eastAsia" w:ascii="方正小标宋简体" w:hAnsi="宋体" w:eastAsia="方正小标宋简体"/>
          <w:sz w:val="36"/>
          <w:szCs w:val="36"/>
        </w:rPr>
        <w:t>情况</w:t>
      </w:r>
    </w:p>
    <w:p>
      <w:pPr>
        <w:pStyle w:val="10"/>
        <w:suppressAutoHyphens/>
        <w:spacing w:line="560" w:lineRule="exact"/>
        <w:jc w:val="left"/>
        <w:rPr>
          <w:rStyle w:val="9"/>
          <w:rFonts w:hint="eastAsia" w:ascii="仿宋_GB2312" w:hAnsi="宋体" w:eastAsia="仿宋_GB2312"/>
          <w:kern w:val="0"/>
          <w:lang w:val="zh-CN"/>
        </w:rPr>
      </w:pPr>
    </w:p>
    <w:p>
      <w:pPr>
        <w:pStyle w:val="10"/>
        <w:suppressAutoHyphens/>
        <w:spacing w:line="560" w:lineRule="exact"/>
        <w:ind w:firstLine="640" w:firstLineChars="200"/>
        <w:jc w:val="left"/>
        <w:rPr>
          <w:rStyle w:val="13"/>
          <w:rFonts w:hint="eastAsia" w:ascii="方正小标宋简体" w:hAnsi="宋体" w:eastAsia="方正小标宋简体"/>
          <w:sz w:val="32"/>
          <w:szCs w:val="32"/>
          <w:lang w:val="en-US" w:eastAsia="zh-CN"/>
        </w:rPr>
      </w:pPr>
      <w:r>
        <w:rPr>
          <w:rStyle w:val="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示范区无国有资本经营收入预算、决算；无国有资本经营支出预算、决算。</w:t>
      </w: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</w:rPr>
      </w:pPr>
    </w:p>
    <w:p>
      <w:pPr>
        <w:pStyle w:val="10"/>
        <w:suppressAutoHyphens/>
        <w:spacing w:line="560" w:lineRule="exact"/>
        <w:jc w:val="center"/>
        <w:rPr>
          <w:rStyle w:val="13"/>
          <w:rFonts w:hint="eastAsia" w:ascii="方正小标宋简体" w:hAnsi="宋体" w:eastAsia="方正小标宋简体"/>
          <w:sz w:val="36"/>
          <w:szCs w:val="36"/>
          <w:highlight w:val="none"/>
        </w:rPr>
      </w:pPr>
      <w:r>
        <w:rPr>
          <w:rStyle w:val="13"/>
          <w:rFonts w:hint="eastAsia" w:ascii="方正小标宋简体" w:hAnsi="宋体" w:eastAsia="方正小标宋简体"/>
          <w:sz w:val="36"/>
          <w:szCs w:val="36"/>
          <w:highlight w:val="none"/>
        </w:rPr>
        <w:t>关于</w:t>
      </w:r>
      <w:r>
        <w:rPr>
          <w:rStyle w:val="13"/>
          <w:rFonts w:ascii="方正小标宋简体" w:hAnsi="宋体" w:eastAsia="方正小标宋简体"/>
          <w:sz w:val="36"/>
          <w:szCs w:val="36"/>
          <w:highlight w:val="none"/>
        </w:rPr>
        <w:t>20</w:t>
      </w:r>
      <w:r>
        <w:rPr>
          <w:rStyle w:val="13"/>
          <w:rFonts w:hint="eastAsia" w:ascii="方正小标宋简体" w:hAnsi="宋体" w:eastAsia="方正小标宋简体"/>
          <w:sz w:val="36"/>
          <w:szCs w:val="36"/>
          <w:highlight w:val="none"/>
          <w:lang w:val="en-US" w:eastAsia="zh-CN"/>
        </w:rPr>
        <w:t>20</w:t>
      </w:r>
      <w:r>
        <w:rPr>
          <w:rStyle w:val="13"/>
          <w:rFonts w:hint="eastAsia" w:ascii="方正小标宋简体" w:hAnsi="宋体" w:eastAsia="方正小标宋简体"/>
          <w:sz w:val="36"/>
          <w:szCs w:val="36"/>
          <w:highlight w:val="none"/>
        </w:rPr>
        <w:t>年示范区</w:t>
      </w:r>
    </w:p>
    <w:p>
      <w:pPr>
        <w:pStyle w:val="10"/>
        <w:suppressAutoHyphens/>
        <w:spacing w:line="560" w:lineRule="exact"/>
        <w:jc w:val="center"/>
        <w:rPr>
          <w:rStyle w:val="13"/>
          <w:rFonts w:ascii="方正小标宋简体" w:hAnsi="宋体" w:eastAsia="方正小标宋简体"/>
          <w:sz w:val="36"/>
          <w:szCs w:val="36"/>
          <w:highlight w:val="none"/>
        </w:rPr>
      </w:pPr>
      <w:r>
        <w:rPr>
          <w:rStyle w:val="13"/>
          <w:rFonts w:hint="eastAsia" w:ascii="方正小标宋简体" w:hAnsi="宋体" w:eastAsia="方正小标宋简体"/>
          <w:sz w:val="36"/>
          <w:szCs w:val="36"/>
          <w:highlight w:val="none"/>
        </w:rPr>
        <w:t>社会保险基金完成情况的说明</w:t>
      </w:r>
    </w:p>
    <w:p>
      <w:pPr>
        <w:pStyle w:val="14"/>
        <w:ind w:firstLine="0" w:firstLineChars="0"/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</w:pPr>
    </w:p>
    <w:p>
      <w:pPr>
        <w:ind w:firstLine="600" w:firstLineChars="200"/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</w:pP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人大会议批准的20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>20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年示范区社会保险基金收入预算为</w:t>
      </w:r>
      <w:r>
        <w:rPr>
          <w:rStyle w:val="9"/>
          <w:rFonts w:hint="eastAsia" w:ascii="仿宋_GB2312" w:hAnsi="宋体" w:eastAsia="仿宋_GB2312"/>
          <w:kern w:val="0"/>
          <w:highlight w:val="none"/>
        </w:rPr>
        <w:t>0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万元，实际完成</w:t>
      </w:r>
      <w:r>
        <w:rPr>
          <w:rStyle w:val="9"/>
          <w:rFonts w:hint="eastAsia" w:ascii="仿宋_GB2312" w:hAnsi="宋体" w:eastAsia="仿宋_GB2312"/>
          <w:kern w:val="0"/>
          <w:highlight w:val="none"/>
        </w:rPr>
        <w:t>0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万元，为年初预算的</w:t>
      </w:r>
      <w:r>
        <w:rPr>
          <w:rStyle w:val="9"/>
          <w:rFonts w:hint="eastAsia" w:ascii="仿宋_GB2312" w:hAnsi="宋体" w:eastAsia="仿宋_GB2312"/>
          <w:kern w:val="0"/>
          <w:highlight w:val="none"/>
        </w:rPr>
        <w:t>0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%。</w:t>
      </w:r>
    </w:p>
    <w:p>
      <w:pPr>
        <w:ind w:firstLine="602" w:firstLineChars="200"/>
        <w:rPr>
          <w:rStyle w:val="11"/>
          <w:rFonts w:hint="eastAsia" w:ascii="仿宋_GB2312" w:hAnsi="Calibri" w:eastAsia="仿宋_GB2312"/>
          <w:b/>
          <w:highlight w:val="none"/>
        </w:rPr>
      </w:pPr>
      <w:r>
        <w:rPr>
          <w:rStyle w:val="11"/>
          <w:rFonts w:hint="eastAsia" w:ascii="仿宋_GB2312" w:hAnsi="Calibri" w:eastAsia="仿宋_GB2312"/>
          <w:b/>
          <w:highlight w:val="none"/>
        </w:rPr>
        <w:t>一、保险基金收入完成情况</w:t>
      </w:r>
    </w:p>
    <w:p>
      <w:pPr>
        <w:ind w:firstLine="600" w:firstLineChars="200"/>
        <w:rPr>
          <w:rStyle w:val="9"/>
          <w:rFonts w:hint="eastAsia" w:ascii="仿宋_GB2312" w:hAnsi="宋体" w:eastAsia="仿宋_GB2312"/>
          <w:kern w:val="0"/>
          <w:highlight w:val="none"/>
          <w:lang w:eastAsia="zh-CN"/>
        </w:rPr>
      </w:pP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城乡居民基本养老保险基金收入完成</w:t>
      </w:r>
      <w:r>
        <w:rPr>
          <w:rStyle w:val="9"/>
          <w:rFonts w:hint="eastAsia" w:ascii="仿宋_GB2312" w:hAnsi="宋体" w:eastAsia="仿宋_GB2312"/>
          <w:kern w:val="0"/>
          <w:highlight w:val="none"/>
        </w:rPr>
        <w:t>0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万元，为年初预算的</w:t>
      </w:r>
      <w:r>
        <w:rPr>
          <w:rStyle w:val="9"/>
          <w:rFonts w:hint="eastAsia" w:ascii="仿宋_GB2312" w:hAnsi="宋体" w:eastAsia="仿宋_GB2312"/>
          <w:kern w:val="0"/>
          <w:highlight w:val="none"/>
        </w:rPr>
        <w:t>0</w:t>
      </w:r>
      <w:r>
        <w:rPr>
          <w:rStyle w:val="9"/>
          <w:rFonts w:ascii="仿宋_GB2312" w:hAnsi="宋体" w:eastAsia="仿宋_GB2312"/>
          <w:kern w:val="0"/>
          <w:highlight w:val="none"/>
          <w:lang w:val="zh-CN"/>
        </w:rPr>
        <w:t>%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。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 xml:space="preserve"> </w:t>
      </w:r>
    </w:p>
    <w:p>
      <w:pPr>
        <w:pStyle w:val="14"/>
        <w:ind w:left="600" w:firstLine="0" w:firstLineChars="0"/>
        <w:rPr>
          <w:rStyle w:val="11"/>
          <w:rFonts w:ascii="仿宋_GB2312" w:eastAsia="仿宋_GB2312"/>
          <w:b/>
          <w:highlight w:val="none"/>
          <w:lang w:val="zh-CN"/>
        </w:rPr>
      </w:pPr>
      <w:r>
        <w:rPr>
          <w:rStyle w:val="11"/>
          <w:rFonts w:hint="eastAsia" w:ascii="仿宋_GB2312" w:eastAsia="仿宋_GB2312"/>
          <w:b/>
          <w:highlight w:val="none"/>
          <w:lang w:val="zh-CN"/>
        </w:rPr>
        <w:t>二、保险基金支出完成情况</w:t>
      </w:r>
    </w:p>
    <w:p>
      <w:pPr>
        <w:ind w:firstLine="600" w:firstLineChars="200"/>
        <w:rPr>
          <w:rStyle w:val="9"/>
          <w:rFonts w:hint="eastAsia" w:ascii="仿宋_GB2312" w:hAnsi="宋体" w:eastAsia="仿宋_GB2312"/>
          <w:kern w:val="0"/>
          <w:highlight w:val="none"/>
          <w:lang w:eastAsia="zh-CN"/>
        </w:rPr>
      </w:pP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城乡居民基本养老保险基金支出</w:t>
      </w:r>
      <w:r>
        <w:rPr>
          <w:rStyle w:val="9"/>
          <w:rFonts w:hint="eastAsia" w:ascii="仿宋_GB2312" w:hAnsi="宋体" w:eastAsia="仿宋_GB2312"/>
          <w:kern w:val="0"/>
          <w:highlight w:val="none"/>
        </w:rPr>
        <w:t>0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万元，为年初预算的</w:t>
      </w:r>
      <w:r>
        <w:rPr>
          <w:rStyle w:val="9"/>
          <w:rFonts w:hint="eastAsia" w:ascii="仿宋_GB2312" w:hAnsi="宋体" w:eastAsia="仿宋_GB2312"/>
          <w:kern w:val="0"/>
          <w:highlight w:val="none"/>
        </w:rPr>
        <w:t>0</w:t>
      </w:r>
      <w:r>
        <w:rPr>
          <w:rStyle w:val="9"/>
          <w:rFonts w:ascii="仿宋_GB2312" w:hAnsi="宋体" w:eastAsia="仿宋_GB2312"/>
          <w:kern w:val="0"/>
          <w:highlight w:val="none"/>
          <w:lang w:val="zh-CN"/>
        </w:rPr>
        <w:t>%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zh-CN"/>
        </w:rPr>
        <w:t>。</w:t>
      </w:r>
      <w:r>
        <w:rPr>
          <w:rStyle w:val="9"/>
          <w:rFonts w:hint="eastAsia" w:ascii="仿宋_GB2312" w:hAnsi="宋体" w:eastAsia="仿宋_GB2312"/>
          <w:kern w:val="0"/>
          <w:highlight w:val="none"/>
          <w:lang w:val="en-US" w:eastAsia="zh-CN"/>
        </w:rPr>
        <w:t xml:space="preserve"> </w:t>
      </w:r>
    </w:p>
    <w:p>
      <w:pPr>
        <w:ind w:firstLine="600" w:firstLineChars="200"/>
        <w:rPr>
          <w:rStyle w:val="9"/>
          <w:rFonts w:ascii="仿宋_GB2312" w:hAnsi="宋体" w:eastAsia="仿宋_GB2312"/>
          <w:kern w:val="0"/>
          <w:highlight w:val="none"/>
          <w:lang w:val="zh-CN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20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年示范区转移支付执行情况</w:t>
      </w:r>
    </w:p>
    <w:p>
      <w:pPr>
        <w:ind w:firstLine="63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eastAsia="zh-CN"/>
        </w:rPr>
        <w:t>示范区</w:t>
      </w:r>
      <w:r>
        <w:rPr>
          <w:rFonts w:hint="eastAsia" w:ascii="仿宋_GB2312" w:eastAsia="仿宋_GB2312"/>
          <w:sz w:val="32"/>
          <w:szCs w:val="32"/>
        </w:rPr>
        <w:t>一般公共预算收入上级补助收入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6842</w:t>
      </w:r>
      <w:r>
        <w:rPr>
          <w:rFonts w:hint="eastAsia" w:ascii="仿宋_GB2312" w:eastAsia="仿宋_GB2312"/>
          <w:sz w:val="32"/>
          <w:szCs w:val="32"/>
        </w:rPr>
        <w:t>万元。其中：返还性收入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619</w:t>
      </w:r>
      <w:r>
        <w:rPr>
          <w:rFonts w:hint="eastAsia" w:ascii="仿宋_GB2312" w:eastAsia="仿宋_GB2312"/>
          <w:sz w:val="32"/>
          <w:szCs w:val="32"/>
        </w:rPr>
        <w:t>万元；一般性转移支付收入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5101</w:t>
      </w:r>
      <w:r>
        <w:rPr>
          <w:rFonts w:hint="eastAsia" w:ascii="仿宋_GB2312" w:eastAsia="仿宋_GB2312"/>
          <w:sz w:val="32"/>
          <w:szCs w:val="32"/>
        </w:rPr>
        <w:t>万元（均衡性转移支付收入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4110</w:t>
      </w:r>
      <w:r>
        <w:rPr>
          <w:rFonts w:hint="eastAsia" w:ascii="仿宋_GB2312" w:eastAsia="仿宋_GB2312"/>
          <w:sz w:val="32"/>
          <w:szCs w:val="32"/>
        </w:rPr>
        <w:t>万元、县级基本财力保障机制奖补资金收入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78万元、</w:t>
      </w:r>
      <w:r>
        <w:rPr>
          <w:rFonts w:hint="eastAsia" w:ascii="仿宋_GB2312" w:eastAsia="仿宋_GB2312"/>
          <w:sz w:val="32"/>
          <w:szCs w:val="32"/>
        </w:rPr>
        <w:t>结算补助收入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426</w:t>
      </w:r>
      <w:r>
        <w:rPr>
          <w:rFonts w:hint="eastAsia" w:ascii="仿宋_GB2312" w:eastAsia="仿宋_GB2312"/>
          <w:sz w:val="32"/>
          <w:szCs w:val="32"/>
        </w:rPr>
        <w:t>万元、</w:t>
      </w:r>
      <w:r>
        <w:rPr>
          <w:rFonts w:hint="eastAsia" w:ascii="仿宋_GB2312" w:eastAsia="仿宋_GB2312"/>
          <w:sz w:val="32"/>
          <w:szCs w:val="32"/>
          <w:lang w:eastAsia="zh-CN"/>
        </w:rPr>
        <w:t>固定数额补助收入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-28万元、社会保障和就业共同财政事权转移支付收入218万元、住房保障共同财政事权转移支付收入297万元</w:t>
      </w:r>
      <w:r>
        <w:rPr>
          <w:rFonts w:hint="eastAsia" w:ascii="仿宋_GB2312" w:eastAsia="仿宋_GB2312"/>
          <w:sz w:val="32"/>
          <w:szCs w:val="32"/>
        </w:rPr>
        <w:t>）；专项转移支付收入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1122</w:t>
      </w:r>
      <w:r>
        <w:rPr>
          <w:rFonts w:hint="eastAsia" w:ascii="仿宋_GB2312" w:eastAsia="仿宋_GB2312"/>
          <w:sz w:val="32"/>
          <w:szCs w:val="32"/>
        </w:rPr>
        <w:t>万元。地方政府一般债券</w:t>
      </w:r>
      <w:r>
        <w:rPr>
          <w:rFonts w:hint="eastAsia" w:ascii="仿宋_GB2312" w:eastAsia="仿宋_GB2312"/>
          <w:sz w:val="32"/>
          <w:szCs w:val="32"/>
          <w:lang w:eastAsia="zh-CN"/>
        </w:rPr>
        <w:t>转贷</w:t>
      </w:r>
      <w:r>
        <w:rPr>
          <w:rFonts w:hint="eastAsia" w:ascii="仿宋_GB2312" w:eastAsia="仿宋_GB2312"/>
          <w:sz w:val="32"/>
          <w:szCs w:val="32"/>
        </w:rPr>
        <w:t>收入</w:t>
      </w:r>
      <w:r>
        <w:rPr>
          <w:rFonts w:hint="eastAsia" w:ascii="仿宋_GB2312" w:eastAsia="仿宋_GB2312"/>
          <w:sz w:val="32"/>
          <w:szCs w:val="32"/>
          <w:lang w:eastAsia="zh-CN"/>
        </w:rPr>
        <w:t>（再融资）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800</w:t>
      </w:r>
      <w:r>
        <w:rPr>
          <w:rFonts w:hint="eastAsia" w:ascii="仿宋_GB2312" w:eastAsia="仿宋_GB2312"/>
          <w:sz w:val="32"/>
          <w:szCs w:val="32"/>
        </w:rPr>
        <w:t>万元。</w:t>
      </w:r>
      <w:r>
        <w:rPr>
          <w:rFonts w:hint="eastAsia" w:ascii="仿宋_GB2312" w:eastAsia="仿宋_GB2312"/>
          <w:sz w:val="32"/>
          <w:szCs w:val="32"/>
          <w:lang w:eastAsia="zh-CN"/>
        </w:rPr>
        <w:t>动用</w:t>
      </w:r>
      <w:r>
        <w:rPr>
          <w:rFonts w:hint="eastAsia" w:ascii="仿宋_GB2312" w:eastAsia="仿宋_GB2312"/>
          <w:sz w:val="32"/>
          <w:szCs w:val="32"/>
        </w:rPr>
        <w:t>预算稳定调节基金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4307</w:t>
      </w:r>
      <w:r>
        <w:rPr>
          <w:rFonts w:hint="eastAsia" w:ascii="仿宋_GB2312" w:eastAsia="仿宋_GB2312"/>
          <w:sz w:val="32"/>
          <w:szCs w:val="32"/>
        </w:rPr>
        <w:t>万元。政府性基金调入资金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20017</w:t>
      </w:r>
      <w:r>
        <w:rPr>
          <w:rFonts w:hint="eastAsia" w:ascii="仿宋_GB2312" w:eastAsia="仿宋_GB2312"/>
          <w:sz w:val="32"/>
          <w:szCs w:val="32"/>
        </w:rPr>
        <w:t>万元。</w:t>
      </w:r>
    </w:p>
    <w:p>
      <w:pPr>
        <w:ind w:firstLine="63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本年上解上级支出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27398</w:t>
      </w:r>
      <w:r>
        <w:rPr>
          <w:rFonts w:hint="eastAsia" w:ascii="仿宋_GB2312" w:eastAsia="仿宋_GB2312"/>
          <w:sz w:val="32"/>
          <w:szCs w:val="32"/>
        </w:rPr>
        <w:t>万元（专项上解支出）。</w:t>
      </w:r>
      <w:r>
        <w:rPr>
          <w:rFonts w:hint="eastAsia" w:ascii="仿宋_GB2312" w:eastAsia="仿宋_GB2312"/>
          <w:sz w:val="32"/>
          <w:szCs w:val="32"/>
          <w:lang w:eastAsia="zh-CN"/>
        </w:rPr>
        <w:t>补充</w:t>
      </w:r>
      <w:r>
        <w:rPr>
          <w:rFonts w:hint="eastAsia" w:ascii="仿宋_GB2312" w:eastAsia="仿宋_GB2312"/>
          <w:sz w:val="32"/>
          <w:szCs w:val="32"/>
        </w:rPr>
        <w:t>预算稳定调节基金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15941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调出到政府性基金资金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17万元，</w:t>
      </w:r>
      <w:r>
        <w:rPr>
          <w:rFonts w:hint="eastAsia" w:ascii="仿宋_GB2312" w:eastAsia="仿宋_GB2312"/>
          <w:sz w:val="32"/>
          <w:szCs w:val="32"/>
        </w:rPr>
        <w:t>地方政府一般债券还本支出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801</w:t>
      </w:r>
      <w:r>
        <w:rPr>
          <w:rFonts w:hint="eastAsia" w:ascii="仿宋_GB2312" w:eastAsia="仿宋_GB2312"/>
          <w:sz w:val="32"/>
          <w:szCs w:val="32"/>
        </w:rPr>
        <w:t>万元。</w:t>
      </w:r>
    </w:p>
    <w:p>
      <w:pPr>
        <w:ind w:firstLine="63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年政府性基金上级补助收入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104</w:t>
      </w:r>
      <w:r>
        <w:rPr>
          <w:rFonts w:hint="eastAsia" w:ascii="仿宋_GB2312" w:eastAsia="仿宋_GB2312"/>
          <w:sz w:val="32"/>
          <w:szCs w:val="32"/>
        </w:rPr>
        <w:t>万元，政府性基金上年结余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106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一般公共预算调入资金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17万元，</w:t>
      </w:r>
      <w:r>
        <w:rPr>
          <w:rFonts w:hint="eastAsia" w:ascii="仿宋_GB2312" w:eastAsia="仿宋_GB2312"/>
          <w:sz w:val="32"/>
          <w:szCs w:val="32"/>
          <w:lang w:eastAsia="zh-CN"/>
        </w:rPr>
        <w:t>地方政府债券收入（新增债券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）13000万元，地方政府债券收入（再融资）2698万元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3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本年政府性基金上解上级支出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8940</w:t>
      </w:r>
      <w:r>
        <w:rPr>
          <w:rFonts w:hint="eastAsia" w:ascii="仿宋_GB2312" w:eastAsia="仿宋_GB2312"/>
          <w:sz w:val="32"/>
          <w:szCs w:val="32"/>
        </w:rPr>
        <w:t>万元，政府性基金调出资金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20017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专项债务还本支出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3342万元，</w:t>
      </w:r>
      <w:r>
        <w:rPr>
          <w:rFonts w:hint="eastAsia" w:ascii="仿宋_GB2312" w:eastAsia="仿宋_GB2312"/>
          <w:sz w:val="32"/>
          <w:szCs w:val="32"/>
        </w:rPr>
        <w:t>政府性基金年终结余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3976</w:t>
      </w:r>
      <w:r>
        <w:rPr>
          <w:rFonts w:hint="eastAsia" w:ascii="仿宋_GB2312" w:eastAsia="仿宋_GB2312"/>
          <w:sz w:val="32"/>
          <w:szCs w:val="32"/>
        </w:rPr>
        <w:t>万元。</w:t>
      </w:r>
    </w:p>
    <w:p>
      <w:pPr>
        <w:ind w:firstLine="630"/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国有资本经营收支及转移支付均为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0。</w:t>
      </w: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年示范区举借债务情况说明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ind w:firstLine="64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（一）上年余额及限额情况</w:t>
      </w:r>
    </w:p>
    <w:p>
      <w:pPr>
        <w:ind w:firstLine="64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2019年（上年度）政府债务余额为91059万元，其中，本级政府债务余额为91059万元（乡镇政府债务余额为0），</w:t>
      </w:r>
      <w:r>
        <w:rPr>
          <w:rFonts w:hint="eastAsia" w:ascii="仿宋_GB2312" w:eastAsia="仿宋_GB2312"/>
          <w:sz w:val="32"/>
          <w:szCs w:val="32"/>
        </w:rPr>
        <w:t>其中一般债务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4472</w:t>
      </w:r>
      <w:r>
        <w:rPr>
          <w:rFonts w:hint="eastAsia" w:ascii="仿宋_GB2312" w:eastAsia="仿宋_GB2312"/>
          <w:sz w:val="32"/>
          <w:szCs w:val="32"/>
        </w:rPr>
        <w:t>万元，专项债务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86587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。</w:t>
      </w:r>
    </w:p>
    <w:p>
      <w:pPr>
        <w:ind w:firstLine="64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本地区地方政府债务余额当年限额(预算数)为91059万元。</w:t>
      </w:r>
    </w:p>
    <w:p>
      <w:pPr>
        <w:ind w:firstLine="640"/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（二）本年债券收入情况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2020年度</w:t>
      </w:r>
      <w:r>
        <w:rPr>
          <w:rFonts w:hint="eastAsia" w:ascii="仿宋_GB2312" w:eastAsia="仿宋_GB2312"/>
          <w:sz w:val="32"/>
          <w:szCs w:val="32"/>
        </w:rPr>
        <w:t>新增债务为地方政府债券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16498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其中一般债务收入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800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均为再融资一般债券收入；</w:t>
      </w:r>
      <w:r>
        <w:rPr>
          <w:rFonts w:hint="eastAsia" w:ascii="仿宋_GB2312" w:eastAsia="仿宋_GB2312"/>
          <w:sz w:val="32"/>
          <w:szCs w:val="32"/>
        </w:rPr>
        <w:t>专项债务收入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15698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  <w:lang w:eastAsia="zh-CN"/>
        </w:rPr>
        <w:t>，为新增专项债券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13000万元，再融资专项债券收入2698万元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（三）本年债券还本付息情况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本年债务还本支出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4143</w:t>
      </w:r>
      <w:r>
        <w:rPr>
          <w:rFonts w:hint="eastAsia" w:ascii="仿宋_GB2312" w:eastAsia="仿宋_GB2312"/>
          <w:sz w:val="32"/>
          <w:szCs w:val="32"/>
        </w:rPr>
        <w:t>万元，其中一般债务还本支出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801</w:t>
      </w:r>
      <w:r>
        <w:rPr>
          <w:rFonts w:hint="eastAsia" w:ascii="仿宋_GB2312" w:eastAsia="仿宋_GB2312"/>
          <w:sz w:val="32"/>
          <w:szCs w:val="32"/>
        </w:rPr>
        <w:t>万元，专项债务还本支出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3342</w:t>
      </w:r>
      <w:r>
        <w:rPr>
          <w:rFonts w:hint="eastAsia" w:ascii="仿宋_GB2312" w:eastAsia="仿宋_GB2312"/>
          <w:sz w:val="32"/>
          <w:szCs w:val="32"/>
        </w:rPr>
        <w:t>万元。</w:t>
      </w:r>
      <w:r>
        <w:rPr>
          <w:rFonts w:hint="eastAsia" w:ascii="仿宋_GB2312" w:eastAsia="仿宋_GB2312"/>
          <w:sz w:val="32"/>
          <w:szCs w:val="32"/>
          <w:lang w:eastAsia="zh-CN"/>
        </w:rPr>
        <w:t>本年债务付息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2652万元，其中一般债务付息支出152万元，专项债务付息支出2500万元。</w:t>
      </w:r>
    </w:p>
    <w:p>
      <w:pPr>
        <w:ind w:firstLine="640" w:firstLineChars="200"/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（四）年末政府债务余额情况</w:t>
      </w:r>
    </w:p>
    <w:p>
      <w:pPr>
        <w:ind w:firstLine="64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年末</w:t>
      </w:r>
      <w:r>
        <w:rPr>
          <w:rFonts w:hint="eastAsia" w:ascii="仿宋_GB2312" w:eastAsia="仿宋_GB2312"/>
          <w:sz w:val="32"/>
          <w:szCs w:val="32"/>
          <w:lang w:eastAsia="zh-CN"/>
        </w:rPr>
        <w:t>政府</w:t>
      </w:r>
      <w:r>
        <w:rPr>
          <w:rFonts w:hint="eastAsia" w:ascii="仿宋_GB2312" w:eastAsia="仿宋_GB2312"/>
          <w:sz w:val="32"/>
          <w:szCs w:val="32"/>
        </w:rPr>
        <w:t>债务余额为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103414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其中本级政府债务余额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103414万元（乡镇政府债务余额为0），</w:t>
      </w:r>
      <w:r>
        <w:rPr>
          <w:rFonts w:hint="eastAsia" w:ascii="仿宋_GB2312" w:eastAsia="仿宋_GB2312"/>
          <w:sz w:val="32"/>
          <w:szCs w:val="32"/>
        </w:rPr>
        <w:t>其中一般债务为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4471</w:t>
      </w:r>
      <w:r>
        <w:rPr>
          <w:rFonts w:hint="eastAsia" w:ascii="仿宋_GB2312" w:eastAsia="仿宋_GB2312"/>
          <w:sz w:val="32"/>
          <w:szCs w:val="32"/>
        </w:rPr>
        <w:t>万元，专项债务为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98943</w:t>
      </w:r>
      <w:r>
        <w:rPr>
          <w:rFonts w:hint="eastAsia" w:ascii="仿宋_GB2312" w:eastAsia="仿宋_GB2312"/>
          <w:sz w:val="32"/>
          <w:szCs w:val="32"/>
        </w:rPr>
        <w:t>万元。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本地区地方政府债务余额限额(预算数)为103414万元。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（五）债券资金使用情况</w:t>
      </w:r>
    </w:p>
    <w:p>
      <w:pPr>
        <w:ind w:firstLine="640" w:firstLineChars="200"/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2020年示范区收到再融资债券（一般800万元、专项2698万元）均用于当年到期债券还本支出。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年示范区收到地方政府</w:t>
      </w:r>
      <w:r>
        <w:rPr>
          <w:rFonts w:hint="eastAsia" w:ascii="仿宋_GB2312" w:eastAsia="仿宋_GB2312"/>
          <w:sz w:val="32"/>
          <w:szCs w:val="32"/>
          <w:lang w:eastAsia="zh-CN"/>
        </w:rPr>
        <w:t>新增</w:t>
      </w:r>
      <w:r>
        <w:rPr>
          <w:rFonts w:hint="eastAsia" w:ascii="仿宋_GB2312" w:eastAsia="仿宋_GB2312"/>
          <w:sz w:val="32"/>
          <w:szCs w:val="32"/>
        </w:rPr>
        <w:t>一般债券收入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万元。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年示范区收到地方政府</w:t>
      </w:r>
      <w:r>
        <w:rPr>
          <w:rFonts w:hint="eastAsia" w:ascii="仿宋_GB2312" w:eastAsia="仿宋_GB2312"/>
          <w:sz w:val="32"/>
          <w:szCs w:val="32"/>
          <w:lang w:eastAsia="zh-CN"/>
        </w:rPr>
        <w:t>新增</w:t>
      </w:r>
      <w:r>
        <w:rPr>
          <w:rFonts w:hint="eastAsia" w:ascii="仿宋_GB2312" w:eastAsia="仿宋_GB2312"/>
          <w:sz w:val="32"/>
          <w:szCs w:val="32"/>
        </w:rPr>
        <w:t>专项债券收入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13000</w:t>
      </w:r>
      <w:r>
        <w:rPr>
          <w:rFonts w:hint="eastAsia" w:ascii="仿宋_GB2312" w:eastAsia="仿宋_GB2312"/>
          <w:sz w:val="32"/>
          <w:szCs w:val="32"/>
        </w:rPr>
        <w:t>万元，新增债券收入已在政府性基金</w:t>
      </w:r>
      <w:r>
        <w:rPr>
          <w:rFonts w:hint="eastAsia" w:ascii="仿宋_GB2312" w:eastAsia="仿宋_GB2312"/>
          <w:sz w:val="32"/>
          <w:szCs w:val="32"/>
          <w:lang w:eastAsia="zh-CN"/>
        </w:rPr>
        <w:t>对应科目</w:t>
      </w:r>
      <w:r>
        <w:rPr>
          <w:rFonts w:hint="eastAsia" w:ascii="仿宋_GB2312" w:eastAsia="仿宋_GB2312"/>
          <w:sz w:val="32"/>
          <w:szCs w:val="32"/>
        </w:rPr>
        <w:t>中列支，用于示范区</w:t>
      </w:r>
      <w:r>
        <w:rPr>
          <w:rFonts w:hint="eastAsia" w:ascii="仿宋_GB2312" w:eastAsia="仿宋_GB2312"/>
          <w:sz w:val="32"/>
          <w:szCs w:val="32"/>
          <w:lang w:eastAsia="zh-CN"/>
        </w:rPr>
        <w:t>专项棚户区改造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pStyle w:val="3"/>
        <w:snapToGrid w:val="0"/>
        <w:spacing w:line="360" w:lineRule="auto"/>
        <w:ind w:left="3878" w:leftChars="304" w:hanging="3240" w:hangingChars="900"/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pStyle w:val="3"/>
        <w:snapToGrid w:val="0"/>
        <w:spacing w:line="360" w:lineRule="auto"/>
        <w:ind w:left="3878" w:leftChars="304" w:hanging="3240" w:hangingChars="90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年示范区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部门“三公”经费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情况</w:t>
      </w:r>
    </w:p>
    <w:p>
      <w:pPr>
        <w:pStyle w:val="3"/>
        <w:snapToGrid w:val="0"/>
        <w:spacing w:line="360" w:lineRule="auto"/>
        <w:ind w:left="0" w:firstLine="640" w:firstLineChars="200"/>
        <w:jc w:val="both"/>
        <w:rPr>
          <w:rFonts w:hint="eastAsia" w:hAnsi="宋体" w:cs="Courier New"/>
          <w:kern w:val="2"/>
        </w:rPr>
      </w:pPr>
      <w:r>
        <w:rPr>
          <w:rFonts w:hint="eastAsia" w:hAnsi="宋体" w:cs="Courier New"/>
          <w:kern w:val="2"/>
        </w:rPr>
        <w:t>20</w:t>
      </w:r>
      <w:r>
        <w:rPr>
          <w:rFonts w:hint="eastAsia" w:hAnsi="宋体" w:cs="Courier New"/>
          <w:kern w:val="2"/>
          <w:lang w:val="en-US" w:eastAsia="zh-CN"/>
        </w:rPr>
        <w:t>20</w:t>
      </w:r>
      <w:r>
        <w:rPr>
          <w:rFonts w:hint="eastAsia" w:hAnsi="宋体" w:cs="Courier New"/>
          <w:kern w:val="2"/>
        </w:rPr>
        <w:t>年</w:t>
      </w:r>
      <w:r>
        <w:rPr>
          <w:rFonts w:hint="eastAsia" w:hAnsi="宋体" w:cs="Courier New"/>
          <w:kern w:val="2"/>
          <w:lang w:eastAsia="zh-CN"/>
        </w:rPr>
        <w:t>度</w:t>
      </w:r>
      <w:r>
        <w:rPr>
          <w:rFonts w:hint="eastAsia" w:hAnsi="黑体"/>
        </w:rPr>
        <w:t>纳入城乡一体化部门决算的预算单位</w:t>
      </w:r>
      <w:r>
        <w:rPr>
          <w:rFonts w:hint="eastAsia" w:hAnsi="黑体"/>
          <w:lang w:eastAsia="zh-CN"/>
        </w:rPr>
        <w:t>共有</w:t>
      </w:r>
      <w:r>
        <w:rPr>
          <w:rFonts w:hint="eastAsia" w:hAnsi="黑体"/>
          <w:lang w:val="en-US" w:eastAsia="zh-CN"/>
        </w:rPr>
        <w:t>33家，</w:t>
      </w:r>
      <w:r>
        <w:rPr>
          <w:rFonts w:hint="eastAsia" w:hAnsi="宋体" w:cs="Courier New"/>
          <w:kern w:val="2"/>
        </w:rPr>
        <w:t>“三公”经费财政拨款支出预算为</w:t>
      </w:r>
      <w:r>
        <w:rPr>
          <w:rFonts w:hint="eastAsia" w:hAnsi="宋体" w:cs="Courier New"/>
          <w:kern w:val="2"/>
          <w:lang w:val="en-US" w:eastAsia="zh-CN"/>
        </w:rPr>
        <w:t>126</w:t>
      </w:r>
      <w:r>
        <w:rPr>
          <w:rFonts w:hint="eastAsia" w:hAnsi="宋体" w:cs="Courier New"/>
          <w:kern w:val="2"/>
        </w:rPr>
        <w:t>万元，支出决算为</w:t>
      </w:r>
      <w:r>
        <w:rPr>
          <w:rFonts w:hint="eastAsia" w:hAnsi="宋体" w:cs="Courier New"/>
          <w:kern w:val="2"/>
          <w:lang w:val="en-US" w:eastAsia="zh-CN"/>
        </w:rPr>
        <w:t>69</w:t>
      </w:r>
      <w:r>
        <w:rPr>
          <w:rFonts w:hint="eastAsia" w:hAnsi="宋体" w:cs="Courier New"/>
          <w:kern w:val="2"/>
        </w:rPr>
        <w:t>万元，完成预算的</w:t>
      </w:r>
      <w:r>
        <w:rPr>
          <w:rFonts w:hint="eastAsia" w:hAnsi="宋体" w:cs="Courier New"/>
          <w:kern w:val="2"/>
          <w:lang w:val="en-US" w:eastAsia="zh-CN"/>
        </w:rPr>
        <w:t>54.76</w:t>
      </w:r>
      <w:r>
        <w:rPr>
          <w:rFonts w:hint="eastAsia" w:hAnsi="宋体" w:cs="Courier New"/>
          <w:kern w:val="2"/>
        </w:rPr>
        <w:t>%，主要原因：响应中央八项规定，各预算单位严格控制本单位经费支出，厉行节约。20</w:t>
      </w:r>
      <w:r>
        <w:rPr>
          <w:rFonts w:hint="eastAsia" w:hAnsi="宋体" w:cs="Courier New"/>
          <w:kern w:val="2"/>
          <w:lang w:val="en-US" w:eastAsia="zh-CN"/>
        </w:rPr>
        <w:t>20</w:t>
      </w:r>
      <w:r>
        <w:rPr>
          <w:rFonts w:hint="eastAsia" w:hAnsi="宋体" w:cs="Courier New"/>
          <w:kern w:val="2"/>
        </w:rPr>
        <w:t>年“三公”经费财政拨款支出决算数比201</w:t>
      </w:r>
      <w:r>
        <w:rPr>
          <w:rFonts w:hint="eastAsia" w:hAnsi="宋体" w:cs="Courier New"/>
          <w:kern w:val="2"/>
          <w:lang w:val="en-US" w:eastAsia="zh-CN"/>
        </w:rPr>
        <w:t>9</w:t>
      </w:r>
      <w:r>
        <w:rPr>
          <w:rFonts w:hint="eastAsia" w:hAnsi="宋体" w:cs="Courier New"/>
          <w:kern w:val="2"/>
        </w:rPr>
        <w:t>年</w:t>
      </w:r>
      <w:r>
        <w:rPr>
          <w:rFonts w:hint="eastAsia" w:hAnsi="宋体" w:cs="Courier New"/>
          <w:kern w:val="2"/>
          <w:lang w:eastAsia="zh-CN"/>
        </w:rPr>
        <w:t>减少</w:t>
      </w:r>
      <w:r>
        <w:rPr>
          <w:rFonts w:hint="eastAsia" w:hAnsi="宋体" w:cs="Courier New"/>
          <w:kern w:val="2"/>
          <w:lang w:val="en-US" w:eastAsia="zh-CN"/>
        </w:rPr>
        <w:t>102</w:t>
      </w:r>
      <w:r>
        <w:rPr>
          <w:rFonts w:hint="eastAsia" w:hAnsi="宋体" w:cs="Courier New"/>
          <w:kern w:val="2"/>
        </w:rPr>
        <w:t>万元，</w:t>
      </w:r>
      <w:r>
        <w:rPr>
          <w:rFonts w:hint="eastAsia" w:hAnsi="宋体" w:cs="Courier New"/>
          <w:kern w:val="2"/>
          <w:lang w:eastAsia="zh-CN"/>
        </w:rPr>
        <w:t>下降</w:t>
      </w:r>
      <w:r>
        <w:rPr>
          <w:rFonts w:hint="eastAsia" w:hAnsi="宋体" w:cs="Courier New"/>
          <w:kern w:val="2"/>
          <w:lang w:val="en-US" w:eastAsia="zh-CN"/>
        </w:rPr>
        <w:t>59.64</w:t>
      </w:r>
      <w:r>
        <w:rPr>
          <w:rFonts w:hint="eastAsia" w:hAnsi="宋体" w:cs="Courier New"/>
          <w:kern w:val="2"/>
        </w:rPr>
        <w:t>%，主要原因：</w:t>
      </w:r>
      <w:r>
        <w:rPr>
          <w:rFonts w:hint="eastAsia" w:hAnsi="宋体" w:cs="Courier New"/>
          <w:kern w:val="2"/>
          <w:lang w:eastAsia="zh-CN"/>
        </w:rPr>
        <w:t>一是</w:t>
      </w:r>
      <w:r>
        <w:rPr>
          <w:rFonts w:hint="eastAsia" w:hAnsi="宋体" w:cs="Courier New"/>
          <w:kern w:val="2"/>
        </w:rPr>
        <w:t>响应中央八项规定，各预算单位严格控制本单位经费支出，厉行节约</w:t>
      </w:r>
      <w:r>
        <w:rPr>
          <w:rFonts w:hint="eastAsia" w:hAnsi="宋体" w:cs="Courier New"/>
          <w:kern w:val="2"/>
          <w:lang w:eastAsia="zh-CN"/>
        </w:rPr>
        <w:t>，按照相关规定，三公经费支出只减不增；二是机构调整，部分单位当年撤销，未发生“三公”经费。</w:t>
      </w:r>
      <w:r>
        <w:rPr>
          <w:rFonts w:hint="eastAsia" w:hAnsi="宋体" w:cs="Courier New"/>
          <w:kern w:val="2"/>
        </w:rPr>
        <w:t>具体支出情况如下：</w:t>
      </w:r>
    </w:p>
    <w:p>
      <w:pPr>
        <w:pStyle w:val="3"/>
        <w:snapToGrid w:val="0"/>
        <w:spacing w:line="360" w:lineRule="auto"/>
        <w:ind w:left="0"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Fonts w:hint="eastAsia" w:hAnsi="仿宋_GB2312" w:cs="仿宋_GB2312"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年度“三公”经费财政拨款支出决算中，因公出国（境）费支出决算</w:t>
      </w:r>
      <w:r>
        <w:rPr>
          <w:rFonts w:hint="eastAsia" w:hAnsi="仿宋_GB2312" w:cs="仿宋_GB2312"/>
          <w:color w:val="auto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万元，</w:t>
      </w:r>
      <w:r>
        <w:rPr>
          <w:rFonts w:hint="eastAsia" w:hAnsi="仿宋_GB2312" w:cs="仿宋_GB2312"/>
          <w:color w:val="auto"/>
          <w:sz w:val="32"/>
          <w:szCs w:val="32"/>
          <w:highlight w:val="none"/>
          <w:lang w:val="en-US" w:eastAsia="zh-CN"/>
        </w:rPr>
        <w:t>无年初预算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；公务用车购置及运行费支出决算</w:t>
      </w:r>
      <w:r>
        <w:rPr>
          <w:rFonts w:hint="eastAsia" w:hAnsi="仿宋_GB2312" w:cs="仿宋_GB2312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万元，完成预算的</w:t>
      </w:r>
      <w:r>
        <w:rPr>
          <w:rFonts w:hint="eastAsia" w:hAnsi="仿宋_GB2312" w:cs="仿宋_GB2312"/>
          <w:color w:val="auto"/>
          <w:sz w:val="32"/>
          <w:szCs w:val="32"/>
          <w:highlight w:val="none"/>
          <w:lang w:val="en-US" w:eastAsia="zh-CN"/>
        </w:rPr>
        <w:t>31.58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%，占</w:t>
      </w:r>
      <w:r>
        <w:rPr>
          <w:rFonts w:hint="eastAsia" w:hAnsi="仿宋_GB2312" w:cs="仿宋_GB2312"/>
          <w:color w:val="auto"/>
          <w:sz w:val="32"/>
          <w:szCs w:val="32"/>
          <w:highlight w:val="none"/>
          <w:lang w:val="en-US" w:eastAsia="zh-CN"/>
        </w:rPr>
        <w:t>三公经费总支出的8.7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%；公务接待费支出决算</w:t>
      </w:r>
      <w:r>
        <w:rPr>
          <w:rFonts w:hint="eastAsia" w:hAnsi="仿宋_GB2312" w:cs="仿宋_GB2312"/>
          <w:color w:val="auto"/>
          <w:sz w:val="32"/>
          <w:szCs w:val="32"/>
          <w:highlight w:val="none"/>
          <w:lang w:val="en-US" w:eastAsia="zh-CN"/>
        </w:rPr>
        <w:t>63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万元，完成预算的</w:t>
      </w:r>
      <w:r>
        <w:rPr>
          <w:rFonts w:hint="eastAsia" w:hAnsi="仿宋_GB2312" w:cs="仿宋_GB2312"/>
          <w:color w:val="auto"/>
          <w:sz w:val="32"/>
          <w:szCs w:val="32"/>
          <w:highlight w:val="none"/>
          <w:lang w:val="en-US" w:eastAsia="zh-CN"/>
        </w:rPr>
        <w:t>58.88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%，占</w:t>
      </w:r>
      <w:r>
        <w:rPr>
          <w:rFonts w:hint="eastAsia" w:hAnsi="仿宋_GB2312" w:cs="仿宋_GB2312"/>
          <w:color w:val="auto"/>
          <w:sz w:val="32"/>
          <w:szCs w:val="32"/>
          <w:highlight w:val="none"/>
          <w:lang w:val="en-US" w:eastAsia="zh-CN"/>
        </w:rPr>
        <w:t>91.3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%。具体情况如下：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1．因公出国（境）费支出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万元。全年安排单位因公出国（境）团组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个，累计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人次。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因公出国（境）费支出决算比2019年度减少0万元。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2．公务用车购置及运行费支出6万元。其中：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公务用车购置支出为0万元，购置车辆0台。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公务用车运行支出6万元。主要用于单位日常运行及项目中产生的燃油及维护费用。2020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年度期末，部门财政拨款公务用车保有量为31量。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公务用车购置及运行费支出决算比2019年度减少11万元，降低64.7%,主要原因是推行公车改革、除项目运行产生公车运行费外，公车运行大幅降低。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3.公务接待费支出63万元。其中：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外宾接待支出0万元。其他国内公务接待支出63万元。主要用于招商、组织会议、观摩和迎检等活动接待。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公务接待费支出决算比2019年度减少91万元，降低59.09%,主要原因是响应中央八项规定，减少公务接待开支。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80" w:lineRule="exact"/>
        <w:ind w:left="0" w:firstLine="640" w:firstLineChars="200"/>
        <w:jc w:val="both"/>
        <w:textAlignment w:val="auto"/>
        <w:rPr>
          <w:rFonts w:hint="eastAsia" w:hAnsi="宋体" w:cs="Courier New"/>
          <w:kern w:val="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Fonts w:hint="eastAsia" w:hAnsi="仿宋_GB2312" w:cs="仿宋_GB2312"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年度共接待国内来访团组</w:t>
      </w:r>
      <w:r>
        <w:rPr>
          <w:rFonts w:hint="eastAsia" w:hAnsi="仿宋_GB2312" w:cs="仿宋_GB2312"/>
          <w:color w:val="auto"/>
          <w:sz w:val="32"/>
          <w:szCs w:val="32"/>
          <w:highlight w:val="none"/>
          <w:lang w:val="en-US" w:eastAsia="zh-CN"/>
        </w:rPr>
        <w:t>1047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个、来访人员</w:t>
      </w:r>
      <w:r>
        <w:rPr>
          <w:rFonts w:hint="eastAsia" w:hAnsi="仿宋_GB2312" w:cs="仿宋_GB2312"/>
          <w:color w:val="auto"/>
          <w:sz w:val="32"/>
          <w:szCs w:val="32"/>
          <w:highlight w:val="none"/>
          <w:lang w:val="en-US" w:eastAsia="zh-CN"/>
        </w:rPr>
        <w:t>8732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人次。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</w:p>
    <w:p>
      <w:pPr>
        <w:jc w:val="center"/>
        <w:rPr>
          <w:rFonts w:hint="eastAsia"/>
          <w:b/>
          <w:bCs/>
          <w:sz w:val="30"/>
          <w:szCs w:val="3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关于示范区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2020年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预算绩效工作开展情况说明</w:t>
      </w:r>
    </w:p>
    <w:p>
      <w:pPr>
        <w:jc w:val="both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 xml:space="preserve">    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为进一步贯彻《预算法》讲究绩效原则，加强预算绩效管理，根据市局绩效管理工作要求，现将示范区2020年度预算绩效管理工作总结如下：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2020年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我区财政部门和各预算部门（单位）是预算绩效评价的主体。预算绩效评价由财政部门和各预算部门（单位）根据评价对象的特点分类组织实施。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财政部门负责统一制定绩效考评制度，指导、监督、检查预算部门（单位）的绩效考评工作；预算部门（单位）负责拟定本部门（单位）的预算绩效评价实施办法，组织实施本本部门（单位）预算绩效评价工作。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各部门（单位）要按要求对本部门（单位）进行预算绩效评价，撰写绩效评价报告报财政部门，并对绩效评价报告涉及的基础资料的真实性、合法性、完整性负责。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预算具体执行部门（单位）要根据绩效评价结果，改进管理措施、提高管理水平、降低支出成本、增强支出责任。绩效评价结果应与以后年度预算安排相结合，进一步优化资源配置。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重大政策和重点项目绩效执行结果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2020年度预算绩效管理工作原则主要有以下几点：一是加强预算支出的绩效管理工作。一是切实加快预算支出进度。根据上级转移支付和本级收入安排情况，及时调整支出预算，对业务科室下达的用款计划，及时批复到支付中心。二是规范财政对外借款的管理，原则上不再除涉及民生的突发重大事项外不再对外借款，到期的借款及时催收。三是做好地方政府债券的还本付息管理，确保按时足额还款，防范债券兑付风险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ind w:firstLine="624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根据《中共河南省委 河南省人民政府关于全面实施预算绩效管理的实施意见》（豫发【2019】10号）的规定，争取市县层面到2022年年底基本建成全方面、全过程、全覆盖的预算绩效管理体系。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ind w:firstLine="624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按照工作进度，示范区目前尚未全范围、全覆盖、全流程开展重大政策和重点项目执行绩效管理工作，当年仍在试行阶段，无重大政策和重点项目绩效执行结果。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TC-*11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dobe 宋体 Std L">
    <w:altName w:val="宋体"/>
    <w:panose1 w:val="00000000000000000000"/>
    <w:charset w:val="86"/>
    <w:family w:val="roman"/>
    <w:pitch w:val="default"/>
    <w:sig w:usb0="00000000" w:usb1="00000000" w:usb2="00000010" w:usb3="00000000" w:csb0="00060007" w:csb1="00000000"/>
  </w:font>
  <w:font w:name="ATC-*33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F8BC33"/>
    <w:multiLevelType w:val="singleLevel"/>
    <w:tmpl w:val="81F8BC3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A576B6B"/>
    <w:multiLevelType w:val="singleLevel"/>
    <w:tmpl w:val="7A576B6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0CE0"/>
    <w:rsid w:val="001547EC"/>
    <w:rsid w:val="002E0C98"/>
    <w:rsid w:val="00430CE0"/>
    <w:rsid w:val="004A5A26"/>
    <w:rsid w:val="004D793B"/>
    <w:rsid w:val="006C79DB"/>
    <w:rsid w:val="0071343C"/>
    <w:rsid w:val="00746B6B"/>
    <w:rsid w:val="008E6086"/>
    <w:rsid w:val="00AA4517"/>
    <w:rsid w:val="00AC5614"/>
    <w:rsid w:val="00CB3D83"/>
    <w:rsid w:val="00CC0CD1"/>
    <w:rsid w:val="00E454BB"/>
    <w:rsid w:val="00FC43FB"/>
    <w:rsid w:val="01DF105E"/>
    <w:rsid w:val="02AB66F8"/>
    <w:rsid w:val="03974F57"/>
    <w:rsid w:val="0C327E28"/>
    <w:rsid w:val="17C05020"/>
    <w:rsid w:val="18FD72DF"/>
    <w:rsid w:val="24CC48C1"/>
    <w:rsid w:val="265E52BD"/>
    <w:rsid w:val="2E7C499B"/>
    <w:rsid w:val="30273103"/>
    <w:rsid w:val="398E5FCC"/>
    <w:rsid w:val="3C3452A7"/>
    <w:rsid w:val="3D30485A"/>
    <w:rsid w:val="411A313A"/>
    <w:rsid w:val="4CF74080"/>
    <w:rsid w:val="4EA25682"/>
    <w:rsid w:val="66C04F33"/>
    <w:rsid w:val="6DAD7858"/>
    <w:rsid w:val="701C0D17"/>
    <w:rsid w:val="745E00CE"/>
    <w:rsid w:val="7CBB4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adjustRightInd w:val="0"/>
      <w:spacing w:beforeLines="0" w:beforeAutospacing="0" w:afterLines="0" w:afterAutospacing="0" w:line="580" w:lineRule="exact"/>
      <w:jc w:val="center"/>
      <w:outlineLvl w:val="1"/>
    </w:pPr>
    <w:rPr>
      <w:rFonts w:ascii="Arial" w:hAnsi="Arial"/>
      <w:color w:val="auto"/>
      <w:sz w:val="40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autoSpaceDE w:val="0"/>
      <w:autoSpaceDN w:val="0"/>
      <w:adjustRightInd w:val="0"/>
      <w:ind w:left="761"/>
      <w:jc w:val="left"/>
    </w:pPr>
    <w:rPr>
      <w:rFonts w:ascii="仿宋_GB2312" w:hAnsi="Times New Roman" w:eastAsia="仿宋_GB2312" w:cs="Times New Roman"/>
      <w:kern w:val="0"/>
      <w:sz w:val="32"/>
      <w:szCs w:val="32"/>
    </w:rPr>
  </w:style>
  <w:style w:type="paragraph" w:styleId="4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楷体"/>
    <w:basedOn w:val="9"/>
    <w:qFormat/>
    <w:uiPriority w:val="0"/>
    <w:rPr>
      <w:rFonts w:ascii="方正楷体简体" w:eastAsia="方正楷体简体" w:cs="方正楷体简体"/>
      <w:color w:val="000000"/>
      <w:spacing w:val="0"/>
      <w:w w:val="100"/>
      <w:sz w:val="30"/>
      <w:szCs w:val="30"/>
      <w:vertAlign w:val="baseline"/>
    </w:rPr>
  </w:style>
  <w:style w:type="character" w:customStyle="1" w:styleId="9">
    <w:name w:val="样式"/>
    <w:uiPriority w:val="0"/>
    <w:rPr>
      <w:rFonts w:ascii="ATC-*11" w:eastAsia="ATC-*11" w:cs="ATC-*11"/>
      <w:color w:val="000000"/>
      <w:spacing w:val="0"/>
      <w:w w:val="100"/>
      <w:sz w:val="30"/>
      <w:szCs w:val="30"/>
      <w:vertAlign w:val="baseline"/>
    </w:rPr>
  </w:style>
  <w:style w:type="paragraph" w:customStyle="1" w:styleId="10">
    <w:name w:val="[无段落样式]"/>
    <w:uiPriority w:val="0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 宋体 Std L" w:hAnsi="Times New Roman" w:eastAsia="Adobe 宋体 Std L" w:cs="Adobe 宋体 Std L"/>
      <w:color w:val="000000"/>
      <w:kern w:val="0"/>
      <w:sz w:val="24"/>
      <w:szCs w:val="24"/>
      <w:lang w:val="zh-CN" w:eastAsia="zh-CN" w:bidi="ar-SA"/>
    </w:rPr>
  </w:style>
  <w:style w:type="character" w:customStyle="1" w:styleId="11">
    <w:name w:val="黑体"/>
    <w:basedOn w:val="9"/>
    <w:uiPriority w:val="0"/>
    <w:rPr>
      <w:rFonts w:ascii="ATC-*33" w:eastAsia="ATC-*33" w:cs="ATC-*33"/>
      <w:color w:val="000000"/>
      <w:spacing w:val="0"/>
      <w:w w:val="100"/>
      <w:sz w:val="30"/>
      <w:szCs w:val="30"/>
      <w:vertAlign w:val="baseline"/>
    </w:rPr>
  </w:style>
  <w:style w:type="paragraph" w:customStyle="1" w:styleId="12">
    <w:name w:val="[基本段落]"/>
    <w:basedOn w:val="10"/>
    <w:uiPriority w:val="0"/>
  </w:style>
  <w:style w:type="character" w:customStyle="1" w:styleId="13">
    <w:name w:val="字符样式1"/>
    <w:uiPriority w:val="0"/>
    <w:rPr>
      <w:rFonts w:ascii="方正大标宋简体" w:eastAsia="方正大标宋简体" w:cs="方正大标宋简体"/>
      <w:color w:val="000000"/>
      <w:spacing w:val="0"/>
      <w:w w:val="100"/>
      <w:sz w:val="44"/>
      <w:szCs w:val="44"/>
      <w:vertAlign w:val="baseline"/>
    </w:rPr>
  </w:style>
  <w:style w:type="paragraph" w:customStyle="1" w:styleId="14">
    <w:name w:val="List Paragraph"/>
    <w:basedOn w:val="1"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5">
    <w:name w:val="样式 财报正文宋体小四1.5倍 + 首行缩进:  2 字符"/>
    <w:basedOn w:val="16"/>
    <w:uiPriority w:val="0"/>
    <w:pPr>
      <w:spacing w:line="360" w:lineRule="auto"/>
      <w:ind w:firstLine="480"/>
    </w:pPr>
    <w:rPr>
      <w:rFonts w:ascii="宋体" w:hAnsi="宋体" w:cs="宋体"/>
      <w:szCs w:val="20"/>
    </w:rPr>
  </w:style>
  <w:style w:type="paragraph" w:customStyle="1" w:styleId="16">
    <w:name w:val="财报正文宋体小四1.5倍"/>
    <w:basedOn w:val="1"/>
    <w:uiPriority w:val="0"/>
    <w:pPr>
      <w:adjustRightInd w:val="0"/>
      <w:snapToGrid w:val="0"/>
      <w:ind w:firstLine="200" w:firstLineChars="200"/>
    </w:pPr>
    <w:rPr>
      <w:rFonts w:ascii="仿宋" w:hAnsi="仿宋" w:cs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10</Pages>
  <Words>621</Words>
  <Characters>3541</Characters>
  <Lines>29</Lines>
  <Paragraphs>8</Paragraphs>
  <TotalTime>11</TotalTime>
  <ScaleCrop>false</ScaleCrop>
  <LinksUpToDate>false</LinksUpToDate>
  <CharactersWithSpaces>4154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2017-07-17T08:30:00Z</dcterms:created>
  <dc:creator>china</dc:creator>
  <cp:lastModifiedBy>Mason®</cp:lastModifiedBy>
  <dcterms:modified xsi:type="dcterms:W3CDTF">2021-10-22T02:02:46Z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