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7B53B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南乐县中深层地热水开发利用项目禁采区</w:t>
      </w:r>
    </w:p>
    <w:p w14:paraId="42A4631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和限采区划分方案（试行）</w:t>
      </w:r>
    </w:p>
    <w:p w14:paraId="72AA4F1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lang w:val="en-US" w:eastAsia="zh-CN"/>
        </w:rPr>
      </w:pPr>
      <w:r>
        <w:rPr>
          <w:rFonts w:hint="eastAsia" w:ascii="方正小标宋简体" w:hAnsi="方正小标宋简体" w:eastAsia="方正小标宋简体" w:cs="方正小标宋简体"/>
          <w:b w:val="0"/>
          <w:bCs w:val="0"/>
          <w:sz w:val="44"/>
          <w:szCs w:val="44"/>
          <w:u w:val="none"/>
          <w:lang w:val="en-US" w:eastAsia="zh-CN"/>
        </w:rPr>
        <w:t>（征求意见稿）</w:t>
      </w:r>
    </w:p>
    <w:p w14:paraId="27D2DF96">
      <w:pPr>
        <w:keepNext w:val="0"/>
        <w:keepLines w:val="0"/>
        <w:pageBreakBefore w:val="0"/>
        <w:widowControl w:val="0"/>
        <w:kinsoku/>
        <w:wordWrap/>
        <w:overflowPunct/>
        <w:topLinePunct w:val="0"/>
        <w:autoSpaceDE/>
        <w:autoSpaceDN/>
        <w:bidi w:val="0"/>
        <w:adjustRightInd/>
        <w:snapToGrid/>
        <w:spacing w:before="313" w:beforeLines="100" w:line="600" w:lineRule="exact"/>
        <w:ind w:firstLine="640" w:firstLineChars="200"/>
        <w:textAlignment w:val="auto"/>
        <w:rPr>
          <w:rFonts w:hint="eastAsia" w:ascii="仿宋" w:hAnsi="仿宋" w:eastAsia="仿宋" w:cs="仿宋"/>
          <w:sz w:val="32"/>
          <w:szCs w:val="32"/>
          <w:lang w:val="en-US" w:eastAsia="zh-CN"/>
        </w:rPr>
      </w:pPr>
      <w:r>
        <w:rPr>
          <w:rFonts w:hint="default" w:ascii="Times New Roman" w:hAnsi="Times New Roman" w:eastAsia="仿宋_GB2312" w:cs="Times New Roman"/>
          <w:sz w:val="32"/>
          <w:szCs w:val="32"/>
          <w:lang w:val="en-US" w:eastAsia="zh-CN"/>
        </w:rPr>
        <w:t>为解决南乐县城乡居民冬季地热供暖问题，合理开发、有效利用和保护地热水资源，落实最严格水资源管理制度，促进地热水资源可持续利用，根据《中华人民共和国水法</w:t>
      </w:r>
      <w:bookmarkStart w:id="0" w:name="_GoBack"/>
      <w:bookmarkEnd w:id="0"/>
      <w:r>
        <w:rPr>
          <w:rFonts w:hint="default" w:ascii="Times New Roman" w:hAnsi="Times New Roman" w:eastAsia="仿宋_GB2312" w:cs="Times New Roman"/>
          <w:sz w:val="32"/>
          <w:szCs w:val="32"/>
          <w:lang w:val="en-US" w:eastAsia="zh-CN"/>
        </w:rPr>
        <w:t>》、《地下水管理条例》、《河南省地下水管理办法》和《濮阳市地热资源开发利用规划（2018-2035年）》的相关要求，结合南乐县中深层地热水资源特征和开发现状，制定了本禁限采区划分方案。</w:t>
      </w:r>
    </w:p>
    <w:p w14:paraId="1E57C8C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一、开发利用现状</w:t>
      </w:r>
    </w:p>
    <w:p w14:paraId="3C54175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宋体" w:hAnsi="宋体" w:eastAsia="宋体" w:cs="宋体"/>
          <w:lang w:val="en-US" w:eastAsia="zh-CN"/>
        </w:rPr>
      </w:pPr>
      <w:r>
        <w:rPr>
          <w:rFonts w:hint="eastAsia" w:ascii="Times New Roman" w:hAnsi="Times New Roman" w:eastAsia="仿宋_GB2312" w:cs="Times New Roman"/>
          <w:sz w:val="32"/>
          <w:szCs w:val="32"/>
          <w:lang w:val="en-US" w:eastAsia="zh-CN"/>
        </w:rPr>
        <w:t>截至2024年底，南乐县地热资源开发利用已形成一定规模，建成集中供热站3个，分散供热站11个，地热井共56眼，主要应用于冬季供暖领域。现有地热开发项目均采用“等量同层回灌”的先进技术，地热尾水回灌率普遍达到95%以上，基本实现了采灌平衡的目标。开发模式多采用“一采两灌”、“两采两灌”或“两采三灌”的技术方案，即通过换热器提取热量后，将地热水全部回灌至同层热储层，最大限度减少对地下水资源的影响。尽管如此，南乐县地热水开发仍面临若干挑战，一是局部区域超采风险：主要集中在县城建成区及周边地区，由于热负荷集中，开采强度较大，导致水位下降速率较快。二是回灌技术瓶颈：部分老旧项目存在回灌效率不高的问题，需要技术改造升级。</w:t>
      </w:r>
    </w:p>
    <w:p w14:paraId="24AE2DB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宋体" w:hAnsi="宋体" w:eastAsia="宋体" w:cs="宋体"/>
          <w:lang w:val="en-US" w:eastAsia="zh-CN"/>
        </w:rPr>
      </w:pPr>
      <w:r>
        <w:rPr>
          <w:rFonts w:hint="eastAsia" w:ascii="黑体" w:hAnsi="黑体" w:eastAsia="黑体" w:cs="黑体"/>
          <w:sz w:val="32"/>
          <w:szCs w:val="32"/>
          <w:lang w:val="en-US" w:eastAsia="zh-CN"/>
        </w:rPr>
        <w:t>二、划分范围</w:t>
      </w:r>
    </w:p>
    <w:p w14:paraId="0CF77F7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本次划分范围为南乐县</w:t>
      </w:r>
      <w:r>
        <w:rPr>
          <w:rFonts w:hint="eastAsia" w:ascii="仿宋_GB2312" w:hAnsi="仿宋_GB2312" w:eastAsia="仿宋_GB2312" w:cs="仿宋_GB2312"/>
          <w:sz w:val="32"/>
          <w:szCs w:val="32"/>
          <w:u w:val="none"/>
          <w:lang w:val="en-US" w:eastAsia="zh-CN"/>
        </w:rPr>
        <w:t>中心城区、乡镇集镇区和高铁站及周边区域，面积45.38平方公里，</w:t>
      </w:r>
      <w:r>
        <w:rPr>
          <w:rFonts w:hint="eastAsia" w:ascii="Times New Roman" w:hAnsi="Times New Roman" w:eastAsia="仿宋_GB2312" w:cs="Times New Roman"/>
          <w:sz w:val="32"/>
          <w:szCs w:val="32"/>
          <w:lang w:val="en-US" w:eastAsia="zh-CN"/>
        </w:rPr>
        <w:t>方案针对的地热水热能开发利用项目范围仅包括利用中深层地热井取水并采取“等量同层回灌”技术的地热能开发利用项目，同时项目需满足“以灌定采、采灌均衡”的原则。</w:t>
      </w:r>
    </w:p>
    <w:p w14:paraId="176EFF0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三、划分原则</w:t>
      </w:r>
    </w:p>
    <w:p w14:paraId="07960E9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b/>
          <w:bCs/>
          <w:sz w:val="32"/>
          <w:szCs w:val="32"/>
          <w:lang w:val="en-US" w:eastAsia="zh-CN"/>
        </w:rPr>
        <w:t>（一）生态优先、保护优先原则：</w:t>
      </w:r>
      <w:r>
        <w:rPr>
          <w:rFonts w:hint="eastAsia" w:ascii="Times New Roman" w:hAnsi="Times New Roman" w:eastAsia="仿宋_GB2312" w:cs="Times New Roman"/>
          <w:sz w:val="32"/>
          <w:szCs w:val="32"/>
          <w:lang w:val="en-US" w:eastAsia="zh-CN"/>
        </w:rPr>
        <w:t>将地下水环境保护放在首位，确保地热水开采不会引发地面沉降、水质污染等环境地质问题。</w:t>
      </w:r>
    </w:p>
    <w:p w14:paraId="2F26808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b/>
          <w:bCs/>
          <w:sz w:val="32"/>
          <w:szCs w:val="32"/>
          <w:lang w:val="en-US" w:eastAsia="zh-CN"/>
        </w:rPr>
        <w:t>（二）总量控制、采补平衡原则：</w:t>
      </w:r>
      <w:r>
        <w:rPr>
          <w:rFonts w:hint="eastAsia" w:ascii="Times New Roman" w:hAnsi="Times New Roman" w:eastAsia="仿宋_GB2312" w:cs="Times New Roman"/>
          <w:sz w:val="32"/>
          <w:szCs w:val="32"/>
          <w:lang w:val="en-US" w:eastAsia="zh-CN"/>
        </w:rPr>
        <w:t>以水资源承载能力为约束，确保开采量严格控制在可采量以内。</w:t>
      </w:r>
    </w:p>
    <w:p w14:paraId="0AEEBE9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b/>
          <w:bCs/>
          <w:sz w:val="32"/>
          <w:szCs w:val="32"/>
          <w:lang w:val="en-US" w:eastAsia="zh-CN"/>
        </w:rPr>
        <w:t>（三）统筹规划、合理布局原则：</w:t>
      </w:r>
      <w:r>
        <w:rPr>
          <w:rFonts w:hint="eastAsia" w:ascii="Times New Roman" w:hAnsi="Times New Roman" w:eastAsia="仿宋_GB2312" w:cs="Times New Roman"/>
          <w:sz w:val="32"/>
          <w:szCs w:val="32"/>
          <w:lang w:val="en-US" w:eastAsia="zh-CN"/>
        </w:rPr>
        <w:t>与国土空间规划、水资源综合规划等相衔接。</w:t>
      </w:r>
    </w:p>
    <w:p w14:paraId="26DA680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b/>
          <w:bCs/>
          <w:sz w:val="32"/>
          <w:szCs w:val="32"/>
          <w:lang w:val="en-US" w:eastAsia="zh-CN"/>
        </w:rPr>
        <w:t>（四）可持续利用原则：</w:t>
      </w:r>
      <w:r>
        <w:rPr>
          <w:rFonts w:hint="eastAsia" w:ascii="Times New Roman" w:hAnsi="Times New Roman" w:eastAsia="仿宋_GB2312" w:cs="Times New Roman"/>
          <w:sz w:val="32"/>
          <w:szCs w:val="32"/>
          <w:lang w:val="en-US" w:eastAsia="zh-CN"/>
        </w:rPr>
        <w:t>促进地热水资源开发与环境保护协调发展。</w:t>
      </w:r>
    </w:p>
    <w:p w14:paraId="46ACAA3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b/>
          <w:bCs/>
          <w:sz w:val="32"/>
          <w:szCs w:val="32"/>
          <w:lang w:val="en-US" w:eastAsia="zh-CN"/>
        </w:rPr>
        <w:t>（五）科学划分原则：</w:t>
      </w:r>
      <w:r>
        <w:rPr>
          <w:rFonts w:hint="eastAsia" w:ascii="Times New Roman" w:hAnsi="Times New Roman" w:eastAsia="仿宋_GB2312" w:cs="Times New Roman"/>
          <w:sz w:val="32"/>
          <w:szCs w:val="32"/>
          <w:lang w:val="en-US" w:eastAsia="zh-CN"/>
        </w:rPr>
        <w:t>根据水文地质条件、开发现状和环境敏感度，将全县划分为不同管控类型的区域。</w:t>
      </w:r>
    </w:p>
    <w:p w14:paraId="36533AA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b/>
          <w:bCs/>
          <w:sz w:val="32"/>
          <w:szCs w:val="32"/>
          <w:lang w:val="en-US" w:eastAsia="zh-CN"/>
        </w:rPr>
        <w:t>（六）前瞻性原则：</w:t>
      </w:r>
      <w:r>
        <w:rPr>
          <w:rFonts w:hint="eastAsia" w:ascii="Times New Roman" w:hAnsi="Times New Roman" w:eastAsia="仿宋_GB2312" w:cs="Times New Roman"/>
          <w:sz w:val="32"/>
          <w:szCs w:val="32"/>
          <w:lang w:val="en-US" w:eastAsia="zh-CN"/>
        </w:rPr>
        <w:t>充分考虑南乐县未来城市发展、能源需求和环境保护之间的平衡，为未来发展预留空间。</w:t>
      </w:r>
    </w:p>
    <w:p w14:paraId="6C5CFA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宋体" w:hAnsi="宋体" w:eastAsia="宋体" w:cs="宋体"/>
          <w:lang w:val="en-US" w:eastAsia="zh-CN"/>
        </w:rPr>
      </w:pPr>
      <w:r>
        <w:rPr>
          <w:rFonts w:hint="eastAsia" w:ascii="黑体" w:hAnsi="黑体" w:eastAsia="黑体" w:cs="黑体"/>
          <w:sz w:val="32"/>
          <w:szCs w:val="32"/>
          <w:lang w:val="en-US" w:eastAsia="zh-CN"/>
        </w:rPr>
        <w:t>四、划分标准</w:t>
      </w:r>
    </w:p>
    <w:p w14:paraId="399294C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基于上述原则，结合南乐县实际情况，将全县划分为禁止开采区（即禁采区）、限制开采区（即限采区）和适宜开采区三类管控区域。</w:t>
      </w:r>
    </w:p>
    <w:p w14:paraId="3F095F2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（一）禁止开采区范围</w:t>
      </w:r>
    </w:p>
    <w:p w14:paraId="6CF5711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地下水禁采区是指出于保护地下水资源和防治环境地质灾害的目的，禁止新建、改建、扩建地下水取水工程的区域。南乐县地热水禁采区主要包括：</w:t>
      </w:r>
    </w:p>
    <w:p w14:paraId="22781A3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1、高速铁路路基两侧200米范围，高速公路路基两侧50米范围；</w:t>
      </w:r>
    </w:p>
    <w:p w14:paraId="5AAF3F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2、重点文物保护单位保护范围（含烈士陵园）；</w:t>
      </w:r>
    </w:p>
    <w:p w14:paraId="06E35B0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3、集中式饮用水水源地的一级和二级保护区范围；</w:t>
      </w:r>
    </w:p>
    <w:p w14:paraId="6A7011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4、河道堤防和护堤地保护范围；</w:t>
      </w:r>
    </w:p>
    <w:p w14:paraId="6496A4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5、其他法律法规规定的禁采区区域。</w:t>
      </w:r>
    </w:p>
    <w:p w14:paraId="49819F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禁采区内，不得新建、改建、扩建任何地热水取水工程。</w:t>
      </w:r>
    </w:p>
    <w:p w14:paraId="7A1B1AD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（二）限制开采区范围</w:t>
      </w:r>
    </w:p>
    <w:p w14:paraId="149AD51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地下水限采区是指地下水开采量已接近或超过可开采量，需要逐步削减开采量的区域。南乐县地热水限采区主要包括：</w:t>
      </w:r>
    </w:p>
    <w:p w14:paraId="296EF27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1、超采区或开采量接近可开采量的区域；</w:t>
      </w:r>
    </w:p>
    <w:p w14:paraId="5D476DC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2、开采地热水可能引发地质灾害或生态损害的区域；</w:t>
      </w:r>
    </w:p>
    <w:p w14:paraId="2D1224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3、热储回灌性能较差，回灌井数/开采井数大于3的区域。</w:t>
      </w:r>
    </w:p>
    <w:p w14:paraId="36B40F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限采区内，应逐步削减现有地下水取水量。</w:t>
      </w:r>
    </w:p>
    <w:p w14:paraId="66F6697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（三）适宜开采区范围</w:t>
      </w:r>
    </w:p>
    <w:p w14:paraId="7102937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除禁采区和限采区以外的区域均为适宜开采区，适宜开采区内根据地质勘查情况可以进行合理规划，科学开采，严格落实同层等量回灌要求，保障采补平衡。</w:t>
      </w:r>
    </w:p>
    <w:p w14:paraId="03082D1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五、管控要求与实施措施</w:t>
      </w:r>
    </w:p>
    <w:p w14:paraId="42B605D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楷体_GB2312" w:cs="Times New Roman"/>
          <w:b/>
          <w:bCs/>
          <w:sz w:val="32"/>
          <w:szCs w:val="32"/>
          <w:lang w:val="en-US" w:eastAsia="zh-CN"/>
        </w:rPr>
      </w:pPr>
      <w:r>
        <w:rPr>
          <w:rFonts w:hint="eastAsia" w:ascii="Times New Roman" w:hAnsi="Times New Roman" w:eastAsia="楷体_GB2312" w:cs="Times New Roman"/>
          <w:b/>
          <w:bCs/>
          <w:sz w:val="32"/>
          <w:szCs w:val="32"/>
          <w:lang w:val="en-US" w:eastAsia="zh-CN"/>
        </w:rPr>
        <w:t>（一）分区管控措施</w:t>
      </w:r>
    </w:p>
    <w:p w14:paraId="22AC92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禁采区：禁止任何单位和个人新建、改建、扩建中深层地热水热能开发利用项目，必须执行最严格的保护措施。同时，还需对现有合法地热井建立退出时间表，取水许可证到期后一律封闭或停止使用。并加强动态巡查执法，严厉打击私自开采、盗采地热资源等违法行为。</w:t>
      </w:r>
    </w:p>
    <w:p w14:paraId="427D3D1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限采区：中深层地热水热能开发利用项目在探明所在项目区域内限采区可开采量及回灌能力之前，不批准相关许可，严格按照限采区回灌能力核定开采量和年度用水计划，同时进行区域总量控制，确保可持续开采。对现有项目，要求必须全部安装在线计量设施，实时监测水量、水温等数据，并接入省、市、县三级取用水管理平台，确保回灌率不低于95%。推广“一采两灌”等模式，鼓励采用“密封式、无干扰井下换热”（取热不取水）技术。对不能按要求回灌的项目，不予办理采矿许可和取水许可手续。</w:t>
      </w:r>
    </w:p>
    <w:p w14:paraId="3F6DC3E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3、开采区：开采区内中深层地热水热能开发利用项目需要严格执行国家和河南省有关地热能开发管理的法律法规及有关规定，实行严格的行政许可审批制度，并落实同层等量回灌要求。</w:t>
      </w:r>
    </w:p>
    <w:p w14:paraId="04E7535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eastAsia" w:ascii="Times New Roman" w:hAnsi="Times New Roman" w:eastAsia="楷体_GB2312" w:cs="Times New Roman"/>
          <w:b/>
          <w:bCs/>
          <w:sz w:val="32"/>
          <w:szCs w:val="32"/>
          <w:lang w:val="en-US" w:eastAsia="zh-CN"/>
        </w:rPr>
        <w:t>（二）</w:t>
      </w:r>
      <w:r>
        <w:rPr>
          <w:rFonts w:hint="default" w:ascii="Times New Roman" w:hAnsi="Times New Roman" w:eastAsia="楷体_GB2312" w:cs="Times New Roman"/>
          <w:b/>
          <w:bCs/>
          <w:sz w:val="32"/>
          <w:szCs w:val="32"/>
          <w:lang w:val="en-US" w:eastAsia="zh-CN"/>
        </w:rPr>
        <w:t>长效机制与保障措施</w:t>
      </w:r>
    </w:p>
    <w:p w14:paraId="5513D6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1、完善管理制度。根据《地下水管理条例》规定的自然资源、水利、生态环境等部门的地热管理职责，建立联合审批和执法机制，避免政出多门和管理缺失。</w:t>
      </w:r>
    </w:p>
    <w:p w14:paraId="226F5BA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2、强化监测监管。全面建设并完善南乐县地热资源动态监测信息化平台，对全县地热井的开采取水、回灌、水温等实行全要素、全过程、实时动态精准监管。</w:t>
      </w:r>
    </w:p>
    <w:p w14:paraId="758E08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3、推动热源替代与优化。在禁采区关停和限采区压减的同时，提前规划并实施清洁热源替代方案，如大力发展深层地下换热（取热不取水）项目、污水源热泵、生物质能等多元化清洁供暖方式。</w:t>
      </w:r>
    </w:p>
    <w:p w14:paraId="7EE6673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4、加强宣传引导。向社会公众和开发企业广泛宣传地下水资源保护的严峻性和重要性，解读禁限采政策，为政策顺利实施创造良好的社会氛围。</w:t>
      </w:r>
    </w:p>
    <w:p w14:paraId="26F6037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p>
    <w:p w14:paraId="320DAED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附件：南乐县中深层地热能开发利用项目开采区及禁采区范围图</w:t>
      </w:r>
    </w:p>
    <w:p w14:paraId="53B24CC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p>
    <w:p w14:paraId="54E594F5">
      <w:pPr>
        <w:ind w:left="0" w:leftChars="0" w:firstLine="0" w:firstLineChars="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drawing>
          <wp:inline distT="0" distB="0" distL="114300" distR="114300">
            <wp:extent cx="7603490" cy="5618480"/>
            <wp:effectExtent l="0" t="0" r="1270" b="16510"/>
            <wp:docPr id="1" name="图片 1" descr="微信图片_20250915143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915143752"/>
                    <pic:cNvPicPr>
                      <a:picLocks noChangeAspect="1"/>
                    </pic:cNvPicPr>
                  </pic:nvPicPr>
                  <pic:blipFill>
                    <a:blip r:embed="rId4"/>
                    <a:stretch>
                      <a:fillRect/>
                    </a:stretch>
                  </pic:blipFill>
                  <pic:spPr>
                    <a:xfrm rot="16200000">
                      <a:off x="0" y="0"/>
                      <a:ext cx="7603490" cy="5618480"/>
                    </a:xfrm>
                    <a:prstGeom prst="rect">
                      <a:avLst/>
                    </a:prstGeom>
                  </pic:spPr>
                </pic:pic>
              </a:graphicData>
            </a:graphic>
          </wp:inline>
        </w:drawing>
      </w:r>
    </w:p>
    <w:p w14:paraId="4C3A6D12">
      <w:pPr>
        <w:rPr>
          <w:rFonts w:hint="default" w:ascii="宋体" w:hAnsi="宋体" w:eastAsia="宋体" w:cs="宋体"/>
          <w:lang w:val="en-US" w:eastAsia="zh-CN"/>
        </w:rPr>
      </w:pPr>
    </w:p>
    <w:sectPr>
      <w:pgSz w:w="11906" w:h="16838"/>
      <w:pgMar w:top="204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D86A3F"/>
    <w:rsid w:val="01CC5EE4"/>
    <w:rsid w:val="01EC20E2"/>
    <w:rsid w:val="02BC1AB4"/>
    <w:rsid w:val="03A72764"/>
    <w:rsid w:val="0486237A"/>
    <w:rsid w:val="05CD3FD8"/>
    <w:rsid w:val="06735BC1"/>
    <w:rsid w:val="06BC6527"/>
    <w:rsid w:val="08F875BE"/>
    <w:rsid w:val="0A60541B"/>
    <w:rsid w:val="0C6A2581"/>
    <w:rsid w:val="0CD30126"/>
    <w:rsid w:val="0CE71E24"/>
    <w:rsid w:val="0DB55A7E"/>
    <w:rsid w:val="0E3E35AC"/>
    <w:rsid w:val="0E883192"/>
    <w:rsid w:val="13497FF1"/>
    <w:rsid w:val="136C4E31"/>
    <w:rsid w:val="18DE020B"/>
    <w:rsid w:val="1B244243"/>
    <w:rsid w:val="1B522FDE"/>
    <w:rsid w:val="1DF148B0"/>
    <w:rsid w:val="1E9516DF"/>
    <w:rsid w:val="20FF1092"/>
    <w:rsid w:val="259721E1"/>
    <w:rsid w:val="26411F2D"/>
    <w:rsid w:val="2A29653A"/>
    <w:rsid w:val="2CE90E48"/>
    <w:rsid w:val="32780CA4"/>
    <w:rsid w:val="33E505BB"/>
    <w:rsid w:val="34930017"/>
    <w:rsid w:val="34BE699A"/>
    <w:rsid w:val="398735AB"/>
    <w:rsid w:val="3A173499"/>
    <w:rsid w:val="3DC079A3"/>
    <w:rsid w:val="3ED46508"/>
    <w:rsid w:val="3FB157F6"/>
    <w:rsid w:val="4061721C"/>
    <w:rsid w:val="41D86A3F"/>
    <w:rsid w:val="430345BA"/>
    <w:rsid w:val="43503578"/>
    <w:rsid w:val="45F428E0"/>
    <w:rsid w:val="471054F8"/>
    <w:rsid w:val="51C07B1A"/>
    <w:rsid w:val="53206AC2"/>
    <w:rsid w:val="547215A0"/>
    <w:rsid w:val="549E2395"/>
    <w:rsid w:val="59C17D45"/>
    <w:rsid w:val="59EE3B1B"/>
    <w:rsid w:val="5C9D73D6"/>
    <w:rsid w:val="5D9C58DF"/>
    <w:rsid w:val="61250AC8"/>
    <w:rsid w:val="61785D1C"/>
    <w:rsid w:val="635B58F5"/>
    <w:rsid w:val="675F6756"/>
    <w:rsid w:val="6F094457"/>
    <w:rsid w:val="702754DC"/>
    <w:rsid w:val="76C75323"/>
    <w:rsid w:val="795B7FA5"/>
    <w:rsid w:val="79D24E45"/>
    <w:rsid w:val="7A6D6A0A"/>
    <w:rsid w:val="7AB61937"/>
    <w:rsid w:val="7AC53928"/>
    <w:rsid w:val="7CB63E70"/>
    <w:rsid w:val="7CF91FAF"/>
    <w:rsid w:val="7D561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2680</Words>
  <Characters>2760</Characters>
  <Lines>0</Lines>
  <Paragraphs>0</Paragraphs>
  <TotalTime>3</TotalTime>
  <ScaleCrop>false</ScaleCrop>
  <LinksUpToDate>false</LinksUpToDate>
  <CharactersWithSpaces>2904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2025-09-08T07:18:00Z</dcterms:created>
  <dc:creator>随缘</dc:creator>
  <cp:lastModifiedBy>LF</cp:lastModifiedBy>
  <cp:lastPrinted>2025-09-12T02:37:00Z</cp:lastPrinted>
  <dcterms:modified xsi:type="dcterms:W3CDTF">2025-09-26T08:00:17Z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93F5CECAAFD645E4B68952D43432644F_13</vt:lpwstr>
  </property>
  <property fmtid="{D5CDD505-2E9C-101B-9397-08002B2CF9AE}" pid="4" name="KSOTemplateDocerSaveRecord">
    <vt:lpwstr>eyJoZGlkIjoiOTYxYjZhOTE5NDc1YmI2ZDY5YzVjZjY2ZWM2ODdlMjMiLCJ1c2VySWQiOiIyMzU0NTU5NDUifQ==</vt:lpwstr>
  </property>
</Properties>
</file>