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117F59">
      <w:pPr>
        <w:spacing w:line="579" w:lineRule="exact"/>
        <w:jc w:val="center"/>
        <w:rPr>
          <w:rFonts w:ascii="方正小标宋简体" w:eastAsia="方正小标宋简体"/>
          <w:sz w:val="44"/>
          <w:lang w:eastAsia="zh-CN"/>
        </w:rPr>
      </w:pPr>
      <w:r>
        <w:rPr>
          <w:rFonts w:hint="eastAsia" w:ascii="方正小标宋简体" w:eastAsia="方正小标宋简体"/>
          <w:sz w:val="44"/>
          <w:lang w:eastAsia="zh-CN"/>
        </w:rPr>
        <w:t>郑州航空港经济综合实验区</w:t>
      </w:r>
    </w:p>
    <w:p w14:paraId="695AF8E6">
      <w:pPr>
        <w:spacing w:line="579" w:lineRule="exact"/>
        <w:jc w:val="center"/>
        <w:rPr>
          <w:rFonts w:ascii="方正小标宋简体" w:eastAsia="方正小标宋简体"/>
          <w:sz w:val="44"/>
          <w:lang w:eastAsia="zh-CN"/>
        </w:rPr>
      </w:pPr>
      <w:r>
        <w:rPr>
          <w:rFonts w:hint="eastAsia" w:ascii="方正小标宋简体" w:eastAsia="方正小标宋简体"/>
          <w:sz w:val="44"/>
          <w:lang w:eastAsia="zh-CN"/>
        </w:rPr>
        <w:t>关于支持农业产业高质量发展的措施</w:t>
      </w:r>
    </w:p>
    <w:p w14:paraId="54695637">
      <w:pPr>
        <w:spacing w:line="579" w:lineRule="exact"/>
        <w:jc w:val="center"/>
        <w:rPr>
          <w:rFonts w:hint="eastAsia" w:ascii="楷体" w:hAnsi="楷体" w:eastAsia="楷体" w:cs="楷体"/>
          <w:lang w:eastAsia="zh-CN"/>
        </w:rPr>
      </w:pPr>
      <w:r>
        <w:rPr>
          <w:rFonts w:hint="eastAsia" w:ascii="楷体" w:hAnsi="楷体" w:eastAsia="楷体" w:cs="楷体"/>
          <w:lang w:eastAsia="zh-CN"/>
        </w:rPr>
        <w:t>（</w:t>
      </w:r>
      <w:r>
        <w:rPr>
          <w:rFonts w:hint="eastAsia" w:ascii="楷体" w:hAnsi="楷体" w:eastAsia="楷体" w:cs="楷体"/>
          <w:lang w:val="en-US" w:eastAsia="zh-CN"/>
        </w:rPr>
        <w:t>征求意见稿</w:t>
      </w:r>
      <w:r>
        <w:rPr>
          <w:rFonts w:hint="eastAsia" w:ascii="楷体" w:hAnsi="楷体" w:eastAsia="楷体" w:cs="楷体"/>
          <w:lang w:eastAsia="zh-CN"/>
        </w:rPr>
        <w:t>）</w:t>
      </w:r>
    </w:p>
    <w:p w14:paraId="6CD54C49">
      <w:pPr>
        <w:spacing w:line="579" w:lineRule="exact"/>
        <w:ind w:firstLine="632" w:firstLineChars="200"/>
        <w:jc w:val="both"/>
        <w:rPr>
          <w:rFonts w:hint="eastAsia"/>
          <w:lang w:eastAsia="zh-CN"/>
        </w:rPr>
      </w:pPr>
    </w:p>
    <w:p w14:paraId="280A461C">
      <w:pPr>
        <w:spacing w:line="579" w:lineRule="exact"/>
        <w:ind w:firstLine="632" w:firstLineChars="200"/>
        <w:jc w:val="both"/>
        <w:rPr>
          <w:lang w:eastAsia="zh-CN"/>
        </w:rPr>
      </w:pPr>
      <w:r>
        <w:rPr>
          <w:rFonts w:hint="eastAsia"/>
          <w:lang w:eastAsia="zh-CN"/>
        </w:rPr>
        <w:t>为深入实施乡村全面振兴战略，充分发挥郑州航空港经济综合实验区（以下简称“航空港区”）国家战略定位、政策集成、空港枢纽、开放平台等独特优势，加快转变农业发展方式，构建现代化农业产业体系，大幅提升农业质量效益和竞争力，着力塑造农业农村发展新动能新优势。结合航空港区实际，制定本</w:t>
      </w:r>
      <w:r>
        <w:rPr>
          <w:rFonts w:hint="eastAsia"/>
          <w:lang w:val="en-US" w:eastAsia="zh-CN"/>
        </w:rPr>
        <w:t>措施</w:t>
      </w:r>
      <w:r>
        <w:rPr>
          <w:rFonts w:hint="eastAsia"/>
          <w:lang w:eastAsia="zh-CN"/>
        </w:rPr>
        <w:t>。</w:t>
      </w:r>
    </w:p>
    <w:p w14:paraId="53D21AC7">
      <w:pPr>
        <w:spacing w:line="579" w:lineRule="exact"/>
        <w:ind w:firstLine="632" w:firstLineChars="200"/>
        <w:jc w:val="both"/>
        <w:rPr>
          <w:rFonts w:ascii="黑体" w:eastAsia="黑体"/>
          <w:lang w:eastAsia="zh-CN"/>
        </w:rPr>
      </w:pPr>
      <w:r>
        <w:rPr>
          <w:rFonts w:hint="eastAsia" w:ascii="黑体" w:eastAsia="黑体"/>
          <w:lang w:eastAsia="zh-CN"/>
        </w:rPr>
        <w:t>一、总体要求</w:t>
      </w:r>
    </w:p>
    <w:p w14:paraId="75950CC3">
      <w:pPr>
        <w:spacing w:line="579" w:lineRule="exact"/>
        <w:ind w:firstLine="632" w:firstLineChars="200"/>
        <w:jc w:val="both"/>
        <w:rPr>
          <w:lang w:eastAsia="zh-CN"/>
        </w:rPr>
      </w:pPr>
      <w:r>
        <w:rPr>
          <w:rFonts w:hint="eastAsia" w:ascii="楷体_GB2312" w:eastAsia="楷体_GB2312"/>
          <w:lang w:eastAsia="zh-CN"/>
        </w:rPr>
        <w:t>（一）指导思想</w:t>
      </w:r>
    </w:p>
    <w:p w14:paraId="32C6382C">
      <w:pPr>
        <w:spacing w:line="579" w:lineRule="exact"/>
        <w:ind w:firstLine="632" w:firstLineChars="200"/>
        <w:jc w:val="both"/>
        <w:rPr>
          <w:lang w:eastAsia="zh-CN"/>
        </w:rPr>
      </w:pPr>
      <w:r>
        <w:rPr>
          <w:rFonts w:hint="eastAsia"/>
          <w:lang w:eastAsia="zh-CN"/>
        </w:rPr>
        <w:t>坚持以习近平新时代中国特色社会主义思想为指导，以高质量发展为主题，完整准确全面贯彻新发展理念，围绕服务国家粮食安全和“空中丝绸之路先导区”建设大局，充分发挥航空港四港联动辐射力与枢纽经济能级优势，依托科技创新和数字赋能，推动农业生产标准化、资源利用集约化、产业形态现代化、服务体系高效化。聚焦建设高附加值农业示范高地，构建特色鲜明、链条完整、带动力强、开放度高的现代都市农业产业集群，为打造“中原经济区核心增长极、内陆开放高地”提供坚实的农业支撑。</w:t>
      </w:r>
    </w:p>
    <w:p w14:paraId="7183EA4A">
      <w:pPr>
        <w:spacing w:line="579" w:lineRule="exact"/>
        <w:ind w:firstLine="632" w:firstLineChars="200"/>
        <w:jc w:val="both"/>
        <w:rPr>
          <w:lang w:eastAsia="zh-CN"/>
        </w:rPr>
      </w:pPr>
      <w:r>
        <w:rPr>
          <w:rFonts w:hint="eastAsia" w:ascii="楷体_GB2312" w:eastAsia="楷体_GB2312"/>
          <w:lang w:eastAsia="zh-CN"/>
        </w:rPr>
        <w:t>（二）工作原则</w:t>
      </w:r>
    </w:p>
    <w:p w14:paraId="5BF2D00A">
      <w:pPr>
        <w:spacing w:line="579" w:lineRule="exact"/>
        <w:ind w:firstLine="632" w:firstLineChars="200"/>
        <w:jc w:val="both"/>
        <w:rPr>
          <w:lang w:eastAsia="zh-CN"/>
        </w:rPr>
      </w:pPr>
      <w:r>
        <w:rPr>
          <w:rFonts w:ascii="楷体_GB2312" w:eastAsia="楷体_GB2312"/>
          <w:lang w:eastAsia="zh-CN"/>
        </w:rPr>
        <w:t>坚持政府引导</w:t>
      </w:r>
      <w:r>
        <w:rPr>
          <w:rFonts w:hint="eastAsia" w:ascii="楷体_GB2312" w:eastAsia="楷体_GB2312"/>
          <w:lang w:eastAsia="zh-CN"/>
        </w:rPr>
        <w:t>，</w:t>
      </w:r>
      <w:r>
        <w:rPr>
          <w:rFonts w:ascii="楷体_GB2312" w:eastAsia="楷体_GB2312"/>
          <w:lang w:eastAsia="zh-CN"/>
        </w:rPr>
        <w:t>市场主导</w:t>
      </w:r>
      <w:r>
        <w:rPr>
          <w:rFonts w:hint="eastAsia"/>
          <w:lang w:eastAsia="zh-CN"/>
        </w:rPr>
        <w:t>。</w:t>
      </w:r>
      <w:r>
        <w:rPr>
          <w:lang w:eastAsia="zh-CN"/>
        </w:rPr>
        <w:t>充分发挥市场在资源配置中的决定性作用，更好发挥政府在规划引领、政策支持、标准制定、设施建设、公共服务和市场监管方面的作用，营造一流营商环境。</w:t>
      </w:r>
    </w:p>
    <w:p w14:paraId="259A4262">
      <w:pPr>
        <w:spacing w:line="579" w:lineRule="exact"/>
        <w:ind w:firstLine="632" w:firstLineChars="200"/>
        <w:jc w:val="both"/>
        <w:rPr>
          <w:lang w:eastAsia="zh-CN"/>
        </w:rPr>
      </w:pPr>
      <w:r>
        <w:rPr>
          <w:rFonts w:ascii="楷体_GB2312" w:eastAsia="楷体_GB2312"/>
          <w:lang w:eastAsia="zh-CN"/>
        </w:rPr>
        <w:t>坚持科技引领，创新驱动</w:t>
      </w:r>
      <w:r>
        <w:rPr>
          <w:rFonts w:hint="eastAsia"/>
          <w:lang w:eastAsia="zh-CN"/>
        </w:rPr>
        <w:t>。</w:t>
      </w:r>
      <w:r>
        <w:rPr>
          <w:lang w:eastAsia="zh-CN"/>
        </w:rPr>
        <w:t>突出科技创新核心地位，大力发展智慧农业、数字农业，推动智能装备、绿色防控等前沿技术集成应用，提升全要素生产率。</w:t>
      </w:r>
    </w:p>
    <w:p w14:paraId="2F01F21B">
      <w:pPr>
        <w:spacing w:line="579" w:lineRule="exact"/>
        <w:ind w:firstLine="632" w:firstLineChars="200"/>
        <w:jc w:val="both"/>
        <w:rPr>
          <w:lang w:eastAsia="zh-CN"/>
        </w:rPr>
      </w:pPr>
      <w:r>
        <w:rPr>
          <w:rFonts w:ascii="楷体_GB2312" w:eastAsia="楷体_GB2312"/>
          <w:lang w:eastAsia="zh-CN"/>
        </w:rPr>
        <w:t>坚持链条延伸，融合增效</w:t>
      </w:r>
      <w:r>
        <w:rPr>
          <w:rFonts w:hint="eastAsia"/>
          <w:lang w:eastAsia="zh-CN"/>
        </w:rPr>
        <w:t>。</w:t>
      </w:r>
      <w:r>
        <w:rPr>
          <w:lang w:eastAsia="zh-CN"/>
        </w:rPr>
        <w:t>强化现代农业基础核心能力建设，贯通研发、种养、加工、物流、营销、服务全产业链条，促进一二三产业深度融合，提高附加值。</w:t>
      </w:r>
    </w:p>
    <w:p w14:paraId="1018B942">
      <w:pPr>
        <w:spacing w:line="579" w:lineRule="exact"/>
        <w:ind w:firstLine="632" w:firstLineChars="200"/>
        <w:jc w:val="both"/>
        <w:rPr>
          <w:rFonts w:ascii="楷体_GB2312" w:eastAsia="楷体_GB2312"/>
          <w:lang w:eastAsia="zh-CN"/>
        </w:rPr>
      </w:pPr>
      <w:r>
        <w:rPr>
          <w:rFonts w:hint="eastAsia" w:ascii="楷体_GB2312" w:eastAsia="楷体_GB2312"/>
          <w:lang w:eastAsia="zh-CN"/>
        </w:rPr>
        <w:t>（三）总体目标</w:t>
      </w:r>
    </w:p>
    <w:p w14:paraId="6465E65D">
      <w:pPr>
        <w:spacing w:line="579" w:lineRule="exact"/>
        <w:ind w:firstLine="632" w:firstLineChars="200"/>
        <w:jc w:val="both"/>
        <w:rPr>
          <w:lang w:eastAsia="zh-CN"/>
        </w:rPr>
      </w:pPr>
      <w:r>
        <w:rPr>
          <w:rFonts w:hint="eastAsia"/>
          <w:lang w:eastAsia="zh-CN"/>
        </w:rPr>
        <w:t>到</w:t>
      </w:r>
      <w:r>
        <w:rPr>
          <w:lang w:eastAsia="zh-CN"/>
        </w:rPr>
        <w:t>2030年（</w:t>
      </w:r>
      <w:r>
        <w:rPr>
          <w:rFonts w:hint="eastAsia"/>
          <w:lang w:eastAsia="zh-CN"/>
        </w:rPr>
        <w:t>“</w:t>
      </w:r>
      <w:r>
        <w:rPr>
          <w:lang w:eastAsia="zh-CN"/>
        </w:rPr>
        <w:t>十</w:t>
      </w:r>
      <w:r>
        <w:rPr>
          <w:rFonts w:hint="eastAsia"/>
          <w:lang w:eastAsia="zh-CN"/>
        </w:rPr>
        <w:t>五</w:t>
      </w:r>
      <w:r>
        <w:rPr>
          <w:lang w:eastAsia="zh-CN"/>
        </w:rPr>
        <w:t>五</w:t>
      </w:r>
      <w:r>
        <w:rPr>
          <w:rFonts w:hint="eastAsia"/>
          <w:lang w:eastAsia="zh-CN"/>
        </w:rPr>
        <w:t>”</w:t>
      </w:r>
      <w:r>
        <w:rPr>
          <w:lang w:eastAsia="zh-CN"/>
        </w:rPr>
        <w:t>末期），农业质量效益和竞争力显著提升，临空都市型现代农业特色更加鲜明，建成具有全国影响力的农业高质量发展先行示范区：</w:t>
      </w:r>
      <w:r>
        <w:rPr>
          <w:rFonts w:hint="eastAsia"/>
          <w:lang w:eastAsia="zh-CN"/>
        </w:rPr>
        <w:t>粮食安全得到全面保障；</w:t>
      </w:r>
      <w:r>
        <w:rPr>
          <w:lang w:eastAsia="zh-CN"/>
        </w:rPr>
        <w:t>产业能级显著跃升</w:t>
      </w:r>
      <w:r>
        <w:rPr>
          <w:rFonts w:hint="eastAsia"/>
          <w:lang w:eastAsia="zh-CN"/>
        </w:rPr>
        <w:t>，</w:t>
      </w:r>
      <w:r>
        <w:rPr>
          <w:lang w:eastAsia="zh-CN"/>
        </w:rPr>
        <w:t>现代设施农业、智慧农业占种养业面积比重显著提升，初步形成具有港区特色的高精尖农业产业集群</w:t>
      </w:r>
      <w:r>
        <w:rPr>
          <w:rFonts w:hint="eastAsia"/>
          <w:lang w:eastAsia="zh-CN"/>
        </w:rPr>
        <w:t>；</w:t>
      </w:r>
      <w:r>
        <w:rPr>
          <w:lang w:eastAsia="zh-CN"/>
        </w:rPr>
        <w:t>农产品</w:t>
      </w:r>
      <w:r>
        <w:rPr>
          <w:rFonts w:hint="eastAsia"/>
          <w:lang w:eastAsia="zh-CN"/>
        </w:rPr>
        <w:t>销售</w:t>
      </w:r>
      <w:r>
        <w:rPr>
          <w:lang w:eastAsia="zh-CN"/>
        </w:rPr>
        <w:t>额</w:t>
      </w:r>
      <w:r>
        <w:rPr>
          <w:rFonts w:hint="eastAsia"/>
          <w:lang w:eastAsia="zh-CN"/>
        </w:rPr>
        <w:t>逐年</w:t>
      </w:r>
      <w:r>
        <w:rPr>
          <w:lang w:eastAsia="zh-CN"/>
        </w:rPr>
        <w:t>增长，区域性农产品供应链中心地位初步形成</w:t>
      </w:r>
      <w:r>
        <w:rPr>
          <w:rFonts w:hint="eastAsia"/>
          <w:lang w:eastAsia="zh-CN"/>
        </w:rPr>
        <w:t>；</w:t>
      </w:r>
      <w:r>
        <w:rPr>
          <w:lang w:eastAsia="zh-CN"/>
        </w:rPr>
        <w:t>和美乡村建设成效显著</w:t>
      </w:r>
      <w:r>
        <w:rPr>
          <w:rFonts w:hint="eastAsia"/>
          <w:lang w:eastAsia="zh-CN"/>
        </w:rPr>
        <w:t>，</w:t>
      </w:r>
      <w:r>
        <w:rPr>
          <w:lang w:eastAsia="zh-CN"/>
        </w:rPr>
        <w:t>农村基础设施和公共服务短板加快补齐，人居环境全域长效管护水平大幅提升</w:t>
      </w:r>
      <w:r>
        <w:rPr>
          <w:rFonts w:hint="eastAsia"/>
          <w:lang w:eastAsia="zh-CN"/>
        </w:rPr>
        <w:t>；</w:t>
      </w:r>
      <w:r>
        <w:rPr>
          <w:lang w:eastAsia="zh-CN"/>
        </w:rPr>
        <w:t>增收机制持续完善</w:t>
      </w:r>
      <w:r>
        <w:rPr>
          <w:rFonts w:hint="eastAsia"/>
          <w:lang w:eastAsia="zh-CN"/>
        </w:rPr>
        <w:t>，</w:t>
      </w:r>
      <w:r>
        <w:rPr>
          <w:lang w:eastAsia="zh-CN"/>
        </w:rPr>
        <w:t>村集体经济持续壮大，利益联结机制更加紧密，农民收入稳定增长，增幅高于全</w:t>
      </w:r>
      <w:r>
        <w:rPr>
          <w:rFonts w:hint="eastAsia"/>
          <w:lang w:eastAsia="zh-CN"/>
        </w:rPr>
        <w:t>省</w:t>
      </w:r>
      <w:r>
        <w:rPr>
          <w:lang w:eastAsia="zh-CN"/>
        </w:rPr>
        <w:t>平均水平。</w:t>
      </w:r>
    </w:p>
    <w:p w14:paraId="52242EF1">
      <w:pPr>
        <w:spacing w:line="579" w:lineRule="exact"/>
        <w:ind w:firstLine="632" w:firstLineChars="200"/>
        <w:jc w:val="both"/>
        <w:rPr>
          <w:rFonts w:ascii="黑体" w:eastAsia="黑体"/>
          <w:lang w:eastAsia="zh-CN"/>
        </w:rPr>
      </w:pPr>
      <w:r>
        <w:rPr>
          <w:rFonts w:hint="eastAsia" w:ascii="黑体" w:eastAsia="黑体"/>
          <w:lang w:eastAsia="zh-CN"/>
        </w:rPr>
        <w:t>二、具体举措</w:t>
      </w:r>
    </w:p>
    <w:p w14:paraId="43346D43">
      <w:pPr>
        <w:spacing w:line="579" w:lineRule="exact"/>
        <w:ind w:firstLine="632" w:firstLineChars="200"/>
        <w:jc w:val="both"/>
        <w:rPr>
          <w:lang w:eastAsia="zh-CN"/>
        </w:rPr>
      </w:pPr>
      <w:r>
        <w:rPr>
          <w:rFonts w:hint="eastAsia" w:ascii="楷体_GB2312" w:eastAsia="楷体_GB2312"/>
          <w:lang w:eastAsia="zh-CN"/>
        </w:rPr>
        <w:t>（一）全力抓好粮食生产</w:t>
      </w:r>
    </w:p>
    <w:p w14:paraId="085F135E">
      <w:pPr>
        <w:spacing w:line="579" w:lineRule="exact"/>
        <w:ind w:firstLine="632" w:firstLineChars="200"/>
        <w:jc w:val="both"/>
        <w:rPr>
          <w:lang w:eastAsia="zh-CN"/>
        </w:rPr>
      </w:pPr>
      <w:r>
        <w:rPr>
          <w:lang w:eastAsia="zh-CN"/>
        </w:rPr>
        <w:t>1.</w:t>
      </w:r>
      <w:r>
        <w:rPr>
          <w:rFonts w:hint="eastAsia"/>
          <w:lang w:eastAsia="zh-CN"/>
        </w:rPr>
        <w:t>支持</w:t>
      </w:r>
      <w:r>
        <w:rPr>
          <w:lang w:eastAsia="zh-CN"/>
        </w:rPr>
        <w:t>耕地轮作和大豆玉米带状复合种植</w:t>
      </w:r>
      <w:r>
        <w:rPr>
          <w:rFonts w:hint="eastAsia"/>
          <w:lang w:eastAsia="zh-CN"/>
        </w:rPr>
        <w:t>。</w:t>
      </w:r>
      <w:r>
        <w:rPr>
          <w:lang w:eastAsia="zh-CN"/>
        </w:rPr>
        <w:t>对超量完成上级下达任务的耕地轮作和大豆玉米带状复合种</w:t>
      </w:r>
      <w:r>
        <w:rPr>
          <w:rFonts w:hint="eastAsia"/>
          <w:lang w:eastAsia="zh-CN"/>
        </w:rPr>
        <w:t>植的新型经营主体、农业合作社和种植大户等，超量部分按照中央、省、市补贴标准，区级进行配套补贴，其中耕地轮作</w:t>
      </w:r>
      <w:r>
        <w:rPr>
          <w:lang w:eastAsia="zh-CN"/>
        </w:rPr>
        <w:t>150元/亩</w:t>
      </w:r>
      <w:r>
        <w:rPr>
          <w:rFonts w:hint="eastAsia"/>
          <w:lang w:eastAsia="zh-CN"/>
        </w:rPr>
        <w:t>，</w:t>
      </w:r>
      <w:r>
        <w:rPr>
          <w:lang w:eastAsia="zh-CN"/>
        </w:rPr>
        <w:t>大豆玉米带状复合种植300元/亩。</w:t>
      </w:r>
    </w:p>
    <w:p w14:paraId="32F8AA59">
      <w:pPr>
        <w:spacing w:line="579" w:lineRule="exact"/>
        <w:ind w:firstLine="632" w:firstLineChars="200"/>
        <w:jc w:val="both"/>
        <w:rPr>
          <w:lang w:eastAsia="zh-CN"/>
        </w:rPr>
      </w:pPr>
      <w:r>
        <w:rPr>
          <w:lang w:eastAsia="zh-CN"/>
        </w:rPr>
        <w:t>2.鼓励和引导土地规模流转</w:t>
      </w:r>
      <w:r>
        <w:rPr>
          <w:rFonts w:hint="eastAsia"/>
          <w:lang w:eastAsia="zh-CN"/>
        </w:rPr>
        <w:t>。</w:t>
      </w:r>
      <w:r>
        <w:rPr>
          <w:lang w:eastAsia="zh-CN"/>
        </w:rPr>
        <w:t>鼓励农户将承包土地经营权通过委托、入股等方式，委托给专业服务化组织进行管理和运营。对当年新增连片流转面积300亩及以上，由村集体经济组织或农村股份经济合作社进行统一委托管理和运营的，且流转期限5年及以上的，给予村集体50元/亩补助</w:t>
      </w:r>
      <w:r>
        <w:rPr>
          <w:rFonts w:hint="eastAsia"/>
          <w:lang w:eastAsia="zh-CN"/>
        </w:rPr>
        <w:t>，给予经营主体</w:t>
      </w:r>
      <w:r>
        <w:rPr>
          <w:lang w:eastAsia="zh-CN"/>
        </w:rPr>
        <w:t>200元/亩补助</w:t>
      </w:r>
      <w:r>
        <w:rPr>
          <w:rFonts w:hint="eastAsia"/>
          <w:lang w:eastAsia="zh-CN"/>
        </w:rPr>
        <w:t>。</w:t>
      </w:r>
    </w:p>
    <w:p w14:paraId="3320A715">
      <w:pPr>
        <w:spacing w:line="579" w:lineRule="exact"/>
        <w:ind w:firstLine="632" w:firstLineChars="200"/>
        <w:jc w:val="both"/>
        <w:rPr>
          <w:lang w:eastAsia="zh-CN"/>
        </w:rPr>
      </w:pPr>
      <w:r>
        <w:rPr>
          <w:rFonts w:hint="eastAsia" w:ascii="楷体_GB2312" w:eastAsia="楷体_GB2312"/>
          <w:lang w:eastAsia="zh-CN"/>
        </w:rPr>
        <w:t>（二）培育发展特色产业</w:t>
      </w:r>
    </w:p>
    <w:p w14:paraId="16367B7F">
      <w:pPr>
        <w:spacing w:line="579" w:lineRule="exact"/>
        <w:ind w:firstLine="632" w:firstLineChars="200"/>
        <w:jc w:val="both"/>
        <w:rPr>
          <w:lang w:eastAsia="zh-CN"/>
        </w:rPr>
      </w:pPr>
      <w:r>
        <w:rPr>
          <w:lang w:eastAsia="zh-CN"/>
        </w:rPr>
        <w:t>3.</w:t>
      </w:r>
      <w:r>
        <w:rPr>
          <w:rFonts w:hint="eastAsia"/>
          <w:lang w:eastAsia="zh-CN"/>
        </w:rPr>
        <w:t>实施“</w:t>
      </w:r>
      <w:r>
        <w:rPr>
          <w:lang w:eastAsia="zh-CN"/>
        </w:rPr>
        <w:t>龙头企业</w:t>
      </w:r>
      <w:r>
        <w:rPr>
          <w:rFonts w:hint="eastAsia"/>
          <w:lang w:eastAsia="zh-CN"/>
        </w:rPr>
        <w:t>引</w:t>
      </w:r>
      <w:r>
        <w:rPr>
          <w:lang w:eastAsia="zh-CN"/>
        </w:rPr>
        <w:t>育工程</w:t>
      </w:r>
      <w:r>
        <w:rPr>
          <w:rFonts w:hint="eastAsia"/>
          <w:lang w:eastAsia="zh-CN"/>
        </w:rPr>
        <w:t>”。紧盯农业产业头部企业，着力引进一批国内农业产业化</w:t>
      </w:r>
      <w:r>
        <w:rPr>
          <w:lang w:eastAsia="zh-CN"/>
        </w:rPr>
        <w:t>500</w:t>
      </w:r>
      <w:r>
        <w:rPr>
          <w:rFonts w:hint="eastAsia"/>
          <w:lang w:eastAsia="zh-CN"/>
        </w:rPr>
        <w:t>强企业、农业产业化国家重点龙头企业，做大做强农产品全产业链精深加工。着力培育一批具有带动能力强、市场竞争力强的农产品加工企业</w:t>
      </w:r>
      <w:r>
        <w:rPr>
          <w:rFonts w:hint="eastAsia"/>
          <w:highlight w:val="none"/>
          <w:lang w:eastAsia="zh-CN"/>
        </w:rPr>
        <w:t>。对新建或扩建固定资产投资</w:t>
      </w:r>
      <w:r>
        <w:rPr>
          <w:highlight w:val="none"/>
          <w:lang w:eastAsia="zh-CN"/>
        </w:rPr>
        <w:t>3000</w:t>
      </w:r>
      <w:r>
        <w:rPr>
          <w:rFonts w:hint="eastAsia"/>
          <w:highlight w:val="none"/>
          <w:lang w:eastAsia="zh-CN"/>
        </w:rPr>
        <w:t>万</w:t>
      </w:r>
      <w:r>
        <w:rPr>
          <w:highlight w:val="none"/>
          <w:lang w:eastAsia="zh-CN"/>
        </w:rPr>
        <w:t>元、5000</w:t>
      </w:r>
      <w:r>
        <w:rPr>
          <w:rFonts w:hint="eastAsia"/>
          <w:highlight w:val="none"/>
          <w:lang w:eastAsia="zh-CN"/>
        </w:rPr>
        <w:t>万</w:t>
      </w:r>
      <w:r>
        <w:rPr>
          <w:highlight w:val="none"/>
          <w:lang w:eastAsia="zh-CN"/>
        </w:rPr>
        <w:t>元</w:t>
      </w:r>
      <w:r>
        <w:rPr>
          <w:rFonts w:hint="eastAsia"/>
          <w:highlight w:val="none"/>
          <w:lang w:eastAsia="zh-CN"/>
        </w:rPr>
        <w:t>、1亿元以上的农产品加工企业，分别</w:t>
      </w:r>
      <w:r>
        <w:rPr>
          <w:highlight w:val="none"/>
          <w:lang w:eastAsia="zh-CN"/>
        </w:rPr>
        <w:t>给予10万元、20万元、30万元</w:t>
      </w:r>
      <w:r>
        <w:rPr>
          <w:rFonts w:hint="eastAsia"/>
          <w:highlight w:val="none"/>
          <w:lang w:eastAsia="zh-CN"/>
        </w:rPr>
        <w:t>、最高不超过5</w:t>
      </w:r>
      <w:r>
        <w:rPr>
          <w:highlight w:val="none"/>
          <w:lang w:eastAsia="zh-CN"/>
        </w:rPr>
        <w:t>0</w:t>
      </w:r>
      <w:r>
        <w:rPr>
          <w:rFonts w:hint="eastAsia"/>
          <w:highlight w:val="none"/>
          <w:lang w:eastAsia="zh-CN"/>
        </w:rPr>
        <w:t>万元</w:t>
      </w:r>
      <w:r>
        <w:rPr>
          <w:highlight w:val="none"/>
          <w:lang w:eastAsia="zh-CN"/>
        </w:rPr>
        <w:t>的一次性</w:t>
      </w:r>
      <w:r>
        <w:rPr>
          <w:rFonts w:hint="eastAsia"/>
          <w:highlight w:val="none"/>
          <w:lang w:val="en-US" w:eastAsia="zh-CN"/>
        </w:rPr>
        <w:t>奖励</w:t>
      </w:r>
      <w:r>
        <w:rPr>
          <w:highlight w:val="none"/>
          <w:lang w:eastAsia="zh-CN"/>
        </w:rPr>
        <w:t>。</w:t>
      </w:r>
      <w:r>
        <w:rPr>
          <w:rFonts w:hint="eastAsia"/>
          <w:highlight w:val="none"/>
          <w:lang w:eastAsia="zh-CN"/>
        </w:rPr>
        <w:t>对年销售额首次突破</w:t>
      </w:r>
      <w:r>
        <w:rPr>
          <w:highlight w:val="none"/>
          <w:lang w:eastAsia="zh-CN"/>
        </w:rPr>
        <w:t>5000</w:t>
      </w:r>
      <w:r>
        <w:rPr>
          <w:rFonts w:hint="eastAsia"/>
          <w:highlight w:val="none"/>
          <w:lang w:eastAsia="zh-CN"/>
        </w:rPr>
        <w:t>万</w:t>
      </w:r>
      <w:r>
        <w:rPr>
          <w:highlight w:val="none"/>
          <w:lang w:eastAsia="zh-CN"/>
        </w:rPr>
        <w:t>元、8000</w:t>
      </w:r>
      <w:r>
        <w:rPr>
          <w:rFonts w:hint="eastAsia"/>
          <w:highlight w:val="none"/>
          <w:lang w:eastAsia="zh-CN"/>
        </w:rPr>
        <w:t>万</w:t>
      </w:r>
      <w:r>
        <w:rPr>
          <w:highlight w:val="none"/>
          <w:lang w:eastAsia="zh-CN"/>
        </w:rPr>
        <w:t>元、1亿元的农产品加工企业，分别给予20万元、30万元、50万元的一次性奖励。</w:t>
      </w:r>
      <w:r>
        <w:rPr>
          <w:rFonts w:hint="eastAsia" w:hAnsi="Times New Roman" w:cs="仿宋_GB2312"/>
          <w:szCs w:val="32"/>
          <w:highlight w:val="none"/>
          <w:lang w:eastAsia="zh-CN"/>
        </w:rPr>
        <w:t>鼓励农业企业做大做强，对首次被认定为国家、省级农业产业化</w:t>
      </w:r>
      <w:r>
        <w:rPr>
          <w:rFonts w:hint="eastAsia" w:hAnsi="Times New Roman" w:cs="仿宋_GB2312"/>
          <w:szCs w:val="32"/>
          <w:lang w:eastAsia="zh-CN"/>
        </w:rPr>
        <w:t>重点龙头企业的，分别给予</w:t>
      </w:r>
      <w:r>
        <w:rPr>
          <w:rFonts w:hAnsi="Times New Roman" w:cs="仿宋_GB2312"/>
          <w:szCs w:val="32"/>
          <w:lang w:eastAsia="zh-CN"/>
        </w:rPr>
        <w:t>30万元和10万元奖励。</w:t>
      </w:r>
    </w:p>
    <w:p w14:paraId="694E524C">
      <w:pPr>
        <w:spacing w:line="579" w:lineRule="exact"/>
        <w:ind w:firstLine="632" w:firstLineChars="200"/>
        <w:jc w:val="both"/>
        <w:rPr>
          <w:lang w:eastAsia="zh-CN"/>
        </w:rPr>
      </w:pPr>
      <w:r>
        <w:rPr>
          <w:lang w:eastAsia="zh-CN"/>
        </w:rPr>
        <w:t>4.</w:t>
      </w:r>
      <w:r>
        <w:rPr>
          <w:rFonts w:hint="eastAsia"/>
          <w:lang w:eastAsia="zh-CN"/>
        </w:rPr>
        <w:t>建设设施农业产业集群。以大营镇、洧川镇、八千办事处为核心，</w:t>
      </w:r>
      <w:r>
        <w:rPr>
          <w:lang w:eastAsia="zh-CN"/>
        </w:rPr>
        <w:t>扩展</w:t>
      </w:r>
      <w:r>
        <w:rPr>
          <w:rFonts w:hint="eastAsia"/>
          <w:lang w:eastAsia="zh-CN"/>
        </w:rPr>
        <w:t>产业</w:t>
      </w:r>
      <w:r>
        <w:rPr>
          <w:lang w:eastAsia="zh-CN"/>
        </w:rPr>
        <w:t>规模，</w:t>
      </w:r>
      <w:r>
        <w:rPr>
          <w:rFonts w:hint="eastAsia"/>
          <w:lang w:eastAsia="zh-CN"/>
        </w:rPr>
        <w:t>着力</w:t>
      </w:r>
      <w:r>
        <w:rPr>
          <w:lang w:eastAsia="zh-CN"/>
        </w:rPr>
        <w:t>建设高标准</w:t>
      </w:r>
      <w:r>
        <w:rPr>
          <w:rFonts w:hint="eastAsia"/>
          <w:lang w:eastAsia="zh-CN"/>
        </w:rPr>
        <w:t>日光</w:t>
      </w:r>
      <w:r>
        <w:rPr>
          <w:lang w:eastAsia="zh-CN"/>
        </w:rPr>
        <w:t>温室和</w:t>
      </w:r>
      <w:r>
        <w:rPr>
          <w:rFonts w:hint="eastAsia"/>
          <w:lang w:eastAsia="zh-CN"/>
        </w:rPr>
        <w:t>植物工厂</w:t>
      </w:r>
      <w:r>
        <w:rPr>
          <w:lang w:eastAsia="zh-CN"/>
        </w:rPr>
        <w:t>，引入先进的种植技术和管理经验，提高</w:t>
      </w:r>
      <w:r>
        <w:rPr>
          <w:rFonts w:hint="eastAsia"/>
          <w:lang w:eastAsia="zh-CN"/>
        </w:rPr>
        <w:t>农作物</w:t>
      </w:r>
      <w:r>
        <w:rPr>
          <w:lang w:eastAsia="zh-CN"/>
        </w:rPr>
        <w:t>的产量和品质。</w:t>
      </w:r>
      <w:r>
        <w:rPr>
          <w:rFonts w:hint="eastAsia"/>
          <w:lang w:eastAsia="zh-CN"/>
        </w:rPr>
        <w:t>按照“先建后补”的原则，</w:t>
      </w:r>
      <w:r>
        <w:rPr>
          <w:rFonts w:hint="eastAsia" w:hAnsi="Times New Roman" w:cs="仿宋_GB2312"/>
          <w:szCs w:val="32"/>
          <w:lang w:eastAsia="zh-CN"/>
        </w:rPr>
        <w:t>对新建或扩建日光温室集中连片</w:t>
      </w:r>
      <w:r>
        <w:rPr>
          <w:rFonts w:hAnsi="Times New Roman" w:cs="仿宋_GB2312"/>
          <w:szCs w:val="32"/>
          <w:lang w:eastAsia="zh-CN"/>
        </w:rPr>
        <w:t>500</w:t>
      </w:r>
      <w:r>
        <w:rPr>
          <w:rFonts w:hint="eastAsia" w:hAnsi="Times New Roman" w:cs="仿宋_GB2312"/>
          <w:szCs w:val="32"/>
          <w:lang w:eastAsia="zh-CN"/>
        </w:rPr>
        <w:t>亩以上的，</w:t>
      </w:r>
      <w:r>
        <w:rPr>
          <w:rFonts w:hint="eastAsia"/>
          <w:lang w:eastAsia="zh-CN"/>
        </w:rPr>
        <w:t>给予最</w:t>
      </w:r>
      <w:r>
        <w:rPr>
          <w:lang w:eastAsia="zh-CN"/>
        </w:rPr>
        <w:t>高100万元</w:t>
      </w:r>
      <w:r>
        <w:rPr>
          <w:rFonts w:hint="eastAsia"/>
          <w:lang w:eastAsia="zh-CN"/>
        </w:rPr>
        <w:t>的</w:t>
      </w:r>
      <w:r>
        <w:rPr>
          <w:lang w:eastAsia="zh-CN"/>
        </w:rPr>
        <w:t>补贴</w:t>
      </w:r>
      <w:r>
        <w:rPr>
          <w:rFonts w:hint="eastAsia" w:hAnsi="Times New Roman" w:cs="仿宋_GB2312"/>
          <w:szCs w:val="32"/>
          <w:lang w:eastAsia="zh-CN"/>
        </w:rPr>
        <w:t>；对新建或扩建</w:t>
      </w:r>
      <w:r>
        <w:rPr>
          <w:rFonts w:hint="eastAsia"/>
          <w:lang w:eastAsia="zh-CN"/>
        </w:rPr>
        <w:t>植物工厂</w:t>
      </w:r>
      <w:r>
        <w:rPr>
          <w:rFonts w:hint="eastAsia" w:hAnsi="Times New Roman" w:cs="仿宋_GB2312"/>
          <w:szCs w:val="32"/>
          <w:lang w:eastAsia="zh-CN"/>
        </w:rPr>
        <w:t>集中连片</w:t>
      </w:r>
      <w:r>
        <w:rPr>
          <w:rFonts w:hAnsi="Times New Roman" w:cs="仿宋_GB2312"/>
          <w:szCs w:val="32"/>
          <w:lang w:eastAsia="zh-CN"/>
        </w:rPr>
        <w:t>500</w:t>
      </w:r>
      <w:r>
        <w:rPr>
          <w:rFonts w:hint="eastAsia" w:hAnsi="Times New Roman" w:cs="仿宋_GB2312"/>
          <w:szCs w:val="32"/>
          <w:lang w:eastAsia="zh-CN"/>
        </w:rPr>
        <w:t>亩以上</w:t>
      </w:r>
      <w:r>
        <w:rPr>
          <w:rFonts w:hint="eastAsia"/>
          <w:lang w:eastAsia="zh-CN"/>
        </w:rPr>
        <w:t>的，给予最</w:t>
      </w:r>
      <w:r>
        <w:rPr>
          <w:lang w:eastAsia="zh-CN"/>
        </w:rPr>
        <w:t>高300万元</w:t>
      </w:r>
      <w:r>
        <w:rPr>
          <w:rFonts w:hint="eastAsia"/>
          <w:lang w:eastAsia="zh-CN"/>
        </w:rPr>
        <w:t>的</w:t>
      </w:r>
      <w:r>
        <w:rPr>
          <w:lang w:eastAsia="zh-CN"/>
        </w:rPr>
        <w:t>补贴。</w:t>
      </w:r>
    </w:p>
    <w:p w14:paraId="7327B2C1">
      <w:pPr>
        <w:spacing w:line="579" w:lineRule="exact"/>
        <w:ind w:firstLine="632" w:firstLineChars="200"/>
        <w:jc w:val="both"/>
        <w:rPr>
          <w:lang w:eastAsia="zh-CN"/>
        </w:rPr>
      </w:pPr>
      <w:r>
        <w:rPr>
          <w:lang w:eastAsia="zh-CN"/>
        </w:rPr>
        <w:t>5.</w:t>
      </w:r>
      <w:r>
        <w:rPr>
          <w:rFonts w:hint="eastAsia"/>
          <w:lang w:eastAsia="zh-CN"/>
        </w:rPr>
        <w:t>支持</w:t>
      </w:r>
      <w:r>
        <w:rPr>
          <w:lang w:eastAsia="zh-CN"/>
        </w:rPr>
        <w:t>做好电商建设。对农</w:t>
      </w:r>
      <w:r>
        <w:rPr>
          <w:rFonts w:hint="eastAsia"/>
          <w:lang w:eastAsia="zh-CN"/>
        </w:rPr>
        <w:t>产品年网络销售额（上行网络销售）达</w:t>
      </w:r>
      <w:r>
        <w:rPr>
          <w:lang w:eastAsia="zh-CN"/>
        </w:rPr>
        <w:t>1000万元、3000万元、5000万元</w:t>
      </w:r>
      <w:r>
        <w:rPr>
          <w:rFonts w:hint="eastAsia"/>
          <w:lang w:eastAsia="zh-CN"/>
        </w:rPr>
        <w:t>的电商企业，分别一次性奖励</w:t>
      </w:r>
      <w:r>
        <w:rPr>
          <w:lang w:eastAsia="zh-CN"/>
        </w:rPr>
        <w:t>10万元、20万元、30万元。</w:t>
      </w:r>
    </w:p>
    <w:p w14:paraId="3E2726E2">
      <w:pPr>
        <w:spacing w:line="579" w:lineRule="exact"/>
        <w:ind w:firstLine="632" w:firstLineChars="200"/>
        <w:jc w:val="both"/>
        <w:rPr>
          <w:rFonts w:ascii="楷体_GB2312" w:eastAsia="楷体_GB2312"/>
          <w:lang w:eastAsia="zh-CN"/>
        </w:rPr>
      </w:pPr>
      <w:r>
        <w:rPr>
          <w:rFonts w:hint="eastAsia" w:ascii="楷体_GB2312" w:eastAsia="楷体_GB2312"/>
          <w:lang w:eastAsia="zh-CN"/>
        </w:rPr>
        <w:t>（三）健全完善发展载体</w:t>
      </w:r>
    </w:p>
    <w:p w14:paraId="54F09580">
      <w:pPr>
        <w:spacing w:line="579" w:lineRule="exact"/>
        <w:ind w:firstLine="632" w:firstLineChars="200"/>
        <w:jc w:val="both"/>
        <w:rPr>
          <w:lang w:eastAsia="zh-CN"/>
        </w:rPr>
      </w:pPr>
      <w:r>
        <w:rPr>
          <w:lang w:eastAsia="zh-CN"/>
        </w:rPr>
        <w:t>6.</w:t>
      </w:r>
      <w:r>
        <w:rPr>
          <w:rFonts w:hint="eastAsia"/>
          <w:lang w:eastAsia="zh-CN"/>
        </w:rPr>
        <w:t>支持农业产业园建设。新认定</w:t>
      </w:r>
      <w:r>
        <w:rPr>
          <w:lang w:eastAsia="zh-CN"/>
        </w:rPr>
        <w:t>1</w:t>
      </w:r>
      <w:r>
        <w:rPr>
          <w:rFonts w:hint="eastAsia"/>
          <w:lang w:eastAsia="zh-CN"/>
        </w:rPr>
        <w:t>个国家级、省级现代农业产业园，分别一次性奖励</w:t>
      </w:r>
      <w:r>
        <w:rPr>
          <w:lang w:eastAsia="zh-CN"/>
        </w:rPr>
        <w:t>50</w:t>
      </w:r>
      <w:r>
        <w:rPr>
          <w:rFonts w:hint="eastAsia"/>
          <w:lang w:eastAsia="zh-CN"/>
        </w:rPr>
        <w:t>万元、</w:t>
      </w:r>
      <w:r>
        <w:rPr>
          <w:lang w:eastAsia="zh-CN"/>
        </w:rPr>
        <w:t>20</w:t>
      </w:r>
      <w:r>
        <w:rPr>
          <w:rFonts w:hint="eastAsia"/>
          <w:lang w:eastAsia="zh-CN"/>
        </w:rPr>
        <w:t>万元，每成功创建</w:t>
      </w:r>
      <w:r>
        <w:rPr>
          <w:lang w:eastAsia="zh-CN"/>
        </w:rPr>
        <w:t>1</w:t>
      </w:r>
      <w:r>
        <w:rPr>
          <w:rFonts w:hint="eastAsia"/>
          <w:lang w:eastAsia="zh-CN"/>
        </w:rPr>
        <w:t>个郑州市级现代农业产业园，一次性奖励</w:t>
      </w:r>
      <w:r>
        <w:rPr>
          <w:lang w:eastAsia="zh-CN"/>
        </w:rPr>
        <w:t>5</w:t>
      </w:r>
      <w:r>
        <w:rPr>
          <w:rFonts w:hint="eastAsia"/>
          <w:lang w:eastAsia="zh-CN"/>
        </w:rPr>
        <w:t>万元。</w:t>
      </w:r>
    </w:p>
    <w:p w14:paraId="592E62EB">
      <w:pPr>
        <w:spacing w:line="579" w:lineRule="exact"/>
        <w:ind w:firstLine="632" w:firstLineChars="200"/>
        <w:jc w:val="both"/>
        <w:rPr>
          <w:lang w:eastAsia="zh-CN"/>
        </w:rPr>
      </w:pPr>
      <w:r>
        <w:rPr>
          <w:lang w:eastAsia="zh-CN"/>
        </w:rPr>
        <w:t>7</w:t>
      </w:r>
      <w:r>
        <w:rPr>
          <w:rFonts w:hint="eastAsia"/>
          <w:lang w:eastAsia="zh-CN"/>
        </w:rPr>
        <w:t>.支持培育壮大“一村一品”。对新认定的国家级、省级“一村一品”示范村镇，分别一次性奖励</w:t>
      </w:r>
      <w:r>
        <w:rPr>
          <w:lang w:eastAsia="zh-CN"/>
        </w:rPr>
        <w:t>10</w:t>
      </w:r>
      <w:r>
        <w:rPr>
          <w:rFonts w:hint="eastAsia"/>
          <w:lang w:eastAsia="zh-CN"/>
        </w:rPr>
        <w:t>万元、</w:t>
      </w:r>
      <w:r>
        <w:rPr>
          <w:lang w:eastAsia="zh-CN"/>
        </w:rPr>
        <w:t>5</w:t>
      </w:r>
      <w:r>
        <w:rPr>
          <w:rFonts w:hint="eastAsia"/>
          <w:lang w:eastAsia="zh-CN"/>
        </w:rPr>
        <w:t>万元。</w:t>
      </w:r>
    </w:p>
    <w:p w14:paraId="5E7BAF54">
      <w:pPr>
        <w:spacing w:line="579" w:lineRule="exact"/>
        <w:ind w:firstLine="632" w:firstLineChars="200"/>
        <w:jc w:val="both"/>
        <w:rPr>
          <w:rFonts w:ascii="楷体_GB2312" w:eastAsia="楷体_GB2312"/>
          <w:lang w:eastAsia="zh-CN"/>
        </w:rPr>
      </w:pPr>
      <w:r>
        <w:rPr>
          <w:rFonts w:hint="eastAsia" w:ascii="楷体_GB2312" w:eastAsia="楷体_GB2312"/>
          <w:lang w:eastAsia="zh-CN"/>
        </w:rPr>
        <w:t>（四）发展壮大经营主体</w:t>
      </w:r>
    </w:p>
    <w:p w14:paraId="36EA2BFC">
      <w:pPr>
        <w:spacing w:line="579" w:lineRule="exact"/>
        <w:ind w:firstLine="632" w:firstLineChars="200"/>
        <w:jc w:val="both"/>
        <w:rPr>
          <w:rFonts w:hAnsi="Times New Roman" w:cs="仿宋_GB2312"/>
          <w:szCs w:val="32"/>
          <w:lang w:eastAsia="zh-CN"/>
        </w:rPr>
      </w:pPr>
      <w:r>
        <w:rPr>
          <w:rFonts w:hAnsi="Times New Roman" w:cs="仿宋_GB2312"/>
          <w:szCs w:val="32"/>
          <w:lang w:eastAsia="zh-CN"/>
        </w:rPr>
        <w:t>8</w:t>
      </w:r>
      <w:r>
        <w:rPr>
          <w:rFonts w:hint="eastAsia" w:hAnsi="Times New Roman" w:cs="仿宋_GB2312"/>
          <w:szCs w:val="32"/>
          <w:lang w:eastAsia="zh-CN"/>
        </w:rPr>
        <w:t>.支持农业产业化联合体发展。新认定</w:t>
      </w:r>
      <w:r>
        <w:rPr>
          <w:rFonts w:hAnsi="Times New Roman" w:cs="仿宋_GB2312"/>
          <w:szCs w:val="32"/>
          <w:lang w:eastAsia="zh-CN"/>
        </w:rPr>
        <w:t>1</w:t>
      </w:r>
      <w:r>
        <w:rPr>
          <w:rFonts w:hint="eastAsia" w:hAnsi="Times New Roman" w:cs="仿宋_GB2312"/>
          <w:szCs w:val="32"/>
          <w:lang w:eastAsia="zh-CN"/>
        </w:rPr>
        <w:t>个国家级、省级农业产业化联合体，分别一次性奖励</w:t>
      </w:r>
      <w:r>
        <w:rPr>
          <w:rFonts w:hAnsi="Times New Roman" w:cs="仿宋_GB2312"/>
          <w:szCs w:val="32"/>
          <w:lang w:eastAsia="zh-CN"/>
        </w:rPr>
        <w:t>50</w:t>
      </w:r>
      <w:r>
        <w:rPr>
          <w:rFonts w:hint="eastAsia" w:hAnsi="Times New Roman" w:cs="仿宋_GB2312"/>
          <w:szCs w:val="32"/>
          <w:lang w:eastAsia="zh-CN"/>
        </w:rPr>
        <w:t>万元、</w:t>
      </w:r>
      <w:r>
        <w:rPr>
          <w:rFonts w:hAnsi="Times New Roman" w:cs="仿宋_GB2312"/>
          <w:szCs w:val="32"/>
          <w:lang w:eastAsia="zh-CN"/>
        </w:rPr>
        <w:t>20</w:t>
      </w:r>
      <w:r>
        <w:rPr>
          <w:rFonts w:hint="eastAsia" w:hAnsi="Times New Roman" w:cs="仿宋_GB2312"/>
          <w:szCs w:val="32"/>
          <w:lang w:eastAsia="zh-CN"/>
        </w:rPr>
        <w:t>万元。</w:t>
      </w:r>
    </w:p>
    <w:p w14:paraId="120B096B">
      <w:pPr>
        <w:spacing w:line="579" w:lineRule="exact"/>
        <w:ind w:firstLine="632" w:firstLineChars="200"/>
        <w:jc w:val="both"/>
        <w:rPr>
          <w:rFonts w:hAnsi="Times New Roman" w:cs="仿宋_GB2312"/>
          <w:szCs w:val="32"/>
          <w:lang w:eastAsia="zh-CN"/>
        </w:rPr>
      </w:pPr>
      <w:r>
        <w:rPr>
          <w:rFonts w:hint="eastAsia" w:hAnsi="Times New Roman" w:cs="仿宋_GB2312"/>
          <w:szCs w:val="32"/>
          <w:lang w:val="en-US" w:eastAsia="zh-CN"/>
        </w:rPr>
        <w:t>9</w:t>
      </w:r>
      <w:r>
        <w:rPr>
          <w:rFonts w:hint="eastAsia" w:hAnsi="Times New Roman" w:cs="仿宋_GB2312"/>
          <w:szCs w:val="32"/>
          <w:lang w:eastAsia="zh-CN"/>
        </w:rPr>
        <w:t>.支持打造都市现代农业样板。对新认定的国家级、省级休闲农业与乡村旅游示范点或“三农”类科普教育基地的农业经营主体，分别给予</w:t>
      </w:r>
      <w:r>
        <w:rPr>
          <w:rFonts w:hAnsi="Times New Roman" w:cs="仿宋_GB2312"/>
          <w:szCs w:val="32"/>
          <w:lang w:eastAsia="zh-CN"/>
        </w:rPr>
        <w:t>30万元、10万元</w:t>
      </w:r>
      <w:r>
        <w:rPr>
          <w:rFonts w:hint="eastAsia" w:hAnsi="Times New Roman" w:cs="仿宋_GB2312"/>
          <w:szCs w:val="32"/>
          <w:lang w:eastAsia="zh-CN"/>
        </w:rPr>
        <w:t>一次性</w:t>
      </w:r>
      <w:r>
        <w:rPr>
          <w:rFonts w:hAnsi="Times New Roman" w:cs="仿宋_GB2312"/>
          <w:szCs w:val="32"/>
          <w:lang w:eastAsia="zh-CN"/>
        </w:rPr>
        <w:t>奖励。</w:t>
      </w:r>
    </w:p>
    <w:p w14:paraId="44D01479">
      <w:pPr>
        <w:spacing w:line="579" w:lineRule="exact"/>
        <w:ind w:firstLine="632" w:firstLineChars="200"/>
        <w:jc w:val="both"/>
        <w:rPr>
          <w:rFonts w:hAnsi="Times New Roman" w:cs="仿宋_GB2312"/>
          <w:szCs w:val="32"/>
          <w:lang w:eastAsia="zh-CN"/>
        </w:rPr>
      </w:pPr>
      <w:r>
        <w:rPr>
          <w:rFonts w:hint="eastAsia" w:hAnsi="Times New Roman" w:cs="仿宋_GB2312"/>
          <w:szCs w:val="32"/>
          <w:lang w:eastAsia="zh-CN"/>
        </w:rPr>
        <w:t>1</w:t>
      </w:r>
      <w:r>
        <w:rPr>
          <w:rFonts w:hint="eastAsia" w:hAnsi="Times New Roman" w:cs="仿宋_GB2312"/>
          <w:szCs w:val="32"/>
          <w:lang w:val="en-US" w:eastAsia="zh-CN"/>
        </w:rPr>
        <w:t>0</w:t>
      </w:r>
      <w:r>
        <w:rPr>
          <w:rFonts w:hint="eastAsia" w:hAnsi="Times New Roman" w:cs="仿宋_GB2312"/>
          <w:szCs w:val="32"/>
          <w:lang w:eastAsia="zh-CN"/>
        </w:rPr>
        <w:t>.支持合作社建设。对取得省级以上荣誉的农民合作社一次性奖励</w:t>
      </w:r>
      <w:r>
        <w:rPr>
          <w:rFonts w:hAnsi="Times New Roman" w:cs="仿宋_GB2312"/>
          <w:szCs w:val="32"/>
          <w:lang w:eastAsia="zh-CN"/>
        </w:rPr>
        <w:t>3万元</w:t>
      </w:r>
      <w:r>
        <w:rPr>
          <w:rFonts w:hint="eastAsia" w:hAnsi="Times New Roman" w:cs="仿宋_GB2312"/>
          <w:szCs w:val="32"/>
          <w:lang w:eastAsia="zh-CN"/>
        </w:rPr>
        <w:t>。</w:t>
      </w:r>
    </w:p>
    <w:p w14:paraId="01D409DB">
      <w:pPr>
        <w:spacing w:line="579" w:lineRule="exact"/>
        <w:ind w:firstLine="632" w:firstLineChars="200"/>
        <w:jc w:val="both"/>
        <w:rPr>
          <w:rFonts w:ascii="楷体_GB2312" w:eastAsia="楷体_GB2312"/>
          <w:lang w:eastAsia="zh-CN"/>
        </w:rPr>
      </w:pPr>
      <w:r>
        <w:rPr>
          <w:rFonts w:hint="eastAsia" w:ascii="楷体_GB2312" w:eastAsia="楷体_GB2312"/>
          <w:lang w:eastAsia="zh-CN"/>
        </w:rPr>
        <w:t>（五）全力打造农业品牌</w:t>
      </w:r>
    </w:p>
    <w:p w14:paraId="3EA45428">
      <w:pPr>
        <w:spacing w:line="579" w:lineRule="exact"/>
        <w:ind w:firstLine="632" w:firstLineChars="200"/>
        <w:jc w:val="both"/>
        <w:rPr>
          <w:lang w:eastAsia="zh-CN"/>
        </w:rPr>
      </w:pPr>
      <w:r>
        <w:rPr>
          <w:rFonts w:hint="eastAsia"/>
          <w:lang w:eastAsia="zh-CN"/>
        </w:rPr>
        <w:t>1</w:t>
      </w:r>
      <w:r>
        <w:rPr>
          <w:rFonts w:hint="eastAsia"/>
          <w:lang w:val="en-US" w:eastAsia="zh-CN"/>
        </w:rPr>
        <w:t>1</w:t>
      </w:r>
      <w:r>
        <w:rPr>
          <w:rFonts w:hint="eastAsia"/>
          <w:lang w:eastAsia="zh-CN"/>
        </w:rPr>
        <w:t>.推进农产品认证许可。对新登记为地理标志农产品的，一次性奖励</w:t>
      </w:r>
      <w:r>
        <w:rPr>
          <w:lang w:eastAsia="zh-CN"/>
        </w:rPr>
        <w:t>20</w:t>
      </w:r>
      <w:r>
        <w:rPr>
          <w:rFonts w:hint="eastAsia"/>
          <w:lang w:eastAsia="zh-CN"/>
        </w:rPr>
        <w:t>万元；对首次获得有机认证（仅限中绿华夏认证）的农产品，奖励</w:t>
      </w:r>
      <w:r>
        <w:rPr>
          <w:lang w:eastAsia="zh-CN"/>
        </w:rPr>
        <w:t>10</w:t>
      </w:r>
      <w:r>
        <w:rPr>
          <w:rFonts w:hint="eastAsia"/>
          <w:lang w:eastAsia="zh-CN"/>
        </w:rPr>
        <w:t>万元，每增加一项农产品再奖励</w:t>
      </w:r>
      <w:r>
        <w:rPr>
          <w:lang w:eastAsia="zh-CN"/>
        </w:rPr>
        <w:t>5</w:t>
      </w:r>
      <w:r>
        <w:rPr>
          <w:rFonts w:hint="eastAsia"/>
          <w:lang w:eastAsia="zh-CN"/>
        </w:rPr>
        <w:t>万元；对首次获得绿色食品认证的农产品，奖励</w:t>
      </w:r>
      <w:r>
        <w:rPr>
          <w:lang w:eastAsia="zh-CN"/>
        </w:rPr>
        <w:t>5</w:t>
      </w:r>
      <w:r>
        <w:rPr>
          <w:rFonts w:hint="eastAsia"/>
          <w:lang w:eastAsia="zh-CN"/>
        </w:rPr>
        <w:t>万元，每增加一项农产品再奖励</w:t>
      </w:r>
      <w:r>
        <w:rPr>
          <w:lang w:eastAsia="zh-CN"/>
        </w:rPr>
        <w:t>2</w:t>
      </w:r>
      <w:r>
        <w:rPr>
          <w:rFonts w:hint="eastAsia"/>
          <w:lang w:eastAsia="zh-CN"/>
        </w:rPr>
        <w:t>万元。对成功续展换证的，按照上述标准的</w:t>
      </w:r>
      <w:r>
        <w:rPr>
          <w:lang w:eastAsia="zh-CN"/>
        </w:rPr>
        <w:t>50%</w:t>
      </w:r>
      <w:r>
        <w:rPr>
          <w:rFonts w:hint="eastAsia"/>
          <w:lang w:eastAsia="zh-CN"/>
        </w:rPr>
        <w:t>进行奖励。</w:t>
      </w:r>
    </w:p>
    <w:p w14:paraId="4D23F2F0">
      <w:pPr>
        <w:spacing w:line="579" w:lineRule="exact"/>
        <w:ind w:firstLine="632" w:firstLineChars="200"/>
        <w:jc w:val="both"/>
        <w:rPr>
          <w:lang w:eastAsia="zh-CN"/>
        </w:rPr>
      </w:pPr>
      <w:r>
        <w:rPr>
          <w:rFonts w:hint="eastAsia"/>
          <w:lang w:eastAsia="zh-CN"/>
        </w:rPr>
        <w:t>1</w:t>
      </w:r>
      <w:r>
        <w:rPr>
          <w:rFonts w:hint="eastAsia"/>
          <w:lang w:val="en-US" w:eastAsia="zh-CN"/>
        </w:rPr>
        <w:t>2</w:t>
      </w:r>
      <w:r>
        <w:rPr>
          <w:rFonts w:hint="eastAsia"/>
          <w:lang w:eastAsia="zh-CN"/>
        </w:rPr>
        <w:t>.加快培育知名品牌。对新获得省知名农产品区域公用品牌的，一次性奖励</w:t>
      </w:r>
      <w:r>
        <w:rPr>
          <w:lang w:eastAsia="zh-CN"/>
        </w:rPr>
        <w:t>5</w:t>
      </w:r>
      <w:r>
        <w:rPr>
          <w:rFonts w:hint="eastAsia"/>
          <w:lang w:eastAsia="zh-CN"/>
        </w:rPr>
        <w:t>万元；对新获得省知名农业品牌的</w:t>
      </w:r>
      <w:r>
        <w:rPr>
          <w:lang w:eastAsia="zh-CN"/>
        </w:rPr>
        <w:t>,</w:t>
      </w:r>
      <w:r>
        <w:rPr>
          <w:rFonts w:hint="eastAsia"/>
          <w:lang w:eastAsia="zh-CN"/>
        </w:rPr>
        <w:t>一次性奖励</w:t>
      </w:r>
      <w:r>
        <w:rPr>
          <w:lang w:eastAsia="zh-CN"/>
        </w:rPr>
        <w:t>3</w:t>
      </w:r>
      <w:r>
        <w:rPr>
          <w:rFonts w:hint="eastAsia"/>
          <w:lang w:eastAsia="zh-CN"/>
        </w:rPr>
        <w:t>万元。</w:t>
      </w:r>
    </w:p>
    <w:p w14:paraId="054A7473">
      <w:pPr>
        <w:spacing w:line="579" w:lineRule="exact"/>
        <w:ind w:firstLine="632" w:firstLineChars="200"/>
        <w:jc w:val="both"/>
        <w:rPr>
          <w:lang w:eastAsia="zh-CN"/>
        </w:rPr>
      </w:pPr>
      <w:r>
        <w:rPr>
          <w:rFonts w:hint="eastAsia"/>
          <w:lang w:eastAsia="zh-CN"/>
        </w:rPr>
        <w:t>1</w:t>
      </w:r>
      <w:r>
        <w:rPr>
          <w:rFonts w:hint="eastAsia"/>
          <w:lang w:val="en-US" w:eastAsia="zh-CN"/>
        </w:rPr>
        <w:t>3</w:t>
      </w:r>
      <w:r>
        <w:rPr>
          <w:rFonts w:hint="eastAsia"/>
          <w:lang w:eastAsia="zh-CN"/>
        </w:rPr>
        <w:t>.宣传推介优质农产品。组织优质农产品参加省政府安排的农交会、农洽会等展示展销活动，每年安排</w:t>
      </w:r>
      <w:r>
        <w:rPr>
          <w:rFonts w:hint="eastAsia"/>
          <w:lang w:val="en-US" w:eastAsia="zh-CN"/>
        </w:rPr>
        <w:t>专项预算资金</w:t>
      </w:r>
      <w:r>
        <w:rPr>
          <w:rFonts w:hint="eastAsia"/>
          <w:lang w:eastAsia="zh-CN"/>
        </w:rPr>
        <w:t>用于宣传推介优质特色农产品。对参与国家级展会获奖的参展企业，一次性奖励</w:t>
      </w:r>
      <w:r>
        <w:rPr>
          <w:lang w:eastAsia="zh-CN"/>
        </w:rPr>
        <w:t>3</w:t>
      </w:r>
      <w:r>
        <w:rPr>
          <w:rFonts w:hint="eastAsia"/>
          <w:lang w:eastAsia="zh-CN"/>
        </w:rPr>
        <w:t>万元。</w:t>
      </w:r>
    </w:p>
    <w:p w14:paraId="4283D112">
      <w:pPr>
        <w:spacing w:line="579" w:lineRule="exact"/>
        <w:ind w:firstLine="632" w:firstLineChars="200"/>
        <w:jc w:val="both"/>
        <w:rPr>
          <w:lang w:eastAsia="zh-CN"/>
        </w:rPr>
      </w:pPr>
      <w:r>
        <w:rPr>
          <w:rFonts w:hint="eastAsia" w:ascii="楷体_GB2312" w:eastAsia="楷体_GB2312"/>
          <w:lang w:eastAsia="zh-CN"/>
        </w:rPr>
        <w:t>（六）创新驱动科技赋能</w:t>
      </w:r>
    </w:p>
    <w:p w14:paraId="2AE1D032">
      <w:pPr>
        <w:spacing w:line="579" w:lineRule="exact"/>
        <w:ind w:firstLine="632" w:firstLineChars="200"/>
        <w:jc w:val="both"/>
        <w:rPr>
          <w:lang w:eastAsia="zh-CN"/>
        </w:rPr>
      </w:pPr>
      <w:r>
        <w:rPr>
          <w:rFonts w:hint="eastAsia" w:hAnsi="Times New Roman" w:cs="仿宋_GB2312"/>
          <w:szCs w:val="32"/>
          <w:lang w:eastAsia="zh-CN"/>
        </w:rPr>
        <w:t>1</w:t>
      </w:r>
      <w:r>
        <w:rPr>
          <w:rFonts w:hint="eastAsia" w:hAnsi="Times New Roman" w:cs="仿宋_GB2312"/>
          <w:szCs w:val="32"/>
          <w:lang w:val="en-US" w:eastAsia="zh-CN"/>
        </w:rPr>
        <w:t>4</w:t>
      </w:r>
      <w:r>
        <w:rPr>
          <w:rFonts w:hint="eastAsia" w:hAnsi="Times New Roman" w:cs="仿宋_GB2312"/>
          <w:szCs w:val="32"/>
          <w:lang w:eastAsia="zh-CN"/>
        </w:rPr>
        <w:t>.</w:t>
      </w:r>
      <w:r>
        <w:rPr>
          <w:rStyle w:val="29"/>
          <w:rFonts w:hint="eastAsia"/>
          <w:color w:val="auto"/>
          <w:lang w:eastAsia="zh-CN"/>
        </w:rPr>
        <w:t>支持农机推广与社会化服务。</w:t>
      </w:r>
      <w:r>
        <w:rPr>
          <w:rFonts w:hint="eastAsia"/>
          <w:lang w:eastAsia="zh-CN"/>
        </w:rPr>
        <w:t>支持大规模农业机械设备更新，优化农机购置、农机报废补贴政策。支持农业主体自主研发新型农机具，对获得国家专利及推广鉴定证书的，给予5万元一次性奖励补贴。支持农机推广和统防统治社会化服务组织建设，对获得省级评定的农机服务中心、全程机械化应用基地、农机创新试验基地，给予10万元一次性奖励。</w:t>
      </w:r>
    </w:p>
    <w:p w14:paraId="69AF3B7E">
      <w:pPr>
        <w:spacing w:line="579" w:lineRule="exact"/>
        <w:ind w:firstLine="632" w:firstLineChars="200"/>
        <w:jc w:val="both"/>
        <w:rPr>
          <w:rFonts w:hAnsi="Times New Roman" w:cs="仿宋_GB2312"/>
          <w:szCs w:val="32"/>
          <w:lang w:eastAsia="zh-CN"/>
        </w:rPr>
      </w:pPr>
      <w:r>
        <w:rPr>
          <w:rFonts w:hAnsi="Times New Roman" w:cs="仿宋_GB2312"/>
          <w:szCs w:val="32"/>
          <w:lang w:eastAsia="zh-CN"/>
        </w:rPr>
        <w:t>1</w:t>
      </w:r>
      <w:r>
        <w:rPr>
          <w:rFonts w:hint="eastAsia" w:hAnsi="Times New Roman" w:cs="仿宋_GB2312"/>
          <w:szCs w:val="32"/>
          <w:lang w:val="en-US" w:eastAsia="zh-CN"/>
        </w:rPr>
        <w:t>5</w:t>
      </w:r>
      <w:r>
        <w:rPr>
          <w:rFonts w:hint="eastAsia" w:hAnsi="Times New Roman" w:cs="仿宋_GB2312"/>
          <w:szCs w:val="32"/>
          <w:lang w:eastAsia="zh-CN"/>
        </w:rPr>
        <w:t>.支持农作物新品种推广。支持推广新品种种植，对水果、蔬菜等新品种种植规模达5</w:t>
      </w:r>
      <w:r>
        <w:rPr>
          <w:rFonts w:hAnsi="Times New Roman" w:cs="仿宋_GB2312"/>
          <w:szCs w:val="32"/>
          <w:lang w:eastAsia="zh-CN"/>
        </w:rPr>
        <w:t>0</w:t>
      </w:r>
      <w:r>
        <w:rPr>
          <w:rFonts w:hint="eastAsia" w:hAnsi="Times New Roman" w:cs="仿宋_GB2312"/>
          <w:szCs w:val="32"/>
          <w:lang w:eastAsia="zh-CN"/>
        </w:rPr>
        <w:t>亩、1</w:t>
      </w:r>
      <w:r>
        <w:rPr>
          <w:rFonts w:hAnsi="Times New Roman" w:cs="仿宋_GB2312"/>
          <w:szCs w:val="32"/>
          <w:lang w:eastAsia="zh-CN"/>
        </w:rPr>
        <w:t>00</w:t>
      </w:r>
      <w:r>
        <w:rPr>
          <w:rFonts w:hint="eastAsia" w:hAnsi="Times New Roman" w:cs="仿宋_GB2312"/>
          <w:szCs w:val="32"/>
          <w:lang w:eastAsia="zh-CN"/>
        </w:rPr>
        <w:t>亩、2</w:t>
      </w:r>
      <w:r>
        <w:rPr>
          <w:rFonts w:hAnsi="Times New Roman" w:cs="仿宋_GB2312"/>
          <w:szCs w:val="32"/>
          <w:lang w:eastAsia="zh-CN"/>
        </w:rPr>
        <w:t>00</w:t>
      </w:r>
      <w:r>
        <w:rPr>
          <w:rFonts w:hint="eastAsia" w:hAnsi="Times New Roman" w:cs="仿宋_GB2312"/>
          <w:szCs w:val="32"/>
          <w:lang w:eastAsia="zh-CN"/>
        </w:rPr>
        <w:t>亩以上的，分别给予实施主体</w:t>
      </w:r>
      <w:r>
        <w:rPr>
          <w:rFonts w:hAnsi="Times New Roman" w:cs="仿宋_GB2312"/>
          <w:szCs w:val="32"/>
          <w:lang w:eastAsia="zh-CN"/>
        </w:rPr>
        <w:t>100</w:t>
      </w:r>
      <w:r>
        <w:rPr>
          <w:rFonts w:hint="eastAsia" w:hAnsi="Times New Roman" w:cs="仿宋_GB2312"/>
          <w:szCs w:val="32"/>
          <w:lang w:eastAsia="zh-CN"/>
        </w:rPr>
        <w:t>元、</w:t>
      </w:r>
      <w:r>
        <w:rPr>
          <w:rFonts w:hAnsi="Times New Roman" w:cs="仿宋_GB2312"/>
          <w:szCs w:val="32"/>
          <w:lang w:eastAsia="zh-CN"/>
        </w:rPr>
        <w:t>150</w:t>
      </w:r>
      <w:r>
        <w:rPr>
          <w:rFonts w:hint="eastAsia" w:hAnsi="Times New Roman" w:cs="仿宋_GB2312"/>
          <w:szCs w:val="32"/>
          <w:lang w:eastAsia="zh-CN"/>
        </w:rPr>
        <w:t>元、</w:t>
      </w:r>
      <w:r>
        <w:rPr>
          <w:rFonts w:hAnsi="Times New Roman" w:cs="仿宋_GB2312"/>
          <w:szCs w:val="32"/>
          <w:lang w:eastAsia="zh-CN"/>
        </w:rPr>
        <w:t>300</w:t>
      </w:r>
      <w:r>
        <w:rPr>
          <w:rFonts w:hint="eastAsia" w:hAnsi="Times New Roman" w:cs="仿宋_GB2312"/>
          <w:szCs w:val="32"/>
          <w:lang w:eastAsia="zh-CN"/>
        </w:rPr>
        <w:t>元/亩的一次性奖励。</w:t>
      </w:r>
    </w:p>
    <w:p w14:paraId="229913A7">
      <w:pPr>
        <w:spacing w:line="579" w:lineRule="exact"/>
        <w:ind w:firstLine="632" w:firstLineChars="200"/>
        <w:jc w:val="both"/>
        <w:rPr>
          <w:lang w:eastAsia="zh-CN"/>
        </w:rPr>
      </w:pPr>
      <w:r>
        <w:rPr>
          <w:rFonts w:hAnsi="Times New Roman" w:cs="仿宋_GB2312"/>
          <w:szCs w:val="32"/>
          <w:lang w:eastAsia="zh-CN"/>
        </w:rPr>
        <w:t>1</w:t>
      </w:r>
      <w:r>
        <w:rPr>
          <w:rFonts w:hint="eastAsia" w:hAnsi="Times New Roman" w:cs="仿宋_GB2312"/>
          <w:szCs w:val="32"/>
          <w:lang w:val="en-US" w:eastAsia="zh-CN"/>
        </w:rPr>
        <w:t>6</w:t>
      </w:r>
      <w:r>
        <w:rPr>
          <w:rFonts w:hint="eastAsia" w:hAnsi="Times New Roman" w:cs="仿宋_GB2312"/>
          <w:szCs w:val="32"/>
          <w:lang w:eastAsia="zh-CN"/>
        </w:rPr>
        <w:t>.支持智慧农业推广应用。支持企业运用大数据、区块链、物联网、人工智能等技术在农产品生产、销售全链条全场景的应用与创新，按审定投资额的</w:t>
      </w:r>
      <w:r>
        <w:rPr>
          <w:rFonts w:hAnsi="Times New Roman" w:cs="仿宋_GB2312"/>
          <w:szCs w:val="32"/>
          <w:lang w:eastAsia="zh-CN"/>
        </w:rPr>
        <w:t>20%予以</w:t>
      </w:r>
      <w:r>
        <w:rPr>
          <w:rFonts w:hint="eastAsia" w:hAnsi="Times New Roman" w:cs="仿宋_GB2312"/>
          <w:szCs w:val="32"/>
          <w:lang w:eastAsia="zh-CN"/>
        </w:rPr>
        <w:t>补</w:t>
      </w:r>
      <w:r>
        <w:rPr>
          <w:rFonts w:hAnsi="Times New Roman" w:cs="仿宋_GB2312"/>
          <w:szCs w:val="32"/>
          <w:lang w:eastAsia="zh-CN"/>
        </w:rPr>
        <w:t>助，最高不超过50万元。</w:t>
      </w:r>
      <w:r>
        <w:rPr>
          <w:rFonts w:hint="eastAsia"/>
          <w:lang w:eastAsia="zh-CN"/>
        </w:rPr>
        <w:t>支持智能农业装备生产制造。</w:t>
      </w:r>
      <w:r>
        <w:rPr>
          <w:rFonts w:hAnsi="Times New Roman" w:cs="仿宋_GB2312"/>
          <w:szCs w:val="32"/>
          <w:lang w:eastAsia="zh-CN"/>
        </w:rPr>
        <w:t>对在航空港区内投资建设</w:t>
      </w:r>
      <w:r>
        <w:rPr>
          <w:rFonts w:hAnsi="Times New Roman" w:cs="仿宋_GB2312"/>
          <w:bCs/>
          <w:szCs w:val="32"/>
          <w:lang w:eastAsia="zh-CN"/>
        </w:rPr>
        <w:t>农业无人机、智能播种机、精准导航收割机、智能</w:t>
      </w:r>
      <w:r>
        <w:rPr>
          <w:rFonts w:hint="eastAsia" w:hAnsi="Times New Roman" w:cs="仿宋_GB2312"/>
          <w:bCs/>
          <w:szCs w:val="32"/>
          <w:lang w:eastAsia="zh-CN"/>
        </w:rPr>
        <w:t>采摘</w:t>
      </w:r>
      <w:r>
        <w:rPr>
          <w:rFonts w:hAnsi="Times New Roman" w:cs="仿宋_GB2312"/>
          <w:bCs/>
          <w:szCs w:val="32"/>
          <w:lang w:eastAsia="zh-CN"/>
        </w:rPr>
        <w:t>机器</w:t>
      </w:r>
      <w:r>
        <w:rPr>
          <w:rFonts w:hint="eastAsia" w:hAnsi="Times New Roman" w:cs="仿宋_GB2312"/>
          <w:bCs/>
          <w:szCs w:val="32"/>
          <w:lang w:eastAsia="zh-CN"/>
        </w:rPr>
        <w:t>人等</w:t>
      </w:r>
      <w:r>
        <w:rPr>
          <w:rFonts w:hAnsi="Times New Roman" w:cs="仿宋_GB2312"/>
          <w:szCs w:val="32"/>
          <w:lang w:eastAsia="zh-CN"/>
        </w:rPr>
        <w:t>智能农业装备制造项目且</w:t>
      </w:r>
      <w:r>
        <w:rPr>
          <w:rFonts w:hAnsi="Times New Roman" w:cs="仿宋_GB2312"/>
          <w:szCs w:val="32"/>
          <w:highlight w:val="none"/>
          <w:lang w:eastAsia="zh-CN"/>
        </w:rPr>
        <w:t>投资</w:t>
      </w:r>
      <w:r>
        <w:rPr>
          <w:rFonts w:hAnsi="Times New Roman" w:cs="仿宋_GB2312"/>
          <w:szCs w:val="32"/>
          <w:lang w:eastAsia="zh-CN"/>
        </w:rPr>
        <w:t>达1</w:t>
      </w:r>
      <w:r>
        <w:rPr>
          <w:rFonts w:hint="eastAsia" w:hAnsi="Times New Roman" w:cs="仿宋_GB2312"/>
          <w:szCs w:val="32"/>
          <w:lang w:eastAsia="zh-CN"/>
        </w:rPr>
        <w:t>亿</w:t>
      </w:r>
      <w:r>
        <w:rPr>
          <w:rFonts w:hAnsi="Times New Roman" w:cs="仿宋_GB2312"/>
          <w:szCs w:val="32"/>
          <w:lang w:eastAsia="zh-CN"/>
        </w:rPr>
        <w:t>元以上的企业，</w:t>
      </w:r>
      <w:r>
        <w:rPr>
          <w:rFonts w:hint="eastAsia" w:hAnsi="Times New Roman" w:cs="仿宋_GB2312"/>
          <w:szCs w:val="32"/>
          <w:lang w:val="en-US" w:eastAsia="zh-CN"/>
        </w:rPr>
        <w:t>给</w:t>
      </w:r>
      <w:r>
        <w:rPr>
          <w:rFonts w:hAnsi="Times New Roman" w:cs="仿宋_GB2312"/>
          <w:szCs w:val="32"/>
          <w:lang w:eastAsia="zh-CN"/>
        </w:rPr>
        <w:t>予最高300</w:t>
      </w:r>
      <w:r>
        <w:rPr>
          <w:lang w:eastAsia="zh-CN"/>
        </w:rPr>
        <w:t>万元</w:t>
      </w:r>
      <w:r>
        <w:rPr>
          <w:rFonts w:hint="eastAsia"/>
          <w:lang w:val="en-US" w:eastAsia="zh-CN"/>
        </w:rPr>
        <w:t>的奖励</w:t>
      </w:r>
      <w:r>
        <w:rPr>
          <w:rFonts w:hint="eastAsia"/>
          <w:lang w:eastAsia="zh-CN"/>
        </w:rPr>
        <w:t>。</w:t>
      </w:r>
    </w:p>
    <w:p w14:paraId="5AE6CED7">
      <w:pPr>
        <w:spacing w:line="579" w:lineRule="exact"/>
        <w:ind w:firstLine="632" w:firstLineChars="200"/>
        <w:jc w:val="both"/>
        <w:rPr>
          <w:lang w:eastAsia="zh-CN"/>
        </w:rPr>
      </w:pPr>
      <w:r>
        <w:rPr>
          <w:rFonts w:hint="eastAsia" w:ascii="楷体_GB2312" w:eastAsia="楷体_GB2312"/>
          <w:lang w:eastAsia="zh-CN"/>
        </w:rPr>
        <w:t>（七）强化金融支持保障</w:t>
      </w:r>
    </w:p>
    <w:p w14:paraId="2F38CC5A">
      <w:pPr>
        <w:spacing w:line="579" w:lineRule="exact"/>
        <w:ind w:firstLine="632" w:firstLineChars="200"/>
        <w:jc w:val="both"/>
        <w:rPr>
          <w:highlight w:val="none"/>
          <w:lang w:eastAsia="zh-CN"/>
        </w:rPr>
      </w:pPr>
      <w:r>
        <w:rPr>
          <w:rFonts w:hint="eastAsia"/>
          <w:lang w:eastAsia="zh-CN"/>
        </w:rPr>
        <w:t>1</w:t>
      </w:r>
      <w:r>
        <w:rPr>
          <w:rFonts w:hint="eastAsia"/>
          <w:lang w:val="en-US" w:eastAsia="zh-CN"/>
        </w:rPr>
        <w:t>7</w:t>
      </w:r>
      <w:r>
        <w:rPr>
          <w:lang w:eastAsia="zh-CN"/>
        </w:rPr>
        <w:t>.</w:t>
      </w:r>
      <w:r>
        <w:rPr>
          <w:rFonts w:hint="eastAsia"/>
          <w:lang w:eastAsia="zh-CN"/>
        </w:rPr>
        <w:t>引导投融资平台积极支持涉农产业发展，鼓励金融机构探索创新支持涉农经营主体发展的金融产品。对重点涉农产业实行贷款贴息制度，给予最多连续三年不超过</w:t>
      </w:r>
      <w:r>
        <w:rPr>
          <w:rFonts w:hint="eastAsia"/>
          <w:highlight w:val="none"/>
          <w:lang w:val="en-US" w:eastAsia="zh-CN"/>
        </w:rPr>
        <w:t>3</w:t>
      </w:r>
      <w:r>
        <w:rPr>
          <w:highlight w:val="none"/>
          <w:lang w:eastAsia="zh-CN"/>
        </w:rPr>
        <w:t>0%</w:t>
      </w:r>
      <w:r>
        <w:rPr>
          <w:rFonts w:hint="eastAsia"/>
          <w:highlight w:val="none"/>
          <w:lang w:eastAsia="zh-CN"/>
        </w:rPr>
        <w:t>的贷款贴息补贴，</w:t>
      </w:r>
      <w:r>
        <w:rPr>
          <w:rFonts w:hint="eastAsia"/>
          <w:highlight w:val="none"/>
          <w:lang w:val="en-US" w:eastAsia="zh-CN"/>
        </w:rPr>
        <w:t>单个企业年贷款贴息额最高不超过50万元</w:t>
      </w:r>
      <w:r>
        <w:rPr>
          <w:rFonts w:hint="eastAsia"/>
          <w:highlight w:val="none"/>
          <w:lang w:eastAsia="zh-CN"/>
        </w:rPr>
        <w:t>。</w:t>
      </w:r>
    </w:p>
    <w:p w14:paraId="10FE6C54">
      <w:pPr>
        <w:spacing w:line="579" w:lineRule="exact"/>
        <w:ind w:firstLine="632" w:firstLineChars="200"/>
        <w:jc w:val="both"/>
        <w:rPr>
          <w:rFonts w:ascii="黑体" w:eastAsia="黑体"/>
          <w:lang w:eastAsia="zh-CN"/>
        </w:rPr>
      </w:pPr>
      <w:r>
        <w:rPr>
          <w:rFonts w:hint="eastAsia" w:ascii="黑体" w:eastAsia="黑体"/>
          <w:lang w:eastAsia="zh-CN"/>
        </w:rPr>
        <w:t>三、相关保障</w:t>
      </w:r>
    </w:p>
    <w:p w14:paraId="080E07C1">
      <w:pPr>
        <w:spacing w:line="579" w:lineRule="exact"/>
        <w:ind w:firstLine="632" w:firstLineChars="200"/>
        <w:jc w:val="both"/>
        <w:rPr>
          <w:lang w:eastAsia="zh-CN"/>
        </w:rPr>
      </w:pPr>
      <w:r>
        <w:rPr>
          <w:rFonts w:hint="eastAsia" w:ascii="楷体_GB2312" w:eastAsia="楷体_GB2312"/>
          <w:lang w:eastAsia="zh-CN"/>
        </w:rPr>
        <w:t>（一）</w:t>
      </w:r>
      <w:r>
        <w:rPr>
          <w:rFonts w:hint="eastAsia"/>
          <w:lang w:eastAsia="zh-CN"/>
        </w:rPr>
        <w:t>对未列入本文件所明确的产业项目、实施主体、科研成果等，由区农村工作领导小组按照“一事一议”的原则，参照相关奖补政策进行奖补。</w:t>
      </w:r>
    </w:p>
    <w:p w14:paraId="5D44CB28">
      <w:pPr>
        <w:spacing w:line="579" w:lineRule="exact"/>
        <w:ind w:firstLine="632" w:firstLineChars="200"/>
        <w:jc w:val="both"/>
        <w:rPr>
          <w:rFonts w:ascii="楷体_GB2312" w:eastAsia="楷体_GB2312"/>
          <w:lang w:eastAsia="zh-CN"/>
        </w:rPr>
      </w:pPr>
      <w:r>
        <w:rPr>
          <w:rFonts w:hint="eastAsia" w:ascii="楷体_GB2312" w:eastAsia="楷体_GB2312"/>
          <w:lang w:eastAsia="zh-CN"/>
        </w:rPr>
        <w:t>（</w:t>
      </w:r>
      <w:r>
        <w:rPr>
          <w:rFonts w:hint="eastAsia" w:ascii="楷体_GB2312" w:eastAsia="楷体_GB2312"/>
          <w:lang w:val="en-US" w:eastAsia="zh-CN"/>
        </w:rPr>
        <w:t>二</w:t>
      </w:r>
      <w:r>
        <w:rPr>
          <w:rFonts w:hint="eastAsia" w:ascii="楷体_GB2312" w:eastAsia="楷体_GB2312"/>
          <w:lang w:eastAsia="zh-CN"/>
        </w:rPr>
        <w:t>）</w:t>
      </w:r>
      <w:r>
        <w:rPr>
          <w:rFonts w:hint="eastAsia"/>
          <w:lang w:eastAsia="zh-CN"/>
        </w:rPr>
        <w:t>本措施与省、市、区内其它现行</w:t>
      </w:r>
      <w:r>
        <w:rPr>
          <w:rFonts w:hint="eastAsia"/>
          <w:lang w:val="en-US" w:eastAsia="zh-CN"/>
        </w:rPr>
        <w:t>奖补或专项财税</w:t>
      </w:r>
      <w:r>
        <w:rPr>
          <w:rFonts w:hint="eastAsia"/>
          <w:lang w:eastAsia="zh-CN"/>
        </w:rPr>
        <w:t>政策有重叠的，按照就高不重复的原则予以支持，</w:t>
      </w:r>
      <w:r>
        <w:rPr>
          <w:rFonts w:hint="eastAsia"/>
          <w:lang w:val="en-US" w:eastAsia="zh-CN"/>
        </w:rPr>
        <w:t>避免同一主体同一园区多头申报</w:t>
      </w:r>
      <w:r>
        <w:rPr>
          <w:rFonts w:hint="eastAsia"/>
          <w:lang w:eastAsia="zh-CN"/>
        </w:rPr>
        <w:t>。</w:t>
      </w:r>
    </w:p>
    <w:p w14:paraId="588DD3D7">
      <w:pPr>
        <w:spacing w:line="579" w:lineRule="exact"/>
        <w:ind w:firstLine="632" w:firstLineChars="200"/>
        <w:jc w:val="both"/>
        <w:rPr>
          <w:lang w:eastAsia="zh-CN"/>
        </w:rPr>
      </w:pPr>
      <w:r>
        <w:rPr>
          <w:rFonts w:hint="eastAsia" w:ascii="楷体_GB2312" w:eastAsia="楷体_GB2312"/>
          <w:lang w:eastAsia="zh-CN"/>
        </w:rPr>
        <w:t>（</w:t>
      </w:r>
      <w:r>
        <w:rPr>
          <w:rFonts w:hint="eastAsia" w:ascii="楷体_GB2312" w:eastAsia="楷体_GB2312"/>
          <w:lang w:val="en-US" w:eastAsia="zh-CN"/>
        </w:rPr>
        <w:t>三</w:t>
      </w:r>
      <w:r>
        <w:rPr>
          <w:rFonts w:hint="eastAsia" w:ascii="楷体_GB2312" w:eastAsia="楷体_GB2312"/>
          <w:lang w:eastAsia="zh-CN"/>
        </w:rPr>
        <w:t>）</w:t>
      </w:r>
      <w:r>
        <w:rPr>
          <w:rFonts w:hint="eastAsia"/>
          <w:lang w:eastAsia="zh-CN"/>
        </w:rPr>
        <w:t>本文件自2</w:t>
      </w:r>
      <w:r>
        <w:rPr>
          <w:lang w:eastAsia="zh-CN"/>
        </w:rPr>
        <w:t>025</w:t>
      </w:r>
      <w:r>
        <w:rPr>
          <w:rFonts w:hint="eastAsia"/>
          <w:lang w:eastAsia="zh-CN"/>
        </w:rPr>
        <w:t>年×月×日起执行，</w:t>
      </w:r>
      <w:r>
        <w:rPr>
          <w:rFonts w:hint="eastAsia"/>
          <w:lang w:val="en-US" w:eastAsia="zh-CN"/>
        </w:rPr>
        <w:t>有效期5年，</w:t>
      </w:r>
      <w:r>
        <w:rPr>
          <w:rFonts w:hint="eastAsia"/>
          <w:lang w:eastAsia="zh-CN"/>
        </w:rPr>
        <w:t>由区农村工作领导小组办公室负责解释。</w:t>
      </w:r>
      <w:bookmarkStart w:id="0" w:name="_GoBack"/>
      <w:bookmarkEnd w:id="0"/>
    </w:p>
    <w:sectPr>
      <w:headerReference r:id="rId3" w:type="default"/>
      <w:footerReference r:id="rId4" w:type="default"/>
      <w:footerReference r:id="rId5" w:type="even"/>
      <w:pgSz w:w="11900" w:h="16840"/>
      <w:pgMar w:top="2098" w:right="1474" w:bottom="1985" w:left="1588" w:header="851" w:footer="1191" w:gutter="0"/>
      <w:cols w:space="720" w:num="1"/>
      <w:docGrid w:type="linesAndChars" w:linePitch="579" w:charSpace="-89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swiss"/>
    <w:pitch w:val="default"/>
    <w:sig w:usb0="FFFFFFFF" w:usb1="E9FFFFFF" w:usb2="0000003F" w:usb3="00000000" w:csb0="603F01FF" w:csb1="FFFF0000"/>
  </w:font>
  <w:font w:name="方正小标宋简体">
    <w:panose1 w:val="02010601030101010101"/>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40221444"/>
      <w:docPartObj>
        <w:docPartGallery w:val="autotext"/>
      </w:docPartObj>
    </w:sdtPr>
    <w:sdtEndPr>
      <w:rPr>
        <w:rFonts w:ascii="宋体" w:hAnsi="宋体" w:eastAsia="宋体"/>
        <w:sz w:val="28"/>
        <w:szCs w:val="28"/>
      </w:rPr>
    </w:sdtEndPr>
    <w:sdtContent>
      <w:p w14:paraId="6716DBC2">
        <w:pPr>
          <w:pStyle w:val="8"/>
          <w:wordWrap w:val="0"/>
          <w:jc w:val="right"/>
          <w:rPr>
            <w:rFonts w:ascii="宋体" w:hAnsi="宋体" w:eastAsia="宋体"/>
            <w:sz w:val="28"/>
            <w:szCs w:val="28"/>
          </w:rPr>
        </w:pPr>
        <w:r>
          <w:rPr>
            <w:rFonts w:ascii="宋体" w:hAnsi="宋体" w:eastAsia="宋体"/>
            <w:sz w:val="28"/>
            <w:szCs w:val="28"/>
          </w:rPr>
          <w:t>—</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eastAsia="zh-CN"/>
          </w:rPr>
          <w:t>3</w:t>
        </w:r>
        <w:r>
          <w:rPr>
            <w:rFonts w:ascii="宋体" w:hAnsi="宋体" w:eastAsia="宋体"/>
            <w:sz w:val="28"/>
            <w:szCs w:val="28"/>
          </w:rPr>
          <w:fldChar w:fldCharType="end"/>
        </w:r>
        <w:r>
          <w:rPr>
            <w:rFonts w:ascii="宋体" w:hAnsi="宋体" w:eastAsia="宋体"/>
            <w:sz w:val="28"/>
            <w:szCs w:val="28"/>
          </w:rPr>
          <w:t xml:space="preserve">—  </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01952383"/>
      <w:docPartObj>
        <w:docPartGallery w:val="autotext"/>
      </w:docPartObj>
    </w:sdtPr>
    <w:sdtContent>
      <w:p w14:paraId="59D75027">
        <w:pPr>
          <w:pStyle w:val="8"/>
          <w:ind w:firstLine="360" w:firstLineChars="200"/>
        </w:pPr>
        <w:r>
          <w:rPr>
            <w:rFonts w:ascii="宋体" w:hAnsi="宋体" w:eastAsia="宋体"/>
            <w:sz w:val="28"/>
            <w:szCs w:val="28"/>
          </w:rPr>
          <w:t>—</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eastAsia="zh-CN"/>
          </w:rPr>
          <w:t>2</w:t>
        </w:r>
        <w:r>
          <w:rPr>
            <w:rFonts w:ascii="宋体" w:hAnsi="宋体" w:eastAsia="宋体"/>
            <w:sz w:val="28"/>
            <w:szCs w:val="28"/>
          </w:rPr>
          <w:fldChar w:fldCharType="end"/>
        </w:r>
        <w:r>
          <w:rPr>
            <w:rFonts w:ascii="宋体" w:hAnsi="宋体" w:eastAsia="宋体"/>
            <w:sz w:val="28"/>
            <w:szCs w:val="28"/>
          </w:rPr>
          <w:t>—</w:t>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B40923">
    <w:pPr>
      <w:pStyle w:val="9"/>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evenAndOddHeaders w:val="1"/>
  <w:drawingGridHorizontalSpacing w:val="158"/>
  <w:drawingGridVerticalSpacing w:val="579"/>
  <w:displayHorizontalDrawingGridEvery w:val="2"/>
  <w:noPunctuationKerning w:val="1"/>
  <w:characterSpacingControl w:val="doNotCompress"/>
  <w:compat>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g3OWYwY2YwMGI4NTUxOGM0MDMzZDg0OTMyZDJiZGIifQ=="/>
  </w:docVars>
  <w:rsids>
    <w:rsidRoot w:val="00B767FD"/>
    <w:rsid w:val="0000106A"/>
    <w:rsid w:val="00003284"/>
    <w:rsid w:val="0000618E"/>
    <w:rsid w:val="000104E9"/>
    <w:rsid w:val="0001215E"/>
    <w:rsid w:val="00015355"/>
    <w:rsid w:val="00024E87"/>
    <w:rsid w:val="00026DC9"/>
    <w:rsid w:val="00026E0E"/>
    <w:rsid w:val="000272EA"/>
    <w:rsid w:val="00027D73"/>
    <w:rsid w:val="000342D9"/>
    <w:rsid w:val="00036F95"/>
    <w:rsid w:val="000452EF"/>
    <w:rsid w:val="000532B4"/>
    <w:rsid w:val="00055C7E"/>
    <w:rsid w:val="00061B62"/>
    <w:rsid w:val="0007151C"/>
    <w:rsid w:val="00071E17"/>
    <w:rsid w:val="00073657"/>
    <w:rsid w:val="0007736A"/>
    <w:rsid w:val="00087E49"/>
    <w:rsid w:val="000928DB"/>
    <w:rsid w:val="000A0CC2"/>
    <w:rsid w:val="000B5F4C"/>
    <w:rsid w:val="000C238F"/>
    <w:rsid w:val="000C6D4F"/>
    <w:rsid w:val="000E14F5"/>
    <w:rsid w:val="000F4D7A"/>
    <w:rsid w:val="000F78E6"/>
    <w:rsid w:val="00100975"/>
    <w:rsid w:val="00103961"/>
    <w:rsid w:val="00114BD5"/>
    <w:rsid w:val="00114C92"/>
    <w:rsid w:val="0012457B"/>
    <w:rsid w:val="00124C9B"/>
    <w:rsid w:val="0013243D"/>
    <w:rsid w:val="00165076"/>
    <w:rsid w:val="00166751"/>
    <w:rsid w:val="001744A4"/>
    <w:rsid w:val="0018199A"/>
    <w:rsid w:val="00184819"/>
    <w:rsid w:val="001911BB"/>
    <w:rsid w:val="001A69A3"/>
    <w:rsid w:val="001C5A26"/>
    <w:rsid w:val="001D4C5D"/>
    <w:rsid w:val="001D6446"/>
    <w:rsid w:val="001E06CA"/>
    <w:rsid w:val="001E1784"/>
    <w:rsid w:val="001F2DD2"/>
    <w:rsid w:val="00235369"/>
    <w:rsid w:val="00236120"/>
    <w:rsid w:val="002556C6"/>
    <w:rsid w:val="00267084"/>
    <w:rsid w:val="00270713"/>
    <w:rsid w:val="002730E8"/>
    <w:rsid w:val="0027323E"/>
    <w:rsid w:val="002912F8"/>
    <w:rsid w:val="00294981"/>
    <w:rsid w:val="00297CEC"/>
    <w:rsid w:val="002C17A2"/>
    <w:rsid w:val="002C27BD"/>
    <w:rsid w:val="002C5C0A"/>
    <w:rsid w:val="002C6B24"/>
    <w:rsid w:val="002C6FB9"/>
    <w:rsid w:val="002E0866"/>
    <w:rsid w:val="002E49D4"/>
    <w:rsid w:val="002E5864"/>
    <w:rsid w:val="002E7C88"/>
    <w:rsid w:val="002F0921"/>
    <w:rsid w:val="002F5A0C"/>
    <w:rsid w:val="00301C24"/>
    <w:rsid w:val="00312075"/>
    <w:rsid w:val="00322C08"/>
    <w:rsid w:val="003321ED"/>
    <w:rsid w:val="0033223D"/>
    <w:rsid w:val="00342EDF"/>
    <w:rsid w:val="0034491C"/>
    <w:rsid w:val="00345AC7"/>
    <w:rsid w:val="00365057"/>
    <w:rsid w:val="00367FCD"/>
    <w:rsid w:val="003739AD"/>
    <w:rsid w:val="00377C24"/>
    <w:rsid w:val="00385AE7"/>
    <w:rsid w:val="00394AB3"/>
    <w:rsid w:val="003A323E"/>
    <w:rsid w:val="003C0890"/>
    <w:rsid w:val="003C7202"/>
    <w:rsid w:val="003D1094"/>
    <w:rsid w:val="003D18A1"/>
    <w:rsid w:val="003D18FC"/>
    <w:rsid w:val="003D6DCA"/>
    <w:rsid w:val="003E56CD"/>
    <w:rsid w:val="003F247F"/>
    <w:rsid w:val="0041448D"/>
    <w:rsid w:val="00414815"/>
    <w:rsid w:val="004304A3"/>
    <w:rsid w:val="00432839"/>
    <w:rsid w:val="004331E2"/>
    <w:rsid w:val="00435284"/>
    <w:rsid w:val="00446C01"/>
    <w:rsid w:val="00460228"/>
    <w:rsid w:val="00460C18"/>
    <w:rsid w:val="00461779"/>
    <w:rsid w:val="0047243C"/>
    <w:rsid w:val="004729DC"/>
    <w:rsid w:val="0047365D"/>
    <w:rsid w:val="00481F2A"/>
    <w:rsid w:val="00481F79"/>
    <w:rsid w:val="00483660"/>
    <w:rsid w:val="004928B9"/>
    <w:rsid w:val="004930D2"/>
    <w:rsid w:val="0049777F"/>
    <w:rsid w:val="004A30F2"/>
    <w:rsid w:val="004B3D85"/>
    <w:rsid w:val="004C12E3"/>
    <w:rsid w:val="004C4257"/>
    <w:rsid w:val="004C6398"/>
    <w:rsid w:val="004D1949"/>
    <w:rsid w:val="004D630D"/>
    <w:rsid w:val="004D64AC"/>
    <w:rsid w:val="004E79F3"/>
    <w:rsid w:val="0051697A"/>
    <w:rsid w:val="005218BB"/>
    <w:rsid w:val="00537659"/>
    <w:rsid w:val="00541F0F"/>
    <w:rsid w:val="00544D4A"/>
    <w:rsid w:val="005518ED"/>
    <w:rsid w:val="00552797"/>
    <w:rsid w:val="00562855"/>
    <w:rsid w:val="00566CDA"/>
    <w:rsid w:val="00575EC9"/>
    <w:rsid w:val="00580316"/>
    <w:rsid w:val="0058251F"/>
    <w:rsid w:val="00586284"/>
    <w:rsid w:val="00586DF9"/>
    <w:rsid w:val="005A34DD"/>
    <w:rsid w:val="005A4A2D"/>
    <w:rsid w:val="005B500E"/>
    <w:rsid w:val="005B502C"/>
    <w:rsid w:val="005F124B"/>
    <w:rsid w:val="005F2324"/>
    <w:rsid w:val="005F5278"/>
    <w:rsid w:val="00614687"/>
    <w:rsid w:val="0063184D"/>
    <w:rsid w:val="00652AAB"/>
    <w:rsid w:val="00657803"/>
    <w:rsid w:val="006621C3"/>
    <w:rsid w:val="0067465D"/>
    <w:rsid w:val="006761CA"/>
    <w:rsid w:val="00680138"/>
    <w:rsid w:val="00690253"/>
    <w:rsid w:val="006959ED"/>
    <w:rsid w:val="006C1CA8"/>
    <w:rsid w:val="006C2231"/>
    <w:rsid w:val="006C23F6"/>
    <w:rsid w:val="006D250D"/>
    <w:rsid w:val="006D563F"/>
    <w:rsid w:val="006E1F4F"/>
    <w:rsid w:val="006E214C"/>
    <w:rsid w:val="006E3364"/>
    <w:rsid w:val="006E52E8"/>
    <w:rsid w:val="006F2355"/>
    <w:rsid w:val="006F587D"/>
    <w:rsid w:val="006F5D77"/>
    <w:rsid w:val="006F7630"/>
    <w:rsid w:val="007014CB"/>
    <w:rsid w:val="00703AC5"/>
    <w:rsid w:val="00707336"/>
    <w:rsid w:val="00716A0F"/>
    <w:rsid w:val="00724298"/>
    <w:rsid w:val="00725134"/>
    <w:rsid w:val="00725BBA"/>
    <w:rsid w:val="00726358"/>
    <w:rsid w:val="0073579B"/>
    <w:rsid w:val="00736439"/>
    <w:rsid w:val="0074029D"/>
    <w:rsid w:val="007510EF"/>
    <w:rsid w:val="00754194"/>
    <w:rsid w:val="007652F3"/>
    <w:rsid w:val="00765AD3"/>
    <w:rsid w:val="00774AE2"/>
    <w:rsid w:val="0078110D"/>
    <w:rsid w:val="007870D3"/>
    <w:rsid w:val="00787676"/>
    <w:rsid w:val="0079598A"/>
    <w:rsid w:val="007A5660"/>
    <w:rsid w:val="007B772E"/>
    <w:rsid w:val="007C6A88"/>
    <w:rsid w:val="007D5749"/>
    <w:rsid w:val="007E584B"/>
    <w:rsid w:val="007E6B41"/>
    <w:rsid w:val="008045B7"/>
    <w:rsid w:val="008063CB"/>
    <w:rsid w:val="00810651"/>
    <w:rsid w:val="008135CB"/>
    <w:rsid w:val="0081634B"/>
    <w:rsid w:val="00826893"/>
    <w:rsid w:val="00834A85"/>
    <w:rsid w:val="00846C94"/>
    <w:rsid w:val="00862886"/>
    <w:rsid w:val="00881444"/>
    <w:rsid w:val="00883C55"/>
    <w:rsid w:val="0088755C"/>
    <w:rsid w:val="00892675"/>
    <w:rsid w:val="008A05E5"/>
    <w:rsid w:val="008A2B41"/>
    <w:rsid w:val="008B7021"/>
    <w:rsid w:val="008B73BF"/>
    <w:rsid w:val="008B7947"/>
    <w:rsid w:val="008C1893"/>
    <w:rsid w:val="008C2BA7"/>
    <w:rsid w:val="008D577E"/>
    <w:rsid w:val="008D5B9A"/>
    <w:rsid w:val="008E65A6"/>
    <w:rsid w:val="008F07EA"/>
    <w:rsid w:val="00922A0A"/>
    <w:rsid w:val="0092382A"/>
    <w:rsid w:val="00936554"/>
    <w:rsid w:val="0093720D"/>
    <w:rsid w:val="00946DF8"/>
    <w:rsid w:val="009479BD"/>
    <w:rsid w:val="009518AE"/>
    <w:rsid w:val="00954CCA"/>
    <w:rsid w:val="00955CFA"/>
    <w:rsid w:val="00956A66"/>
    <w:rsid w:val="00957AF8"/>
    <w:rsid w:val="0096756E"/>
    <w:rsid w:val="00981102"/>
    <w:rsid w:val="00983870"/>
    <w:rsid w:val="00986762"/>
    <w:rsid w:val="009A2F9D"/>
    <w:rsid w:val="009B036F"/>
    <w:rsid w:val="009B1481"/>
    <w:rsid w:val="009B7754"/>
    <w:rsid w:val="009C153A"/>
    <w:rsid w:val="009C4163"/>
    <w:rsid w:val="009C73EC"/>
    <w:rsid w:val="009D29D4"/>
    <w:rsid w:val="009D3C5E"/>
    <w:rsid w:val="009F7D09"/>
    <w:rsid w:val="00A02B05"/>
    <w:rsid w:val="00A02BCA"/>
    <w:rsid w:val="00A05151"/>
    <w:rsid w:val="00A2114D"/>
    <w:rsid w:val="00A25562"/>
    <w:rsid w:val="00A414BB"/>
    <w:rsid w:val="00A417D1"/>
    <w:rsid w:val="00A43DE2"/>
    <w:rsid w:val="00A6204C"/>
    <w:rsid w:val="00A67E3B"/>
    <w:rsid w:val="00A80124"/>
    <w:rsid w:val="00A808C1"/>
    <w:rsid w:val="00A815B4"/>
    <w:rsid w:val="00A85182"/>
    <w:rsid w:val="00A86B5D"/>
    <w:rsid w:val="00A95F93"/>
    <w:rsid w:val="00AA6C7F"/>
    <w:rsid w:val="00AC5C86"/>
    <w:rsid w:val="00AC68D9"/>
    <w:rsid w:val="00AD1E9E"/>
    <w:rsid w:val="00AF5191"/>
    <w:rsid w:val="00AF6313"/>
    <w:rsid w:val="00AF74BC"/>
    <w:rsid w:val="00B05FB4"/>
    <w:rsid w:val="00B10B20"/>
    <w:rsid w:val="00B27169"/>
    <w:rsid w:val="00B2732F"/>
    <w:rsid w:val="00B339A4"/>
    <w:rsid w:val="00B341FA"/>
    <w:rsid w:val="00B41543"/>
    <w:rsid w:val="00B45EE1"/>
    <w:rsid w:val="00B56C19"/>
    <w:rsid w:val="00B60336"/>
    <w:rsid w:val="00B67FD0"/>
    <w:rsid w:val="00B73A1A"/>
    <w:rsid w:val="00B767FD"/>
    <w:rsid w:val="00B81C73"/>
    <w:rsid w:val="00B92CB2"/>
    <w:rsid w:val="00B943F0"/>
    <w:rsid w:val="00B97383"/>
    <w:rsid w:val="00BA19C0"/>
    <w:rsid w:val="00BA6C50"/>
    <w:rsid w:val="00BB1DF8"/>
    <w:rsid w:val="00BB55EF"/>
    <w:rsid w:val="00BD058C"/>
    <w:rsid w:val="00BF3E73"/>
    <w:rsid w:val="00C000E2"/>
    <w:rsid w:val="00C042D7"/>
    <w:rsid w:val="00C21E0B"/>
    <w:rsid w:val="00C26B04"/>
    <w:rsid w:val="00C2758B"/>
    <w:rsid w:val="00C3111D"/>
    <w:rsid w:val="00C31710"/>
    <w:rsid w:val="00C37519"/>
    <w:rsid w:val="00C52214"/>
    <w:rsid w:val="00C663C2"/>
    <w:rsid w:val="00C667EC"/>
    <w:rsid w:val="00C73052"/>
    <w:rsid w:val="00C76DEF"/>
    <w:rsid w:val="00C76E00"/>
    <w:rsid w:val="00C77B60"/>
    <w:rsid w:val="00CA1172"/>
    <w:rsid w:val="00CA2DFC"/>
    <w:rsid w:val="00CB5B11"/>
    <w:rsid w:val="00CB78C3"/>
    <w:rsid w:val="00CC5A32"/>
    <w:rsid w:val="00CC5DF3"/>
    <w:rsid w:val="00CD1AD1"/>
    <w:rsid w:val="00CD47D0"/>
    <w:rsid w:val="00CE5252"/>
    <w:rsid w:val="00CF1F48"/>
    <w:rsid w:val="00CF351F"/>
    <w:rsid w:val="00D00A4A"/>
    <w:rsid w:val="00D076D1"/>
    <w:rsid w:val="00D23D4D"/>
    <w:rsid w:val="00D267B9"/>
    <w:rsid w:val="00D27794"/>
    <w:rsid w:val="00D27CD8"/>
    <w:rsid w:val="00D41F57"/>
    <w:rsid w:val="00D45853"/>
    <w:rsid w:val="00D50F48"/>
    <w:rsid w:val="00D55604"/>
    <w:rsid w:val="00D61DC8"/>
    <w:rsid w:val="00D63BBE"/>
    <w:rsid w:val="00D66F4C"/>
    <w:rsid w:val="00D75C60"/>
    <w:rsid w:val="00D8118D"/>
    <w:rsid w:val="00D849A8"/>
    <w:rsid w:val="00D87EF6"/>
    <w:rsid w:val="00D91AA5"/>
    <w:rsid w:val="00D91D99"/>
    <w:rsid w:val="00D92FA7"/>
    <w:rsid w:val="00D96CCE"/>
    <w:rsid w:val="00DE0421"/>
    <w:rsid w:val="00DE2CEA"/>
    <w:rsid w:val="00E017AE"/>
    <w:rsid w:val="00E039E6"/>
    <w:rsid w:val="00E10B78"/>
    <w:rsid w:val="00E118D9"/>
    <w:rsid w:val="00E13965"/>
    <w:rsid w:val="00E14F43"/>
    <w:rsid w:val="00E16B0A"/>
    <w:rsid w:val="00E22DB1"/>
    <w:rsid w:val="00E509F6"/>
    <w:rsid w:val="00E50D59"/>
    <w:rsid w:val="00E55915"/>
    <w:rsid w:val="00E67E1E"/>
    <w:rsid w:val="00E73645"/>
    <w:rsid w:val="00E764B9"/>
    <w:rsid w:val="00E77F98"/>
    <w:rsid w:val="00E83FA1"/>
    <w:rsid w:val="00E85BE3"/>
    <w:rsid w:val="00E939B4"/>
    <w:rsid w:val="00EA38D2"/>
    <w:rsid w:val="00EB7B05"/>
    <w:rsid w:val="00ED2277"/>
    <w:rsid w:val="00ED44B9"/>
    <w:rsid w:val="00EE0B4C"/>
    <w:rsid w:val="00EE16DE"/>
    <w:rsid w:val="00EF5DBE"/>
    <w:rsid w:val="00F00802"/>
    <w:rsid w:val="00F1279B"/>
    <w:rsid w:val="00F2546F"/>
    <w:rsid w:val="00F27C34"/>
    <w:rsid w:val="00F4073F"/>
    <w:rsid w:val="00F45A73"/>
    <w:rsid w:val="00F53C5E"/>
    <w:rsid w:val="00F55F1C"/>
    <w:rsid w:val="00F62AC7"/>
    <w:rsid w:val="00F706D3"/>
    <w:rsid w:val="00F713A7"/>
    <w:rsid w:val="00F84293"/>
    <w:rsid w:val="00F85B46"/>
    <w:rsid w:val="00FA7227"/>
    <w:rsid w:val="00FB32CD"/>
    <w:rsid w:val="00FC1781"/>
    <w:rsid w:val="00FC46EE"/>
    <w:rsid w:val="00FD1164"/>
    <w:rsid w:val="00FD3026"/>
    <w:rsid w:val="00FD5AF2"/>
    <w:rsid w:val="023A3CCB"/>
    <w:rsid w:val="0AA0398D"/>
    <w:rsid w:val="0B056999"/>
    <w:rsid w:val="0B996FAE"/>
    <w:rsid w:val="0BCA641E"/>
    <w:rsid w:val="0EFF5E9A"/>
    <w:rsid w:val="14A6678A"/>
    <w:rsid w:val="181A7666"/>
    <w:rsid w:val="1AC8121C"/>
    <w:rsid w:val="1AE31BAA"/>
    <w:rsid w:val="1F49086B"/>
    <w:rsid w:val="23F41C66"/>
    <w:rsid w:val="279578B3"/>
    <w:rsid w:val="2E7A3A0E"/>
    <w:rsid w:val="30DC7D32"/>
    <w:rsid w:val="30F37377"/>
    <w:rsid w:val="34324478"/>
    <w:rsid w:val="362F3C9F"/>
    <w:rsid w:val="36480F9F"/>
    <w:rsid w:val="372A6A51"/>
    <w:rsid w:val="3C284EB7"/>
    <w:rsid w:val="3D4A7F6F"/>
    <w:rsid w:val="3E1D24BE"/>
    <w:rsid w:val="40B815BF"/>
    <w:rsid w:val="456C75C0"/>
    <w:rsid w:val="45A41165"/>
    <w:rsid w:val="463B545C"/>
    <w:rsid w:val="46B97B17"/>
    <w:rsid w:val="47402086"/>
    <w:rsid w:val="4A36310A"/>
    <w:rsid w:val="4A7C728F"/>
    <w:rsid w:val="4F114D71"/>
    <w:rsid w:val="54CA503A"/>
    <w:rsid w:val="590D7535"/>
    <w:rsid w:val="5ABF1181"/>
    <w:rsid w:val="5C95377A"/>
    <w:rsid w:val="5DBF11CF"/>
    <w:rsid w:val="602C2B71"/>
    <w:rsid w:val="616F2899"/>
    <w:rsid w:val="642B09FD"/>
    <w:rsid w:val="65741EC3"/>
    <w:rsid w:val="6AE0554C"/>
    <w:rsid w:val="6B223C0E"/>
    <w:rsid w:val="6B2C6F1C"/>
    <w:rsid w:val="702447B3"/>
    <w:rsid w:val="75AE43A1"/>
    <w:rsid w:val="76EA3005"/>
    <w:rsid w:val="7AC00B25"/>
    <w:rsid w:val="7DF610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仿宋_GB2312" w:hAnsi="Arial Unicode MS" w:eastAsia="仿宋_GB2312" w:cs="Arial Unicode MS"/>
      <w:sz w:val="32"/>
      <w:szCs w:val="22"/>
      <w:lang w:val="en-US" w:eastAsia="en-US" w:bidi="ar-SA"/>
    </w:rPr>
  </w:style>
  <w:style w:type="paragraph" w:styleId="2">
    <w:name w:val="heading 1"/>
    <w:basedOn w:val="1"/>
    <w:next w:val="1"/>
    <w:link w:val="21"/>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19"/>
    <w:qFormat/>
    <w:uiPriority w:val="1"/>
    <w:pPr>
      <w:ind w:left="332"/>
      <w:jc w:val="both"/>
      <w:outlineLvl w:val="1"/>
    </w:pPr>
    <w:rPr>
      <w:rFonts w:ascii="宋体" w:hAnsi="宋体" w:eastAsia="宋体" w:cs="宋体"/>
      <w:sz w:val="33"/>
      <w:szCs w:val="33"/>
    </w:rPr>
  </w:style>
  <w:style w:type="paragraph" w:styleId="4">
    <w:name w:val="heading 3"/>
    <w:basedOn w:val="1"/>
    <w:next w:val="1"/>
    <w:link w:val="25"/>
    <w:semiHidden/>
    <w:unhideWhenUsed/>
    <w:qFormat/>
    <w:uiPriority w:val="0"/>
    <w:pPr>
      <w:keepNext/>
      <w:keepLines/>
      <w:spacing w:before="260" w:after="260" w:line="416" w:lineRule="auto"/>
      <w:outlineLvl w:val="2"/>
    </w:pPr>
    <w:rPr>
      <w:b/>
      <w:bCs/>
      <w:szCs w:val="32"/>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ind w:firstLine="420" w:firstLineChars="200"/>
    </w:pPr>
    <w:rPr>
      <w:rFonts w:ascii="Times New Roman" w:hAnsi="Times New Roman" w:eastAsia="宋体" w:cs="Times New Roman"/>
    </w:rPr>
  </w:style>
  <w:style w:type="paragraph" w:styleId="6">
    <w:name w:val="Body Text"/>
    <w:basedOn w:val="1"/>
    <w:qFormat/>
    <w:uiPriority w:val="1"/>
    <w:rPr>
      <w:sz w:val="29"/>
      <w:szCs w:val="29"/>
    </w:rPr>
  </w:style>
  <w:style w:type="paragraph" w:styleId="7">
    <w:name w:val="Balloon Text"/>
    <w:basedOn w:val="1"/>
    <w:link w:val="20"/>
    <w:qFormat/>
    <w:uiPriority w:val="0"/>
    <w:rPr>
      <w:sz w:val="18"/>
      <w:szCs w:val="18"/>
    </w:rPr>
  </w:style>
  <w:style w:type="paragraph" w:styleId="8">
    <w:name w:val="footer"/>
    <w:basedOn w:val="1"/>
    <w:link w:val="24"/>
    <w:qFormat/>
    <w:uiPriority w:val="99"/>
    <w:pPr>
      <w:tabs>
        <w:tab w:val="center" w:pos="4153"/>
        <w:tab w:val="right" w:pos="8306"/>
      </w:tabs>
      <w:snapToGrid w:val="0"/>
    </w:pPr>
    <w:rPr>
      <w:sz w:val="18"/>
      <w:szCs w:val="18"/>
    </w:rPr>
  </w:style>
  <w:style w:type="paragraph" w:styleId="9">
    <w:name w:val="header"/>
    <w:basedOn w:val="1"/>
    <w:link w:val="23"/>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widowControl/>
      <w:autoSpaceDE/>
      <w:autoSpaceDN/>
      <w:spacing w:before="100" w:beforeAutospacing="1" w:after="100" w:afterAutospacing="1" w:line="560" w:lineRule="exact"/>
      <w:ind w:firstLine="640" w:firstLineChars="200"/>
    </w:pPr>
    <w:rPr>
      <w:rFonts w:ascii="宋体" w:hAnsi="宋体" w:cs="宋体"/>
      <w:sz w:val="24"/>
      <w:szCs w:val="24"/>
      <w:lang w:eastAsia="zh-CN"/>
    </w:rPr>
  </w:style>
  <w:style w:type="character" w:styleId="13">
    <w:name w:val="Strong"/>
    <w:basedOn w:val="12"/>
    <w:qFormat/>
    <w:uiPriority w:val="22"/>
    <w:rPr>
      <w:b/>
      <w:bCs/>
    </w:rPr>
  </w:style>
  <w:style w:type="table" w:customStyle="1" w:styleId="14">
    <w:name w:val="Table Normal"/>
    <w:semiHidden/>
    <w:unhideWhenUsed/>
    <w:qFormat/>
    <w:uiPriority w:val="2"/>
    <w:tblPr>
      <w:tblCellMar>
        <w:top w:w="0" w:type="dxa"/>
        <w:left w:w="0" w:type="dxa"/>
        <w:bottom w:w="0" w:type="dxa"/>
        <w:right w:w="0" w:type="dxa"/>
      </w:tblCellMar>
    </w:tblPr>
  </w:style>
  <w:style w:type="paragraph" w:styleId="15">
    <w:name w:val="List Paragraph"/>
    <w:basedOn w:val="1"/>
    <w:qFormat/>
    <w:uiPriority w:val="1"/>
  </w:style>
  <w:style w:type="paragraph" w:customStyle="1" w:styleId="16">
    <w:name w:val="Table Paragraph"/>
    <w:basedOn w:val="1"/>
    <w:qFormat/>
    <w:uiPriority w:val="1"/>
  </w:style>
  <w:style w:type="paragraph" w:customStyle="1" w:styleId="17">
    <w:name w:val="Default"/>
    <w:qFormat/>
    <w:uiPriority w:val="99"/>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18">
    <w:name w:val="bjh-p"/>
    <w:basedOn w:val="12"/>
    <w:qFormat/>
    <w:uiPriority w:val="0"/>
  </w:style>
  <w:style w:type="character" w:customStyle="1" w:styleId="19">
    <w:name w:val="标题 2 字符"/>
    <w:basedOn w:val="12"/>
    <w:link w:val="3"/>
    <w:qFormat/>
    <w:uiPriority w:val="1"/>
    <w:rPr>
      <w:rFonts w:ascii="宋体" w:hAnsi="宋体" w:eastAsia="宋体" w:cs="宋体"/>
      <w:sz w:val="33"/>
      <w:szCs w:val="33"/>
      <w:lang w:eastAsia="en-US"/>
    </w:rPr>
  </w:style>
  <w:style w:type="character" w:customStyle="1" w:styleId="20">
    <w:name w:val="批注框文本 字符"/>
    <w:basedOn w:val="12"/>
    <w:link w:val="7"/>
    <w:qFormat/>
    <w:uiPriority w:val="0"/>
    <w:rPr>
      <w:rFonts w:ascii="Arial Unicode MS" w:hAnsi="Arial Unicode MS" w:eastAsia="Arial Unicode MS" w:cs="Arial Unicode MS"/>
      <w:sz w:val="18"/>
      <w:szCs w:val="18"/>
      <w:lang w:eastAsia="en-US"/>
    </w:rPr>
  </w:style>
  <w:style w:type="character" w:customStyle="1" w:styleId="21">
    <w:name w:val="标题 1 字符"/>
    <w:basedOn w:val="12"/>
    <w:link w:val="2"/>
    <w:qFormat/>
    <w:uiPriority w:val="0"/>
    <w:rPr>
      <w:rFonts w:ascii="Arial Unicode MS" w:hAnsi="Arial Unicode MS" w:eastAsia="Arial Unicode MS" w:cs="Arial Unicode MS"/>
      <w:b/>
      <w:bCs/>
      <w:kern w:val="44"/>
      <w:sz w:val="44"/>
      <w:szCs w:val="44"/>
      <w:lang w:eastAsia="en-US"/>
    </w:rPr>
  </w:style>
  <w:style w:type="paragraph" w:customStyle="1" w:styleId="22">
    <w:name w:val="Body text|1"/>
    <w:basedOn w:val="1"/>
    <w:qFormat/>
    <w:uiPriority w:val="0"/>
    <w:pPr>
      <w:autoSpaceDE/>
      <w:autoSpaceDN/>
      <w:spacing w:line="394" w:lineRule="auto"/>
      <w:ind w:firstLine="400"/>
      <w:jc w:val="both"/>
    </w:pPr>
    <w:rPr>
      <w:rFonts w:ascii="宋体" w:hAnsi="宋体" w:eastAsia="宋体" w:cs="宋体"/>
      <w:kern w:val="2"/>
      <w:sz w:val="30"/>
      <w:szCs w:val="30"/>
      <w:lang w:val="zh-TW" w:eastAsia="zh-TW" w:bidi="zh-TW"/>
    </w:rPr>
  </w:style>
  <w:style w:type="character" w:customStyle="1" w:styleId="23">
    <w:name w:val="页眉 字符"/>
    <w:basedOn w:val="12"/>
    <w:link w:val="9"/>
    <w:qFormat/>
    <w:uiPriority w:val="0"/>
    <w:rPr>
      <w:rFonts w:ascii="Arial Unicode MS" w:hAnsi="Arial Unicode MS" w:eastAsia="Arial Unicode MS" w:cs="Arial Unicode MS"/>
      <w:sz w:val="18"/>
      <w:szCs w:val="18"/>
      <w:lang w:eastAsia="en-US"/>
    </w:rPr>
  </w:style>
  <w:style w:type="character" w:customStyle="1" w:styleId="24">
    <w:name w:val="页脚 字符"/>
    <w:basedOn w:val="12"/>
    <w:link w:val="8"/>
    <w:qFormat/>
    <w:uiPriority w:val="99"/>
    <w:rPr>
      <w:rFonts w:ascii="Arial Unicode MS" w:hAnsi="Arial Unicode MS" w:eastAsia="Arial Unicode MS" w:cs="Arial Unicode MS"/>
      <w:sz w:val="18"/>
      <w:szCs w:val="18"/>
      <w:lang w:eastAsia="en-US"/>
    </w:rPr>
  </w:style>
  <w:style w:type="character" w:customStyle="1" w:styleId="25">
    <w:name w:val="标题 3 字符"/>
    <w:basedOn w:val="12"/>
    <w:link w:val="4"/>
    <w:qFormat/>
    <w:uiPriority w:val="0"/>
    <w:rPr>
      <w:rFonts w:ascii="Arial Unicode MS" w:hAnsi="Arial Unicode MS" w:eastAsia="Arial Unicode MS" w:cs="Arial Unicode MS"/>
      <w:b/>
      <w:bCs/>
      <w:sz w:val="32"/>
      <w:szCs w:val="32"/>
      <w:lang w:eastAsia="en-US"/>
    </w:rPr>
  </w:style>
  <w:style w:type="character" w:customStyle="1" w:styleId="26">
    <w:name w:val="UserStyle_0"/>
    <w:semiHidden/>
    <w:qFormat/>
    <w:uiPriority w:val="0"/>
    <w:rPr>
      <w:rFonts w:ascii="Calibri" w:hAnsi="Calibri" w:eastAsia="仿宋_GB2312" w:cs="Times New Roman"/>
      <w:kern w:val="2"/>
      <w:sz w:val="32"/>
      <w:szCs w:val="24"/>
      <w:lang w:val="en-US" w:eastAsia="zh-CN" w:bidi="ar-SA"/>
    </w:rPr>
  </w:style>
  <w:style w:type="paragraph" w:customStyle="1" w:styleId="27">
    <w:name w:val="OfficeAI-正文"/>
    <w:basedOn w:val="1"/>
    <w:link w:val="28"/>
    <w:qFormat/>
    <w:uiPriority w:val="0"/>
    <w:pPr>
      <w:autoSpaceDE/>
      <w:autoSpaceDN/>
      <w:spacing w:line="560" w:lineRule="exact"/>
      <w:ind w:firstLine="200" w:firstLineChars="200"/>
      <w:jc w:val="both"/>
    </w:pPr>
    <w:rPr>
      <w:rFonts w:ascii="Times New Roman" w:hAnsi="方正小标宋简体" w:cs="Times New Roman"/>
      <w:color w:val="000000"/>
      <w:kern w:val="2"/>
      <w:szCs w:val="36"/>
      <w:lang w:eastAsia="zh-CN"/>
    </w:rPr>
  </w:style>
  <w:style w:type="character" w:customStyle="1" w:styleId="28">
    <w:name w:val="OfficeAI-正文 字符"/>
    <w:basedOn w:val="12"/>
    <w:link w:val="27"/>
    <w:qFormat/>
    <w:uiPriority w:val="0"/>
    <w:rPr>
      <w:rFonts w:hAnsi="方正小标宋简体" w:eastAsia="仿宋_GB2312"/>
      <w:color w:val="000000"/>
      <w:kern w:val="2"/>
      <w:sz w:val="32"/>
      <w:szCs w:val="36"/>
    </w:rPr>
  </w:style>
  <w:style w:type="character" w:customStyle="1" w:styleId="29">
    <w:name w:val="OfficeAI-三级标题-Character"/>
    <w:basedOn w:val="12"/>
    <w:qFormat/>
    <w:uiPriority w:val="0"/>
    <w:rPr>
      <w:rFonts w:ascii="Times New Roman" w:eastAsia="仿宋_GB2312" w:cs="Times New Roman"/>
      <w:color w:val="000000"/>
      <w:sz w:val="32"/>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0D0540-B5C8-4EBA-9A89-DC88D9F9BC3B}">
  <ds:schemaRefs/>
</ds:datastoreItem>
</file>

<file path=docProps/app.xml><?xml version="1.0" encoding="utf-8"?>
<Properties xmlns="http://schemas.openxmlformats.org/officeDocument/2006/extended-properties" xmlns:vt="http://schemas.openxmlformats.org/officeDocument/2006/docPropsVTypes">
  <Template>Normal</Template>
  <Company>Organization</Company>
  <Pages>6</Pages>
  <Words>2965</Words>
  <Characters>3079</Characters>
  <Lines>22</Lines>
  <Paragraphs>6</Paragraphs>
  <TotalTime>6282</TotalTime>
  <ScaleCrop>false</ScaleCrop>
  <LinksUpToDate>false</LinksUpToDate>
  <CharactersWithSpaces>3079</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2021-09-30T02:52:00Z</dcterms:created>
  <dc:creator>Administrator</dc:creator>
  <cp:lastModifiedBy>小情歌</cp:lastModifiedBy>
  <cp:lastPrinted>2025-10-17T02:26:00Z</cp:lastPrinted>
  <dcterms:modified xsi:type="dcterms:W3CDTF">2025-10-17T07:28:59Z</dcterms:modified>
  <cp:revision>139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2021-05-06T00:00:00Z</vt:filetime>
  </property>
  <property fmtid="{D5CDD505-2E9C-101B-9397-08002B2CF9AE}" pid="3" name="Creator">
    <vt:lpwstr>TOSHIBA e-STUDIO3515AC</vt:lpwstr>
  </property>
  <property fmtid="{D5CDD505-2E9C-101B-9397-08002B2CF9AE}" pid="4" name="LastSaved">
    <vt:filetime>2021-05-06T00:00:00Z</vt:filetime>
  </property>
  <property fmtid="{D5CDD505-2E9C-101B-9397-08002B2CF9AE}" pid="5" name="KSOProductBuildVer">
    <vt:lpwstr>2052-12.1.0.23125</vt:lpwstr>
  </property>
  <property fmtid="{D5CDD505-2E9C-101B-9397-08002B2CF9AE}" pid="6" name="ICV">
    <vt:lpwstr>742FF26467994609B792F2D532C93E3F</vt:lpwstr>
  </property>
  <property fmtid="{D5CDD505-2E9C-101B-9397-08002B2CF9AE}" pid="7" name="KSOTemplateDocerSaveRecord">
    <vt:lpwstr>eyJoZGlkIjoiMzc2MzY2NjIxZDJiYjAxYmZiMTdiNzM1ZTY2MzE4NmEiLCJ1c2VySWQiOiIzMzQxNzcwOTQifQ==</vt:lpwstr>
  </property>
</Properties>
</file>