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2CBBB8">
      <w:pPr>
        <w:keepNext w:val="0"/>
        <w:keepLines w:val="0"/>
        <w:pageBreakBefore w:val="0"/>
        <w:widowControl/>
        <w:suppressLineNumbers w:val="0"/>
        <w:kinsoku/>
        <w:wordWrap/>
        <w:overflowPunct/>
        <w:topLinePunct w:val="0"/>
        <w:autoSpaceDE/>
        <w:autoSpaceDN/>
        <w:bidi w:val="0"/>
        <w:adjustRightInd/>
        <w:snapToGrid/>
        <w:spacing w:line="560" w:lineRule="exact"/>
        <w:ind w:firstLine="440" w:firstLineChars="100"/>
        <w:jc w:val="both"/>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郑州航空港经济综合实验区支持科技服务业</w:t>
      </w:r>
    </w:p>
    <w:p w14:paraId="11623E8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高质量发展若干政策</w:t>
      </w:r>
    </w:p>
    <w:p w14:paraId="55596C2A">
      <w:pPr>
        <w:keepNext w:val="0"/>
        <w:keepLines w:val="0"/>
        <w:pageBreakBefore w:val="0"/>
        <w:widowControl/>
        <w:suppressLineNumbers w:val="0"/>
        <w:kinsoku/>
        <w:wordWrap/>
        <w:overflowPunct/>
        <w:topLinePunct w:val="0"/>
        <w:autoSpaceDE/>
        <w:autoSpaceDN/>
        <w:bidi w:val="0"/>
        <w:adjustRightInd/>
        <w:snapToGrid/>
        <w:spacing w:line="560" w:lineRule="exact"/>
        <w:ind w:firstLine="3200" w:firstLineChars="10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（征求意见稿）</w:t>
      </w:r>
    </w:p>
    <w:p w14:paraId="71306EB4">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p>
    <w:p w14:paraId="4FE83E6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为增强郑州航空港经济综合实验区科学研究和技术服务业（以下简称“科技服务业”）发展动力，提升科技服务业对科技创新和产业发展的支撑能力，增强自主创新能力，培育发展新质生产力，特制定本政策。</w:t>
      </w:r>
    </w:p>
    <w:p w14:paraId="47F08B1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第一条 支持范围</w:t>
      </w:r>
    </w:p>
    <w:p w14:paraId="448DA92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重点支持围绕科技创新全链条发展、科技成果高效率转化，向社会提供研</w:t>
      </w:r>
      <w:r>
        <w:rPr>
          <w:rFonts w:hint="default" w:ascii="仿宋_GB2312" w:hAnsi="仿宋_GB2312" w:eastAsia="仿宋_GB2312" w:cs="仿宋_GB2312"/>
          <w:color w:val="auto"/>
          <w:sz w:val="32"/>
          <w:szCs w:val="32"/>
          <w:lang w:val="en-US" w:eastAsia="zh-CN"/>
        </w:rPr>
        <w:t>究开发、技术转移转化、企业孵化、技术推广、检验检测认证、信息技术、工程技术、科技金融、知识产权、科技咨询等科技服务</w:t>
      </w:r>
      <w:r>
        <w:rPr>
          <w:rFonts w:hint="eastAsia" w:ascii="仿宋_GB2312" w:hAnsi="仿宋_GB2312" w:eastAsia="仿宋_GB2312" w:cs="仿宋_GB2312"/>
          <w:color w:val="auto"/>
          <w:sz w:val="32"/>
          <w:szCs w:val="32"/>
          <w:lang w:val="en-US" w:eastAsia="zh-CN"/>
        </w:rPr>
        <w:t>业企业。</w:t>
      </w:r>
    </w:p>
    <w:p w14:paraId="12A04002">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本政策所指</w:t>
      </w:r>
      <w:r>
        <w:rPr>
          <w:rFonts w:hint="default" w:ascii="仿宋_GB2312" w:hAnsi="仿宋_GB2312" w:eastAsia="仿宋_GB2312" w:cs="仿宋_GB2312"/>
          <w:color w:val="auto"/>
          <w:sz w:val="32"/>
          <w:szCs w:val="32"/>
          <w:lang w:val="en-US" w:eastAsia="zh-CN"/>
        </w:rPr>
        <w:t>列入培育名单</w:t>
      </w:r>
      <w:r>
        <w:rPr>
          <w:rFonts w:hint="eastAsia" w:ascii="仿宋_GB2312" w:hAnsi="仿宋_GB2312" w:eastAsia="仿宋_GB2312" w:cs="仿宋_GB2312"/>
          <w:color w:val="auto"/>
          <w:sz w:val="32"/>
          <w:szCs w:val="32"/>
          <w:lang w:val="en-US" w:eastAsia="zh-CN"/>
        </w:rPr>
        <w:t>的科技服务业企业、产业园区运营服务机构、孵化载体运营服务机构、科技服务机构等须在郑州航空港区域范围内注册纳税，并在科技管理部门备案；营收1000万元（含）以上的企业（机构）须是经统计部门认定纳统至国民经济“M科学研究和技术服务业”门类的企业。</w:t>
      </w:r>
    </w:p>
    <w:p w14:paraId="642FD5D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第二条 支持企业做优做强做大</w:t>
      </w:r>
    </w:p>
    <w:p w14:paraId="3768513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将辖区内年度主营收入首次达到500万元的科技服务业企业列入培育纳统入库名单，给予5万元资金支持。对首次纳入统计体系的规上科技服务业企业给予每家8万元的一次性奖励。对纳入统计的科技服务业企业，年营业收入每上一个500万元台阶，给予10万元奖励，最高不超过200万元。</w:t>
      </w:r>
      <w:r>
        <w:rPr>
          <w:rFonts w:hint="default" w:ascii="仿宋_GB2312" w:hAnsi="仿宋_GB2312" w:eastAsia="仿宋_GB2312" w:cs="仿宋_GB2312"/>
          <w:color w:val="auto"/>
          <w:sz w:val="32"/>
          <w:szCs w:val="32"/>
          <w:lang w:val="en-US" w:eastAsia="zh-CN"/>
        </w:rPr>
        <w:t>支持高水平科技服务机构“走出去”，采取独立设置、联合运营、并购重组等方式，拓展国内外科技服务市场。</w:t>
      </w:r>
    </w:p>
    <w:p w14:paraId="654A55F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第三条 支持设立科技服务业企业</w:t>
      </w:r>
    </w:p>
    <w:p w14:paraId="3C3C91B6">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bookmarkStart w:id="0" w:name="_GoBack"/>
      <w:r>
        <w:rPr>
          <w:rFonts w:hint="eastAsia" w:ascii="仿宋_GB2312" w:hAnsi="仿宋_GB2312" w:eastAsia="仿宋_GB2312" w:cs="仿宋_GB2312"/>
          <w:color w:val="auto"/>
          <w:sz w:val="32"/>
          <w:szCs w:val="32"/>
          <w:lang w:val="en-US" w:eastAsia="zh-CN"/>
        </w:rPr>
        <w:t>大力招引国内外引进创新能力强、服务水平高、行业影响力大的高端科技服务业企业，支持世界500强企业、省外龙头企业等在航空港区设立研发总部、研发中心、分支机构。新设立的科技服务企业，运营后3年内按营业收入总额的2%给予奖励，每家累计奖励金额最高不超过200万元。鼓励制造业、建筑业等非科技服务业主业的企事业单位将其生产流程中的科技研发、检验检测、工程设计、技术推广等服务环节、服务业务剥离，注册成为具有独立法人资格的科技服务业企业。对符合条件的企业按年度研发投入额最高给予500万元补助。</w:t>
      </w:r>
    </w:p>
    <w:bookmarkEnd w:id="0"/>
    <w:p w14:paraId="612C8C95">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 xml:space="preserve">    第四条 支持建设科技型企业孵化器</w:t>
      </w:r>
    </w:p>
    <w:p w14:paraId="0AACDBD8">
      <w:pPr>
        <w:keepNext w:val="0"/>
        <w:keepLines w:val="0"/>
        <w:pageBreakBefore w:val="0"/>
        <w:tabs>
          <w:tab w:val="left" w:pos="801"/>
        </w:tabs>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default" w:ascii="仿宋_GB2312" w:hAnsi="仿宋_GB2312" w:eastAsia="仿宋_GB2312" w:cs="仿宋_GB2312"/>
          <w:color w:val="auto"/>
          <w:sz w:val="32"/>
          <w:szCs w:val="32"/>
          <w:lang w:val="en-US" w:eastAsia="zh-CN"/>
        </w:rPr>
        <w:t>鼓励各产业园区</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企业、高校、科研院所、投资机构</w:t>
      </w:r>
      <w:r>
        <w:rPr>
          <w:rFonts w:hint="eastAsia" w:ascii="仿宋_GB2312" w:hAnsi="仿宋_GB2312" w:eastAsia="仿宋_GB2312" w:cs="仿宋_GB2312"/>
          <w:color w:val="auto"/>
          <w:sz w:val="32"/>
          <w:szCs w:val="32"/>
          <w:lang w:val="en-US" w:eastAsia="zh-CN"/>
        </w:rPr>
        <w:t>、孵化服务机构等，</w:t>
      </w:r>
      <w:r>
        <w:rPr>
          <w:rFonts w:hint="default" w:ascii="仿宋_GB2312" w:hAnsi="仿宋_GB2312" w:eastAsia="仿宋_GB2312" w:cs="仿宋_GB2312"/>
          <w:color w:val="auto"/>
          <w:sz w:val="32"/>
          <w:szCs w:val="32"/>
          <w:lang w:val="en-US" w:eastAsia="zh-CN"/>
        </w:rPr>
        <w:t>以市场化力量建设</w:t>
      </w:r>
      <w:r>
        <w:rPr>
          <w:rFonts w:hint="eastAsia" w:ascii="仿宋_GB2312" w:hAnsi="仿宋_GB2312" w:eastAsia="仿宋_GB2312" w:cs="仿宋_GB2312"/>
          <w:color w:val="auto"/>
          <w:sz w:val="32"/>
          <w:szCs w:val="32"/>
          <w:lang w:val="en-US" w:eastAsia="zh-CN"/>
        </w:rPr>
        <w:t>孵化器</w:t>
      </w:r>
      <w:r>
        <w:rPr>
          <w:rFonts w:hint="default" w:ascii="仿宋_GB2312" w:hAnsi="仿宋_GB2312" w:eastAsia="仿宋_GB2312" w:cs="仿宋_GB2312"/>
          <w:color w:val="auto"/>
          <w:sz w:val="32"/>
          <w:szCs w:val="32"/>
          <w:lang w:val="en-US" w:eastAsia="zh-CN"/>
        </w:rPr>
        <w:t>，为科技型初创企业和创业团队提供经营设施、创业辅导、技术支持、市场拓展、投资融资、管理咨询等专业服务</w:t>
      </w:r>
      <w:r>
        <w:rPr>
          <w:rFonts w:hint="eastAsia" w:ascii="仿宋_GB2312" w:hAnsi="仿宋_GB2312" w:eastAsia="仿宋_GB2312" w:cs="仿宋_GB2312"/>
          <w:snapToGrid w:val="0"/>
          <w:color w:val="000000"/>
          <w:kern w:val="0"/>
          <w:sz w:val="32"/>
          <w:szCs w:val="32"/>
          <w:highlight w:val="none"/>
          <w:lang w:val="en-US" w:eastAsia="zh-CN"/>
        </w:rPr>
        <w:t>。支持现有产业园改（扩）建孵化载体，对利用现有厂房、楼宇和存量资产，改（扩）建孵化载体的，</w:t>
      </w:r>
      <w:r>
        <w:rPr>
          <w:rFonts w:hint="eastAsia" w:ascii="仿宋_GB2312" w:hAnsi="仿宋_GB2312" w:eastAsia="仿宋_GB2312" w:cs="仿宋_GB2312"/>
          <w:sz w:val="32"/>
          <w:szCs w:val="32"/>
        </w:rPr>
        <w:t>经</w:t>
      </w:r>
      <w:r>
        <w:rPr>
          <w:rFonts w:hint="eastAsia" w:ascii="仿宋_GB2312" w:hAnsi="仿宋_GB2312" w:eastAsia="仿宋_GB2312" w:cs="仿宋_GB2312"/>
          <w:sz w:val="32"/>
          <w:szCs w:val="32"/>
          <w:lang w:val="en-US" w:eastAsia="zh-CN"/>
        </w:rPr>
        <w:t>过备案</w:t>
      </w:r>
      <w:r>
        <w:rPr>
          <w:rFonts w:hint="eastAsia" w:ascii="仿宋_GB2312" w:hAnsi="仿宋_GB2312" w:eastAsia="仿宋_GB2312" w:cs="仿宋_GB2312"/>
          <w:sz w:val="32"/>
          <w:szCs w:val="32"/>
        </w:rPr>
        <w:t>核准认定，</w:t>
      </w:r>
      <w:r>
        <w:rPr>
          <w:rFonts w:hint="eastAsia" w:ascii="仿宋_GB2312" w:hAnsi="仿宋_GB2312" w:eastAsia="仿宋_GB2312" w:cs="仿宋_GB2312"/>
          <w:color w:val="auto"/>
          <w:sz w:val="32"/>
          <w:szCs w:val="32"/>
          <w:lang w:val="en-US" w:eastAsia="zh-CN"/>
        </w:rPr>
        <w:t>给予其实施场地改造及技术设备设施购置等费用总额的20%、最高不超过300万元补贴。高质量培育孵化器，每年对孵化器培育企业的数量和质量、为企业提供专业服务情况等进行评分，根据绩效评价结果对得分排名靠前的孵化器给予最高不超过200万元的资金支持。</w:t>
      </w:r>
    </w:p>
    <w:p w14:paraId="005B86A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第五条 支持建设概念验证中心和中试基地（平台）</w:t>
      </w:r>
    </w:p>
    <w:p w14:paraId="1CD4FFC6">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支持高校院所、</w:t>
      </w:r>
      <w:r>
        <w:rPr>
          <w:rFonts w:hint="eastAsia" w:ascii="仿宋_GB2312" w:hAnsi="仿宋_GB2312" w:eastAsia="仿宋_GB2312" w:cs="仿宋_GB2312"/>
          <w:color w:val="auto"/>
          <w:sz w:val="32"/>
          <w:szCs w:val="32"/>
          <w:lang w:val="en-US" w:eastAsia="zh-CN"/>
        </w:rPr>
        <w:t>科研机构、</w:t>
      </w:r>
      <w:r>
        <w:rPr>
          <w:rFonts w:hint="default" w:ascii="仿宋_GB2312" w:hAnsi="仿宋_GB2312" w:eastAsia="仿宋_GB2312" w:cs="仿宋_GB2312"/>
          <w:color w:val="auto"/>
          <w:sz w:val="32"/>
          <w:szCs w:val="32"/>
          <w:lang w:val="en-US" w:eastAsia="zh-CN"/>
        </w:rPr>
        <w:t>创新型企业</w:t>
      </w:r>
      <w:r>
        <w:rPr>
          <w:rFonts w:hint="eastAsia" w:ascii="仿宋_GB2312" w:hAnsi="仿宋_GB2312" w:eastAsia="仿宋_GB2312" w:cs="仿宋_GB2312"/>
          <w:color w:val="auto"/>
          <w:sz w:val="32"/>
          <w:szCs w:val="32"/>
          <w:lang w:val="en-US" w:eastAsia="zh-CN"/>
        </w:rPr>
        <w:t>等，围绕航空港区主导产业和未来产业，</w:t>
      </w:r>
      <w:r>
        <w:rPr>
          <w:rFonts w:hint="default" w:ascii="仿宋_GB2312" w:hAnsi="仿宋_GB2312" w:eastAsia="仿宋_GB2312" w:cs="仿宋_GB2312"/>
          <w:color w:val="auto"/>
          <w:sz w:val="32"/>
          <w:szCs w:val="32"/>
          <w:lang w:val="en-US" w:eastAsia="zh-CN"/>
        </w:rPr>
        <w:t>建设</w:t>
      </w:r>
      <w:r>
        <w:rPr>
          <w:rFonts w:hint="eastAsia" w:ascii="仿宋_GB2312" w:hAnsi="仿宋_GB2312" w:eastAsia="仿宋_GB2312" w:cs="仿宋_GB2312"/>
          <w:color w:val="auto"/>
          <w:sz w:val="32"/>
          <w:szCs w:val="32"/>
          <w:lang w:val="en-US" w:eastAsia="zh-CN"/>
        </w:rPr>
        <w:t>开放共享、具有公共服务属性的</w:t>
      </w:r>
      <w:r>
        <w:rPr>
          <w:rFonts w:hint="default" w:ascii="仿宋_GB2312" w:hAnsi="仿宋_GB2312" w:eastAsia="仿宋_GB2312" w:cs="仿宋_GB2312"/>
          <w:color w:val="auto"/>
          <w:sz w:val="32"/>
          <w:szCs w:val="32"/>
          <w:lang w:val="en-US" w:eastAsia="zh-CN"/>
        </w:rPr>
        <w:t>概念验证中心</w:t>
      </w:r>
      <w:r>
        <w:rPr>
          <w:rFonts w:hint="eastAsia" w:ascii="仿宋_GB2312" w:hAnsi="仿宋_GB2312" w:eastAsia="仿宋_GB2312" w:cs="仿宋_GB2312"/>
          <w:color w:val="auto"/>
          <w:sz w:val="32"/>
          <w:szCs w:val="32"/>
          <w:lang w:val="en-US" w:eastAsia="zh-CN"/>
        </w:rPr>
        <w:t>、中试基地（平台）</w:t>
      </w:r>
      <w:r>
        <w:rPr>
          <w:rFonts w:hint="default" w:ascii="仿宋_GB2312" w:hAnsi="仿宋_GB2312" w:eastAsia="仿宋_GB2312" w:cs="仿宋_GB2312"/>
          <w:color w:val="auto"/>
          <w:sz w:val="32"/>
          <w:szCs w:val="32"/>
          <w:lang w:val="en-US" w:eastAsia="zh-CN"/>
        </w:rPr>
        <w:t>，提高科技成果转化供给质量。</w:t>
      </w:r>
      <w:r>
        <w:rPr>
          <w:rFonts w:hint="eastAsia" w:ascii="仿宋_GB2312" w:hAnsi="仿宋_GB2312" w:eastAsia="仿宋_GB2312" w:cs="仿宋_GB2312"/>
          <w:color w:val="auto"/>
          <w:sz w:val="32"/>
          <w:szCs w:val="32"/>
          <w:lang w:val="en-US" w:eastAsia="zh-CN"/>
        </w:rPr>
        <w:t>对新认定的国家级中试基地（平台）给予200万元奖励，对新认定的省级</w:t>
      </w:r>
      <w:r>
        <w:rPr>
          <w:rFonts w:hint="default" w:ascii="仿宋_GB2312" w:hAnsi="仿宋_GB2312" w:eastAsia="仿宋_GB2312" w:cs="仿宋_GB2312"/>
          <w:color w:val="auto"/>
          <w:sz w:val="32"/>
          <w:szCs w:val="32"/>
          <w:lang w:val="en-US" w:eastAsia="zh-CN"/>
        </w:rPr>
        <w:t>概念验证中心</w:t>
      </w:r>
      <w:r>
        <w:rPr>
          <w:rFonts w:hint="eastAsia" w:ascii="仿宋_GB2312" w:hAnsi="仿宋_GB2312" w:eastAsia="仿宋_GB2312" w:cs="仿宋_GB2312"/>
          <w:color w:val="auto"/>
          <w:sz w:val="32"/>
          <w:szCs w:val="32"/>
          <w:lang w:val="en-US" w:eastAsia="zh-CN"/>
        </w:rPr>
        <w:t>和中试基地（平台），给予100万元奖励。对经新认定的省级概念验证中心和中试基地（平台）按非财政资金购置检验检测、中试服务等硬件设备费用</w:t>
      </w:r>
      <w:r>
        <w:rPr>
          <w:rFonts w:hint="default" w:ascii="仿宋_GB2312" w:hAnsi="仿宋_GB2312" w:eastAsia="仿宋_GB2312" w:cs="仿宋_GB2312"/>
          <w:color w:val="auto"/>
          <w:sz w:val="32"/>
          <w:szCs w:val="32"/>
          <w:lang w:val="en-US" w:eastAsia="zh-CN"/>
        </w:rPr>
        <w:t>的30%</w:t>
      </w:r>
      <w:r>
        <w:rPr>
          <w:rFonts w:hint="eastAsia" w:ascii="仿宋_GB2312" w:hAnsi="仿宋_GB2312" w:eastAsia="仿宋_GB2312" w:cs="仿宋_GB2312"/>
          <w:color w:val="auto"/>
          <w:sz w:val="32"/>
          <w:szCs w:val="32"/>
          <w:lang w:val="en-US" w:eastAsia="zh-CN"/>
        </w:rPr>
        <w:t>分别</w:t>
      </w:r>
      <w:r>
        <w:rPr>
          <w:rFonts w:hint="default" w:ascii="仿宋_GB2312" w:hAnsi="仿宋_GB2312" w:eastAsia="仿宋_GB2312" w:cs="仿宋_GB2312"/>
          <w:color w:val="auto"/>
          <w:sz w:val="32"/>
          <w:szCs w:val="32"/>
          <w:lang w:val="en-US" w:eastAsia="zh-CN"/>
        </w:rPr>
        <w:t>给予最高</w:t>
      </w:r>
      <w:r>
        <w:rPr>
          <w:rFonts w:hint="eastAsia" w:ascii="仿宋_GB2312" w:hAnsi="仿宋_GB2312" w:eastAsia="仿宋_GB2312" w:cs="仿宋_GB2312"/>
          <w:color w:val="auto"/>
          <w:sz w:val="32"/>
          <w:szCs w:val="32"/>
          <w:lang w:val="en-US" w:eastAsia="zh-CN"/>
        </w:rPr>
        <w:t>800</w:t>
      </w:r>
      <w:r>
        <w:rPr>
          <w:rFonts w:hint="default"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lang w:val="en-US" w:eastAsia="zh-CN"/>
        </w:rPr>
        <w:t>后补助；</w:t>
      </w:r>
      <w:r>
        <w:rPr>
          <w:rFonts w:hint="default" w:ascii="仿宋_GB2312" w:hAnsi="仿宋_GB2312" w:eastAsia="仿宋_GB2312" w:cs="仿宋_GB2312"/>
          <w:color w:val="auto"/>
          <w:sz w:val="32"/>
          <w:szCs w:val="32"/>
          <w:lang w:val="en-US" w:eastAsia="zh-CN"/>
        </w:rPr>
        <w:t>按照上级支持资金给予1</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1配套的绩效评价后奖励，最高</w:t>
      </w:r>
      <w:r>
        <w:rPr>
          <w:rFonts w:hint="eastAsia" w:ascii="仿宋_GB2312" w:hAnsi="仿宋_GB2312" w:eastAsia="仿宋_GB2312" w:cs="仿宋_GB2312"/>
          <w:color w:val="auto"/>
          <w:sz w:val="32"/>
          <w:szCs w:val="32"/>
          <w:lang w:val="en-US" w:eastAsia="zh-CN"/>
        </w:rPr>
        <w:t>200万元。</w:t>
      </w:r>
    </w:p>
    <w:p w14:paraId="0B5557A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第六条 支持为科技企业提供专业服务</w:t>
      </w:r>
    </w:p>
    <w:p w14:paraId="472D85AB">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支持产业园区、孵化载体运营服务机构等开展申报辅导工作，对当年经机构辅导成功认定省级专精特新企业或国家高新技术企业的，按一家企业1万元标准给予机构辅导奖励，同一企业不重复奖励；成功认定省瞪羚企业的，按一家企业3万元标准给予机构辅导奖励；成功认定省创新龙头企业、国家专精特新“小巨人”企业的，按一家企业5万元标准给予机构辅导奖励；成功认定国家重点小巨人的，按一家企业10万元标准给予机构辅导奖励。支持产业园区、孵化载体运营服务机构等服务规上企业做好研发经费归集工作，根据服务上一年度规上企业研发清零数量对辅导机构进行奖励，每辅导成功一家给予1万元奖励。</w:t>
      </w:r>
    </w:p>
    <w:p w14:paraId="4331182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第七条 支持营造创新创业氛围</w:t>
      </w:r>
    </w:p>
    <w:p w14:paraId="35E020EA">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color w:val="auto"/>
          <w:sz w:val="32"/>
          <w:szCs w:val="32"/>
          <w:lang w:val="en-US" w:eastAsia="zh-CN"/>
        </w:rPr>
      </w:pPr>
      <w:r>
        <w:rPr>
          <w:rFonts w:hint="eastAsia" w:ascii="仿宋_GB2312" w:hAnsi="仿宋_GB2312" w:eastAsia="仿宋_GB2312" w:cs="仿宋_GB2312"/>
          <w:color w:val="auto"/>
          <w:sz w:val="32"/>
          <w:szCs w:val="32"/>
          <w:lang w:val="en-US" w:eastAsia="zh-CN"/>
        </w:rPr>
        <w:t>支持孵化载体、科创园区、骨干企业、行业协会商会、产业联盟、专业机构等在航空港区举办具有全省，甚至全国影响力的科技创新创业主题活动，经备案核定后，按活动实际发生费用的50%，单场活动最高30万元补助，单个申报主体每年最高补助50万元。</w:t>
      </w:r>
    </w:p>
    <w:p w14:paraId="15CC429B">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第八条 大力发展技术转移服务业</w:t>
      </w:r>
    </w:p>
    <w:p w14:paraId="7DE5203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支持高校、科研院所、新型研发机构等各类创新主体在航空港区成立创新中心、创新基地、成果转化中心（办公室）等，根据双方约定的目标任务和考核结果，在协议期内每年分期提供不超过100万元的资金支持，落地对港区经济社会发展有重大意义的，可提高至不超过200万元，用于开展科技成果推介对接、技术评估、技术转移、成果转化、专利许可、产学研合作等服务工作。</w:t>
      </w:r>
    </w:p>
    <w:p w14:paraId="5443CDAA">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第九条  附则</w:t>
      </w:r>
    </w:p>
    <w:p w14:paraId="694E3359">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本政策与航空港区其他政策不一致的，按本政策执行，另有规定的除外。同一主体获批多个平台的，不重复享受补助。同一事项不重复奖励，按就高标准执行；已获得低等次奖励的，晋升至高层次时，只奖补差额部分。</w:t>
      </w:r>
    </w:p>
    <w:p w14:paraId="5FA42E5D">
      <w:pPr>
        <w:keepNext w:val="0"/>
        <w:keepLines w:val="0"/>
        <w:pageBreakBefore w:val="0"/>
        <w:tabs>
          <w:tab w:val="left" w:pos="1711"/>
        </w:tabs>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（二）除另有约定外，本政策以年度专项资金预算总额为限予以兑现，实施总额控制。上级要求地方配套的，本政策补助奖励支持资金视同配套。</w:t>
      </w:r>
    </w:p>
    <w:p w14:paraId="1BEA381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当年发生安全生产、环境污染、产品质量、偷税、欺诈等重大问题和发生重大群体性事件以及其他违法违规行为的企业（含孵化载体、科技中介机构）不享受本政策。对列入不良信用行为记录的责任主体，取消其三年内政策资金申请资格。</w:t>
      </w:r>
    </w:p>
    <w:p w14:paraId="6AA254E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（四）政策措施自发布之日起实施，有效期3年，由郑州航空港经济综合实验区管委会负责解释，具体工作由郑州航空港经济综合实验区科技工信局承担。</w:t>
      </w:r>
    </w:p>
    <w:sectPr>
      <w:footerReference r:id="rId3" w:type="default"/>
      <w:pgSz w:w="11906" w:h="16838"/>
      <w:pgMar w:top="2098" w:right="1474" w:bottom="1984" w:left="1587" w:header="851" w:footer="992" w:gutter="0"/>
      <w:pgNumType w:fmt="decimal" w:start="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1608187-5A34-458A-A0F8-A2EBBAF9E48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279B1497-9E78-4259-8FFA-D35657CCA501}"/>
  </w:font>
  <w:font w:name="方正小标宋简体">
    <w:panose1 w:val="02000000000000000000"/>
    <w:charset w:val="86"/>
    <w:family w:val="auto"/>
    <w:pitch w:val="default"/>
    <w:sig w:usb0="00000001" w:usb1="08000000" w:usb2="00000000" w:usb3="00000000" w:csb0="00040000" w:csb1="00000000"/>
    <w:embedRegular r:id="rId3" w:fontKey="{78F8400F-1665-4CB5-A4F3-C1E4416F8CF1}"/>
  </w:font>
  <w:font w:name="楷体_GB2312">
    <w:panose1 w:val="02010609030101010101"/>
    <w:charset w:val="86"/>
    <w:family w:val="auto"/>
    <w:pitch w:val="default"/>
    <w:sig w:usb0="00000001" w:usb1="080E0000" w:usb2="00000000" w:usb3="00000000" w:csb0="00040000" w:csb1="00000000"/>
    <w:embedRegular r:id="rId4" w:fontKey="{2243793C-54E9-4A60-A6B4-583F6671DB6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2544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-487045</wp:posOffset>
              </wp:positionV>
              <wp:extent cx="834390" cy="6267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834390" cy="626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C526D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38.35pt;height:49.35pt;width:65.7pt;mso-position-horizontal:outside;mso-position-horizontal-relative:margin;z-index:251659264;mso-width-relative:page;mso-height-relative:page;" filled="f" stroked="f" coordsize="21600,21600" o:gfxdata="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E7arO1gAAAAcBAAAPAAAAAAAAAAEAIAAAACIAAABkcnMvZG93bnJl&#10;di54bWxQSwECFAAUAAAACACHTuJAWVRRXjgCAABhBAAADgAAAAAAAAABACAAAAAlAQAAZHJzL2Uy&#10;b0RvYy54bWxQSwUGAAAAAAYABgBZAQAAzwUAAAAA&#10;">
              <v:fill on="f" focussize="0,0"/>
              <v:stroke on="f" weight="0.5pt"/>
              <v:imagedata o:title=""/>
              <o:lock v:ext="edit" aspectratio="f"/>
              <v:textbox inset="0mm,0mm,0mm,0mm">
                <w:txbxContent>
                  <w:p w14:paraId="7AC526D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353977"/>
    <w:multiLevelType w:val="multilevel"/>
    <w:tmpl w:val="5F353977"/>
    <w:lvl w:ilvl="0" w:tentative="0">
      <w:start w:val="1"/>
      <w:numFmt w:val="decimal"/>
      <w:lvlText w:val="%1"/>
      <w:lvlJc w:val="left"/>
      <w:pPr>
        <w:ind w:left="4402" w:hanging="432"/>
      </w:pPr>
    </w:lvl>
    <w:lvl w:ilvl="1" w:tentative="0">
      <w:start w:val="1"/>
      <w:numFmt w:val="decimal"/>
      <w:pStyle w:val="2"/>
      <w:lvlText w:val="%1.%2"/>
      <w:lvlJc w:val="left"/>
      <w:pPr>
        <w:ind w:left="4121" w:hanging="576"/>
      </w:pPr>
      <w:rPr>
        <w:rFonts w:hint="default" w:ascii="Calibri" w:hAnsi="Calibri"/>
        <w:b w:val="0"/>
      </w:rPr>
    </w:lvl>
    <w:lvl w:ilvl="2" w:tentative="0">
      <w:start w:val="1"/>
      <w:numFmt w:val="decimal"/>
      <w:lvlText w:val="%1.%2.%3"/>
      <w:lvlJc w:val="left"/>
      <w:pPr>
        <w:ind w:left="720" w:hanging="720"/>
      </w:pPr>
      <w:rPr>
        <w:b w:val="0"/>
        <w:bCs w:val="0"/>
        <w:i w:val="0"/>
        <w:iCs w:val="0"/>
        <w:caps w:val="0"/>
        <w:smallCaps w:val="0"/>
        <w:strike w:val="0"/>
        <w:dstrike w:val="0"/>
        <w:vanish w:val="0"/>
        <w:color w:val="000000"/>
        <w:spacing w:val="0"/>
        <w:position w:val="0"/>
        <w:u w:val="none"/>
        <w:vertAlign w:val="baseline"/>
      </w:rPr>
    </w:lvl>
    <w:lvl w:ilvl="3" w:tentative="0">
      <w:start w:val="1"/>
      <w:numFmt w:val="decimal"/>
      <w:lvlText w:val="%1.%2.%3.%4"/>
      <w:lvlJc w:val="left"/>
      <w:pPr>
        <w:ind w:left="864" w:hanging="864"/>
      </w:pPr>
      <w:rPr>
        <w:rFonts w:hint="eastAsia" w:ascii="黑体" w:eastAsia="黑体"/>
      </w:r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08B5614"/>
    <w:rsid w:val="00CD79DA"/>
    <w:rsid w:val="00EB7E60"/>
    <w:rsid w:val="00FB4547"/>
    <w:rsid w:val="031F3DF1"/>
    <w:rsid w:val="03483348"/>
    <w:rsid w:val="03C873D8"/>
    <w:rsid w:val="03CC21CB"/>
    <w:rsid w:val="04447FB3"/>
    <w:rsid w:val="045D5EB3"/>
    <w:rsid w:val="046441B2"/>
    <w:rsid w:val="057C377D"/>
    <w:rsid w:val="05CF235C"/>
    <w:rsid w:val="05D046DB"/>
    <w:rsid w:val="05D2558D"/>
    <w:rsid w:val="05DD435E"/>
    <w:rsid w:val="064D0A38"/>
    <w:rsid w:val="06606BFB"/>
    <w:rsid w:val="06FC1C28"/>
    <w:rsid w:val="07A019A5"/>
    <w:rsid w:val="07CA6288"/>
    <w:rsid w:val="07FC2953"/>
    <w:rsid w:val="081542F5"/>
    <w:rsid w:val="08404F36"/>
    <w:rsid w:val="088E3EF3"/>
    <w:rsid w:val="09023F99"/>
    <w:rsid w:val="09630EDC"/>
    <w:rsid w:val="0A0D0E47"/>
    <w:rsid w:val="0A134B7D"/>
    <w:rsid w:val="0A2825E1"/>
    <w:rsid w:val="0A407401"/>
    <w:rsid w:val="0A71587A"/>
    <w:rsid w:val="0A762E91"/>
    <w:rsid w:val="0A8F3F52"/>
    <w:rsid w:val="0AE62ED3"/>
    <w:rsid w:val="0BEA58E4"/>
    <w:rsid w:val="0C2B1A59"/>
    <w:rsid w:val="0C5066DE"/>
    <w:rsid w:val="0C514C17"/>
    <w:rsid w:val="0CE9136E"/>
    <w:rsid w:val="0D435079"/>
    <w:rsid w:val="0D533015"/>
    <w:rsid w:val="0D8D29CB"/>
    <w:rsid w:val="0DB677E5"/>
    <w:rsid w:val="0DBC5D2B"/>
    <w:rsid w:val="0DFF4F4B"/>
    <w:rsid w:val="0F4B1644"/>
    <w:rsid w:val="103A5C8E"/>
    <w:rsid w:val="104D6442"/>
    <w:rsid w:val="117B3595"/>
    <w:rsid w:val="118F4601"/>
    <w:rsid w:val="127E6D86"/>
    <w:rsid w:val="12C4449F"/>
    <w:rsid w:val="12E017EF"/>
    <w:rsid w:val="134A3724"/>
    <w:rsid w:val="137A57A0"/>
    <w:rsid w:val="13DD64C2"/>
    <w:rsid w:val="13ED41C3"/>
    <w:rsid w:val="1432607A"/>
    <w:rsid w:val="145A737F"/>
    <w:rsid w:val="165F0C7D"/>
    <w:rsid w:val="16893F4C"/>
    <w:rsid w:val="173346CB"/>
    <w:rsid w:val="17582AE4"/>
    <w:rsid w:val="178D6C11"/>
    <w:rsid w:val="17A0154D"/>
    <w:rsid w:val="17F33D18"/>
    <w:rsid w:val="18784278"/>
    <w:rsid w:val="19377C8F"/>
    <w:rsid w:val="195A5F78"/>
    <w:rsid w:val="19D35C0A"/>
    <w:rsid w:val="1AC819CB"/>
    <w:rsid w:val="1AC9700C"/>
    <w:rsid w:val="1BCB46BE"/>
    <w:rsid w:val="1BDB3D17"/>
    <w:rsid w:val="1C197B20"/>
    <w:rsid w:val="1C2C7853"/>
    <w:rsid w:val="1C6103ED"/>
    <w:rsid w:val="1CA67605"/>
    <w:rsid w:val="1CDF602F"/>
    <w:rsid w:val="1D532BBD"/>
    <w:rsid w:val="1DC47A77"/>
    <w:rsid w:val="1DE5415D"/>
    <w:rsid w:val="20056579"/>
    <w:rsid w:val="203874CB"/>
    <w:rsid w:val="20C31E08"/>
    <w:rsid w:val="20C91B14"/>
    <w:rsid w:val="211E6091"/>
    <w:rsid w:val="212C10FB"/>
    <w:rsid w:val="21AB121A"/>
    <w:rsid w:val="22EF0E47"/>
    <w:rsid w:val="232E5014"/>
    <w:rsid w:val="237C2E6E"/>
    <w:rsid w:val="238F33E0"/>
    <w:rsid w:val="24092228"/>
    <w:rsid w:val="25461985"/>
    <w:rsid w:val="25CB59E7"/>
    <w:rsid w:val="264D0AF2"/>
    <w:rsid w:val="269C7383"/>
    <w:rsid w:val="27314521"/>
    <w:rsid w:val="276A1007"/>
    <w:rsid w:val="277420AE"/>
    <w:rsid w:val="278247CB"/>
    <w:rsid w:val="2829733C"/>
    <w:rsid w:val="2939535D"/>
    <w:rsid w:val="2A1D28D2"/>
    <w:rsid w:val="2A5C2F1E"/>
    <w:rsid w:val="2A5D6D30"/>
    <w:rsid w:val="2AB56C65"/>
    <w:rsid w:val="2B2A174E"/>
    <w:rsid w:val="2B2D2CA0"/>
    <w:rsid w:val="2B8C18A5"/>
    <w:rsid w:val="2BF7A5D2"/>
    <w:rsid w:val="2C7F39CF"/>
    <w:rsid w:val="2D9F12F6"/>
    <w:rsid w:val="2E4363D0"/>
    <w:rsid w:val="2E960B5C"/>
    <w:rsid w:val="2EE24644"/>
    <w:rsid w:val="2F2C0968"/>
    <w:rsid w:val="2FCE77D5"/>
    <w:rsid w:val="30182170"/>
    <w:rsid w:val="3031681D"/>
    <w:rsid w:val="30DF7614"/>
    <w:rsid w:val="31772EC7"/>
    <w:rsid w:val="318005AF"/>
    <w:rsid w:val="324A2389"/>
    <w:rsid w:val="326A6587"/>
    <w:rsid w:val="32B76B39"/>
    <w:rsid w:val="32E3119E"/>
    <w:rsid w:val="3350577D"/>
    <w:rsid w:val="33FE62AA"/>
    <w:rsid w:val="35412A1C"/>
    <w:rsid w:val="36664117"/>
    <w:rsid w:val="367F4496"/>
    <w:rsid w:val="373F5BE4"/>
    <w:rsid w:val="375A306E"/>
    <w:rsid w:val="37926CB3"/>
    <w:rsid w:val="37CF767A"/>
    <w:rsid w:val="3833384F"/>
    <w:rsid w:val="38BBBC5D"/>
    <w:rsid w:val="392108DD"/>
    <w:rsid w:val="396F42D7"/>
    <w:rsid w:val="3A86417A"/>
    <w:rsid w:val="3ACF6188"/>
    <w:rsid w:val="3AD15428"/>
    <w:rsid w:val="3B0B5FA6"/>
    <w:rsid w:val="3B8706E3"/>
    <w:rsid w:val="3BA048D6"/>
    <w:rsid w:val="3BB61D7A"/>
    <w:rsid w:val="3BFD71EE"/>
    <w:rsid w:val="3C120820"/>
    <w:rsid w:val="3C202B7C"/>
    <w:rsid w:val="3D43674A"/>
    <w:rsid w:val="3DBDA374"/>
    <w:rsid w:val="3DDD0E48"/>
    <w:rsid w:val="3DFD7866"/>
    <w:rsid w:val="3EBDD8E0"/>
    <w:rsid w:val="3ED032E0"/>
    <w:rsid w:val="3EDF26F7"/>
    <w:rsid w:val="3EE53B65"/>
    <w:rsid w:val="3F057D64"/>
    <w:rsid w:val="3F4F358B"/>
    <w:rsid w:val="3F6A0792"/>
    <w:rsid w:val="3F7D4358"/>
    <w:rsid w:val="3F863B51"/>
    <w:rsid w:val="3FBC64AD"/>
    <w:rsid w:val="3FD73884"/>
    <w:rsid w:val="3FF1682D"/>
    <w:rsid w:val="3FF91C26"/>
    <w:rsid w:val="408C3F57"/>
    <w:rsid w:val="40972C3D"/>
    <w:rsid w:val="409B6D58"/>
    <w:rsid w:val="40A32784"/>
    <w:rsid w:val="40B97058"/>
    <w:rsid w:val="414C3A28"/>
    <w:rsid w:val="416609C5"/>
    <w:rsid w:val="41E719A3"/>
    <w:rsid w:val="41EA63D1"/>
    <w:rsid w:val="425C413F"/>
    <w:rsid w:val="42FF8058"/>
    <w:rsid w:val="43EA13D4"/>
    <w:rsid w:val="4406092D"/>
    <w:rsid w:val="44234C52"/>
    <w:rsid w:val="44936F90"/>
    <w:rsid w:val="44F05012"/>
    <w:rsid w:val="452910C9"/>
    <w:rsid w:val="45C53DA9"/>
    <w:rsid w:val="45CA5863"/>
    <w:rsid w:val="465B3FCD"/>
    <w:rsid w:val="46D70238"/>
    <w:rsid w:val="478D5304"/>
    <w:rsid w:val="47B5140A"/>
    <w:rsid w:val="47B5C9FB"/>
    <w:rsid w:val="48531B40"/>
    <w:rsid w:val="48D83DF3"/>
    <w:rsid w:val="498B43F4"/>
    <w:rsid w:val="4A1947CF"/>
    <w:rsid w:val="4A2512BA"/>
    <w:rsid w:val="4A590F64"/>
    <w:rsid w:val="4A9D52F4"/>
    <w:rsid w:val="4B8FC5AE"/>
    <w:rsid w:val="4BE34F89"/>
    <w:rsid w:val="4BE5506D"/>
    <w:rsid w:val="4BFC67AA"/>
    <w:rsid w:val="4C11151C"/>
    <w:rsid w:val="4C331240"/>
    <w:rsid w:val="4C675BBA"/>
    <w:rsid w:val="4C9D15DC"/>
    <w:rsid w:val="4CA30BBC"/>
    <w:rsid w:val="4E037B64"/>
    <w:rsid w:val="4E0631B0"/>
    <w:rsid w:val="4EE21ECA"/>
    <w:rsid w:val="4FDB3A13"/>
    <w:rsid w:val="4FFFFF21"/>
    <w:rsid w:val="513675CD"/>
    <w:rsid w:val="5180327A"/>
    <w:rsid w:val="528D5C4E"/>
    <w:rsid w:val="52C20397"/>
    <w:rsid w:val="52C526CB"/>
    <w:rsid w:val="537A08C9"/>
    <w:rsid w:val="53B561BF"/>
    <w:rsid w:val="54DC4C6B"/>
    <w:rsid w:val="55D7203E"/>
    <w:rsid w:val="55E258B5"/>
    <w:rsid w:val="565FBD87"/>
    <w:rsid w:val="57591823"/>
    <w:rsid w:val="57CF2DB8"/>
    <w:rsid w:val="5822508B"/>
    <w:rsid w:val="58400E05"/>
    <w:rsid w:val="584D65AC"/>
    <w:rsid w:val="58675ACC"/>
    <w:rsid w:val="598B01CE"/>
    <w:rsid w:val="59990E4F"/>
    <w:rsid w:val="59BB7545"/>
    <w:rsid w:val="5A2275C4"/>
    <w:rsid w:val="5A9C5F28"/>
    <w:rsid w:val="5B2F1F99"/>
    <w:rsid w:val="5BBB25C4"/>
    <w:rsid w:val="5BE2525D"/>
    <w:rsid w:val="5BFC6D7A"/>
    <w:rsid w:val="5BFD9BA0"/>
    <w:rsid w:val="5C0D0EA3"/>
    <w:rsid w:val="5C7943BC"/>
    <w:rsid w:val="5CBB785C"/>
    <w:rsid w:val="5E0D2339"/>
    <w:rsid w:val="5E994F12"/>
    <w:rsid w:val="5ED3D9F0"/>
    <w:rsid w:val="5EF23A4F"/>
    <w:rsid w:val="5F7D408E"/>
    <w:rsid w:val="5FEE9632"/>
    <w:rsid w:val="5FF76550"/>
    <w:rsid w:val="603B6C53"/>
    <w:rsid w:val="60CF1B28"/>
    <w:rsid w:val="60E47381"/>
    <w:rsid w:val="61161505"/>
    <w:rsid w:val="613320B7"/>
    <w:rsid w:val="613A1697"/>
    <w:rsid w:val="61D94A0C"/>
    <w:rsid w:val="62516C98"/>
    <w:rsid w:val="629B488E"/>
    <w:rsid w:val="62BD432E"/>
    <w:rsid w:val="62EDDD8E"/>
    <w:rsid w:val="63097573"/>
    <w:rsid w:val="63277B66"/>
    <w:rsid w:val="633F11E7"/>
    <w:rsid w:val="63AE011A"/>
    <w:rsid w:val="63E31B72"/>
    <w:rsid w:val="63ED29F1"/>
    <w:rsid w:val="64966BE4"/>
    <w:rsid w:val="64F32289"/>
    <w:rsid w:val="65E816C2"/>
    <w:rsid w:val="6635752C"/>
    <w:rsid w:val="66380F8D"/>
    <w:rsid w:val="672A0689"/>
    <w:rsid w:val="678829F3"/>
    <w:rsid w:val="67E67E83"/>
    <w:rsid w:val="67EB36EB"/>
    <w:rsid w:val="67EBEA27"/>
    <w:rsid w:val="686B577A"/>
    <w:rsid w:val="68790CF7"/>
    <w:rsid w:val="69B30239"/>
    <w:rsid w:val="69E94088"/>
    <w:rsid w:val="69FDFBE5"/>
    <w:rsid w:val="6AF5C561"/>
    <w:rsid w:val="6AF97ECD"/>
    <w:rsid w:val="6B613D5C"/>
    <w:rsid w:val="6BB33ECB"/>
    <w:rsid w:val="6D2531FB"/>
    <w:rsid w:val="6D3C534B"/>
    <w:rsid w:val="6D5E7E22"/>
    <w:rsid w:val="6D6F5992"/>
    <w:rsid w:val="6D8048D6"/>
    <w:rsid w:val="6E5A61D3"/>
    <w:rsid w:val="6EDB89B8"/>
    <w:rsid w:val="6EF417D7"/>
    <w:rsid w:val="6F2DA0D1"/>
    <w:rsid w:val="6F76D648"/>
    <w:rsid w:val="6FFD6322"/>
    <w:rsid w:val="704C0A9F"/>
    <w:rsid w:val="70981F36"/>
    <w:rsid w:val="7130351D"/>
    <w:rsid w:val="717475E4"/>
    <w:rsid w:val="722021E3"/>
    <w:rsid w:val="724179B2"/>
    <w:rsid w:val="72B82F50"/>
    <w:rsid w:val="72CD11DC"/>
    <w:rsid w:val="72E871A5"/>
    <w:rsid w:val="737338D3"/>
    <w:rsid w:val="737F73DD"/>
    <w:rsid w:val="73BF3B70"/>
    <w:rsid w:val="73FCBCE2"/>
    <w:rsid w:val="744C5512"/>
    <w:rsid w:val="749B7BE9"/>
    <w:rsid w:val="75265D63"/>
    <w:rsid w:val="75660855"/>
    <w:rsid w:val="75CF2E69"/>
    <w:rsid w:val="75D9D7E5"/>
    <w:rsid w:val="75DC28C5"/>
    <w:rsid w:val="76BF49E4"/>
    <w:rsid w:val="76CF7AA2"/>
    <w:rsid w:val="771F20A1"/>
    <w:rsid w:val="773E5DD8"/>
    <w:rsid w:val="777F9C43"/>
    <w:rsid w:val="77EDDDEA"/>
    <w:rsid w:val="77F1CA24"/>
    <w:rsid w:val="77F7DA89"/>
    <w:rsid w:val="78340A05"/>
    <w:rsid w:val="78841019"/>
    <w:rsid w:val="78E57CE3"/>
    <w:rsid w:val="79053481"/>
    <w:rsid w:val="793022A4"/>
    <w:rsid w:val="79786DA9"/>
    <w:rsid w:val="799F94CB"/>
    <w:rsid w:val="79BF8EE3"/>
    <w:rsid w:val="7AB160CE"/>
    <w:rsid w:val="7AFF08DD"/>
    <w:rsid w:val="7B2C7E4B"/>
    <w:rsid w:val="7B711D02"/>
    <w:rsid w:val="7B716E6B"/>
    <w:rsid w:val="7BA5620B"/>
    <w:rsid w:val="7BAEF7D4"/>
    <w:rsid w:val="7BB34A9A"/>
    <w:rsid w:val="7BBD6CF5"/>
    <w:rsid w:val="7BDD7266"/>
    <w:rsid w:val="7BEB1AB4"/>
    <w:rsid w:val="7BEF3350"/>
    <w:rsid w:val="7C0344BF"/>
    <w:rsid w:val="7D7AB6EB"/>
    <w:rsid w:val="7D8034DB"/>
    <w:rsid w:val="7DBF7786"/>
    <w:rsid w:val="7DD343DA"/>
    <w:rsid w:val="7DDF2808"/>
    <w:rsid w:val="7DFBB84C"/>
    <w:rsid w:val="7E3F5A00"/>
    <w:rsid w:val="7E5F0949"/>
    <w:rsid w:val="7E6B7FBA"/>
    <w:rsid w:val="7EBBADF5"/>
    <w:rsid w:val="7EF60136"/>
    <w:rsid w:val="7EFD0D38"/>
    <w:rsid w:val="7F0B407F"/>
    <w:rsid w:val="7F0C672E"/>
    <w:rsid w:val="7F5D1019"/>
    <w:rsid w:val="7FBA1D20"/>
    <w:rsid w:val="7FC543CA"/>
    <w:rsid w:val="7FD5AFED"/>
    <w:rsid w:val="7FDB113F"/>
    <w:rsid w:val="7FF3FFF1"/>
    <w:rsid w:val="7FFBE4D4"/>
    <w:rsid w:val="7FFED80F"/>
    <w:rsid w:val="8D952893"/>
    <w:rsid w:val="9FFD2CBD"/>
    <w:rsid w:val="A0FB07C2"/>
    <w:rsid w:val="AABB8AE7"/>
    <w:rsid w:val="AB24775B"/>
    <w:rsid w:val="ABFED499"/>
    <w:rsid w:val="ADFFB505"/>
    <w:rsid w:val="AE7B9F6A"/>
    <w:rsid w:val="AEC2EDC7"/>
    <w:rsid w:val="AEEE278F"/>
    <w:rsid w:val="AF67073E"/>
    <w:rsid w:val="B5AC4950"/>
    <w:rsid w:val="B6B733E1"/>
    <w:rsid w:val="BA3BEFE5"/>
    <w:rsid w:val="BAFAD498"/>
    <w:rsid w:val="BBDF69F6"/>
    <w:rsid w:val="BBFCD691"/>
    <w:rsid w:val="BEDE5E24"/>
    <w:rsid w:val="BFD762F0"/>
    <w:rsid w:val="C6AD4DE6"/>
    <w:rsid w:val="C7F53C49"/>
    <w:rsid w:val="C7FF4EAE"/>
    <w:rsid w:val="CA5E413F"/>
    <w:rsid w:val="CFF458AE"/>
    <w:rsid w:val="CFFFACA0"/>
    <w:rsid w:val="D3BF8F3F"/>
    <w:rsid w:val="D6DDE8C0"/>
    <w:rsid w:val="D7BEC993"/>
    <w:rsid w:val="DBBD4123"/>
    <w:rsid w:val="DBD76F0F"/>
    <w:rsid w:val="DBEF9DF1"/>
    <w:rsid w:val="DBF7A51B"/>
    <w:rsid w:val="DD6BA40D"/>
    <w:rsid w:val="DDF7A9CC"/>
    <w:rsid w:val="DF11A58D"/>
    <w:rsid w:val="DF6E8058"/>
    <w:rsid w:val="DFDE3D43"/>
    <w:rsid w:val="DFDFE04C"/>
    <w:rsid w:val="DFF73451"/>
    <w:rsid w:val="E2FF4ED0"/>
    <w:rsid w:val="E66FD84D"/>
    <w:rsid w:val="E77F37B5"/>
    <w:rsid w:val="EC6A8585"/>
    <w:rsid w:val="EEFF861B"/>
    <w:rsid w:val="EF32B9A4"/>
    <w:rsid w:val="F3FB6258"/>
    <w:rsid w:val="F5F53A04"/>
    <w:rsid w:val="F7AD0E06"/>
    <w:rsid w:val="F7BB9DC4"/>
    <w:rsid w:val="F7BF82A5"/>
    <w:rsid w:val="F7FF4DDB"/>
    <w:rsid w:val="FBDEDACE"/>
    <w:rsid w:val="FD0100E6"/>
    <w:rsid w:val="FD4EE2CD"/>
    <w:rsid w:val="FD7D7D0F"/>
    <w:rsid w:val="FDA23CC5"/>
    <w:rsid w:val="FDDFEACD"/>
    <w:rsid w:val="FDECD4E6"/>
    <w:rsid w:val="FDEF235B"/>
    <w:rsid w:val="FDFF5864"/>
    <w:rsid w:val="FE3FCE44"/>
    <w:rsid w:val="FE6F5403"/>
    <w:rsid w:val="FE799281"/>
    <w:rsid w:val="FE7FA799"/>
    <w:rsid w:val="FEDA45E5"/>
    <w:rsid w:val="FEEC05F5"/>
    <w:rsid w:val="FEFBE06A"/>
    <w:rsid w:val="FEFF206E"/>
    <w:rsid w:val="FEFFDDA6"/>
    <w:rsid w:val="FF338C79"/>
    <w:rsid w:val="FF3C94BC"/>
    <w:rsid w:val="FF5F6441"/>
    <w:rsid w:val="FF6C0B55"/>
    <w:rsid w:val="FF6F6166"/>
    <w:rsid w:val="FF7FF251"/>
    <w:rsid w:val="FFAF7A38"/>
    <w:rsid w:val="FFD5D3EF"/>
    <w:rsid w:val="FFD73AC4"/>
    <w:rsid w:val="FFDF6F1E"/>
    <w:rsid w:val="FFDF8822"/>
    <w:rsid w:val="FFF6B572"/>
    <w:rsid w:val="FFF79405"/>
    <w:rsid w:val="FFFDFA8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2"/>
    <w:basedOn w:val="1"/>
    <w:next w:val="1"/>
    <w:unhideWhenUsed/>
    <w:qFormat/>
    <w:uiPriority w:val="0"/>
    <w:pPr>
      <w:keepNext/>
      <w:keepLines/>
      <w:numPr>
        <w:ilvl w:val="1"/>
        <w:numId w:val="1"/>
      </w:numPr>
      <w:ind w:left="0" w:firstLine="0"/>
      <w:outlineLvl w:val="1"/>
    </w:pPr>
    <w:rPr>
      <w:rFonts w:ascii="宋体" w:hAnsi="宋体"/>
      <w:b/>
      <w:szCs w:val="2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Emphasis"/>
    <w:basedOn w:val="9"/>
    <w:qFormat/>
    <w:uiPriority w:val="0"/>
    <w:rPr>
      <w:i/>
    </w:rPr>
  </w:style>
  <w:style w:type="character" w:customStyle="1" w:styleId="12">
    <w:name w:val="font41"/>
    <w:basedOn w:val="9"/>
    <w:qFormat/>
    <w:uiPriority w:val="0"/>
    <w:rPr>
      <w:rFonts w:hint="eastAsia" w:ascii="仿宋_GB2312" w:eastAsia="仿宋_GB2312" w:cs="仿宋_GB2312"/>
      <w:color w:val="000000"/>
      <w:sz w:val="24"/>
      <w:szCs w:val="24"/>
      <w:u w:val="none"/>
    </w:rPr>
  </w:style>
  <w:style w:type="character" w:customStyle="1" w:styleId="13">
    <w:name w:val="font51"/>
    <w:basedOn w:val="9"/>
    <w:qFormat/>
    <w:uiPriority w:val="0"/>
    <w:rPr>
      <w:rFonts w:hint="eastAsia" w:ascii="仿宋_GB2312" w:eastAsia="仿宋_GB2312" w:cs="仿宋_GB2312"/>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7042</Words>
  <Characters>7405</Characters>
  <Lines>0</Lines>
  <Paragraphs>0</Paragraphs>
  <TotalTime>42</TotalTime>
  <ScaleCrop>false</ScaleCrop>
  <LinksUpToDate>false</LinksUpToDate>
  <CharactersWithSpaces>7441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2018-07-28T07:11:00Z</dcterms:created>
  <dc:creator>d</dc:creator>
  <cp:lastModifiedBy>木卫二</cp:lastModifiedBy>
  <cp:lastPrinted>2025-10-11T03:13:00Z</cp:lastPrinted>
  <dcterms:modified xsi:type="dcterms:W3CDTF">2025-10-24T01:05:32Z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eyJoZGlkIjoiMzU1MmRmZDgwOGQ2ZGI2YzVhZWJiM2Q1YWUzNTg5M2QiLCJ1c2VySWQiOiIyNjk2MTIzNTQifQ==</vt:lpwstr>
  </property>
  <property fmtid="{D5CDD505-2E9C-101B-9397-08002B2CF9AE}" pid="4" name="ICV">
    <vt:lpwstr>475FB35358484E5B84C36A51720B366B_12</vt:lpwstr>
  </property>
  <property fmtid="{D5CDD505-2E9C-101B-9397-08002B2CF9AE}" pid="5" name="woTemplateTypoMode" linkTarget="0">
    <vt:lpwstr>web</vt:lpwstr>
  </property>
  <property fmtid="{D5CDD505-2E9C-101B-9397-08002B2CF9AE}" pid="6" name="woTemplate" linkTarget="0">
    <vt:i4>1</vt:i4>
  </property>
</Properties>
</file>