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A11C5F">
      <w:pPr>
        <w:pStyle w:val="2"/>
        <w:keepNext w:val="0"/>
        <w:keepLines w:val="0"/>
        <w:pageBreakBefore w:val="0"/>
        <w:widowControl w:val="0"/>
        <w:kinsoku/>
        <w:wordWrap/>
        <w:overflowPunct/>
        <w:topLinePunct w:val="0"/>
        <w:autoSpaceDE/>
        <w:autoSpaceDN/>
        <w:bidi w:val="0"/>
        <w:adjustRightInd/>
        <w:snapToGrid/>
        <w:spacing w:line="560" w:lineRule="exact"/>
        <w:ind w:right="0" w:rightChars="0"/>
        <w:outlineLvl w:val="9"/>
        <w:rPr>
          <w:rFonts w:hint="default" w:ascii="Nimbus Roman" w:hAnsi="Nimbus Roman" w:eastAsia="CESI黑体-GB2312" w:cs="Nimbus Roman"/>
          <w:b w:val="0"/>
          <w:bCs w:val="0"/>
          <w:snapToGrid w:val="0"/>
          <w:color w:val="auto"/>
          <w:w w:val="100"/>
          <w:kern w:val="0"/>
          <w:sz w:val="32"/>
          <w:szCs w:val="32"/>
          <w:highlight w:val="none"/>
          <w:lang w:val="en-US" w:eastAsia="zh-CN"/>
        </w:rPr>
      </w:pPr>
      <w:r>
        <w:rPr>
          <w:rFonts w:hint="default" w:ascii="Nimbus Roman" w:hAnsi="Nimbus Roman" w:eastAsia="CESI黑体-GB2312" w:cs="Nimbus Roman"/>
          <w:b w:val="0"/>
          <w:bCs w:val="0"/>
          <w:snapToGrid w:val="0"/>
          <w:color w:val="auto"/>
          <w:w w:val="100"/>
          <w:kern w:val="0"/>
          <w:sz w:val="32"/>
          <w:szCs w:val="32"/>
          <w:highlight w:val="none"/>
          <w:lang w:val="en-US" w:eastAsia="zh-CN"/>
        </w:rPr>
        <w:t>附件</w:t>
      </w:r>
    </w:p>
    <w:p w14:paraId="32C7AAB6">
      <w:pPr>
        <w:spacing w:line="560" w:lineRule="exact"/>
        <w:jc w:val="center"/>
        <w:rPr>
          <w:rFonts w:hint="default" w:ascii="Nimbus Roman" w:hAnsi="Nimbus Roman" w:eastAsia="方正小标宋简体" w:cs="Nimbus Roman"/>
          <w:color w:val="auto"/>
          <w:sz w:val="44"/>
          <w:szCs w:val="44"/>
          <w:highlight w:val="none"/>
        </w:rPr>
      </w:pPr>
      <w:r>
        <w:rPr>
          <w:rFonts w:hint="default" w:ascii="Nimbus Roman" w:hAnsi="Nimbus Roman" w:eastAsia="方正小标宋简体" w:cs="Nimbus Roman"/>
          <w:color w:val="auto"/>
          <w:sz w:val="44"/>
          <w:szCs w:val="44"/>
          <w:highlight w:val="none"/>
        </w:rPr>
        <w:t>河南省科学院航空港区分院</w:t>
      </w:r>
    </w:p>
    <w:p w14:paraId="724D98CC">
      <w:pPr>
        <w:spacing w:line="560" w:lineRule="exact"/>
        <w:jc w:val="center"/>
        <w:rPr>
          <w:rFonts w:hint="eastAsia" w:ascii="Nimbus Roman" w:hAnsi="Nimbus Roman" w:eastAsia="方正小标宋简体" w:cs="Nimbus Roman"/>
          <w:color w:val="auto"/>
          <w:sz w:val="44"/>
          <w:szCs w:val="44"/>
          <w:highlight w:val="none"/>
          <w:lang w:eastAsia="zh-CN"/>
        </w:rPr>
      </w:pPr>
      <w:r>
        <w:rPr>
          <w:rFonts w:hint="default" w:ascii="Nimbus Roman" w:hAnsi="Nimbus Roman" w:eastAsia="方正小标宋简体" w:cs="Nimbus Roman"/>
          <w:color w:val="auto"/>
          <w:sz w:val="44"/>
          <w:szCs w:val="44"/>
          <w:highlight w:val="none"/>
        </w:rPr>
        <w:t>科研实体引进建设与管理服务办法</w:t>
      </w:r>
    </w:p>
    <w:p w14:paraId="59C3BB56">
      <w:pPr>
        <w:spacing w:line="560" w:lineRule="exact"/>
        <w:jc w:val="center"/>
        <w:rPr>
          <w:rFonts w:hint="default" w:ascii="Nimbus Roman" w:hAnsi="Nimbus Roman" w:eastAsia="楷体_GB2312" w:cs="Nimbus Roman"/>
          <w:color w:val="auto"/>
          <w:sz w:val="32"/>
          <w:szCs w:val="32"/>
          <w:highlight w:val="none"/>
        </w:rPr>
      </w:pPr>
      <w:r>
        <w:rPr>
          <w:rFonts w:hint="default" w:ascii="Nimbus Roman" w:hAnsi="Nimbus Roman" w:eastAsia="楷体_GB2312" w:cs="Nimbus Roman"/>
          <w:color w:val="auto"/>
          <w:sz w:val="32"/>
          <w:szCs w:val="32"/>
          <w:highlight w:val="none"/>
        </w:rPr>
        <w:t>（</w:t>
      </w:r>
      <w:r>
        <w:rPr>
          <w:rFonts w:hint="default" w:ascii="Nimbus Roman" w:hAnsi="Nimbus Roman" w:eastAsia="楷体_GB2312" w:cs="Nimbus Roman"/>
          <w:color w:val="auto"/>
          <w:sz w:val="32"/>
          <w:szCs w:val="32"/>
          <w:highlight w:val="none"/>
          <w:lang w:eastAsia="zh-CN"/>
        </w:rPr>
        <w:t>征求意见</w:t>
      </w:r>
      <w:r>
        <w:rPr>
          <w:rFonts w:hint="default" w:ascii="Nimbus Roman" w:hAnsi="Nimbus Roman" w:eastAsia="楷体_GB2312" w:cs="Nimbus Roman"/>
          <w:color w:val="auto"/>
          <w:sz w:val="32"/>
          <w:szCs w:val="32"/>
          <w:highlight w:val="none"/>
        </w:rPr>
        <w:t>稿）</w:t>
      </w:r>
    </w:p>
    <w:p w14:paraId="05EA6883">
      <w:pPr>
        <w:spacing w:line="560" w:lineRule="exact"/>
        <w:rPr>
          <w:rFonts w:hint="default" w:ascii="Nimbus Roman" w:hAnsi="Nimbus Roman" w:eastAsia="仿宋_GB2312" w:cs="Nimbus Roman"/>
          <w:color w:val="auto"/>
          <w:sz w:val="32"/>
          <w:szCs w:val="32"/>
          <w:highlight w:val="none"/>
        </w:rPr>
      </w:pPr>
    </w:p>
    <w:p w14:paraId="4D4B5174">
      <w:pPr>
        <w:numPr>
          <w:ilvl w:val="0"/>
          <w:numId w:val="1"/>
        </w:numPr>
        <w:spacing w:line="560" w:lineRule="exact"/>
        <w:jc w:val="center"/>
        <w:rPr>
          <w:rFonts w:hint="default" w:ascii="Nimbus Roman" w:hAnsi="Nimbus Roman" w:eastAsia="黑体" w:cs="Nimbus Roman"/>
          <w:color w:val="auto"/>
          <w:sz w:val="32"/>
          <w:szCs w:val="32"/>
          <w:highlight w:val="none"/>
        </w:rPr>
      </w:pPr>
      <w:r>
        <w:rPr>
          <w:rFonts w:hint="default" w:ascii="Nimbus Roman" w:hAnsi="Nimbus Roman" w:eastAsia="黑体" w:cs="Nimbus Roman"/>
          <w:color w:val="auto"/>
          <w:sz w:val="32"/>
          <w:szCs w:val="32"/>
          <w:highlight w:val="none"/>
        </w:rPr>
        <w:t xml:space="preserve"> 总  则</w:t>
      </w:r>
    </w:p>
    <w:p w14:paraId="5F8A0A89">
      <w:pPr>
        <w:spacing w:line="560" w:lineRule="exact"/>
        <w:rPr>
          <w:rFonts w:hint="default" w:ascii="Nimbus Roman" w:hAnsi="Nimbus Roman" w:eastAsia="黑体" w:cs="Nimbus Roman"/>
          <w:color w:val="auto"/>
          <w:sz w:val="32"/>
          <w:szCs w:val="32"/>
          <w:highlight w:val="none"/>
        </w:rPr>
      </w:pPr>
    </w:p>
    <w:p w14:paraId="73DD9B0B">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第一条</w:t>
      </w:r>
      <w:r>
        <w:rPr>
          <w:rFonts w:hint="default" w:ascii="Nimbus Roman" w:hAnsi="Nimbus Roman" w:eastAsia="仿宋_GB2312" w:cs="Nimbus Roman"/>
          <w:color w:val="auto"/>
          <w:sz w:val="32"/>
          <w:szCs w:val="32"/>
          <w:highlight w:val="none"/>
        </w:rPr>
        <w:t xml:space="preserve">  为规范和加强河南省科学院航空港区分院（以下简</w:t>
      </w:r>
      <w:r>
        <w:rPr>
          <w:rFonts w:hint="eastAsia" w:ascii="仿宋_GB2312" w:hAnsi="仿宋_GB2312" w:eastAsia="仿宋_GB2312" w:cs="仿宋_GB2312"/>
          <w:color w:val="auto"/>
          <w:sz w:val="32"/>
          <w:szCs w:val="32"/>
          <w:highlight w:val="none"/>
        </w:rPr>
        <w:t>称“航空港科学院”）对纳入体系科</w:t>
      </w:r>
      <w:r>
        <w:rPr>
          <w:rFonts w:hint="default" w:ascii="Nimbus Roman" w:hAnsi="Nimbus Roman" w:eastAsia="仿宋_GB2312" w:cs="Nimbus Roman"/>
          <w:color w:val="auto"/>
          <w:sz w:val="32"/>
          <w:szCs w:val="32"/>
          <w:highlight w:val="none"/>
        </w:rPr>
        <w:t>研实体的引进建设与管理服务工作，建立完善项目经理制、拨投结合等市场机制，推动航空港科学院从管理者向创新合伙人转变，构建以科学家为主体、以成果转化为导向、以生态服务为支撑的新型治理模式</w:t>
      </w:r>
      <w:r>
        <w:rPr>
          <w:rFonts w:hint="default" w:ascii="Nimbus Roman" w:hAnsi="Nimbus Roman" w:eastAsia="仿宋_GB2312" w:cs="Nimbus Roman"/>
          <w:color w:val="auto"/>
          <w:sz w:val="32"/>
          <w:szCs w:val="32"/>
          <w:highlight w:val="none"/>
          <w:lang w:val="en-US"/>
        </w:rPr>
        <w:t>,</w:t>
      </w:r>
      <w:r>
        <w:rPr>
          <w:rFonts w:hint="default" w:ascii="Nimbus Roman" w:hAnsi="Nimbus Roman" w:eastAsia="仿宋_GB2312" w:cs="Nimbus Roman"/>
          <w:color w:val="auto"/>
          <w:sz w:val="32"/>
          <w:szCs w:val="32"/>
          <w:highlight w:val="none"/>
        </w:rPr>
        <w:t>充分发挥综合性新型研发机构优势，激发科研实体创新活力，推动郑州航空港经济</w:t>
      </w:r>
      <w:r>
        <w:rPr>
          <w:rFonts w:hint="eastAsia" w:ascii="仿宋_GB2312" w:hAnsi="仿宋_GB2312" w:eastAsia="仿宋_GB2312" w:cs="仿宋_GB2312"/>
          <w:color w:val="auto"/>
          <w:sz w:val="32"/>
          <w:szCs w:val="32"/>
          <w:highlight w:val="none"/>
        </w:rPr>
        <w:t>综合实验区（以下简称“航空港区”）科技创新</w:t>
      </w:r>
      <w:r>
        <w:rPr>
          <w:rFonts w:hint="default" w:ascii="Nimbus Roman" w:hAnsi="Nimbus Roman" w:eastAsia="仿宋_GB2312" w:cs="Nimbus Roman"/>
          <w:color w:val="auto"/>
          <w:sz w:val="32"/>
          <w:szCs w:val="32"/>
          <w:highlight w:val="none"/>
        </w:rPr>
        <w:t>与产业创新深度融合，制定本办法。</w:t>
      </w:r>
    </w:p>
    <w:p w14:paraId="33213E60">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第二条</w:t>
      </w:r>
      <w:r>
        <w:rPr>
          <w:rFonts w:hint="default" w:ascii="Nimbus Roman" w:hAnsi="Nimbus Roman" w:eastAsia="仿宋_GB2312" w:cs="Nimbus Roman"/>
          <w:color w:val="auto"/>
          <w:sz w:val="32"/>
          <w:szCs w:val="32"/>
          <w:highlight w:val="none"/>
        </w:rPr>
        <w:t xml:space="preserve">  本办法是航空港科学院与拟签约科研实体的合作方订立入</w:t>
      </w:r>
      <w:r>
        <w:rPr>
          <w:rFonts w:hint="eastAsia" w:ascii="仿宋_GB2312" w:hAnsi="仿宋_GB2312" w:eastAsia="仿宋_GB2312" w:cs="仿宋_GB2312"/>
          <w:color w:val="auto"/>
          <w:sz w:val="32"/>
          <w:szCs w:val="32"/>
          <w:highlight w:val="none"/>
        </w:rPr>
        <w:t>院协议/合作协议等（以下统称“协议”）的重要依据。协议的订立应遵循“分类施策、一案一策”原则，明确双方权责，详细约定科研实体的建设期（原则上不超过六个月）、运行</w:t>
      </w:r>
      <w:r>
        <w:rPr>
          <w:rFonts w:hint="default" w:ascii="Nimbus Roman" w:hAnsi="Nimbus Roman" w:eastAsia="仿宋_GB2312" w:cs="Nimbus Roman"/>
          <w:color w:val="auto"/>
          <w:sz w:val="32"/>
          <w:szCs w:val="32"/>
          <w:highlight w:val="none"/>
        </w:rPr>
        <w:t>期（周期一般为五年）及在各阶段内科研实体的建设目标、绩效考核指标、资源支持、违约责任等内容。</w:t>
      </w:r>
    </w:p>
    <w:p w14:paraId="5D5BB53B">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第三条</w:t>
      </w:r>
      <w:r>
        <w:rPr>
          <w:rFonts w:hint="default" w:ascii="Nimbus Roman" w:hAnsi="Nimbus Roman" w:eastAsia="仿宋_GB2312" w:cs="Nimbus Roman"/>
          <w:color w:val="auto"/>
          <w:sz w:val="32"/>
          <w:szCs w:val="32"/>
          <w:highlight w:val="none"/>
        </w:rPr>
        <w:t xml:space="preserve">  本办法所称科研实体，是指聚焦电子信息及新一代信息技术、新能源汽车、航空航天、新装备、新能源、新材料等六大领域，以应用型技术创新、研发中试、成果转化为主要任务，纳入航空港科学院体系建设的研究所、实验室、产业技术研究院、概念验证中心、中试基地、协同创新中心等创新平台和载体，包括独立法人单位和非独立法人单位。</w:t>
      </w:r>
    </w:p>
    <w:p w14:paraId="443DC9C8">
      <w:pPr>
        <w:spacing w:line="560" w:lineRule="exact"/>
        <w:ind w:firstLine="640" w:firstLineChars="200"/>
        <w:rPr>
          <w:rFonts w:hint="default" w:ascii="Nimbus Roman" w:hAnsi="Nimbus Roman" w:eastAsia="仿宋_GB2312" w:cs="Nimbus Roman"/>
          <w:color w:val="auto"/>
          <w:sz w:val="32"/>
          <w:szCs w:val="32"/>
          <w:highlight w:val="none"/>
          <w:lang w:eastAsia="zh-CN"/>
        </w:rPr>
      </w:pPr>
      <w:r>
        <w:rPr>
          <w:rFonts w:hint="default" w:ascii="Nimbus Roman" w:hAnsi="Nimbus Roman" w:eastAsia="仿宋_GB2312" w:cs="Nimbus Roman"/>
          <w:color w:val="auto"/>
          <w:sz w:val="32"/>
          <w:szCs w:val="32"/>
          <w:highlight w:val="none"/>
          <w:lang w:eastAsia="zh-CN"/>
        </w:rPr>
        <w:t>纳入航空港科学院体系的协同创新中心，是指由多方主体联合发起，围绕特定技术方向或产业链环节，开展跨学科、跨组织协同攻关与成果转化的公益性平台。</w:t>
      </w:r>
    </w:p>
    <w:p w14:paraId="2BF67A6B">
      <w:pPr>
        <w:spacing w:line="560" w:lineRule="exact"/>
        <w:ind w:firstLine="640" w:firstLineChars="200"/>
        <w:rPr>
          <w:rFonts w:hint="default" w:ascii="Nimbus Roman" w:hAnsi="Nimbus Roman" w:eastAsia="仿宋_GB2312" w:cs="Nimbus Roman"/>
          <w:color w:val="auto"/>
          <w:sz w:val="32"/>
          <w:szCs w:val="32"/>
          <w:highlight w:val="none"/>
          <w:lang w:eastAsia="zh-CN"/>
        </w:rPr>
      </w:pPr>
      <w:r>
        <w:rPr>
          <w:rFonts w:hint="default" w:ascii="Nimbus Roman" w:hAnsi="Nimbus Roman" w:eastAsia="黑体" w:cs="Nimbus Roman"/>
          <w:color w:val="auto"/>
          <w:sz w:val="32"/>
          <w:szCs w:val="32"/>
          <w:highlight w:val="none"/>
        </w:rPr>
        <w:t>第四条</w:t>
      </w:r>
      <w:r>
        <w:rPr>
          <w:rFonts w:hint="default" w:ascii="Nimbus Roman" w:hAnsi="Nimbus Roman" w:eastAsia="仿宋_GB2312" w:cs="Nimbus Roman"/>
          <w:color w:val="auto"/>
          <w:sz w:val="32"/>
          <w:szCs w:val="32"/>
          <w:highlight w:val="none"/>
        </w:rPr>
        <w:t xml:space="preserve">  本办</w:t>
      </w:r>
      <w:r>
        <w:rPr>
          <w:rFonts w:hint="eastAsia" w:ascii="仿宋_GB2312" w:hAnsi="仿宋_GB2312" w:eastAsia="仿宋_GB2312" w:cs="仿宋_GB2312"/>
          <w:color w:val="auto"/>
          <w:sz w:val="32"/>
          <w:szCs w:val="32"/>
          <w:highlight w:val="none"/>
        </w:rPr>
        <w:t>法坚持</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以</w:t>
      </w:r>
      <w:r>
        <w:rPr>
          <w:rFonts w:hint="eastAsia" w:ascii="仿宋_GB2312" w:hAnsi="仿宋_GB2312" w:eastAsia="仿宋_GB2312" w:cs="仿宋_GB2312"/>
          <w:color w:val="auto"/>
          <w:sz w:val="32"/>
          <w:szCs w:val="32"/>
          <w:highlight w:val="none"/>
          <w:lang w:eastAsia="zh-CN"/>
        </w:rPr>
        <w:t>应用</w:t>
      </w:r>
      <w:r>
        <w:rPr>
          <w:rFonts w:hint="eastAsia" w:ascii="仿宋_GB2312" w:hAnsi="仿宋_GB2312" w:eastAsia="仿宋_GB2312" w:cs="仿宋_GB2312"/>
          <w:color w:val="auto"/>
          <w:sz w:val="32"/>
          <w:szCs w:val="32"/>
          <w:highlight w:val="none"/>
        </w:rPr>
        <w:t>为导向、以市场为牵引、以科学家为主体</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color w:val="auto"/>
          <w:sz w:val="32"/>
          <w:szCs w:val="32"/>
          <w:highlight w:val="none"/>
        </w:rPr>
        <w:t>的原则，聚焦航空港区</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4+3+3”</w:t>
      </w:r>
      <w:r>
        <w:rPr>
          <w:rFonts w:hint="eastAsia" w:ascii="仿宋_GB2312" w:hAnsi="仿宋_GB2312" w:eastAsia="仿宋_GB2312" w:cs="仿宋_GB2312"/>
          <w:color w:val="auto"/>
          <w:sz w:val="32"/>
          <w:szCs w:val="32"/>
          <w:highlight w:val="none"/>
        </w:rPr>
        <w:t>现代产业体系，打造集应用研发、概念验证、成果转化、企业孵化于一体的开放共享、机制灵活、可持续发展的高水平</w:t>
      </w:r>
      <w:r>
        <w:rPr>
          <w:rFonts w:hint="default" w:ascii="Nimbus Roman" w:hAnsi="Nimbus Roman" w:eastAsia="仿宋_GB2312" w:cs="Nimbus Roman"/>
          <w:color w:val="auto"/>
          <w:sz w:val="32"/>
          <w:szCs w:val="32"/>
          <w:highlight w:val="none"/>
        </w:rPr>
        <w:t>创新生态体系</w:t>
      </w:r>
      <w:r>
        <w:rPr>
          <w:rFonts w:hint="default" w:ascii="Nimbus Roman" w:hAnsi="Nimbus Roman" w:eastAsia="仿宋_GB2312" w:cs="Nimbus Roman"/>
          <w:color w:val="auto"/>
          <w:sz w:val="32"/>
          <w:szCs w:val="32"/>
          <w:highlight w:val="none"/>
          <w:lang w:eastAsia="zh-CN"/>
        </w:rPr>
        <w:t>。</w:t>
      </w:r>
    </w:p>
    <w:p w14:paraId="590143A2">
      <w:pPr>
        <w:spacing w:line="560" w:lineRule="exact"/>
        <w:ind w:firstLine="640" w:firstLineChars="200"/>
        <w:rPr>
          <w:rFonts w:hint="default" w:ascii="Nimbus Roman" w:hAnsi="Nimbus Roman" w:eastAsia="仿宋_GB2312" w:cs="Nimbus Roman"/>
          <w:color w:val="auto"/>
          <w:sz w:val="32"/>
          <w:szCs w:val="32"/>
          <w:highlight w:val="none"/>
          <w:lang w:eastAsia="zh-CN"/>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五</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对在航空港科学院潜心研究、扎根创新创业的科研实体给予充分信任</w:t>
      </w:r>
      <w:r>
        <w:rPr>
          <w:rFonts w:hint="default" w:ascii="Nimbus Roman" w:hAnsi="Nimbus Roman" w:eastAsia="仿宋_GB2312" w:cs="Nimbus Roman"/>
          <w:color w:val="auto"/>
          <w:sz w:val="32"/>
          <w:szCs w:val="32"/>
          <w:highlight w:val="none"/>
          <w:lang w:eastAsia="zh-CN"/>
        </w:rPr>
        <w:t>。</w:t>
      </w:r>
      <w:r>
        <w:rPr>
          <w:rFonts w:hint="default" w:ascii="Nimbus Roman" w:hAnsi="Nimbus Roman" w:eastAsia="仿宋_GB2312" w:cs="Nimbus Roman"/>
          <w:color w:val="auto"/>
          <w:sz w:val="32"/>
          <w:szCs w:val="32"/>
          <w:highlight w:val="none"/>
        </w:rPr>
        <w:t>科研实体建设与运行过程中，确因技术路线选择失误、市场需求重大变化等非主观原因导致未达到预期目标，经航空港科学院</w:t>
      </w:r>
      <w:r>
        <w:rPr>
          <w:rFonts w:hint="default" w:ascii="Nimbus Roman" w:hAnsi="Nimbus Roman" w:eastAsia="仿宋_GB2312" w:cs="Nimbus Roman"/>
          <w:color w:val="auto"/>
          <w:sz w:val="32"/>
          <w:szCs w:val="32"/>
          <w:highlight w:val="none"/>
          <w:lang w:eastAsia="zh-CN"/>
        </w:rPr>
        <w:t>启动材料审查、协同调查、</w:t>
      </w:r>
      <w:r>
        <w:rPr>
          <w:rFonts w:hint="default" w:ascii="Nimbus Roman" w:hAnsi="Nimbus Roman" w:eastAsia="仿宋_GB2312" w:cs="Nimbus Roman"/>
          <w:color w:val="auto"/>
          <w:sz w:val="32"/>
          <w:szCs w:val="32"/>
          <w:highlight w:val="none"/>
        </w:rPr>
        <w:t>专家独立评估</w:t>
      </w:r>
      <w:r>
        <w:rPr>
          <w:rFonts w:hint="default" w:ascii="Nimbus Roman" w:hAnsi="Nimbus Roman" w:eastAsia="仿宋_GB2312" w:cs="Nimbus Roman"/>
          <w:color w:val="auto"/>
          <w:sz w:val="32"/>
          <w:szCs w:val="32"/>
          <w:highlight w:val="none"/>
          <w:lang w:eastAsia="zh-CN"/>
        </w:rPr>
        <w:t>等程序后</w:t>
      </w:r>
      <w:r>
        <w:rPr>
          <w:rFonts w:hint="default" w:ascii="Nimbus Roman" w:hAnsi="Nimbus Roman" w:eastAsia="仿宋_GB2312" w:cs="Nimbus Roman"/>
          <w:color w:val="auto"/>
          <w:sz w:val="32"/>
          <w:szCs w:val="32"/>
          <w:highlight w:val="none"/>
        </w:rPr>
        <w:t>认定团队勤勉尽责的，予以宽容并不追究相关人员责任，且可在后续项目中继续给予支持</w:t>
      </w:r>
      <w:r>
        <w:rPr>
          <w:rFonts w:hint="default" w:ascii="Nimbus Roman" w:hAnsi="Nimbus Roman" w:eastAsia="仿宋_GB2312" w:cs="Nimbus Roman"/>
          <w:color w:val="auto"/>
          <w:sz w:val="32"/>
          <w:szCs w:val="32"/>
          <w:highlight w:val="none"/>
          <w:lang w:eastAsia="zh-CN"/>
        </w:rPr>
        <w:t>。</w:t>
      </w:r>
    </w:p>
    <w:p w14:paraId="439FE151">
      <w:pPr>
        <w:spacing w:line="560" w:lineRule="exact"/>
        <w:rPr>
          <w:rFonts w:hint="default" w:ascii="Nimbus Roman" w:hAnsi="Nimbus Roman" w:eastAsia="仿宋_GB2312" w:cs="Nimbus Roman"/>
          <w:color w:val="auto"/>
          <w:sz w:val="32"/>
          <w:szCs w:val="32"/>
          <w:highlight w:val="none"/>
        </w:rPr>
      </w:pPr>
    </w:p>
    <w:p w14:paraId="13C71D3F">
      <w:pPr>
        <w:numPr>
          <w:ilvl w:val="0"/>
          <w:numId w:val="1"/>
        </w:numPr>
        <w:spacing w:line="560" w:lineRule="exact"/>
        <w:jc w:val="center"/>
        <w:rPr>
          <w:rFonts w:hint="default" w:ascii="Nimbus Roman" w:hAnsi="Nimbus Roman" w:eastAsia="黑体" w:cs="Nimbus Roman"/>
          <w:color w:val="auto"/>
          <w:sz w:val="32"/>
          <w:szCs w:val="32"/>
          <w:highlight w:val="none"/>
        </w:rPr>
      </w:pPr>
      <w:r>
        <w:rPr>
          <w:rFonts w:hint="default" w:ascii="Nimbus Roman" w:hAnsi="Nimbus Roman" w:eastAsia="黑体" w:cs="Nimbus Roman"/>
          <w:color w:val="auto"/>
          <w:sz w:val="32"/>
          <w:szCs w:val="32"/>
          <w:highlight w:val="none"/>
        </w:rPr>
        <w:t xml:space="preserve"> 引进管理</w:t>
      </w:r>
    </w:p>
    <w:p w14:paraId="597EEA62">
      <w:pPr>
        <w:spacing w:line="560" w:lineRule="exact"/>
        <w:rPr>
          <w:rFonts w:hint="default" w:ascii="Nimbus Roman" w:hAnsi="Nimbus Roman" w:eastAsia="仿宋_GB2312" w:cs="Nimbus Roman"/>
          <w:color w:val="auto"/>
          <w:sz w:val="32"/>
          <w:szCs w:val="32"/>
          <w:highlight w:val="none"/>
        </w:rPr>
      </w:pPr>
    </w:p>
    <w:p w14:paraId="1B2D154E">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六</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w:t>
      </w:r>
      <w:r>
        <w:rPr>
          <w:rFonts w:hint="default" w:ascii="Nimbus Roman" w:hAnsi="Nimbus Roman" w:eastAsia="仿宋_GB2312" w:cs="Nimbus Roman"/>
          <w:color w:val="auto"/>
          <w:sz w:val="32"/>
          <w:szCs w:val="32"/>
          <w:highlight w:val="none"/>
          <w:lang w:val="en-US"/>
        </w:rPr>
        <w:t xml:space="preserve"> </w:t>
      </w:r>
      <w:r>
        <w:rPr>
          <w:rFonts w:hint="default" w:ascii="Nimbus Roman" w:hAnsi="Nimbus Roman" w:eastAsia="仿宋_GB2312" w:cs="Nimbus Roman"/>
          <w:color w:val="auto"/>
          <w:sz w:val="32"/>
          <w:szCs w:val="32"/>
          <w:highlight w:val="none"/>
        </w:rPr>
        <w:t>除承接航空港区管委会引进的科研实体外，拟引进科研实体的合作方应具备以下基本条件：</w:t>
      </w:r>
    </w:p>
    <w:p w14:paraId="72E3D81A">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（一）科研方向。</w:t>
      </w:r>
      <w:r>
        <w:rPr>
          <w:rFonts w:hint="default" w:ascii="Nimbus Roman" w:hAnsi="Nimbus Roman" w:eastAsia="仿宋_GB2312" w:cs="Nimbus Roman"/>
          <w:color w:val="auto"/>
          <w:sz w:val="32"/>
          <w:szCs w:val="32"/>
          <w:highlight w:val="none"/>
        </w:rPr>
        <w:t>符合航空港区主导产业和未来产业创新发展需求，具有原创性核心技术和广泛市场应用前景。</w:t>
      </w:r>
    </w:p>
    <w:p w14:paraId="701345CF">
      <w:pPr>
        <w:spacing w:line="560" w:lineRule="exact"/>
        <w:ind w:firstLine="640" w:firstLineChars="200"/>
        <w:rPr>
          <w:rFonts w:hint="eastAsia" w:ascii="仿宋_GB2312" w:hAnsi="仿宋_GB2312" w:eastAsia="仿宋_GB2312" w:cs="仿宋_GB2312"/>
          <w:color w:val="auto"/>
          <w:sz w:val="32"/>
          <w:szCs w:val="32"/>
          <w:highlight w:val="none"/>
        </w:rPr>
      </w:pPr>
      <w:r>
        <w:rPr>
          <w:rFonts w:hint="default" w:ascii="Nimbus Roman" w:hAnsi="Nimbus Roman" w:eastAsia="楷体_GB2312" w:cs="Nimbus Roman"/>
          <w:color w:val="auto"/>
          <w:sz w:val="32"/>
          <w:szCs w:val="32"/>
          <w:highlight w:val="none"/>
        </w:rPr>
        <w:t>（二）科技成果评价达标。</w:t>
      </w:r>
      <w:r>
        <w:rPr>
          <w:rFonts w:hint="eastAsia" w:ascii="仿宋_GB2312" w:hAnsi="仿宋_GB2312" w:eastAsia="仿宋_GB2312" w:cs="仿宋_GB2312"/>
          <w:color w:val="auto"/>
          <w:sz w:val="32"/>
          <w:szCs w:val="32"/>
          <w:highlight w:val="none"/>
        </w:rPr>
        <w:t>关键核心技术成果经具有公信力的第三方机构组织并出具评价报告，包括技术成熟度、技术创新度、技术先进度、经济和社会效益、项目团队等内容。</w:t>
      </w:r>
      <w:r>
        <w:rPr>
          <w:rFonts w:hint="eastAsia" w:ascii="仿宋_GB2312" w:hAnsi="仿宋_GB2312" w:eastAsia="仿宋_GB2312" w:cs="仿宋_GB2312"/>
          <w:color w:val="auto"/>
          <w:sz w:val="32"/>
          <w:szCs w:val="32"/>
          <w:highlight w:val="none"/>
          <w:lang w:val="en-US" w:eastAsia="zh-CN"/>
        </w:rPr>
        <w:t>科技成果的技术成熟度原则上应高于6级（正样级）；对于技术成熟度低于6级（正样级）的情形，需由航空港科学院组织专家开展专项论证。核心技术成果经评估具备转化潜力的，技术成熟度原则上不低于5级（初样级）；对颠覆性、前沿性技术，可放宽至4级（仿真级）。</w:t>
      </w:r>
    </w:p>
    <w:p w14:paraId="33EF0B30">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（三）市场验证。</w:t>
      </w:r>
      <w:r>
        <w:rPr>
          <w:rFonts w:hint="default" w:ascii="Nimbus Roman" w:hAnsi="Nimbus Roman" w:eastAsia="仿宋_GB2312" w:cs="Nimbus Roman"/>
          <w:color w:val="auto"/>
          <w:sz w:val="32"/>
          <w:szCs w:val="32"/>
          <w:highlight w:val="none"/>
        </w:rPr>
        <w:t>技术或产品已获市场初步认可，标准为与相关企事业单位签订具有约束力的技术合同或合作协议，或已实现基于核心技术的产品或服务的实际销售。</w:t>
      </w:r>
    </w:p>
    <w:p w14:paraId="7547A69D">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（四）</w:t>
      </w:r>
      <w:r>
        <w:rPr>
          <w:rFonts w:hint="default" w:ascii="Nimbus Roman" w:hAnsi="Nimbus Roman" w:eastAsia="仿宋_GB2312" w:cs="Nimbus Roman"/>
          <w:color w:val="auto"/>
          <w:sz w:val="32"/>
          <w:szCs w:val="32"/>
          <w:highlight w:val="none"/>
        </w:rPr>
        <w:t>合作方原则上还应具备以下条件中的两条：</w:t>
      </w:r>
    </w:p>
    <w:p w14:paraId="15E574A1">
      <w:pPr>
        <w:spacing w:line="560" w:lineRule="exact"/>
        <w:ind w:firstLine="640" w:firstLineChars="200"/>
        <w:rPr>
          <w:rFonts w:hint="default" w:ascii="Nimbus Roman" w:hAnsi="Nimbus Roman" w:eastAsia="楷体_GB2312" w:cs="Nimbus Roman"/>
          <w:color w:val="auto"/>
          <w:sz w:val="32"/>
          <w:szCs w:val="32"/>
          <w:highlight w:val="none"/>
        </w:rPr>
      </w:pPr>
      <w:r>
        <w:rPr>
          <w:rFonts w:hint="eastAsia" w:ascii="楷体_GB2312" w:hAnsi="楷体_GB2312" w:eastAsia="楷体_GB2312" w:cs="楷体_GB2312"/>
          <w:color w:val="auto"/>
          <w:sz w:val="32"/>
          <w:szCs w:val="32"/>
          <w:highlight w:val="none"/>
        </w:rPr>
        <w:t>1．</w:t>
      </w:r>
      <w:r>
        <w:rPr>
          <w:rFonts w:hint="default" w:ascii="Nimbus Roman" w:hAnsi="Nimbus Roman" w:eastAsia="楷体_GB2312" w:cs="Nimbus Roman"/>
          <w:color w:val="auto"/>
          <w:sz w:val="32"/>
          <w:szCs w:val="32"/>
          <w:highlight w:val="none"/>
        </w:rPr>
        <w:t>融资能力。</w:t>
      </w:r>
      <w:r>
        <w:rPr>
          <w:rFonts w:hint="default" w:ascii="Nimbus Roman" w:hAnsi="Nimbus Roman" w:eastAsia="仿宋_GB2312" w:cs="Nimbus Roman"/>
          <w:color w:val="auto"/>
          <w:sz w:val="32"/>
          <w:szCs w:val="32"/>
          <w:highlight w:val="none"/>
        </w:rPr>
        <w:t>已获得市场化投资机构天使轮及以上风险投资，或已获得政府设立的科技研发、成果转化等专项经费实质性支持，具备支撑项目持续发展的资金保障能力。</w:t>
      </w:r>
    </w:p>
    <w:p w14:paraId="2496C6CA">
      <w:pPr>
        <w:spacing w:line="560" w:lineRule="exact"/>
        <w:ind w:firstLine="640" w:firstLineChars="200"/>
        <w:rPr>
          <w:rFonts w:hint="default" w:ascii="Nimbus Roman" w:hAnsi="Nimbus Roman" w:eastAsia="楷体_GB2312" w:cs="Nimbus Roman"/>
          <w:color w:val="auto"/>
          <w:sz w:val="32"/>
          <w:szCs w:val="32"/>
          <w:highlight w:val="none"/>
        </w:rPr>
      </w:pPr>
      <w:r>
        <w:rPr>
          <w:rFonts w:hint="eastAsia" w:ascii="楷体_GB2312" w:hAnsi="楷体_GB2312" w:eastAsia="楷体_GB2312" w:cs="楷体_GB2312"/>
          <w:color w:val="auto"/>
          <w:sz w:val="32"/>
          <w:szCs w:val="32"/>
          <w:highlight w:val="none"/>
        </w:rPr>
        <w:t>2．</w:t>
      </w:r>
      <w:r>
        <w:rPr>
          <w:rFonts w:hint="default" w:ascii="Nimbus Roman" w:hAnsi="Nimbus Roman" w:eastAsia="楷体_GB2312" w:cs="Nimbus Roman"/>
          <w:color w:val="auto"/>
          <w:sz w:val="32"/>
          <w:szCs w:val="32"/>
          <w:highlight w:val="none"/>
        </w:rPr>
        <w:t>知识产权。</w:t>
      </w:r>
      <w:r>
        <w:rPr>
          <w:rFonts w:hint="default" w:ascii="Nimbus Roman" w:hAnsi="Nimbus Roman" w:eastAsia="仿宋_GB2312" w:cs="Nimbus Roman"/>
          <w:color w:val="auto"/>
          <w:sz w:val="32"/>
          <w:szCs w:val="32"/>
          <w:highlight w:val="none"/>
        </w:rPr>
        <w:t>在相关领域拥有已授权的核心发明专利，或作为主要参与单位实质性参与国家级、行业技术标准制定。</w:t>
      </w:r>
    </w:p>
    <w:p w14:paraId="006480AB">
      <w:pPr>
        <w:spacing w:line="560" w:lineRule="exact"/>
        <w:ind w:firstLine="640" w:firstLineChars="200"/>
        <w:rPr>
          <w:rFonts w:hint="default" w:ascii="Nimbus Roman" w:hAnsi="Nimbus Roman" w:eastAsia="仿宋_GB2312" w:cs="Nimbus Roman"/>
          <w:color w:val="auto"/>
          <w:sz w:val="32"/>
          <w:szCs w:val="32"/>
          <w:highlight w:val="none"/>
        </w:rPr>
      </w:pPr>
      <w:r>
        <w:rPr>
          <w:rFonts w:hint="eastAsia" w:ascii="楷体_GB2312" w:hAnsi="楷体_GB2312" w:eastAsia="楷体_GB2312" w:cs="楷体_GB2312"/>
          <w:color w:val="auto"/>
          <w:sz w:val="32"/>
          <w:szCs w:val="32"/>
          <w:highlight w:val="none"/>
        </w:rPr>
        <w:t>3．</w:t>
      </w:r>
      <w:r>
        <w:rPr>
          <w:rFonts w:hint="default" w:ascii="Nimbus Roman" w:hAnsi="Nimbus Roman" w:eastAsia="楷体_GB2312" w:cs="Nimbus Roman"/>
          <w:color w:val="auto"/>
          <w:sz w:val="32"/>
          <w:szCs w:val="32"/>
          <w:highlight w:val="none"/>
        </w:rPr>
        <w:t>转化经验。</w:t>
      </w:r>
      <w:r>
        <w:rPr>
          <w:rFonts w:hint="default" w:ascii="Nimbus Roman" w:hAnsi="Nimbus Roman" w:eastAsia="仿宋_GB2312" w:cs="Nimbus Roman"/>
          <w:color w:val="auto"/>
          <w:sz w:val="32"/>
          <w:szCs w:val="32"/>
          <w:highlight w:val="none"/>
        </w:rPr>
        <w:t>核心团队成员近三年内，拥有将技术成果成功转化为</w:t>
      </w:r>
      <w:r>
        <w:rPr>
          <w:rFonts w:hint="eastAsia" w:ascii="仿宋_GB2312" w:hAnsi="仿宋_GB2312" w:eastAsia="仿宋_GB2312" w:cs="仿宋_GB2312"/>
          <w:color w:val="auto"/>
          <w:sz w:val="32"/>
          <w:szCs w:val="32"/>
          <w:highlight w:val="none"/>
        </w:rPr>
        <w:t>实际产品或服务并产生经济效益的案例，技术合同成交额不低于100万元</w:t>
      </w:r>
      <w:r>
        <w:rPr>
          <w:rFonts w:hint="default" w:ascii="Nimbus Roman" w:hAnsi="Nimbus Roman" w:eastAsia="仿宋_GB2312" w:cs="Nimbus Roman"/>
          <w:color w:val="auto"/>
          <w:sz w:val="32"/>
          <w:szCs w:val="32"/>
          <w:highlight w:val="none"/>
        </w:rPr>
        <w:t>。</w:t>
      </w:r>
    </w:p>
    <w:p w14:paraId="39828A77">
      <w:pPr>
        <w:spacing w:line="560" w:lineRule="exact"/>
        <w:ind w:firstLine="640" w:firstLineChars="200"/>
        <w:rPr>
          <w:rFonts w:hint="default" w:ascii="Nimbus Roman" w:hAnsi="Nimbus Roman" w:eastAsia="仿宋_GB2312" w:cs="Nimbus Roman"/>
          <w:color w:val="auto"/>
          <w:sz w:val="32"/>
          <w:szCs w:val="32"/>
          <w:highlight w:val="none"/>
        </w:rPr>
      </w:pPr>
      <w:r>
        <w:rPr>
          <w:rFonts w:hint="eastAsia" w:ascii="楷体_GB2312" w:hAnsi="楷体_GB2312" w:eastAsia="楷体_GB2312" w:cs="楷体_GB2312"/>
          <w:color w:val="auto"/>
          <w:sz w:val="32"/>
          <w:szCs w:val="32"/>
          <w:highlight w:val="none"/>
        </w:rPr>
        <w:t>4．</w:t>
      </w:r>
      <w:r>
        <w:rPr>
          <w:rFonts w:hint="default" w:ascii="Nimbus Roman" w:hAnsi="Nimbus Roman" w:eastAsia="楷体_GB2312" w:cs="Nimbus Roman"/>
          <w:color w:val="auto"/>
          <w:sz w:val="32"/>
          <w:szCs w:val="32"/>
          <w:highlight w:val="none"/>
        </w:rPr>
        <w:t>产业化基础。</w:t>
      </w:r>
      <w:r>
        <w:rPr>
          <w:rFonts w:hint="default" w:ascii="Nimbus Roman" w:hAnsi="Nimbus Roman" w:eastAsia="仿宋_GB2312" w:cs="Nimbus Roman"/>
          <w:color w:val="auto"/>
          <w:sz w:val="32"/>
          <w:szCs w:val="32"/>
          <w:highlight w:val="none"/>
        </w:rPr>
        <w:t>已建立或完成核心产品中试生产线（小批量试产线），或已制定清晰具体、具备可操作性的产业化落地计划（含场地、设备、资金、时间节点等关键要素）。</w:t>
      </w:r>
    </w:p>
    <w:p w14:paraId="57BE33AF">
      <w:pPr>
        <w:spacing w:line="560" w:lineRule="exact"/>
        <w:ind w:firstLine="640" w:firstLineChars="200"/>
        <w:rPr>
          <w:rFonts w:hint="default" w:ascii="Nimbus Roman" w:hAnsi="Nimbus Roman" w:eastAsia="仿宋_GB2312" w:cs="Nimbus Roman"/>
          <w:color w:val="auto"/>
          <w:sz w:val="32"/>
          <w:szCs w:val="32"/>
          <w:highlight w:val="none"/>
          <w:lang w:val="en-US" w:eastAsia="zh-CN"/>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七</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w:t>
      </w:r>
      <w:r>
        <w:rPr>
          <w:rFonts w:hint="default" w:ascii="Nimbus Roman" w:hAnsi="Nimbus Roman" w:eastAsia="仿宋_GB2312" w:cs="Nimbus Roman"/>
          <w:color w:val="auto"/>
          <w:sz w:val="32"/>
          <w:szCs w:val="32"/>
          <w:highlight w:val="none"/>
          <w:lang w:val="en-US"/>
        </w:rPr>
        <w:t xml:space="preserve"> </w:t>
      </w:r>
      <w:r>
        <w:rPr>
          <w:rFonts w:hint="default" w:ascii="Nimbus Roman" w:hAnsi="Nimbus Roman" w:eastAsia="仿宋_GB2312" w:cs="Nimbus Roman"/>
          <w:color w:val="auto"/>
          <w:sz w:val="32"/>
          <w:szCs w:val="32"/>
          <w:highlight w:val="none"/>
          <w:lang w:val="en-US" w:eastAsia="zh-CN"/>
        </w:rPr>
        <w:t>对具备海内外知名高校或国家级科研机构背景的优秀青年科学家，经航空港科学院组织专家开展专项论证并形成通过意见后，可放宽其融资能力、产业化基础等申报要求，同时纳入自建类或共建类科研实体支持范围</w:t>
      </w:r>
    </w:p>
    <w:p w14:paraId="3225D983">
      <w:pPr>
        <w:spacing w:line="560" w:lineRule="exact"/>
        <w:ind w:firstLine="640" w:firstLineChars="200"/>
        <w:rPr>
          <w:rFonts w:hint="default" w:ascii="Nimbus Roman" w:hAnsi="Nimbus Roman" w:eastAsia="仿宋_GB2312" w:cs="Nimbus Roman"/>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优秀青年科学家年龄原则上不超过35周岁，且须具备下列业绩条件之一：主持国家自然科学基金青年项目或省部级重点科技项目；以第一作者或通讯作者身份在本领域高水平期刊发表研究论文3篇以上；获得省部级科技三等奖及以上奖励，且个人排名前3。</w:t>
      </w:r>
    </w:p>
    <w:p w14:paraId="595C00EF">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八</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科研实体引进应履行以下审定程序：</w:t>
      </w:r>
    </w:p>
    <w:p w14:paraId="1C6A5808">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（一）部门初审。</w:t>
      </w:r>
      <w:r>
        <w:rPr>
          <w:rFonts w:hint="default" w:ascii="Nimbus Roman" w:hAnsi="Nimbus Roman" w:eastAsia="仿宋_GB2312" w:cs="Nimbus Roman"/>
          <w:color w:val="auto"/>
          <w:sz w:val="32"/>
          <w:szCs w:val="32"/>
          <w:highlight w:val="none"/>
        </w:rPr>
        <w:t>由航空港科学院牵头，相关部门配合，对合作方的资质条件、团队实力及引进的可行性进行初步审核。</w:t>
      </w:r>
    </w:p>
    <w:p w14:paraId="77AD8CAB">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（二）专家评审。</w:t>
      </w:r>
      <w:r>
        <w:rPr>
          <w:rFonts w:hint="default" w:ascii="Nimbus Roman" w:hAnsi="Nimbus Roman" w:eastAsia="仿宋_GB2312" w:cs="Nimbus Roman"/>
          <w:color w:val="auto"/>
          <w:sz w:val="32"/>
          <w:szCs w:val="32"/>
          <w:highlight w:val="none"/>
        </w:rPr>
        <w:t>组织技术、产业、投资领域专家组成评审组，对通过初审的项目开展综合评审，具体包括团队的专业技术水平及管理能力、引进的必要性与先进性、初步建设方案等。</w:t>
      </w:r>
    </w:p>
    <w:p w14:paraId="55E7C799">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（三）终审决策。</w:t>
      </w:r>
      <w:r>
        <w:rPr>
          <w:rFonts w:hint="default" w:ascii="Nimbus Roman" w:hAnsi="Nimbus Roman" w:eastAsia="仿宋_GB2312" w:cs="Nimbus Roman"/>
          <w:color w:val="auto"/>
          <w:sz w:val="32"/>
          <w:szCs w:val="32"/>
          <w:highlight w:val="none"/>
        </w:rPr>
        <w:t>将部门初审与专家评审结果及相关材料报请院务会审议，通过后方可进入签约流程。重大引进事项需报航空港区党工委会审议。</w:t>
      </w:r>
    </w:p>
    <w:p w14:paraId="13EDBDDD">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九</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纳入航空港科学院体系的科研实体主要包括自建类、共建类、参建类、加盟类四种类型，航空港科学院依据不同类型实施差异化管理。</w:t>
      </w:r>
    </w:p>
    <w:p w14:paraId="2B8D6721">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（一）自建类。</w:t>
      </w:r>
      <w:r>
        <w:rPr>
          <w:rFonts w:hint="default" w:ascii="Nimbus Roman" w:hAnsi="Nimbus Roman" w:eastAsia="仿宋_GB2312" w:cs="Nimbus Roman"/>
          <w:color w:val="auto"/>
          <w:sz w:val="32"/>
          <w:szCs w:val="32"/>
          <w:highlight w:val="none"/>
        </w:rPr>
        <w:t>由航空港科学院自主筹资、独立建设并承担主体管理责任的科研实体。航空港科学院对其人、财、物及日常运行拥有全面管理权，具体参照机关人事、财务、固定资产等管理制度执行。自建类科研实体以非独立法人单位为主，引进方式原则上以项目经理制为主。</w:t>
      </w:r>
    </w:p>
    <w:p w14:paraId="3EA1BB0A">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（二）共建类。</w:t>
      </w:r>
      <w:r>
        <w:rPr>
          <w:rFonts w:hint="default" w:ascii="Nimbus Roman" w:hAnsi="Nimbus Roman" w:eastAsia="仿宋_GB2312" w:cs="Nimbus Roman"/>
          <w:color w:val="auto"/>
          <w:sz w:val="32"/>
          <w:szCs w:val="32"/>
          <w:highlight w:val="none"/>
        </w:rPr>
        <w:t>由航空港科学院与院外合作单位共同出资、资源共享、联合建设。共建类科研实体的管理工作由航空港科学院与院外合作单位共同负责，航空港科学院参与人事、财务等重要事项的管理并进行审计监督，具体管理权限以协议约定为准。共建类科研实体包括独立法人单位和非独立法人单位，引进方式原则上以协议引进或项目经理制为主。</w:t>
      </w:r>
    </w:p>
    <w:p w14:paraId="7978BEDA">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（三）参建类。</w:t>
      </w:r>
      <w:r>
        <w:rPr>
          <w:rFonts w:hint="default" w:ascii="Nimbus Roman" w:hAnsi="Nimbus Roman" w:eastAsia="仿宋_GB2312" w:cs="Nimbus Roman"/>
          <w:color w:val="auto"/>
          <w:sz w:val="32"/>
          <w:szCs w:val="32"/>
          <w:highlight w:val="none"/>
        </w:rPr>
        <w:t>使用航空港区管委会、航空港科学院提供的物理空间、专项经费、区财政资金等核心资源，或经航空港区管委会批准纳入航空港科学院体系的科研实体。航空港科学院对提供的资源使用情况进行管理、监督审计和绩效考核，考核结果作为资源持续投入依据。参建类科研实体一般应为独立法人单位，引进方式原则上以协议引进为主。</w:t>
      </w:r>
    </w:p>
    <w:p w14:paraId="5D797DC5">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（四）加盟类。</w:t>
      </w:r>
      <w:r>
        <w:rPr>
          <w:rFonts w:hint="default" w:ascii="Nimbus Roman" w:hAnsi="Nimbus Roman" w:eastAsia="仿宋_GB2312" w:cs="Nimbus Roman"/>
          <w:color w:val="auto"/>
          <w:sz w:val="32"/>
          <w:szCs w:val="32"/>
          <w:highlight w:val="none"/>
        </w:rPr>
        <w:t>与航空港科学院签订加盟协议，由航空港科学院提供品牌，知识产权授权、技术咨询等帮扶的科研实体。加盟类科研实体的运行管理以加盟协议约定为准，航空港科学院主要履行协议监督职责。加盟类科研实体一般应为独立法人单位，引进方式原则上以协议引进为主。</w:t>
      </w:r>
    </w:p>
    <w:p w14:paraId="6ACE8CE1">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十</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航空港科学院为科研实体提供以下支持：</w:t>
      </w:r>
    </w:p>
    <w:p w14:paraId="7B01946E">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（一）政策申报。</w:t>
      </w:r>
      <w:r>
        <w:rPr>
          <w:rFonts w:hint="default" w:ascii="Nimbus Roman" w:hAnsi="Nimbus Roman" w:eastAsia="仿宋_GB2312" w:cs="Nimbus Roman"/>
          <w:color w:val="auto"/>
          <w:sz w:val="32"/>
          <w:szCs w:val="32"/>
          <w:highlight w:val="none"/>
        </w:rPr>
        <w:t>为符合条件的科研实体，根据航空港区相关政策规定，协助申报科技、产业、人才、税收等相关政策。</w:t>
      </w:r>
    </w:p>
    <w:p w14:paraId="492D139B">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（二）研发合作资金支持。</w:t>
      </w:r>
      <w:r>
        <w:rPr>
          <w:rFonts w:hint="default" w:ascii="Nimbus Roman" w:hAnsi="Nimbus Roman" w:eastAsia="仿宋_GB2312" w:cs="Nimbus Roman"/>
          <w:color w:val="auto"/>
          <w:sz w:val="32"/>
          <w:szCs w:val="32"/>
          <w:highlight w:val="none"/>
        </w:rPr>
        <w:t>对于新型研发机构类科研实体，航空港科学院将根据合作方在固定资产上的实际投入金额，为科</w:t>
      </w:r>
      <w:r>
        <w:rPr>
          <w:rFonts w:hint="eastAsia" w:ascii="仿宋_GB2312" w:hAnsi="仿宋_GB2312" w:eastAsia="仿宋_GB2312" w:cs="仿宋_GB2312"/>
          <w:color w:val="auto"/>
          <w:sz w:val="32"/>
          <w:szCs w:val="32"/>
          <w:highlight w:val="none"/>
        </w:rPr>
        <w:t>研实体提供最高1:1的配套资金支持；配套资金需用于实验设</w:t>
      </w:r>
      <w:r>
        <w:rPr>
          <w:rFonts w:hint="default" w:ascii="Nimbus Roman" w:hAnsi="Nimbus Roman" w:eastAsia="仿宋_GB2312" w:cs="Nimbus Roman"/>
          <w:color w:val="auto"/>
          <w:sz w:val="32"/>
          <w:szCs w:val="32"/>
          <w:highlight w:val="none"/>
        </w:rPr>
        <w:t>备等固定资产购置</w:t>
      </w:r>
      <w:r>
        <w:rPr>
          <w:rFonts w:hint="eastAsia" w:ascii="Nimbus Roman" w:hAnsi="Nimbus Roman" w:eastAsia="仿宋_GB2312" w:cs="Nimbus Roman"/>
          <w:color w:val="auto"/>
          <w:sz w:val="32"/>
          <w:szCs w:val="32"/>
          <w:highlight w:val="none"/>
          <w:lang w:eastAsia="zh-CN"/>
        </w:rPr>
        <w:t>和项目研发中的业务费等</w:t>
      </w:r>
      <w:r>
        <w:rPr>
          <w:rFonts w:hint="default" w:ascii="Nimbus Roman" w:hAnsi="Nimbus Roman" w:eastAsia="仿宋_GB2312" w:cs="Nimbus Roman"/>
          <w:color w:val="auto"/>
          <w:sz w:val="32"/>
          <w:szCs w:val="32"/>
          <w:highlight w:val="none"/>
        </w:rPr>
        <w:t>，原则上不承担人员薪酬等运营费用，使用财政配套资金购置的设备不得擅自处置或搬离航空港区；具体政策兑现及资金使用要求以区科技工信局相关规定为准。</w:t>
      </w:r>
    </w:p>
    <w:p w14:paraId="664CCD31">
      <w:pPr>
        <w:spacing w:line="560" w:lineRule="exact"/>
        <w:ind w:firstLine="640" w:firstLineChars="200"/>
        <w:rPr>
          <w:rFonts w:hint="default" w:ascii="Nimbus Roman" w:hAnsi="Nimbus Roman" w:eastAsia="仿宋_GB2312" w:cs="Nimbus Roman"/>
          <w:color w:val="auto"/>
          <w:sz w:val="32"/>
          <w:szCs w:val="32"/>
          <w:highlight w:val="none"/>
          <w:lang w:eastAsia="zh-CN"/>
        </w:rPr>
      </w:pPr>
      <w:r>
        <w:rPr>
          <w:rFonts w:hint="eastAsia" w:ascii="仿宋_GB2312" w:hAnsi="仿宋_GB2312" w:eastAsia="仿宋_GB2312" w:cs="仿宋_GB2312"/>
          <w:color w:val="auto"/>
          <w:sz w:val="32"/>
          <w:szCs w:val="32"/>
          <w:highlight w:val="none"/>
        </w:rPr>
        <w:t>对于以拨投结合形式建设的科研实体，航空港科学院对单个科研实体支持的研发合作资金，累计金额不超过3000万元且连续支持不超过5年；拨投结合投入的资金，其使用要求以出台的专项实施细则为准。</w:t>
      </w:r>
    </w:p>
    <w:p w14:paraId="13C2ED01">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（三）物理空间支持。</w:t>
      </w:r>
      <w:r>
        <w:rPr>
          <w:rFonts w:hint="default" w:ascii="Nimbus Roman" w:hAnsi="Nimbus Roman" w:eastAsia="仿宋_GB2312" w:cs="Nimbus Roman"/>
          <w:color w:val="auto"/>
          <w:sz w:val="32"/>
          <w:szCs w:val="32"/>
          <w:highlight w:val="none"/>
        </w:rPr>
        <w:t>根据相关政策，为科研实体提供必要的办公、科研、中试、生产、孵化等物理空间支持。</w:t>
      </w:r>
    </w:p>
    <w:p w14:paraId="7F5AC883">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（四）科技项目（平台）申报。</w:t>
      </w:r>
      <w:r>
        <w:rPr>
          <w:rFonts w:hint="default" w:ascii="Nimbus Roman" w:hAnsi="Nimbus Roman" w:eastAsia="仿宋_GB2312" w:cs="Nimbus Roman"/>
          <w:color w:val="auto"/>
          <w:sz w:val="32"/>
          <w:szCs w:val="32"/>
          <w:highlight w:val="none"/>
        </w:rPr>
        <w:t>协助科研实体申报各类科技计划项目和创新平台，包括协调提供证明材料、材料预审、申报流程跟踪等服务；对未通过项目（平台），梳理官方反馈的核心问题并提供改进方向指导。</w:t>
      </w:r>
    </w:p>
    <w:p w14:paraId="57119706">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（五）科技金融支持。</w:t>
      </w:r>
      <w:r>
        <w:rPr>
          <w:rFonts w:hint="default" w:ascii="Nimbus Roman" w:hAnsi="Nimbus Roman" w:eastAsia="仿宋_GB2312" w:cs="Nimbus Roman"/>
          <w:color w:val="auto"/>
          <w:sz w:val="32"/>
          <w:szCs w:val="32"/>
          <w:highlight w:val="none"/>
        </w:rPr>
        <w:t>携手省内外基金机构，共同发起设立针对体系内科研实体的天使基金、创投基金及产业投资基金；协助科研实体对接银行、保险机构，制定科技贷款、科技保险等金融产品，为科研实体提供全方位金融支持。</w:t>
      </w:r>
    </w:p>
    <w:p w14:paraId="3E0092B0">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（六）实习实训补贴。</w:t>
      </w:r>
      <w:r>
        <w:rPr>
          <w:rFonts w:hint="default" w:ascii="Nimbus Roman" w:hAnsi="Nimbus Roman" w:eastAsia="仿宋_GB2312" w:cs="Nimbus Roman"/>
          <w:color w:val="auto"/>
          <w:sz w:val="32"/>
          <w:szCs w:val="32"/>
          <w:highlight w:val="none"/>
        </w:rPr>
        <w:t>为科研实体协调在航空港科学院实习实训的本科、硕士、博士在校生参与项目研发，并按一定比例给予实习实训费用补贴。</w:t>
      </w:r>
    </w:p>
    <w:p w14:paraId="61F97A32">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（七）资源共享。</w:t>
      </w:r>
      <w:r>
        <w:rPr>
          <w:rFonts w:hint="default" w:ascii="Nimbus Roman" w:hAnsi="Nimbus Roman" w:eastAsia="仿宋_GB2312" w:cs="Nimbus Roman"/>
          <w:color w:val="auto"/>
          <w:sz w:val="32"/>
          <w:szCs w:val="32"/>
          <w:highlight w:val="none"/>
        </w:rPr>
        <w:t>协调区内外高校、科研院所、企业等创新主体开放共享仪器设备、数据资源、算力基础设施等科研资源，为引进的科研实体提供服务。</w:t>
      </w:r>
    </w:p>
    <w:p w14:paraId="763CC852">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（八）开拓应用场景。</w:t>
      </w:r>
      <w:r>
        <w:rPr>
          <w:rFonts w:hint="default" w:ascii="Nimbus Roman" w:hAnsi="Nimbus Roman" w:eastAsia="仿宋_GB2312" w:cs="Nimbus Roman"/>
          <w:color w:val="auto"/>
          <w:sz w:val="32"/>
          <w:szCs w:val="32"/>
          <w:highlight w:val="none"/>
        </w:rPr>
        <w:t>积极争取区内相关应用场景，对接航空</w:t>
      </w:r>
      <w:r>
        <w:rPr>
          <w:rFonts w:hint="eastAsia" w:ascii="仿宋_GB2312" w:hAnsi="仿宋_GB2312" w:eastAsia="仿宋_GB2312" w:cs="仿宋_GB2312"/>
          <w:color w:val="auto"/>
          <w:sz w:val="32"/>
          <w:szCs w:val="32"/>
          <w:highlight w:val="none"/>
        </w:rPr>
        <w:t>港区“4+3+3”产业体系，促</w:t>
      </w:r>
      <w:r>
        <w:rPr>
          <w:rFonts w:hint="default" w:ascii="Nimbus Roman" w:hAnsi="Nimbus Roman" w:eastAsia="仿宋_GB2312" w:cs="Nimbus Roman"/>
          <w:color w:val="auto"/>
          <w:sz w:val="32"/>
          <w:szCs w:val="32"/>
          <w:highlight w:val="none"/>
        </w:rPr>
        <w:t>进科研实体技术成果的转化应用。</w:t>
      </w:r>
    </w:p>
    <w:p w14:paraId="6EBBBEEB">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（九）科技服务</w:t>
      </w:r>
      <w:r>
        <w:rPr>
          <w:rFonts w:hint="default" w:ascii="Nimbus Roman" w:hAnsi="Nimbus Roman" w:eastAsia="仿宋_GB2312" w:cs="Nimbus Roman"/>
          <w:color w:val="auto"/>
          <w:sz w:val="32"/>
          <w:szCs w:val="32"/>
          <w:highlight w:val="none"/>
        </w:rPr>
        <w:t>。根据科研实体的发展情况及实际需求，提供技术验证、政策咨询、知识产权代理、法律财务、市场对接、创业辅导等服务。</w:t>
      </w:r>
    </w:p>
    <w:p w14:paraId="5F2FBF37">
      <w:pPr>
        <w:spacing w:line="560" w:lineRule="exact"/>
        <w:ind w:firstLine="640" w:firstLineChars="200"/>
        <w:rPr>
          <w:rFonts w:hint="default" w:ascii="Nimbus Roman" w:hAnsi="Nimbus Roman" w:eastAsia="仿宋_GB2312" w:cs="Nimbus Roman"/>
          <w:color w:val="auto"/>
          <w:sz w:val="32"/>
          <w:szCs w:val="32"/>
          <w:highlight w:val="none"/>
          <w:lang w:eastAsia="zh-CN"/>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十一</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采用项目经理制引进</w:t>
      </w:r>
      <w:r>
        <w:rPr>
          <w:rFonts w:hint="default" w:ascii="Nimbus Roman" w:hAnsi="Nimbus Roman" w:eastAsia="仿宋_GB2312" w:cs="Nimbus Roman"/>
          <w:color w:val="auto"/>
          <w:sz w:val="32"/>
          <w:szCs w:val="32"/>
          <w:highlight w:val="none"/>
          <w:lang w:eastAsia="zh-CN"/>
        </w:rPr>
        <w:t>的科研实体，项目经理享有团队组建自主权、经费支配权、技术路线决策权，项目失败不纳入个人科研信誉记录。</w:t>
      </w:r>
    </w:p>
    <w:p w14:paraId="44FEEB7B">
      <w:pPr>
        <w:spacing w:line="560" w:lineRule="exact"/>
        <w:ind w:firstLine="640" w:firstLineChars="200"/>
        <w:rPr>
          <w:rFonts w:hint="default" w:ascii="Nimbus Roman" w:hAnsi="Nimbus Roman" w:eastAsia="仿宋_GB2312" w:cs="Nimbus Roman"/>
          <w:color w:val="auto"/>
          <w:sz w:val="32"/>
          <w:szCs w:val="32"/>
          <w:highlight w:val="none"/>
          <w:lang w:eastAsia="zh-CN"/>
        </w:rPr>
      </w:pPr>
      <w:r>
        <w:rPr>
          <w:rFonts w:hint="default" w:ascii="Nimbus Roman" w:hAnsi="Nimbus Roman" w:eastAsia="仿宋_GB2312" w:cs="Nimbus Roman"/>
          <w:color w:val="auto"/>
          <w:sz w:val="32"/>
          <w:szCs w:val="32"/>
          <w:highlight w:val="none"/>
        </w:rPr>
        <w:t>采用拨投结合模式支持的科研实体</w:t>
      </w:r>
      <w:r>
        <w:rPr>
          <w:rFonts w:hint="default" w:ascii="Nimbus Roman" w:hAnsi="Nimbus Roman" w:eastAsia="仿宋_GB2312" w:cs="Nimbus Roman"/>
          <w:color w:val="auto"/>
          <w:sz w:val="32"/>
          <w:szCs w:val="32"/>
          <w:highlight w:val="none"/>
          <w:lang w:eastAsia="zh-CN"/>
        </w:rPr>
        <w:t>，研发合作资金按里程碑分阶段进行拨付，合作期内</w:t>
      </w:r>
      <w:r>
        <w:rPr>
          <w:rFonts w:hint="default" w:ascii="Nimbus Roman" w:hAnsi="Nimbus Roman" w:eastAsia="仿宋_GB2312" w:cs="Nimbus Roman"/>
          <w:color w:val="auto"/>
          <w:sz w:val="32"/>
          <w:szCs w:val="32"/>
          <w:highlight w:val="none"/>
        </w:rPr>
        <w:t>科研实体</w:t>
      </w:r>
      <w:r>
        <w:rPr>
          <w:rFonts w:hint="default" w:ascii="Nimbus Roman" w:hAnsi="Nimbus Roman" w:eastAsia="仿宋_GB2312" w:cs="Nimbus Roman"/>
          <w:color w:val="auto"/>
          <w:sz w:val="32"/>
          <w:szCs w:val="32"/>
          <w:highlight w:val="none"/>
          <w:lang w:eastAsia="zh-CN"/>
        </w:rPr>
        <w:t>开展市场化股权融资时，航空港科学院或区属平台公司实际投入的研发合作资金应按照协议约定完成转化，包括股权转化、资金返还等。</w:t>
      </w:r>
    </w:p>
    <w:p w14:paraId="49A42B44">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对采用项目经理制引进</w:t>
      </w:r>
      <w:r>
        <w:rPr>
          <w:rFonts w:hint="default" w:ascii="Nimbus Roman" w:hAnsi="Nimbus Roman" w:eastAsia="仿宋_GB2312" w:cs="Nimbus Roman"/>
          <w:color w:val="auto"/>
          <w:sz w:val="32"/>
          <w:szCs w:val="32"/>
          <w:highlight w:val="none"/>
          <w:lang w:eastAsia="zh-CN"/>
        </w:rPr>
        <w:t>的科研实体、</w:t>
      </w:r>
      <w:r>
        <w:rPr>
          <w:rFonts w:hint="default" w:ascii="Nimbus Roman" w:hAnsi="Nimbus Roman" w:eastAsia="仿宋_GB2312" w:cs="Nimbus Roman"/>
          <w:color w:val="auto"/>
          <w:sz w:val="32"/>
          <w:szCs w:val="32"/>
          <w:highlight w:val="none"/>
        </w:rPr>
        <w:t>采用拨投结合模式支持的科研实体，其准入退出条件及具体的引进建设与管理服务规则，由航空港科学院依据本办法制定专项实施细则。</w:t>
      </w:r>
    </w:p>
    <w:p w14:paraId="43E43E96">
      <w:pPr>
        <w:spacing w:line="560" w:lineRule="exact"/>
        <w:rPr>
          <w:rFonts w:hint="default" w:ascii="Nimbus Roman" w:hAnsi="Nimbus Roman" w:eastAsia="仿宋_GB2312" w:cs="Nimbus Roman"/>
          <w:color w:val="auto"/>
          <w:sz w:val="32"/>
          <w:szCs w:val="32"/>
          <w:highlight w:val="none"/>
        </w:rPr>
      </w:pPr>
    </w:p>
    <w:p w14:paraId="6741DDD1">
      <w:pPr>
        <w:numPr>
          <w:ilvl w:val="0"/>
          <w:numId w:val="1"/>
        </w:numPr>
        <w:spacing w:line="560" w:lineRule="exact"/>
        <w:jc w:val="center"/>
        <w:rPr>
          <w:rFonts w:hint="default" w:ascii="Nimbus Roman" w:hAnsi="Nimbus Roman" w:eastAsia="黑体" w:cs="Nimbus Roman"/>
          <w:color w:val="auto"/>
          <w:sz w:val="32"/>
          <w:szCs w:val="32"/>
          <w:highlight w:val="none"/>
        </w:rPr>
      </w:pPr>
      <w:r>
        <w:rPr>
          <w:rFonts w:hint="default" w:ascii="Nimbus Roman" w:hAnsi="Nimbus Roman" w:eastAsia="黑体" w:cs="Nimbus Roman"/>
          <w:color w:val="auto"/>
          <w:sz w:val="32"/>
          <w:szCs w:val="32"/>
          <w:highlight w:val="none"/>
        </w:rPr>
        <w:t xml:space="preserve"> 建设管理</w:t>
      </w:r>
    </w:p>
    <w:p w14:paraId="76C92080">
      <w:pPr>
        <w:spacing w:line="560" w:lineRule="exact"/>
        <w:ind w:firstLine="640" w:firstLineChars="200"/>
        <w:rPr>
          <w:rFonts w:hint="default" w:ascii="Nimbus Roman" w:hAnsi="Nimbus Roman" w:eastAsia="黑体" w:cs="Nimbus Roman"/>
          <w:color w:val="auto"/>
          <w:sz w:val="32"/>
          <w:szCs w:val="32"/>
          <w:highlight w:val="none"/>
        </w:rPr>
      </w:pPr>
    </w:p>
    <w:p w14:paraId="1D667D5A">
      <w:pPr>
        <w:spacing w:line="560" w:lineRule="exact"/>
        <w:ind w:firstLine="640" w:firstLineChars="200"/>
        <w:rPr>
          <w:rFonts w:hint="eastAsia" w:ascii="仿宋_GB2312" w:hAnsi="仿宋_GB2312" w:eastAsia="仿宋_GB2312" w:cs="仿宋_GB2312"/>
          <w:color w:val="auto"/>
          <w:sz w:val="32"/>
          <w:szCs w:val="32"/>
          <w:highlight w:val="none"/>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十二</w:t>
      </w:r>
      <w:r>
        <w:rPr>
          <w:rFonts w:hint="default" w:ascii="Nimbus Roman" w:hAnsi="Nimbus Roman" w:eastAsia="黑体" w:cs="Nimbus Roman"/>
          <w:color w:val="auto"/>
          <w:sz w:val="32"/>
          <w:szCs w:val="32"/>
          <w:highlight w:val="none"/>
        </w:rPr>
        <w:t xml:space="preserve">条  </w:t>
      </w:r>
      <w:r>
        <w:rPr>
          <w:rFonts w:hint="eastAsia" w:ascii="仿宋_GB2312" w:hAnsi="仿宋_GB2312" w:eastAsia="仿宋_GB2312" w:cs="仿宋_GB2312"/>
          <w:color w:val="auto"/>
          <w:sz w:val="32"/>
          <w:szCs w:val="32"/>
          <w:highlight w:val="none"/>
        </w:rPr>
        <w:t>引进的科研实体原则上应实行院长/所长/主任/总经理（以下统称“院所长”）负责制。院所长应具备较强的科技创新工作组织管理能力，具体包括但不限于团队领导经验、项目管理经验、跨学科协作能力、成果转化意识</w:t>
      </w:r>
      <w:r>
        <w:rPr>
          <w:rFonts w:hint="eastAsia" w:ascii="仿宋_GB2312" w:hAnsi="仿宋_GB2312" w:eastAsia="仿宋_GB2312" w:cs="仿宋_GB2312"/>
          <w:color w:val="auto"/>
          <w:sz w:val="32"/>
          <w:szCs w:val="32"/>
          <w:highlight w:val="none"/>
          <w:lang w:eastAsia="zh-CN"/>
        </w:rPr>
        <w:t>等</w:t>
      </w:r>
      <w:r>
        <w:rPr>
          <w:rFonts w:hint="eastAsia" w:ascii="仿宋_GB2312" w:hAnsi="仿宋_GB2312" w:eastAsia="仿宋_GB2312" w:cs="仿宋_GB2312"/>
          <w:color w:val="auto"/>
          <w:sz w:val="32"/>
          <w:szCs w:val="32"/>
          <w:highlight w:val="none"/>
        </w:rPr>
        <w:t>，全面负责科研实体的科研业务和日常管理，推动内控管理和监督。以项目经理制引进的科研实体，院所长原则上应由项目经理担任；对于独立法人科研实体，法定代表人一般由院所长担任。</w:t>
      </w:r>
    </w:p>
    <w:p w14:paraId="222B62ED">
      <w:pPr>
        <w:spacing w:line="560" w:lineRule="exact"/>
        <w:ind w:firstLine="640" w:firstLineChars="200"/>
        <w:jc w:val="left"/>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第十</w:t>
      </w:r>
      <w:r>
        <w:rPr>
          <w:rFonts w:hint="default" w:ascii="Nimbus Roman" w:hAnsi="Nimbus Roman" w:eastAsia="黑体" w:cs="Nimbus Roman"/>
          <w:color w:val="auto"/>
          <w:sz w:val="32"/>
          <w:szCs w:val="32"/>
          <w:highlight w:val="none"/>
          <w:lang w:eastAsia="zh-CN"/>
        </w:rPr>
        <w:t>三</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航空港科学院应按照实际需求、逐步释放、统筹分配的原则提供科研、办公、生产场地。场地供给及使用应符合以下标准：</w:t>
      </w:r>
    </w:p>
    <w:p w14:paraId="068A1CE3">
      <w:pPr>
        <w:spacing w:line="560" w:lineRule="exact"/>
        <w:ind w:firstLine="640" w:firstLineChars="200"/>
        <w:jc w:val="left"/>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（一）合同管理。</w:t>
      </w:r>
      <w:r>
        <w:rPr>
          <w:rFonts w:hint="default" w:ascii="Nimbus Roman" w:hAnsi="Nimbus Roman" w:eastAsia="仿宋_GB2312" w:cs="Nimbus Roman"/>
          <w:color w:val="auto"/>
          <w:sz w:val="32"/>
          <w:szCs w:val="32"/>
          <w:highlight w:val="none"/>
        </w:rPr>
        <w:t>科研实体需与航空港科学院签订场地租赁协议，约定场地位置、使用面积、付款节点、违约责任等事项，该协议须遵循航空港科学院场地使用专项实施细则规定。</w:t>
      </w:r>
    </w:p>
    <w:p w14:paraId="1CC89642">
      <w:pPr>
        <w:spacing w:line="560" w:lineRule="exact"/>
        <w:ind w:firstLine="640" w:firstLineChars="200"/>
        <w:jc w:val="left"/>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（二）场地交付验收。</w:t>
      </w:r>
      <w:r>
        <w:rPr>
          <w:rFonts w:hint="default" w:ascii="Nimbus Roman" w:hAnsi="Nimbus Roman" w:eastAsia="仿宋_GB2312" w:cs="Nimbus Roman"/>
          <w:color w:val="auto"/>
          <w:sz w:val="32"/>
          <w:szCs w:val="32"/>
          <w:highlight w:val="none"/>
        </w:rPr>
        <w:t>航空港科学院、物业公司、入</w:t>
      </w:r>
      <w:r>
        <w:rPr>
          <w:rFonts w:hint="default" w:ascii="Nimbus Roman" w:hAnsi="Nimbus Roman" w:eastAsia="仿宋_GB2312" w:cs="Nimbus Roman"/>
          <w:color w:val="auto"/>
          <w:sz w:val="32"/>
          <w:szCs w:val="32"/>
          <w:highlight w:val="none"/>
          <w:lang w:val="en-US" w:eastAsia="zh-CN"/>
        </w:rPr>
        <w:t>驻</w:t>
      </w:r>
      <w:r>
        <w:rPr>
          <w:rFonts w:hint="default" w:ascii="Nimbus Roman" w:hAnsi="Nimbus Roman" w:eastAsia="仿宋_GB2312" w:cs="Nimbus Roman"/>
          <w:color w:val="auto"/>
          <w:sz w:val="32"/>
          <w:szCs w:val="32"/>
          <w:highlight w:val="none"/>
        </w:rPr>
        <w:t>科研实体对场地实际使用情况进行联合验收、签字存档。</w:t>
      </w:r>
    </w:p>
    <w:p w14:paraId="7230DF5A">
      <w:pPr>
        <w:spacing w:line="560" w:lineRule="exact"/>
        <w:ind w:firstLine="640" w:firstLineChars="200"/>
        <w:jc w:val="left"/>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（三）物业服务。</w:t>
      </w:r>
      <w:r>
        <w:rPr>
          <w:rFonts w:hint="default" w:ascii="Nimbus Roman" w:hAnsi="Nimbus Roman" w:eastAsia="仿宋_GB2312" w:cs="Nimbus Roman"/>
          <w:color w:val="auto"/>
          <w:sz w:val="32"/>
          <w:szCs w:val="32"/>
          <w:highlight w:val="none"/>
        </w:rPr>
        <w:t>入驻实体的物业服务统一提供，由科研实体与物业公司签订物业服务协议，物业公司按照面积收取物业服务费，费用由科研实体承担，并参与对物业公司服务质量的考核评价。</w:t>
      </w:r>
    </w:p>
    <w:p w14:paraId="4FA4A4B1">
      <w:pPr>
        <w:spacing w:line="560" w:lineRule="exact"/>
        <w:ind w:firstLine="640" w:firstLineChars="200"/>
        <w:rPr>
          <w:rFonts w:hint="default" w:ascii="Nimbus Roman" w:hAnsi="Nimbus Roman" w:eastAsia="仿宋_GB2312" w:cs="Nimbus Roman"/>
          <w:color w:val="auto"/>
          <w:sz w:val="32"/>
          <w:szCs w:val="32"/>
          <w:highlight w:val="none"/>
          <w:lang w:val="en-US" w:eastAsia="zh-CN"/>
        </w:rPr>
      </w:pPr>
      <w:r>
        <w:rPr>
          <w:rFonts w:hint="default" w:ascii="Nimbus Roman" w:hAnsi="Nimbus Roman" w:eastAsia="楷体_GB2312" w:cs="Nimbus Roman"/>
          <w:color w:val="auto"/>
          <w:sz w:val="32"/>
          <w:szCs w:val="32"/>
          <w:highlight w:val="none"/>
        </w:rPr>
        <w:t>（四）集约高效利用。</w:t>
      </w:r>
      <w:r>
        <w:rPr>
          <w:rFonts w:hint="default" w:ascii="Nimbus Roman" w:hAnsi="Nimbus Roman" w:eastAsia="仿宋_GB2312" w:cs="Nimbus Roman"/>
          <w:color w:val="auto"/>
          <w:sz w:val="32"/>
          <w:szCs w:val="32"/>
          <w:highlight w:val="none"/>
        </w:rPr>
        <w:t>入驻科研实体使用物理空间应当遵守专项实施细则</w:t>
      </w:r>
      <w:r>
        <w:rPr>
          <w:rFonts w:hint="default" w:ascii="Nimbus Roman" w:hAnsi="Nimbus Roman" w:eastAsia="仿宋_GB2312" w:cs="Nimbus Roman"/>
          <w:color w:val="auto"/>
          <w:sz w:val="32"/>
          <w:szCs w:val="32"/>
          <w:highlight w:val="none"/>
          <w:lang w:eastAsia="zh-CN"/>
        </w:rPr>
        <w:t>。</w:t>
      </w:r>
      <w:r>
        <w:rPr>
          <w:rFonts w:hint="default" w:ascii="Nimbus Roman" w:hAnsi="Nimbus Roman" w:eastAsia="仿宋_GB2312" w:cs="Nimbus Roman"/>
          <w:color w:val="auto"/>
          <w:sz w:val="32"/>
          <w:szCs w:val="32"/>
          <w:highlight w:val="none"/>
        </w:rPr>
        <w:t>对年度考核优秀、成长性好或发展迅速的科研实体，优先保障其办公、科研空间需求</w:t>
      </w:r>
      <w:r>
        <w:rPr>
          <w:rFonts w:hint="default" w:ascii="Nimbus Roman" w:hAnsi="Nimbus Roman" w:eastAsia="仿宋_GB2312" w:cs="Nimbus Roman"/>
          <w:color w:val="auto"/>
          <w:sz w:val="32"/>
          <w:szCs w:val="32"/>
          <w:highlight w:val="none"/>
          <w:lang w:eastAsia="zh-CN"/>
        </w:rPr>
        <w:t>；</w:t>
      </w:r>
      <w:r>
        <w:rPr>
          <w:rFonts w:hint="default" w:ascii="Nimbus Roman" w:hAnsi="Nimbus Roman" w:eastAsia="仿宋_GB2312" w:cs="Nimbus Roman"/>
          <w:color w:val="auto"/>
          <w:sz w:val="32"/>
          <w:szCs w:val="32"/>
          <w:highlight w:val="none"/>
        </w:rPr>
        <w:t>由航空港科学院牵头，对物理空间利用情况开展随机抽查，并可根据空置率情况，采取扣除应返还租金、收回空置空间等处理措施。</w:t>
      </w:r>
      <w:r>
        <w:rPr>
          <w:rFonts w:hint="default" w:ascii="Nimbus Roman" w:hAnsi="Nimbus Roman" w:eastAsia="仿宋_GB2312" w:cs="Nimbus Roman"/>
          <w:color w:val="auto"/>
          <w:sz w:val="32"/>
          <w:szCs w:val="32"/>
          <w:highlight w:val="none"/>
          <w:lang w:val="en-US" w:eastAsia="zh-CN"/>
        </w:rPr>
        <w:t xml:space="preserve">   </w:t>
      </w:r>
    </w:p>
    <w:p w14:paraId="57DE7993">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楷体_GB2312" w:cs="Nimbus Roman"/>
          <w:color w:val="auto"/>
          <w:sz w:val="32"/>
          <w:szCs w:val="32"/>
          <w:highlight w:val="none"/>
        </w:rPr>
        <w:t>（五）租金管理。</w:t>
      </w:r>
      <w:r>
        <w:rPr>
          <w:rFonts w:hint="eastAsia" w:ascii="仿宋_GB2312" w:hAnsi="仿宋_GB2312" w:eastAsia="仿宋_GB2312" w:cs="仿宋_GB2312"/>
          <w:color w:val="auto"/>
          <w:sz w:val="32"/>
          <w:szCs w:val="32"/>
          <w:highlight w:val="none"/>
        </w:rPr>
        <w:t>驻科研实体需根据合同约定交纳租金。建设期内，科研实体应向航空港科学院预先交纳3个月的租金作为押金，筹建工作验收完成后将退还押金。</w:t>
      </w:r>
      <w:r>
        <w:rPr>
          <w:rFonts w:hint="eastAsia" w:ascii="仿宋_GB2312" w:hAnsi="仿宋_GB2312" w:eastAsia="仿宋_GB2312" w:cs="仿宋_GB2312"/>
          <w:color w:val="auto"/>
          <w:sz w:val="32"/>
          <w:szCs w:val="32"/>
          <w:highlight w:val="none"/>
          <w:lang w:eastAsia="zh-CN"/>
        </w:rPr>
        <w:t>运行期内，</w:t>
      </w:r>
      <w:r>
        <w:rPr>
          <w:rFonts w:hint="eastAsia" w:ascii="仿宋_GB2312" w:hAnsi="仿宋_GB2312" w:eastAsia="仿宋_GB2312" w:cs="仿宋_GB2312"/>
          <w:color w:val="auto"/>
          <w:sz w:val="32"/>
          <w:szCs w:val="32"/>
          <w:highlight w:val="none"/>
        </w:rPr>
        <w:t>航空港科学院将根据科研实体的发展阶段和年度目标考核完成情况给予相应比例的租金补贴，具体补贴期限及比例以区内政策与协议约</w:t>
      </w:r>
      <w:r>
        <w:rPr>
          <w:rFonts w:hint="default" w:ascii="Nimbus Roman" w:hAnsi="Nimbus Roman" w:eastAsia="仿宋_GB2312" w:cs="Nimbus Roman"/>
          <w:color w:val="auto"/>
          <w:sz w:val="32"/>
          <w:szCs w:val="32"/>
          <w:highlight w:val="none"/>
        </w:rPr>
        <w:t>定为准。</w:t>
      </w:r>
    </w:p>
    <w:p w14:paraId="6AAE1177">
      <w:pPr>
        <w:spacing w:line="560" w:lineRule="exact"/>
        <w:ind w:firstLine="640" w:firstLineChars="200"/>
        <w:rPr>
          <w:rFonts w:hint="default" w:ascii="Nimbus Roman" w:hAnsi="Nimbus Roman" w:eastAsia="仿宋_GB2312" w:cs="Nimbus Roman"/>
          <w:color w:val="auto"/>
          <w:sz w:val="32"/>
          <w:szCs w:val="32"/>
          <w:highlight w:val="none"/>
          <w:lang w:val="en-US" w:eastAsia="zh-CN"/>
        </w:rPr>
      </w:pPr>
      <w:r>
        <w:rPr>
          <w:rFonts w:hint="default" w:ascii="Nimbus Roman" w:hAnsi="Nimbus Roman" w:eastAsia="黑体" w:cs="Nimbus Roman"/>
          <w:color w:val="auto"/>
          <w:sz w:val="32"/>
          <w:szCs w:val="32"/>
          <w:highlight w:val="none"/>
        </w:rPr>
        <w:t>第十</w:t>
      </w:r>
      <w:r>
        <w:rPr>
          <w:rFonts w:hint="default" w:ascii="Nimbus Roman" w:hAnsi="Nimbus Roman" w:eastAsia="黑体" w:cs="Nimbus Roman"/>
          <w:color w:val="auto"/>
          <w:sz w:val="32"/>
          <w:szCs w:val="32"/>
          <w:highlight w:val="none"/>
          <w:lang w:eastAsia="zh-CN"/>
        </w:rPr>
        <w:t>四</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w:t>
      </w:r>
      <w:r>
        <w:rPr>
          <w:rFonts w:hint="eastAsia" w:ascii="仿宋_GB2312" w:hAnsi="仿宋_GB2312" w:eastAsia="仿宋_GB2312" w:cs="仿宋_GB2312"/>
          <w:color w:val="auto"/>
          <w:sz w:val="32"/>
          <w:szCs w:val="32"/>
          <w:highlight w:val="none"/>
        </w:rPr>
        <w:t>对于独立法人科研实体，依法自行办理注册登记（事业单位/企业/民办非企业）、银行开户、税务登记等手续。对于非独立法人科研实体，其组织架构备案、印章使用等事宜，自建类由航空港科学院办理；共建类由航空港科学院办理，或由院外合作单位办理并报航空港科学院备案，具体以协议约定为准；参建类自行办理并报航空港科学院备案。科研实体可在签署协议后先行入驻并开展研发活动，独立法人科研实体的正式注册登记、非独立法人科研实体的备案手续，应在建设期内完成</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并应在完成后3个工作日内报航空港科学院备案。</w:t>
      </w:r>
    </w:p>
    <w:p w14:paraId="17A8A91D">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第十</w:t>
      </w:r>
      <w:r>
        <w:rPr>
          <w:rFonts w:hint="default" w:ascii="Nimbus Roman" w:hAnsi="Nimbus Roman" w:eastAsia="黑体" w:cs="Nimbus Roman"/>
          <w:color w:val="auto"/>
          <w:sz w:val="32"/>
          <w:szCs w:val="32"/>
          <w:highlight w:val="none"/>
          <w:lang w:eastAsia="zh-CN"/>
        </w:rPr>
        <w:t>五</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b/>
          <w:bCs/>
          <w:color w:val="auto"/>
          <w:sz w:val="32"/>
          <w:szCs w:val="32"/>
          <w:highlight w:val="none"/>
        </w:rPr>
        <w:t xml:space="preserve">  </w:t>
      </w:r>
      <w:r>
        <w:rPr>
          <w:rFonts w:hint="default" w:ascii="Nimbus Roman" w:hAnsi="Nimbus Roman" w:eastAsia="仿宋_GB2312" w:cs="Nimbus Roman"/>
          <w:color w:val="auto"/>
          <w:sz w:val="32"/>
          <w:szCs w:val="32"/>
          <w:highlight w:val="none"/>
        </w:rPr>
        <w:t>科研实体应根据协议制定建设期内支出计划，明确支出类别。科研实体须结合协议中约定的建设目标，加强财务预算绩效管理，提高资金使用效益。航空港科学院根据院外合作单位实际到位资金情况及相关政策，向科研实体分阶段提供研发合作资金，并协助其申领相关财政补贴。</w:t>
      </w:r>
    </w:p>
    <w:p w14:paraId="0D94F001">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第十</w:t>
      </w:r>
      <w:r>
        <w:rPr>
          <w:rFonts w:hint="default" w:ascii="Nimbus Roman" w:hAnsi="Nimbus Roman" w:eastAsia="黑体" w:cs="Nimbus Roman"/>
          <w:color w:val="auto"/>
          <w:sz w:val="32"/>
          <w:szCs w:val="32"/>
          <w:highlight w:val="none"/>
          <w:lang w:eastAsia="zh-CN"/>
        </w:rPr>
        <w:t>六</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b/>
          <w:bCs/>
          <w:color w:val="auto"/>
          <w:sz w:val="32"/>
          <w:szCs w:val="32"/>
          <w:highlight w:val="none"/>
        </w:rPr>
        <w:t xml:space="preserve">  </w:t>
      </w:r>
      <w:r>
        <w:rPr>
          <w:rFonts w:hint="eastAsia" w:ascii="仿宋_GB2312" w:hAnsi="仿宋_GB2312" w:eastAsia="仿宋_GB2312" w:cs="仿宋_GB2312"/>
          <w:color w:val="auto"/>
          <w:sz w:val="32"/>
          <w:szCs w:val="32"/>
          <w:highlight w:val="none"/>
        </w:rPr>
        <w:t>科研实体应及时开展科研团队组建工作，原则上以自主招聘为主，可适当聘用兼职人员参与研发及管理，全职科研人员占总科研人员的比例不低于50%。建设期内，科研实体应按需向航空港科学院报告团队组建进展情况，提交员工名单、学历及职称证明、劳动合同等必要证明材料。航空港科学院依照区组织人事部制定的相关规定，协助科研实体申请省人才专项编制并实施管理。</w:t>
      </w:r>
    </w:p>
    <w:p w14:paraId="02213A06">
      <w:pPr>
        <w:spacing w:line="560" w:lineRule="exact"/>
        <w:ind w:firstLine="640" w:firstLineChars="200"/>
        <w:rPr>
          <w:rFonts w:hint="eastAsia" w:ascii="仿宋_GB2312" w:hAnsi="仿宋_GB2312" w:eastAsia="仿宋_GB2312" w:cs="仿宋_GB2312"/>
          <w:color w:val="auto"/>
          <w:sz w:val="32"/>
          <w:szCs w:val="32"/>
          <w:highlight w:val="none"/>
        </w:rPr>
      </w:pPr>
      <w:r>
        <w:rPr>
          <w:rFonts w:hint="default" w:ascii="Nimbus Roman" w:hAnsi="Nimbus Roman" w:eastAsia="黑体" w:cs="Nimbus Roman"/>
          <w:color w:val="auto"/>
          <w:sz w:val="32"/>
          <w:szCs w:val="32"/>
          <w:highlight w:val="none"/>
        </w:rPr>
        <w:t>第十</w:t>
      </w:r>
      <w:r>
        <w:rPr>
          <w:rFonts w:hint="default" w:ascii="Nimbus Roman" w:hAnsi="Nimbus Roman" w:eastAsia="黑体" w:cs="Nimbus Roman"/>
          <w:color w:val="auto"/>
          <w:sz w:val="32"/>
          <w:szCs w:val="32"/>
          <w:highlight w:val="none"/>
          <w:lang w:eastAsia="zh-CN"/>
        </w:rPr>
        <w:t>七</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w:t>
      </w:r>
      <w:r>
        <w:rPr>
          <w:rFonts w:hint="eastAsia" w:ascii="仿宋_GB2312" w:hAnsi="仿宋_GB2312" w:eastAsia="仿宋_GB2312" w:cs="仿宋_GB2312"/>
          <w:color w:val="auto"/>
          <w:sz w:val="32"/>
          <w:szCs w:val="32"/>
          <w:highlight w:val="none"/>
        </w:rPr>
        <w:t>科研实体完成筹建后，应自筹建完成之日起</w:t>
      </w:r>
      <w:r>
        <w:rPr>
          <w:rFonts w:hint="eastAsia" w:ascii="仿宋_GB2312" w:hAnsi="仿宋_GB2312" w:eastAsia="仿宋_GB2312" w:cs="仿宋_GB2312"/>
          <w:color w:val="auto"/>
          <w:sz w:val="32"/>
          <w:szCs w:val="32"/>
          <w:highlight w:val="none"/>
          <w:lang w:val="en-US" w:eastAsia="zh-CN"/>
        </w:rPr>
        <w:t>7</w:t>
      </w:r>
      <w:r>
        <w:rPr>
          <w:rFonts w:hint="eastAsia" w:ascii="仿宋_GB2312" w:hAnsi="仿宋_GB2312" w:eastAsia="仿宋_GB2312" w:cs="仿宋_GB2312"/>
          <w:color w:val="auto"/>
          <w:sz w:val="32"/>
          <w:szCs w:val="32"/>
          <w:highlight w:val="none"/>
        </w:rPr>
        <w:t>个工作日内向航空港科学院提交验收申请。航空港科学院对照协议约定的建设标准，对科研实体建设阶段的组织架构、注册登记、物理空间、资金使用、人员配置等指标完成情况开展验收，验收结果分为通过和不通过两类；验收通过的科研实体，正式进入运行期。因不可抗力或重大技术调整无法按期完成筹建的，科研实体须提前15个工作日向航空港科学院提交延期申请，经审核同意后最长可延长建设期3个月。</w:t>
      </w:r>
    </w:p>
    <w:p w14:paraId="4B19A6F9">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在建设期届满后，未通过验收或未提交验收申请的科研实体，应依据协议约定限期整改，整改期与此前批准的延长期累计计算原则上不超过</w:t>
      </w:r>
      <w:r>
        <w:rPr>
          <w:rFonts w:hint="eastAsia" w:ascii="仿宋_GB2312" w:hAnsi="仿宋_GB2312" w:eastAsia="仿宋_GB2312" w:cs="仿宋_GB2312"/>
          <w:color w:val="auto"/>
          <w:sz w:val="32"/>
          <w:szCs w:val="32"/>
          <w:highlight w:val="none"/>
          <w:lang w:val="en-US" w:eastAsia="zh-CN"/>
        </w:rPr>
        <w:t>4</w:t>
      </w:r>
      <w:r>
        <w:rPr>
          <w:rFonts w:hint="eastAsia" w:ascii="仿宋_GB2312" w:hAnsi="仿宋_GB2312" w:eastAsia="仿宋_GB2312" w:cs="仿宋_GB2312"/>
          <w:color w:val="auto"/>
          <w:sz w:val="32"/>
          <w:szCs w:val="32"/>
          <w:highlight w:val="none"/>
        </w:rPr>
        <w:t>个月；整改期满仍未通过验收的，航空港科学院将按协议约定终止合作，收回已提供的场地、研发合作资金等支持资源，并</w:t>
      </w:r>
      <w:r>
        <w:rPr>
          <w:rFonts w:hint="eastAsia" w:ascii="仿宋_GB2312" w:hAnsi="仿宋_GB2312" w:eastAsia="仿宋_GB2312" w:cs="仿宋_GB2312"/>
          <w:color w:val="auto"/>
          <w:sz w:val="32"/>
          <w:szCs w:val="32"/>
          <w:highlight w:val="none"/>
          <w:lang w:eastAsia="zh-CN"/>
        </w:rPr>
        <w:t>扣除</w:t>
      </w:r>
      <w:r>
        <w:rPr>
          <w:rFonts w:hint="eastAsia" w:ascii="仿宋_GB2312" w:hAnsi="仿宋_GB2312" w:eastAsia="仿宋_GB2312" w:cs="仿宋_GB2312"/>
          <w:color w:val="auto"/>
          <w:sz w:val="32"/>
          <w:szCs w:val="32"/>
          <w:highlight w:val="none"/>
        </w:rPr>
        <w:t>其已交纳的押金。</w:t>
      </w:r>
    </w:p>
    <w:p w14:paraId="0BF6459B">
      <w:pPr>
        <w:spacing w:line="560" w:lineRule="exact"/>
        <w:rPr>
          <w:rFonts w:hint="default" w:ascii="Nimbus Roman" w:hAnsi="Nimbus Roman" w:eastAsia="仿宋_GB2312" w:cs="Nimbus Roman"/>
          <w:color w:val="auto"/>
          <w:sz w:val="32"/>
          <w:szCs w:val="32"/>
          <w:highlight w:val="none"/>
        </w:rPr>
      </w:pPr>
    </w:p>
    <w:p w14:paraId="256740E5">
      <w:pPr>
        <w:numPr>
          <w:ilvl w:val="0"/>
          <w:numId w:val="1"/>
        </w:numPr>
        <w:spacing w:line="560" w:lineRule="exact"/>
        <w:jc w:val="center"/>
        <w:rPr>
          <w:rFonts w:hint="default" w:ascii="Nimbus Roman" w:hAnsi="Nimbus Roman" w:eastAsia="黑体" w:cs="Nimbus Roman"/>
          <w:color w:val="auto"/>
          <w:sz w:val="32"/>
          <w:szCs w:val="32"/>
          <w:highlight w:val="none"/>
        </w:rPr>
      </w:pPr>
      <w:r>
        <w:rPr>
          <w:rFonts w:hint="default" w:ascii="Nimbus Roman" w:hAnsi="Nimbus Roman" w:eastAsia="黑体" w:cs="Nimbus Roman"/>
          <w:color w:val="auto"/>
          <w:sz w:val="32"/>
          <w:szCs w:val="32"/>
          <w:highlight w:val="none"/>
        </w:rPr>
        <w:t xml:space="preserve"> 运行管理</w:t>
      </w:r>
    </w:p>
    <w:p w14:paraId="4C5E5593">
      <w:pPr>
        <w:spacing w:line="560" w:lineRule="exact"/>
        <w:rPr>
          <w:rFonts w:hint="default" w:ascii="Nimbus Roman" w:hAnsi="Nimbus Roman" w:eastAsia="黑体" w:cs="Nimbus Roman"/>
          <w:color w:val="auto"/>
          <w:sz w:val="32"/>
          <w:szCs w:val="32"/>
          <w:highlight w:val="none"/>
        </w:rPr>
      </w:pPr>
    </w:p>
    <w:p w14:paraId="17B43CAB">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第十</w:t>
      </w:r>
      <w:r>
        <w:rPr>
          <w:rFonts w:hint="default" w:ascii="Nimbus Roman" w:hAnsi="Nimbus Roman" w:eastAsia="黑体" w:cs="Nimbus Roman"/>
          <w:color w:val="auto"/>
          <w:sz w:val="32"/>
          <w:szCs w:val="32"/>
          <w:highlight w:val="none"/>
          <w:lang w:eastAsia="zh-CN"/>
        </w:rPr>
        <w:t>八</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b/>
          <w:bCs/>
          <w:color w:val="auto"/>
          <w:sz w:val="32"/>
          <w:szCs w:val="32"/>
          <w:highlight w:val="none"/>
        </w:rPr>
        <w:t xml:space="preserve">  </w:t>
      </w:r>
      <w:r>
        <w:rPr>
          <w:rFonts w:hint="default" w:ascii="Nimbus Roman" w:hAnsi="Nimbus Roman" w:eastAsia="仿宋_GB2312" w:cs="Nimbus Roman"/>
          <w:color w:val="auto"/>
          <w:sz w:val="32"/>
          <w:szCs w:val="32"/>
          <w:highlight w:val="none"/>
        </w:rPr>
        <w:t>科研实体应坚持市场化导向，围绕产业需求开展产业技术研发；建立开放式科技创新组织模式，集聚国内外创新资源，吸引高水平科技成果进行二次开发和成果转化；建立股权、薪酬、绩效奖励等的激励机制，充分激发科研人员创新积极性。科研实体应建立健全涵盖法人治理、人事、财务、科研项目、设备、成果、知识产权、风险防控、创新发展、监督保障等内容的制度体系。</w:t>
      </w:r>
    </w:p>
    <w:p w14:paraId="6AB63CAD">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第十</w:t>
      </w:r>
      <w:r>
        <w:rPr>
          <w:rFonts w:hint="default" w:ascii="Nimbus Roman" w:hAnsi="Nimbus Roman" w:eastAsia="黑体" w:cs="Nimbus Roman"/>
          <w:color w:val="auto"/>
          <w:sz w:val="32"/>
          <w:szCs w:val="32"/>
          <w:highlight w:val="none"/>
          <w:lang w:eastAsia="zh-CN"/>
        </w:rPr>
        <w:t>九</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科研实体实行定期与按需报送制度和重大事项报告制度。科研实体应按期报送半</w:t>
      </w:r>
      <w:r>
        <w:rPr>
          <w:rFonts w:hint="eastAsia" w:ascii="仿宋_GB2312" w:hAnsi="仿宋_GB2312" w:eastAsia="仿宋_GB2312" w:cs="仿宋_GB2312"/>
          <w:color w:val="auto"/>
          <w:sz w:val="32"/>
          <w:szCs w:val="32"/>
          <w:highlight w:val="none"/>
        </w:rPr>
        <w:t>年报，每年1月底前提交上年度工作总结、财务决算及执行情况、审计报告等，以及本年</w:t>
      </w:r>
      <w:r>
        <w:rPr>
          <w:rFonts w:hint="default" w:ascii="Nimbus Roman" w:hAnsi="Nimbus Roman" w:eastAsia="仿宋_GB2312" w:cs="Nimbus Roman"/>
          <w:color w:val="auto"/>
          <w:sz w:val="32"/>
          <w:szCs w:val="32"/>
          <w:highlight w:val="none"/>
        </w:rPr>
        <w:t>度工作计划、财务预算等。航空港科学院提出信息报送需求的，科研实体应按通知要求及时报送相关材料。科研实体如发生名称变更、投资主体变更、</w:t>
      </w:r>
      <w:r>
        <w:rPr>
          <w:rFonts w:hint="eastAsia" w:ascii="仿宋_GB2312" w:hAnsi="仿宋_GB2312" w:eastAsia="仿宋_GB2312" w:cs="仿宋_GB2312"/>
          <w:color w:val="auto"/>
          <w:sz w:val="32"/>
          <w:szCs w:val="32"/>
          <w:highlight w:val="none"/>
        </w:rPr>
        <w:t>重大人员变动等重大事项的，应在事项发生后3个工作日内以书面形式报航空港科学院。</w:t>
      </w:r>
    </w:p>
    <w:p w14:paraId="7238FD2C">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二十</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科研实体应指定专人作为对接联系人，负责与航空港科学院在战略规划研究、技术研发、人才培养、资源引进、企业服务、文化建设等方面进行日常沟通交流，积极配合航空港科学院开展相关工作。航空港科学院将配置服务专员，对接科研实体在资源引进、技术研发等方面的需求并提供相关支持。航空港科学院将建立面向体系内科研实体的信息交流与互通共享平台，对相关信息进行收集、整理、萃取和整合，实现信息的高效流动。</w:t>
      </w:r>
    </w:p>
    <w:p w14:paraId="714622EE">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二十一</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科研实体在合作期内形成的知识产权及科技成果，其产权归属除研发团队按规定参与持有部分外，自建类科研实体的产权归属航空港科学院，共建类科研实体的产权由航空港科学院和科研实体按股权共同持有，参建类与加盟类科研实体的产权归属按照协议约定执行。科研实体的知识产权及科技成果应当优先在航空港区落地转化，航空港科学院按需求提供转化对接服务。</w:t>
      </w:r>
    </w:p>
    <w:p w14:paraId="06519C33">
      <w:pPr>
        <w:spacing w:line="560" w:lineRule="exact"/>
        <w:ind w:firstLine="640" w:firstLineChars="200"/>
        <w:rPr>
          <w:rFonts w:hint="default" w:ascii="Nimbus Roman" w:hAnsi="Nimbus Roman" w:eastAsia="仿宋_GB2312" w:cs="Nimbus Roman"/>
          <w:color w:val="auto"/>
          <w:sz w:val="32"/>
          <w:szCs w:val="32"/>
          <w:highlight w:val="none"/>
          <w:lang w:eastAsia="zh-CN"/>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二十二</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对完成、转化职务科技成果做出重要贡献的人员，科研实体应当按照以下</w:t>
      </w:r>
      <w:r>
        <w:rPr>
          <w:rFonts w:hint="default" w:ascii="Nimbus Roman" w:hAnsi="Nimbus Roman" w:eastAsia="仿宋_GB2312" w:cs="Nimbus Roman"/>
          <w:color w:val="auto"/>
          <w:sz w:val="32"/>
          <w:szCs w:val="32"/>
          <w:highlight w:val="none"/>
          <w:lang w:eastAsia="zh-CN"/>
        </w:rPr>
        <w:t>方式与</w:t>
      </w:r>
      <w:r>
        <w:rPr>
          <w:rFonts w:hint="default" w:ascii="Nimbus Roman" w:hAnsi="Nimbus Roman" w:eastAsia="仿宋_GB2312" w:cs="Nimbus Roman"/>
          <w:color w:val="auto"/>
          <w:sz w:val="32"/>
          <w:szCs w:val="32"/>
          <w:highlight w:val="none"/>
        </w:rPr>
        <w:t>标准给予奖励和报酬</w:t>
      </w:r>
      <w:r>
        <w:rPr>
          <w:rFonts w:hint="default" w:ascii="Nimbus Roman" w:hAnsi="Nimbus Roman" w:eastAsia="仿宋_GB2312" w:cs="Nimbus Roman"/>
          <w:color w:val="auto"/>
          <w:sz w:val="32"/>
          <w:szCs w:val="32"/>
          <w:highlight w:val="none"/>
          <w:lang w:eastAsia="zh-CN"/>
        </w:rPr>
        <w:t>，或</w:t>
      </w:r>
      <w:r>
        <w:rPr>
          <w:rFonts w:hint="default" w:ascii="Nimbus Roman" w:hAnsi="Nimbus Roman" w:eastAsia="仿宋_GB2312" w:cs="Nimbus Roman"/>
          <w:color w:val="auto"/>
          <w:sz w:val="32"/>
          <w:szCs w:val="32"/>
          <w:highlight w:val="none"/>
        </w:rPr>
        <w:t>按照</w:t>
      </w:r>
      <w:r>
        <w:rPr>
          <w:rFonts w:hint="default" w:ascii="Nimbus Roman" w:hAnsi="Nimbus Roman" w:eastAsia="仿宋_GB2312" w:cs="Nimbus Roman"/>
          <w:color w:val="auto"/>
          <w:sz w:val="32"/>
          <w:szCs w:val="32"/>
          <w:highlight w:val="none"/>
          <w:lang w:eastAsia="zh-CN"/>
        </w:rPr>
        <w:t>与相关人</w:t>
      </w:r>
      <w:r>
        <w:rPr>
          <w:rFonts w:hint="default" w:ascii="Nimbus Roman" w:hAnsi="Nimbus Roman" w:eastAsia="仿宋_GB2312" w:cs="Nimbus Roman"/>
          <w:color w:val="auto"/>
          <w:sz w:val="32"/>
          <w:szCs w:val="32"/>
          <w:highlight w:val="none"/>
        </w:rPr>
        <w:t>员</w:t>
      </w:r>
      <w:r>
        <w:rPr>
          <w:rFonts w:hint="default" w:ascii="Nimbus Roman" w:hAnsi="Nimbus Roman" w:eastAsia="仿宋_GB2312" w:cs="Nimbus Roman"/>
          <w:color w:val="auto"/>
          <w:sz w:val="32"/>
          <w:szCs w:val="32"/>
          <w:highlight w:val="none"/>
          <w:lang w:eastAsia="zh-CN"/>
        </w:rPr>
        <w:t>另行签订的协议标准执行。</w:t>
      </w:r>
    </w:p>
    <w:p w14:paraId="3955F044">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（一）</w:t>
      </w:r>
      <w:r>
        <w:rPr>
          <w:rFonts w:hint="eastAsia" w:ascii="仿宋_GB2312" w:hAnsi="仿宋_GB2312" w:eastAsia="仿宋_GB2312" w:cs="仿宋_GB2312"/>
          <w:color w:val="auto"/>
          <w:sz w:val="32"/>
          <w:szCs w:val="32"/>
          <w:highlight w:val="none"/>
        </w:rPr>
        <w:t>将职务科技成果转让、许可给他人实施的，从该项科技成果转让净收入或者许可净收入中提取不低于80%的比例</w:t>
      </w:r>
      <w:r>
        <w:rPr>
          <w:rFonts w:hint="eastAsia" w:ascii="仿宋_GB2312" w:hAnsi="仿宋_GB2312" w:eastAsia="仿宋_GB2312" w:cs="仿宋_GB2312"/>
          <w:color w:val="auto"/>
          <w:sz w:val="32"/>
          <w:szCs w:val="32"/>
          <w:highlight w:val="none"/>
          <w:lang w:eastAsia="zh-CN"/>
        </w:rPr>
        <w:t>（净收入指转让、许可收入扣除本次交易发生的相关税金、维护</w:t>
      </w:r>
      <w:r>
        <w:rPr>
          <w:rFonts w:hint="default" w:ascii="Nimbus Roman" w:hAnsi="Nimbus Roman" w:eastAsia="仿宋_GB2312" w:cs="Nimbus Roman"/>
          <w:color w:val="auto"/>
          <w:sz w:val="32"/>
          <w:szCs w:val="32"/>
          <w:highlight w:val="none"/>
          <w:lang w:eastAsia="zh-CN"/>
        </w:rPr>
        <w:t>该科技成果的费用及交易过程中的评估、鉴定、谈判等直接成本后的余额）</w:t>
      </w:r>
      <w:r>
        <w:rPr>
          <w:rFonts w:hint="default" w:ascii="Nimbus Roman" w:hAnsi="Nimbus Roman" w:eastAsia="仿宋_GB2312" w:cs="Nimbus Roman"/>
          <w:color w:val="auto"/>
          <w:sz w:val="32"/>
          <w:szCs w:val="32"/>
          <w:highlight w:val="none"/>
        </w:rPr>
        <w:t>；</w:t>
      </w:r>
    </w:p>
    <w:p w14:paraId="339AD92D">
      <w:pPr>
        <w:spacing w:line="560" w:lineRule="exact"/>
        <w:ind w:firstLine="640" w:firstLineChars="200"/>
        <w:rPr>
          <w:rFonts w:hint="eastAsia" w:ascii="仿宋_GB2312" w:hAnsi="仿宋_GB2312" w:eastAsia="仿宋_GB2312" w:cs="仿宋_GB2312"/>
          <w:color w:val="auto"/>
          <w:sz w:val="32"/>
          <w:szCs w:val="32"/>
          <w:highlight w:val="none"/>
        </w:rPr>
      </w:pPr>
      <w:r>
        <w:rPr>
          <w:rFonts w:hint="default" w:ascii="Nimbus Roman" w:hAnsi="Nimbus Roman" w:eastAsia="仿宋_GB2312" w:cs="Nimbus Roman"/>
          <w:color w:val="auto"/>
          <w:sz w:val="32"/>
          <w:szCs w:val="32"/>
          <w:highlight w:val="none"/>
        </w:rPr>
        <w:t>（二）</w:t>
      </w:r>
      <w:r>
        <w:rPr>
          <w:rFonts w:hint="eastAsia" w:ascii="仿宋_GB2312" w:hAnsi="仿宋_GB2312" w:eastAsia="仿宋_GB2312" w:cs="仿宋_GB2312"/>
          <w:color w:val="auto"/>
          <w:sz w:val="32"/>
          <w:szCs w:val="32"/>
          <w:highlight w:val="none"/>
        </w:rPr>
        <w:t>利用职务科技成果作价投资的，从该项科技成果形成的股份或者出资比例中提取不低于80%的比例；</w:t>
      </w:r>
    </w:p>
    <w:p w14:paraId="0EF638F6">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（三）将职务科技成果自行实施或者与他人合作实施的，应当在实施转化成功投产后连续三至五年，每年从实施该项科技成果的营业利润中提取不低于10%的比例。</w:t>
      </w:r>
    </w:p>
    <w:p w14:paraId="3A8AE375">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上述奖励报酬中，主要贡献者分配比例不低于奖励总额的50%（主要贡献者可为1人或者多人）。</w:t>
      </w:r>
    </w:p>
    <w:p w14:paraId="4F062A04">
      <w:pPr>
        <w:spacing w:line="560" w:lineRule="exact"/>
        <w:ind w:firstLine="640" w:firstLineChars="200"/>
        <w:rPr>
          <w:rFonts w:hint="default" w:ascii="Nimbus Roman" w:hAnsi="Nimbus Roman" w:eastAsia="仿宋_GB2312" w:cs="Nimbus Roman"/>
          <w:color w:val="auto"/>
          <w:sz w:val="32"/>
          <w:szCs w:val="32"/>
          <w:highlight w:val="none"/>
        </w:rPr>
      </w:pPr>
      <w:r>
        <w:rPr>
          <w:rFonts w:hint="eastAsia" w:ascii="仿宋_GB2312" w:hAnsi="仿宋_GB2312" w:eastAsia="仿宋_GB2312" w:cs="仿宋_GB2312"/>
          <w:color w:val="auto"/>
          <w:sz w:val="32"/>
          <w:szCs w:val="32"/>
          <w:highlight w:val="none"/>
        </w:rPr>
        <w:t>科技成果转化收益</w:t>
      </w:r>
      <w:r>
        <w:rPr>
          <w:rFonts w:hint="eastAsia" w:ascii="仿宋_GB2312" w:hAnsi="仿宋_GB2312" w:eastAsia="仿宋_GB2312" w:cs="仿宋_GB2312"/>
          <w:color w:val="auto"/>
          <w:sz w:val="32"/>
          <w:szCs w:val="32"/>
          <w:highlight w:val="none"/>
          <w:lang w:eastAsia="zh-CN"/>
        </w:rPr>
        <w:t>经相关人员分配后，剩余部分按以</w:t>
      </w:r>
      <w:r>
        <w:rPr>
          <w:rFonts w:hint="default" w:ascii="Nimbus Roman" w:hAnsi="Nimbus Roman" w:eastAsia="仿宋_GB2312" w:cs="Nimbus Roman"/>
          <w:color w:val="auto"/>
          <w:sz w:val="32"/>
          <w:szCs w:val="32"/>
          <w:highlight w:val="none"/>
          <w:lang w:eastAsia="zh-CN"/>
        </w:rPr>
        <w:t>下原则在航空港科学院与科研实体间进行分配</w:t>
      </w:r>
      <w:r>
        <w:rPr>
          <w:rFonts w:hint="default" w:ascii="Nimbus Roman" w:hAnsi="Nimbus Roman" w:eastAsia="仿宋_GB2312" w:cs="Nimbus Roman"/>
          <w:color w:val="auto"/>
          <w:sz w:val="32"/>
          <w:szCs w:val="32"/>
          <w:highlight w:val="none"/>
        </w:rPr>
        <w:t>：自建类科研实体的收益完全归属航空港科学院；共建类、参建类科研实体的收益按照出资比例或协议约定比例分配。对于事业单位类科研实体，其科技成果转化收益的分配按照国家相关规定执行。</w:t>
      </w:r>
    </w:p>
    <w:p w14:paraId="58433939">
      <w:pPr>
        <w:spacing w:line="560" w:lineRule="exact"/>
        <w:ind w:firstLine="640" w:firstLineChars="200"/>
        <w:rPr>
          <w:rFonts w:hint="eastAsia" w:ascii="仿宋_GB2312" w:hAnsi="仿宋_GB2312" w:eastAsia="仿宋_GB2312" w:cs="仿宋_GB2312"/>
          <w:color w:val="auto"/>
          <w:sz w:val="32"/>
          <w:szCs w:val="32"/>
          <w:highlight w:val="none"/>
        </w:rPr>
      </w:pPr>
      <w:r>
        <w:rPr>
          <w:rFonts w:hint="default" w:ascii="Nimbus Roman" w:hAnsi="Nimbus Roman" w:eastAsia="黑体" w:cs="Nimbus Roman"/>
          <w:color w:val="auto"/>
          <w:sz w:val="32"/>
          <w:szCs w:val="32"/>
          <w:highlight w:val="none"/>
        </w:rPr>
        <w:t>第二十</w:t>
      </w:r>
      <w:r>
        <w:rPr>
          <w:rFonts w:hint="default" w:ascii="Nimbus Roman" w:hAnsi="Nimbus Roman" w:eastAsia="黑体" w:cs="Nimbus Roman"/>
          <w:color w:val="auto"/>
          <w:sz w:val="32"/>
          <w:szCs w:val="32"/>
          <w:highlight w:val="none"/>
          <w:lang w:eastAsia="zh-CN"/>
        </w:rPr>
        <w:t>三</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w:t>
      </w:r>
      <w:r>
        <w:rPr>
          <w:rFonts w:hint="eastAsia" w:ascii="仿宋_GB2312" w:hAnsi="仿宋_GB2312" w:eastAsia="仿宋_GB2312" w:cs="仿宋_GB2312"/>
          <w:color w:val="auto"/>
          <w:sz w:val="32"/>
          <w:szCs w:val="32"/>
          <w:highlight w:val="none"/>
        </w:rPr>
        <w:t>航空港科学院设立专职科技成果转化服务（技术经理人）岗位，建立成果转化专员制度，为科研实体提供技术评估、专利布局、市场对接、合同谈判等全流程服务”。专职从事科技成果转化工作的人员，在职称评聘、业绩考核、工作条件等方面与科研人员同等对待。支持科研实体开展科技成果转化活动。鼓励科研实体进行技术合同备案登记，对在全国技术合同认定登记系统进行合同备案登记的，航空港科学院将按年度技术合同登记额，依据相关政策协助科研实体申请奖补。科研实体应当</w:t>
      </w:r>
      <w:r>
        <w:rPr>
          <w:rFonts w:hint="eastAsia" w:ascii="仿宋_GB2312" w:hAnsi="仿宋_GB2312" w:eastAsia="仿宋_GB2312" w:cs="仿宋_GB2312"/>
          <w:color w:val="auto"/>
          <w:sz w:val="32"/>
          <w:szCs w:val="32"/>
          <w:highlight w:val="none"/>
        </w:rPr>
        <w:t>建立规范的科技成果转化台账，完整记录技术评估、合同签订、资金到账、收益分配及奖励报酬发放等情况，于每季度结束后10个工作日内报送航空港科学院备案。</w:t>
      </w:r>
    </w:p>
    <w:p w14:paraId="35C021CB">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第二十</w:t>
      </w:r>
      <w:r>
        <w:rPr>
          <w:rFonts w:hint="default" w:ascii="Nimbus Roman" w:hAnsi="Nimbus Roman" w:eastAsia="黑体" w:cs="Nimbus Roman"/>
          <w:color w:val="auto"/>
          <w:sz w:val="32"/>
          <w:szCs w:val="32"/>
          <w:highlight w:val="none"/>
          <w:lang w:eastAsia="zh-CN"/>
        </w:rPr>
        <w:t>四</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科研实体采购仪器设备，应当依照《中华人民共和国政府采购法》及相关法规制度，严格执行采购程序并健全固定资产管理制度。科研实体使用购置的仪器设备鼓励其开放共享，使用方应当按照规定支付服务费用。</w:t>
      </w:r>
    </w:p>
    <w:p w14:paraId="58CE6B78">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第二十</w:t>
      </w:r>
      <w:r>
        <w:rPr>
          <w:rFonts w:hint="default" w:ascii="Nimbus Roman" w:hAnsi="Nimbus Roman" w:eastAsia="黑体" w:cs="Nimbus Roman"/>
          <w:color w:val="auto"/>
          <w:sz w:val="32"/>
          <w:szCs w:val="32"/>
          <w:highlight w:val="none"/>
          <w:lang w:eastAsia="zh-CN"/>
        </w:rPr>
        <w:t>五</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鼓励科研实体引进或培育科技成果，孵化引领性、前瞻性、颠覆性重大技术创新项目。鼓励科研实体定期或不定期举办产学研对接会、学术交流活动等，活动开展的时间、地点等应与航空港科学院协商确定。科研实体应为全体科研人员建立科研诚信档案，</w:t>
      </w:r>
      <w:r>
        <w:rPr>
          <w:rFonts w:hint="eastAsia" w:ascii="仿宋_GB2312" w:hAnsi="仿宋_GB2312" w:eastAsia="仿宋_GB2312" w:cs="仿宋_GB2312"/>
          <w:color w:val="auto"/>
          <w:sz w:val="32"/>
          <w:szCs w:val="32"/>
          <w:highlight w:val="none"/>
        </w:rPr>
        <w:t>对学术不端行为实行一票否决，相关人员3年内不得申报各类科研项目。</w:t>
      </w:r>
    </w:p>
    <w:p w14:paraId="5AF9B573">
      <w:pPr>
        <w:spacing w:line="560" w:lineRule="exact"/>
        <w:rPr>
          <w:rFonts w:hint="default" w:ascii="Nimbus Roman" w:hAnsi="Nimbus Roman" w:eastAsia="仿宋_GB2312" w:cs="Nimbus Roman"/>
          <w:color w:val="auto"/>
          <w:sz w:val="32"/>
          <w:szCs w:val="32"/>
          <w:highlight w:val="none"/>
        </w:rPr>
      </w:pPr>
    </w:p>
    <w:p w14:paraId="71F7D24C">
      <w:pPr>
        <w:numPr>
          <w:ilvl w:val="0"/>
          <w:numId w:val="1"/>
        </w:numPr>
        <w:spacing w:line="560" w:lineRule="exact"/>
        <w:jc w:val="center"/>
        <w:rPr>
          <w:rFonts w:hint="default" w:ascii="Nimbus Roman" w:hAnsi="Nimbus Roman" w:eastAsia="黑体" w:cs="Nimbus Roman"/>
          <w:color w:val="auto"/>
          <w:sz w:val="32"/>
          <w:szCs w:val="32"/>
          <w:highlight w:val="none"/>
        </w:rPr>
      </w:pPr>
      <w:r>
        <w:rPr>
          <w:rFonts w:hint="default" w:ascii="Nimbus Roman" w:hAnsi="Nimbus Roman" w:eastAsia="黑体" w:cs="Nimbus Roman"/>
          <w:color w:val="auto"/>
          <w:sz w:val="32"/>
          <w:szCs w:val="32"/>
          <w:highlight w:val="none"/>
        </w:rPr>
        <w:t xml:space="preserve"> 绩效考核管理</w:t>
      </w:r>
    </w:p>
    <w:p w14:paraId="16A938EB">
      <w:pPr>
        <w:spacing w:line="560" w:lineRule="exact"/>
        <w:rPr>
          <w:rFonts w:hint="default" w:ascii="Nimbus Roman" w:hAnsi="Nimbus Roman" w:eastAsia="黑体" w:cs="Nimbus Roman"/>
          <w:color w:val="auto"/>
          <w:sz w:val="32"/>
          <w:szCs w:val="32"/>
          <w:highlight w:val="none"/>
        </w:rPr>
      </w:pPr>
    </w:p>
    <w:p w14:paraId="053A2394">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第二十</w:t>
      </w:r>
      <w:r>
        <w:rPr>
          <w:rFonts w:hint="default" w:ascii="Nimbus Roman" w:hAnsi="Nimbus Roman" w:eastAsia="黑体" w:cs="Nimbus Roman"/>
          <w:color w:val="auto"/>
          <w:sz w:val="32"/>
          <w:szCs w:val="32"/>
          <w:highlight w:val="none"/>
          <w:lang w:eastAsia="zh-CN"/>
        </w:rPr>
        <w:t>六</w:t>
      </w:r>
      <w:r>
        <w:rPr>
          <w:rFonts w:hint="default" w:ascii="Nimbus Roman" w:hAnsi="Nimbus Roman" w:eastAsia="黑体" w:cs="Nimbus Roman"/>
          <w:color w:val="auto"/>
          <w:sz w:val="32"/>
          <w:szCs w:val="32"/>
          <w:highlight w:val="none"/>
        </w:rPr>
        <w:t xml:space="preserve">条  </w:t>
      </w:r>
      <w:r>
        <w:rPr>
          <w:rFonts w:hint="default" w:ascii="Nimbus Roman" w:hAnsi="Nimbus Roman" w:eastAsia="仿宋_GB2312" w:cs="Nimbus Roman"/>
          <w:color w:val="auto"/>
          <w:sz w:val="32"/>
          <w:szCs w:val="32"/>
          <w:highlight w:val="none"/>
        </w:rPr>
        <w:t>科研实体的绩效考核原则上包括建设验收评估、年度评估、中期评估（运行满三年）和期满评估（运行满五年）四种形式，考核主体为航空港区科技工信局、航空港科学院或其委托的第三方机构，具体按照航空港科学院绩效考核实施细则规定执行。科研实体应当积极配合考核主体开展绩效考核相关工作，按时、准确、完整报送所需数据及佐证材料。</w:t>
      </w:r>
    </w:p>
    <w:p w14:paraId="51CE4CD0">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第二十</w:t>
      </w:r>
      <w:r>
        <w:rPr>
          <w:rFonts w:hint="default" w:ascii="Nimbus Roman" w:hAnsi="Nimbus Roman" w:eastAsia="黑体" w:cs="Nimbus Roman"/>
          <w:color w:val="auto"/>
          <w:sz w:val="32"/>
          <w:szCs w:val="32"/>
          <w:highlight w:val="none"/>
          <w:lang w:eastAsia="zh-CN"/>
        </w:rPr>
        <w:t>七</w:t>
      </w:r>
      <w:r>
        <w:rPr>
          <w:rFonts w:hint="default" w:ascii="Nimbus Roman" w:hAnsi="Nimbus Roman" w:eastAsia="黑体" w:cs="Nimbus Roman"/>
          <w:color w:val="auto"/>
          <w:sz w:val="32"/>
          <w:szCs w:val="32"/>
          <w:highlight w:val="none"/>
        </w:rPr>
        <w:t xml:space="preserve">条  </w:t>
      </w:r>
      <w:r>
        <w:rPr>
          <w:rFonts w:hint="default" w:ascii="Nimbus Roman" w:hAnsi="Nimbus Roman" w:eastAsia="仿宋_GB2312" w:cs="Nimbus Roman"/>
          <w:color w:val="auto"/>
          <w:sz w:val="32"/>
          <w:szCs w:val="32"/>
          <w:highlight w:val="none"/>
        </w:rPr>
        <w:t>科研实体的绩效考核中，涉及的考核指标主要分为以下四类：</w:t>
      </w:r>
    </w:p>
    <w:p w14:paraId="3AF9B5A1">
      <w:pPr>
        <w:numPr>
          <w:ilvl w:val="0"/>
          <w:numId w:val="2"/>
        </w:numPr>
        <w:spacing w:line="560" w:lineRule="exact"/>
        <w:ind w:firstLine="640" w:firstLineChars="200"/>
        <w:rPr>
          <w:rFonts w:hint="default" w:ascii="Nimbus Roman" w:hAnsi="Nimbus Roman" w:eastAsia="楷体_GB2312" w:cs="Nimbus Roman"/>
          <w:color w:val="auto"/>
          <w:sz w:val="32"/>
          <w:szCs w:val="32"/>
          <w:highlight w:val="none"/>
        </w:rPr>
      </w:pPr>
      <w:r>
        <w:rPr>
          <w:rFonts w:hint="default" w:ascii="Nimbus Roman" w:hAnsi="Nimbus Roman" w:eastAsia="楷体_GB2312" w:cs="Nimbus Roman"/>
          <w:color w:val="auto"/>
          <w:sz w:val="32"/>
          <w:szCs w:val="32"/>
          <w:highlight w:val="none"/>
        </w:rPr>
        <w:t>创新人才集聚类。</w:t>
      </w:r>
      <w:r>
        <w:rPr>
          <w:rFonts w:hint="default" w:ascii="Nimbus Roman" w:hAnsi="Nimbus Roman" w:eastAsia="仿宋_GB2312" w:cs="Nimbus Roman"/>
          <w:color w:val="auto"/>
          <w:sz w:val="32"/>
          <w:szCs w:val="32"/>
          <w:highlight w:val="none"/>
        </w:rPr>
        <w:t>指衡量科研实体人员总体规模、研发人员配置、高层次人才情况的指标，具体包括员工总数、硕士以上研发人员数量、招收博士后人数、引进或培育入选省级及以上人才计划人数等，以劳动合同、社保缴纳记录、学历学位证书、人才计划入选证书等为依据。</w:t>
      </w:r>
    </w:p>
    <w:p w14:paraId="29652B42">
      <w:pPr>
        <w:numPr>
          <w:ilvl w:val="0"/>
          <w:numId w:val="2"/>
        </w:numPr>
        <w:spacing w:line="560" w:lineRule="exact"/>
        <w:ind w:firstLine="640" w:firstLineChars="200"/>
        <w:rPr>
          <w:rFonts w:hint="default" w:ascii="Nimbus Roman" w:hAnsi="Nimbus Roman" w:eastAsia="楷体_GB2312" w:cs="Nimbus Roman"/>
          <w:color w:val="auto"/>
          <w:sz w:val="32"/>
          <w:szCs w:val="32"/>
          <w:highlight w:val="none"/>
        </w:rPr>
      </w:pPr>
      <w:r>
        <w:rPr>
          <w:rFonts w:hint="default" w:ascii="Nimbus Roman" w:hAnsi="Nimbus Roman" w:eastAsia="楷体_GB2312" w:cs="Nimbus Roman"/>
          <w:color w:val="auto"/>
          <w:sz w:val="32"/>
          <w:szCs w:val="32"/>
          <w:highlight w:val="none"/>
        </w:rPr>
        <w:t>研发活动强度类。</w:t>
      </w:r>
      <w:r>
        <w:rPr>
          <w:rFonts w:hint="default" w:ascii="Nimbus Roman" w:hAnsi="Nimbus Roman" w:eastAsia="仿宋_GB2312" w:cs="Nimbus Roman"/>
          <w:color w:val="auto"/>
          <w:sz w:val="32"/>
          <w:szCs w:val="32"/>
          <w:highlight w:val="none"/>
        </w:rPr>
        <w:t>指反映科研实体研究开发活动强度、项目承接与完成情况、科研经费获取情况的指标，具体包括省级及以上科技项目立项与结项数、企业合作研发项目立项与结项数、科研经费到账总额等，以项目任务书、技术合同、银行凭证等为依据。</w:t>
      </w:r>
    </w:p>
    <w:p w14:paraId="6BF42231">
      <w:pPr>
        <w:numPr>
          <w:ilvl w:val="0"/>
          <w:numId w:val="2"/>
        </w:numPr>
        <w:spacing w:line="560" w:lineRule="exact"/>
        <w:ind w:firstLine="640" w:firstLineChars="200"/>
        <w:rPr>
          <w:rFonts w:hint="default" w:ascii="Nimbus Roman" w:hAnsi="Nimbus Roman" w:eastAsia="楷体_GB2312" w:cs="Nimbus Roman"/>
          <w:color w:val="auto"/>
          <w:sz w:val="32"/>
          <w:szCs w:val="32"/>
          <w:highlight w:val="none"/>
        </w:rPr>
      </w:pPr>
      <w:r>
        <w:rPr>
          <w:rFonts w:hint="default" w:ascii="Nimbus Roman" w:hAnsi="Nimbus Roman" w:eastAsia="楷体_GB2312" w:cs="Nimbus Roman"/>
          <w:color w:val="auto"/>
          <w:sz w:val="32"/>
          <w:szCs w:val="32"/>
          <w:highlight w:val="none"/>
        </w:rPr>
        <w:t>成果产出水平类。</w:t>
      </w:r>
      <w:r>
        <w:rPr>
          <w:rFonts w:hint="default" w:ascii="Nimbus Roman" w:hAnsi="Nimbus Roman" w:eastAsia="仿宋_GB2312" w:cs="Nimbus Roman"/>
          <w:color w:val="auto"/>
          <w:sz w:val="32"/>
          <w:szCs w:val="32"/>
          <w:highlight w:val="none"/>
        </w:rPr>
        <w:t>指体现科研实体在科技成果产出、平台建设、</w:t>
      </w:r>
      <w:r>
        <w:rPr>
          <w:rFonts w:hint="eastAsia" w:ascii="仿宋_GB2312" w:hAnsi="仿宋_GB2312" w:eastAsia="仿宋_GB2312" w:cs="仿宋_GB2312"/>
          <w:color w:val="auto"/>
          <w:sz w:val="32"/>
          <w:szCs w:val="32"/>
          <w:highlight w:val="none"/>
        </w:rPr>
        <w:t>科技奖励、标准制定方面所取得成效的指标，具体包括发明专利申请与授权数、PCT国际专利申请与授权数、省级以上科研平台新增数、国家及行业标准制定数、省级以上科技奖</w:t>
      </w:r>
      <w:r>
        <w:rPr>
          <w:rFonts w:hint="default" w:ascii="Nimbus Roman" w:hAnsi="Nimbus Roman" w:eastAsia="仿宋_GB2312" w:cs="Nimbus Roman"/>
          <w:color w:val="auto"/>
          <w:sz w:val="32"/>
          <w:szCs w:val="32"/>
          <w:highlight w:val="none"/>
        </w:rPr>
        <w:t>励等，以专利证书及授权通知书、科研平台批准文件、标准发布文本、科技奖励证书为依据。</w:t>
      </w:r>
    </w:p>
    <w:p w14:paraId="6D66E323">
      <w:pPr>
        <w:numPr>
          <w:ilvl w:val="0"/>
          <w:numId w:val="2"/>
        </w:numPr>
        <w:spacing w:line="560" w:lineRule="exact"/>
        <w:ind w:firstLine="640" w:firstLineChars="200"/>
        <w:rPr>
          <w:rFonts w:hint="default" w:ascii="Nimbus Roman" w:hAnsi="Nimbus Roman" w:eastAsia="楷体_GB2312" w:cs="Nimbus Roman"/>
          <w:color w:val="auto"/>
          <w:sz w:val="32"/>
          <w:szCs w:val="32"/>
          <w:highlight w:val="none"/>
        </w:rPr>
      </w:pPr>
      <w:r>
        <w:rPr>
          <w:rFonts w:hint="default" w:ascii="Nimbus Roman" w:hAnsi="Nimbus Roman" w:eastAsia="楷体_GB2312" w:cs="Nimbus Roman"/>
          <w:color w:val="auto"/>
          <w:sz w:val="32"/>
          <w:szCs w:val="32"/>
          <w:highlight w:val="none"/>
        </w:rPr>
        <w:t>产业贡献效能类。</w:t>
      </w:r>
      <w:r>
        <w:rPr>
          <w:rFonts w:hint="default" w:ascii="Nimbus Roman" w:hAnsi="Nimbus Roman" w:eastAsia="仿宋_GB2312" w:cs="Nimbus Roman"/>
          <w:color w:val="auto"/>
          <w:sz w:val="32"/>
          <w:szCs w:val="32"/>
          <w:highlight w:val="none"/>
        </w:rPr>
        <w:t>指衡量科研实体将科技成果转化为实际经济效益、推动产业化、引进孵化相关企业情况的指标，具体包括技术合同到账额、概念验证或中试服务收入、引进孵化企业营收与利税、融资等，以技术合同认定登记证明、财务审计报告、完税凭证、引孵企业资质等为依据。</w:t>
      </w:r>
    </w:p>
    <w:p w14:paraId="61C40F84">
      <w:pPr>
        <w:spacing w:line="560" w:lineRule="exact"/>
        <w:ind w:firstLine="640" w:firstLineChars="200"/>
        <w:rPr>
          <w:rFonts w:hint="default" w:ascii="Nimbus Roman" w:hAnsi="Nimbus Roman" w:eastAsia="楷体_GB2312" w:cs="Nimbus Roman"/>
          <w:color w:val="auto"/>
          <w:sz w:val="32"/>
          <w:szCs w:val="32"/>
          <w:highlight w:val="none"/>
        </w:rPr>
      </w:pPr>
      <w:r>
        <w:rPr>
          <w:rFonts w:hint="default" w:ascii="Nimbus Roman" w:hAnsi="Nimbus Roman" w:eastAsia="黑体" w:cs="Nimbus Roman"/>
          <w:color w:val="auto"/>
          <w:sz w:val="32"/>
          <w:szCs w:val="32"/>
          <w:highlight w:val="none"/>
        </w:rPr>
        <w:t>第二十</w:t>
      </w:r>
      <w:r>
        <w:rPr>
          <w:rFonts w:hint="default" w:ascii="Nimbus Roman" w:hAnsi="Nimbus Roman" w:eastAsia="黑体" w:cs="Nimbus Roman"/>
          <w:color w:val="auto"/>
          <w:sz w:val="32"/>
          <w:szCs w:val="32"/>
          <w:highlight w:val="none"/>
          <w:lang w:eastAsia="zh-CN"/>
        </w:rPr>
        <w:t>八</w:t>
      </w:r>
      <w:r>
        <w:rPr>
          <w:rFonts w:hint="default" w:ascii="Nimbus Roman" w:hAnsi="Nimbus Roman" w:eastAsia="黑体" w:cs="Nimbus Roman"/>
          <w:color w:val="auto"/>
          <w:sz w:val="32"/>
          <w:szCs w:val="32"/>
          <w:highlight w:val="none"/>
        </w:rPr>
        <w:t xml:space="preserve">条  </w:t>
      </w:r>
      <w:r>
        <w:rPr>
          <w:rFonts w:hint="default" w:ascii="Nimbus Roman" w:hAnsi="Nimbus Roman" w:eastAsia="仿宋_GB2312" w:cs="Nimbus Roman"/>
          <w:color w:val="auto"/>
          <w:sz w:val="32"/>
          <w:szCs w:val="32"/>
          <w:highlight w:val="none"/>
        </w:rPr>
        <w:t>航空港科学院</w:t>
      </w:r>
      <w:r>
        <w:rPr>
          <w:rFonts w:hint="default" w:ascii="Nimbus Roman" w:hAnsi="Nimbus Roman" w:eastAsia="仿宋_GB2312" w:cs="Nimbus Roman"/>
          <w:color w:val="auto"/>
          <w:sz w:val="32"/>
          <w:szCs w:val="32"/>
          <w:highlight w:val="none"/>
          <w:lang w:eastAsia="zh-CN"/>
        </w:rPr>
        <w:t>将</w:t>
      </w:r>
      <w:r>
        <w:rPr>
          <w:rFonts w:hint="default" w:ascii="Nimbus Roman" w:hAnsi="Nimbus Roman" w:eastAsia="仿宋_GB2312" w:cs="Nimbus Roman"/>
          <w:color w:val="auto"/>
          <w:sz w:val="32"/>
          <w:szCs w:val="32"/>
          <w:highlight w:val="none"/>
        </w:rPr>
        <w:t>根据科研实体发展阶段实施差异化考核</w:t>
      </w:r>
      <w:r>
        <w:rPr>
          <w:rFonts w:hint="default" w:ascii="Nimbus Roman" w:hAnsi="Nimbus Roman" w:eastAsia="仿宋_GB2312" w:cs="Nimbus Roman"/>
          <w:color w:val="auto"/>
          <w:sz w:val="32"/>
          <w:szCs w:val="32"/>
          <w:highlight w:val="none"/>
          <w:lang w:eastAsia="zh-CN"/>
        </w:rPr>
        <w:t>方案。</w:t>
      </w:r>
      <w:r>
        <w:rPr>
          <w:rFonts w:hint="default" w:ascii="Nimbus Roman" w:hAnsi="Nimbus Roman" w:eastAsia="仿宋_GB2312" w:cs="Nimbus Roman"/>
          <w:color w:val="auto"/>
          <w:sz w:val="32"/>
          <w:szCs w:val="32"/>
          <w:highlight w:val="none"/>
          <w:lang w:val="en-US" w:eastAsia="zh-CN"/>
        </w:rPr>
        <w:t>在</w:t>
      </w:r>
      <w:r>
        <w:rPr>
          <w:rFonts w:hint="default" w:ascii="Nimbus Roman" w:hAnsi="Nimbus Roman" w:eastAsia="仿宋_GB2312" w:cs="Nimbus Roman"/>
          <w:color w:val="auto"/>
          <w:sz w:val="32"/>
          <w:szCs w:val="32"/>
          <w:highlight w:val="none"/>
        </w:rPr>
        <w:t>初创期</w:t>
      </w:r>
      <w:r>
        <w:rPr>
          <w:rFonts w:hint="default" w:ascii="Nimbus Roman" w:hAnsi="Nimbus Roman" w:eastAsia="仿宋_GB2312" w:cs="Nimbus Roman"/>
          <w:color w:val="auto"/>
          <w:sz w:val="32"/>
          <w:szCs w:val="32"/>
          <w:highlight w:val="none"/>
          <w:lang w:eastAsia="zh-CN"/>
        </w:rPr>
        <w:t>，</w:t>
      </w:r>
      <w:r>
        <w:rPr>
          <w:rFonts w:hint="default" w:ascii="Nimbus Roman" w:hAnsi="Nimbus Roman" w:eastAsia="仿宋_GB2312" w:cs="Nimbus Roman"/>
          <w:color w:val="auto"/>
          <w:sz w:val="32"/>
          <w:szCs w:val="32"/>
          <w:highlight w:val="none"/>
        </w:rPr>
        <w:t>重点考核创新人才集聚类</w:t>
      </w:r>
      <w:r>
        <w:rPr>
          <w:rFonts w:hint="default" w:ascii="Nimbus Roman" w:hAnsi="Nimbus Roman" w:eastAsia="仿宋_GB2312" w:cs="Nimbus Roman"/>
          <w:color w:val="auto"/>
          <w:sz w:val="32"/>
          <w:szCs w:val="32"/>
          <w:highlight w:val="none"/>
          <w:lang w:eastAsia="zh-CN"/>
        </w:rPr>
        <w:t>与研发活动强度类指标</w:t>
      </w:r>
      <w:r>
        <w:rPr>
          <w:rFonts w:hint="default" w:ascii="Nimbus Roman" w:hAnsi="Nimbus Roman" w:eastAsia="仿宋_GB2312" w:cs="Nimbus Roman"/>
          <w:color w:val="auto"/>
          <w:sz w:val="32"/>
          <w:szCs w:val="32"/>
          <w:highlight w:val="none"/>
        </w:rPr>
        <w:t>；</w:t>
      </w:r>
      <w:r>
        <w:rPr>
          <w:rFonts w:hint="default" w:ascii="Nimbus Roman" w:hAnsi="Nimbus Roman" w:eastAsia="仿宋_GB2312" w:cs="Nimbus Roman"/>
          <w:color w:val="auto"/>
          <w:sz w:val="32"/>
          <w:szCs w:val="32"/>
          <w:highlight w:val="none"/>
          <w:lang w:val="en-US" w:eastAsia="zh-CN"/>
        </w:rPr>
        <w:t>在</w:t>
      </w:r>
      <w:r>
        <w:rPr>
          <w:rFonts w:hint="default" w:ascii="Nimbus Roman" w:hAnsi="Nimbus Roman" w:eastAsia="仿宋_GB2312" w:cs="Nimbus Roman"/>
          <w:color w:val="auto"/>
          <w:sz w:val="32"/>
          <w:szCs w:val="32"/>
          <w:highlight w:val="none"/>
          <w:lang w:eastAsia="zh-CN"/>
        </w:rPr>
        <w:t>成长</w:t>
      </w:r>
      <w:r>
        <w:rPr>
          <w:rFonts w:hint="default" w:ascii="Nimbus Roman" w:hAnsi="Nimbus Roman" w:eastAsia="仿宋_GB2312" w:cs="Nimbus Roman"/>
          <w:color w:val="auto"/>
          <w:sz w:val="32"/>
          <w:szCs w:val="32"/>
          <w:highlight w:val="none"/>
          <w:lang w:val="en-US" w:eastAsia="zh-CN"/>
        </w:rPr>
        <w:t>期</w:t>
      </w:r>
      <w:r>
        <w:rPr>
          <w:rFonts w:hint="default" w:ascii="Nimbus Roman" w:hAnsi="Nimbus Roman" w:eastAsia="仿宋_GB2312" w:cs="Nimbus Roman"/>
          <w:color w:val="auto"/>
          <w:sz w:val="32"/>
          <w:szCs w:val="32"/>
          <w:highlight w:val="none"/>
          <w:lang w:eastAsia="zh-CN"/>
        </w:rPr>
        <w:t>，</w:t>
      </w:r>
      <w:r>
        <w:rPr>
          <w:rFonts w:hint="default" w:ascii="Nimbus Roman" w:hAnsi="Nimbus Roman" w:eastAsia="仿宋_GB2312" w:cs="Nimbus Roman"/>
          <w:color w:val="auto"/>
          <w:sz w:val="32"/>
          <w:szCs w:val="32"/>
          <w:highlight w:val="none"/>
        </w:rPr>
        <w:t>重点考核</w:t>
      </w:r>
      <w:r>
        <w:rPr>
          <w:rFonts w:hint="default" w:ascii="Nimbus Roman" w:hAnsi="Nimbus Roman" w:eastAsia="仿宋_GB2312" w:cs="Nimbus Roman"/>
          <w:color w:val="auto"/>
          <w:sz w:val="32"/>
          <w:szCs w:val="32"/>
          <w:highlight w:val="none"/>
          <w:lang w:eastAsia="zh-CN"/>
        </w:rPr>
        <w:t>研发活动强度类与成果产出水平类指标</w:t>
      </w:r>
      <w:r>
        <w:rPr>
          <w:rFonts w:hint="default" w:ascii="Nimbus Roman" w:hAnsi="Nimbus Roman" w:eastAsia="仿宋_GB2312" w:cs="Nimbus Roman"/>
          <w:color w:val="auto"/>
          <w:sz w:val="32"/>
          <w:szCs w:val="32"/>
          <w:highlight w:val="none"/>
        </w:rPr>
        <w:t>；</w:t>
      </w:r>
      <w:r>
        <w:rPr>
          <w:rFonts w:hint="default" w:ascii="Nimbus Roman" w:hAnsi="Nimbus Roman" w:eastAsia="仿宋_GB2312" w:cs="Nimbus Roman"/>
          <w:color w:val="auto"/>
          <w:sz w:val="32"/>
          <w:szCs w:val="32"/>
          <w:highlight w:val="none"/>
          <w:lang w:val="en-US" w:eastAsia="zh-CN"/>
        </w:rPr>
        <w:t>在</w:t>
      </w:r>
      <w:r>
        <w:rPr>
          <w:rFonts w:hint="default" w:ascii="Nimbus Roman" w:hAnsi="Nimbus Roman" w:eastAsia="仿宋_GB2312" w:cs="Nimbus Roman"/>
          <w:color w:val="auto"/>
          <w:sz w:val="32"/>
          <w:szCs w:val="32"/>
          <w:highlight w:val="none"/>
          <w:lang w:eastAsia="zh-CN"/>
        </w:rPr>
        <w:t>成熟</w:t>
      </w:r>
      <w:r>
        <w:rPr>
          <w:rFonts w:hint="default" w:ascii="Nimbus Roman" w:hAnsi="Nimbus Roman" w:eastAsia="仿宋_GB2312" w:cs="Nimbus Roman"/>
          <w:color w:val="auto"/>
          <w:sz w:val="32"/>
          <w:szCs w:val="32"/>
          <w:highlight w:val="none"/>
        </w:rPr>
        <w:t>期</w:t>
      </w:r>
      <w:r>
        <w:rPr>
          <w:rFonts w:hint="default" w:ascii="Nimbus Roman" w:hAnsi="Nimbus Roman" w:eastAsia="仿宋_GB2312" w:cs="Nimbus Roman"/>
          <w:color w:val="auto"/>
          <w:sz w:val="32"/>
          <w:szCs w:val="32"/>
          <w:highlight w:val="none"/>
          <w:lang w:eastAsia="zh-CN"/>
        </w:rPr>
        <w:t>，</w:t>
      </w:r>
      <w:r>
        <w:rPr>
          <w:rFonts w:hint="default" w:ascii="Nimbus Roman" w:hAnsi="Nimbus Roman" w:eastAsia="仿宋_GB2312" w:cs="Nimbus Roman"/>
          <w:color w:val="auto"/>
          <w:sz w:val="32"/>
          <w:szCs w:val="32"/>
          <w:highlight w:val="none"/>
        </w:rPr>
        <w:t>重点考核</w:t>
      </w:r>
      <w:r>
        <w:rPr>
          <w:rFonts w:hint="default" w:ascii="Nimbus Roman" w:hAnsi="Nimbus Roman" w:eastAsia="仿宋_GB2312" w:cs="Nimbus Roman"/>
          <w:color w:val="auto"/>
          <w:sz w:val="32"/>
          <w:szCs w:val="32"/>
          <w:highlight w:val="none"/>
          <w:lang w:eastAsia="zh-CN"/>
        </w:rPr>
        <w:t>成果产出水平类与产业贡献效能类指标。</w:t>
      </w:r>
    </w:p>
    <w:p w14:paraId="6DA83439">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第二十</w:t>
      </w:r>
      <w:r>
        <w:rPr>
          <w:rFonts w:hint="default" w:ascii="Nimbus Roman" w:hAnsi="Nimbus Roman" w:eastAsia="黑体" w:cs="Nimbus Roman"/>
          <w:color w:val="auto"/>
          <w:sz w:val="32"/>
          <w:szCs w:val="32"/>
          <w:highlight w:val="none"/>
          <w:lang w:eastAsia="zh-CN"/>
        </w:rPr>
        <w:t>九</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运行期内，科研实体的绩效考核结果</w:t>
      </w:r>
      <w:r>
        <w:rPr>
          <w:rFonts w:hint="default" w:ascii="Nimbus Roman" w:hAnsi="Nimbus Roman" w:eastAsia="仿宋_GB2312" w:cs="Nimbus Roman"/>
          <w:color w:val="auto"/>
          <w:sz w:val="32"/>
          <w:szCs w:val="32"/>
          <w:highlight w:val="none"/>
          <w:lang w:eastAsia="zh-CN"/>
        </w:rPr>
        <w:t>按具体分值</w:t>
      </w:r>
      <w:r>
        <w:rPr>
          <w:rFonts w:hint="default" w:ascii="Nimbus Roman" w:hAnsi="Nimbus Roman" w:eastAsia="仿宋_GB2312" w:cs="Nimbus Roman"/>
          <w:color w:val="auto"/>
          <w:sz w:val="32"/>
          <w:szCs w:val="32"/>
          <w:highlight w:val="none"/>
        </w:rPr>
        <w:t>分为优秀</w:t>
      </w:r>
      <w:r>
        <w:rPr>
          <w:rFonts w:hint="default" w:ascii="Nimbus Roman" w:hAnsi="Nimbus Roman" w:eastAsia="仿宋_GB2312" w:cs="Nimbus Roman"/>
          <w:color w:val="auto"/>
          <w:sz w:val="32"/>
          <w:szCs w:val="32"/>
          <w:highlight w:val="none"/>
          <w:lang w:eastAsia="zh-CN"/>
        </w:rPr>
        <w:t>、</w:t>
      </w:r>
      <w:r>
        <w:rPr>
          <w:rFonts w:hint="default" w:ascii="Nimbus Roman" w:hAnsi="Nimbus Roman" w:eastAsia="仿宋_GB2312" w:cs="Nimbus Roman"/>
          <w:color w:val="auto"/>
          <w:sz w:val="32"/>
          <w:szCs w:val="32"/>
          <w:highlight w:val="none"/>
        </w:rPr>
        <w:t>良好</w:t>
      </w:r>
      <w:r>
        <w:rPr>
          <w:rFonts w:hint="default" w:ascii="Nimbus Roman" w:hAnsi="Nimbus Roman" w:eastAsia="仿宋_GB2312" w:cs="Nimbus Roman"/>
          <w:color w:val="auto"/>
          <w:sz w:val="32"/>
          <w:szCs w:val="32"/>
          <w:highlight w:val="none"/>
          <w:lang w:eastAsia="zh-CN"/>
        </w:rPr>
        <w:t>、</w:t>
      </w:r>
      <w:r>
        <w:rPr>
          <w:rFonts w:hint="default" w:ascii="Nimbus Roman" w:hAnsi="Nimbus Roman" w:eastAsia="仿宋_GB2312" w:cs="Nimbus Roman"/>
          <w:color w:val="auto"/>
          <w:sz w:val="32"/>
          <w:szCs w:val="32"/>
          <w:highlight w:val="none"/>
        </w:rPr>
        <w:t>整改</w:t>
      </w:r>
      <w:r>
        <w:rPr>
          <w:rFonts w:hint="default" w:ascii="Nimbus Roman" w:hAnsi="Nimbus Roman" w:eastAsia="仿宋_GB2312" w:cs="Nimbus Roman"/>
          <w:color w:val="auto"/>
          <w:sz w:val="32"/>
          <w:szCs w:val="32"/>
          <w:highlight w:val="none"/>
          <w:lang w:eastAsia="zh-CN"/>
        </w:rPr>
        <w:t>、</w:t>
      </w:r>
      <w:r>
        <w:rPr>
          <w:rFonts w:hint="default" w:ascii="Nimbus Roman" w:hAnsi="Nimbus Roman" w:eastAsia="仿宋_GB2312" w:cs="Nimbus Roman"/>
          <w:color w:val="auto"/>
          <w:sz w:val="32"/>
          <w:szCs w:val="32"/>
          <w:highlight w:val="none"/>
        </w:rPr>
        <w:t>不合格四个等级，是航空港科学院对科研实体的场地、研发合作资金等进行管理的重要依据。评估结果为优秀的，为科研实体全额兑现支持；评估结果为良好的，按协议约定兑现支持；评估结果为整改的，</w:t>
      </w:r>
      <w:r>
        <w:rPr>
          <w:rFonts w:hint="eastAsia" w:ascii="仿宋_GB2312" w:hAnsi="仿宋_GB2312" w:eastAsia="仿宋_GB2312" w:cs="仿宋_GB2312"/>
          <w:color w:val="auto"/>
          <w:sz w:val="32"/>
          <w:szCs w:val="32"/>
          <w:highlight w:val="none"/>
        </w:rPr>
        <w:t>科研实体原则上应在6个月内完成整改，整改后考核结果达到良好及以上的，</w:t>
      </w:r>
      <w:r>
        <w:rPr>
          <w:rFonts w:hint="default" w:ascii="Nimbus Roman" w:hAnsi="Nimbus Roman" w:eastAsia="仿宋_GB2312" w:cs="Nimbus Roman"/>
          <w:color w:val="auto"/>
          <w:sz w:val="32"/>
          <w:szCs w:val="32"/>
          <w:highlight w:val="none"/>
        </w:rPr>
        <w:t>按对应等级标准追溯兑现支持；整改后评估结果仍未达到良好及以上的，直接认定为不合格；评估结果为不合格的，原则上停止兑现后续支持。</w:t>
      </w:r>
      <w:r>
        <w:rPr>
          <w:rFonts w:hint="eastAsia" w:ascii="仿宋_GB2312" w:hAnsi="仿宋_GB2312" w:eastAsia="仿宋_GB2312" w:cs="仿宋_GB2312"/>
          <w:color w:val="auto"/>
          <w:sz w:val="32"/>
          <w:szCs w:val="32"/>
          <w:highlight w:val="none"/>
        </w:rPr>
        <w:t>连续2年考核不合格的退出航空港科学院体系。</w:t>
      </w:r>
    </w:p>
    <w:p w14:paraId="6E78C917">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三十</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w:t>
      </w:r>
      <w:r>
        <w:rPr>
          <w:rFonts w:hint="default" w:ascii="Nimbus Roman" w:hAnsi="Nimbus Roman" w:eastAsia="仿宋_GB2312" w:cs="Nimbus Roman"/>
          <w:color w:val="auto"/>
          <w:sz w:val="32"/>
          <w:szCs w:val="32"/>
          <w:highlight w:val="none"/>
          <w:lang w:val="en-US" w:eastAsia="zh-CN"/>
        </w:rPr>
        <w:t>对于</w:t>
      </w:r>
      <w:r>
        <w:rPr>
          <w:rFonts w:hint="default" w:ascii="Nimbus Roman" w:hAnsi="Nimbus Roman" w:eastAsia="仿宋_GB2312" w:cs="Nimbus Roman"/>
          <w:color w:val="auto"/>
          <w:sz w:val="32"/>
          <w:szCs w:val="32"/>
          <w:highlight w:val="none"/>
        </w:rPr>
        <w:t>科研实体</w:t>
      </w:r>
      <w:r>
        <w:rPr>
          <w:rFonts w:hint="default" w:ascii="Nimbus Roman" w:hAnsi="Nimbus Roman" w:eastAsia="仿宋_GB2312" w:cs="Nimbus Roman"/>
          <w:color w:val="auto"/>
          <w:sz w:val="32"/>
          <w:szCs w:val="32"/>
          <w:highlight w:val="none"/>
          <w:lang w:val="en-US" w:eastAsia="zh-CN"/>
        </w:rPr>
        <w:t>取得第一单位</w:t>
      </w:r>
      <w:r>
        <w:rPr>
          <w:rFonts w:hint="default" w:ascii="Nimbus Roman" w:hAnsi="Nimbus Roman" w:eastAsia="仿宋_GB2312" w:cs="Nimbus Roman"/>
          <w:color w:val="auto"/>
          <w:sz w:val="32"/>
          <w:szCs w:val="32"/>
          <w:highlight w:val="none"/>
          <w:lang w:eastAsia="zh-CN"/>
        </w:rPr>
        <w:t>获国家级科技奖励或省部级科技一等奖、牵头制定国家或国际技术标准、年度收入超亿元或获得亿元级融资等</w:t>
      </w:r>
      <w:r>
        <w:rPr>
          <w:rFonts w:hint="default" w:ascii="Nimbus Roman" w:hAnsi="Nimbus Roman" w:eastAsia="仿宋_GB2312" w:cs="Nimbus Roman"/>
          <w:color w:val="auto"/>
          <w:sz w:val="32"/>
          <w:szCs w:val="32"/>
          <w:highlight w:val="none"/>
        </w:rPr>
        <w:t>标志性成果</w:t>
      </w:r>
      <w:r>
        <w:rPr>
          <w:rFonts w:hint="default" w:ascii="Nimbus Roman" w:hAnsi="Nimbus Roman" w:eastAsia="仿宋_GB2312" w:cs="Nimbus Roman"/>
          <w:color w:val="auto"/>
          <w:sz w:val="32"/>
          <w:szCs w:val="32"/>
          <w:highlight w:val="none"/>
          <w:lang w:eastAsia="zh-CN"/>
        </w:rPr>
        <w:t>的，</w:t>
      </w:r>
      <w:r>
        <w:rPr>
          <w:rFonts w:hint="default" w:ascii="Nimbus Roman" w:hAnsi="Nimbus Roman" w:eastAsia="仿宋_GB2312" w:cs="Nimbus Roman"/>
          <w:color w:val="auto"/>
          <w:sz w:val="32"/>
          <w:szCs w:val="32"/>
          <w:highlight w:val="none"/>
        </w:rPr>
        <w:t>根据协议</w:t>
      </w:r>
      <w:r>
        <w:rPr>
          <w:rFonts w:hint="default" w:ascii="Nimbus Roman" w:hAnsi="Nimbus Roman" w:eastAsia="仿宋_GB2312" w:cs="Nimbus Roman"/>
          <w:color w:val="auto"/>
          <w:sz w:val="32"/>
          <w:szCs w:val="32"/>
          <w:highlight w:val="none"/>
          <w:lang w:eastAsia="zh-CN"/>
        </w:rPr>
        <w:t>约定，</w:t>
      </w:r>
      <w:r>
        <w:rPr>
          <w:rFonts w:hint="default" w:ascii="Nimbus Roman" w:hAnsi="Nimbus Roman" w:eastAsia="仿宋_GB2312" w:cs="Nimbus Roman"/>
          <w:color w:val="auto"/>
          <w:sz w:val="32"/>
          <w:szCs w:val="32"/>
          <w:highlight w:val="none"/>
        </w:rPr>
        <w:t>可凭相关证明材料报请航空港科学院院务会审议同意后，直接认定为年度评估优秀。</w:t>
      </w:r>
    </w:p>
    <w:p w14:paraId="1D227666">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三十一</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科研实体实行的具体绩效考核方案</w:t>
      </w:r>
      <w:r>
        <w:rPr>
          <w:rFonts w:hint="default" w:ascii="Nimbus Roman" w:hAnsi="Nimbus Roman" w:eastAsia="仿宋_GB2312" w:cs="Nimbus Roman"/>
          <w:color w:val="auto"/>
          <w:sz w:val="32"/>
          <w:szCs w:val="32"/>
          <w:highlight w:val="none"/>
          <w:lang w:eastAsia="zh-CN"/>
        </w:rPr>
        <w:t>，</w:t>
      </w:r>
      <w:r>
        <w:rPr>
          <w:rFonts w:hint="default" w:ascii="Nimbus Roman" w:hAnsi="Nimbus Roman" w:eastAsia="仿宋_GB2312" w:cs="Nimbus Roman"/>
          <w:color w:val="auto"/>
          <w:sz w:val="32"/>
          <w:szCs w:val="32"/>
          <w:highlight w:val="none"/>
        </w:rPr>
        <w:t>以协议</w:t>
      </w:r>
      <w:r>
        <w:rPr>
          <w:rFonts w:hint="default" w:ascii="Nimbus Roman" w:hAnsi="Nimbus Roman" w:eastAsia="仿宋_GB2312" w:cs="Nimbus Roman"/>
          <w:color w:val="auto"/>
          <w:sz w:val="32"/>
          <w:szCs w:val="32"/>
          <w:highlight w:val="none"/>
          <w:lang w:eastAsia="zh-CN"/>
        </w:rPr>
        <w:t>约定和</w:t>
      </w:r>
      <w:r>
        <w:rPr>
          <w:rFonts w:hint="default" w:ascii="Nimbus Roman" w:hAnsi="Nimbus Roman" w:eastAsia="仿宋_GB2312" w:cs="Nimbus Roman"/>
          <w:color w:val="auto"/>
          <w:sz w:val="32"/>
          <w:szCs w:val="32"/>
          <w:highlight w:val="none"/>
        </w:rPr>
        <w:t>另行制定的绩效考核实施细则为准。</w:t>
      </w:r>
    </w:p>
    <w:p w14:paraId="7404226A">
      <w:pPr>
        <w:spacing w:line="560" w:lineRule="exact"/>
        <w:rPr>
          <w:rFonts w:hint="default" w:ascii="Nimbus Roman" w:hAnsi="Nimbus Roman" w:eastAsia="仿宋_GB2312" w:cs="Nimbus Roman"/>
          <w:color w:val="auto"/>
          <w:sz w:val="32"/>
          <w:szCs w:val="32"/>
          <w:highlight w:val="none"/>
        </w:rPr>
      </w:pPr>
    </w:p>
    <w:p w14:paraId="7F4341F2">
      <w:pPr>
        <w:numPr>
          <w:ilvl w:val="0"/>
          <w:numId w:val="1"/>
        </w:numPr>
        <w:spacing w:line="560" w:lineRule="exact"/>
        <w:jc w:val="center"/>
        <w:rPr>
          <w:rFonts w:hint="default" w:ascii="Nimbus Roman" w:hAnsi="Nimbus Roman" w:eastAsia="黑体" w:cs="Nimbus Roman"/>
          <w:color w:val="auto"/>
          <w:sz w:val="32"/>
          <w:szCs w:val="32"/>
          <w:highlight w:val="none"/>
        </w:rPr>
      </w:pPr>
      <w:r>
        <w:rPr>
          <w:rFonts w:hint="default" w:ascii="Nimbus Roman" w:hAnsi="Nimbus Roman" w:eastAsia="黑体" w:cs="Nimbus Roman"/>
          <w:color w:val="auto"/>
          <w:sz w:val="32"/>
          <w:szCs w:val="32"/>
          <w:highlight w:val="none"/>
        </w:rPr>
        <w:t xml:space="preserve"> 财务管理</w:t>
      </w:r>
    </w:p>
    <w:p w14:paraId="2D2B69C8">
      <w:pPr>
        <w:spacing w:line="560" w:lineRule="exact"/>
        <w:rPr>
          <w:rFonts w:hint="default" w:ascii="Nimbus Roman" w:hAnsi="Nimbus Roman" w:eastAsia="仿宋_GB2312" w:cs="Nimbus Roman"/>
          <w:b/>
          <w:bCs/>
          <w:color w:val="auto"/>
          <w:sz w:val="32"/>
          <w:szCs w:val="32"/>
          <w:highlight w:val="none"/>
        </w:rPr>
      </w:pPr>
    </w:p>
    <w:p w14:paraId="0083D4E5">
      <w:pPr>
        <w:spacing w:line="560" w:lineRule="exact"/>
        <w:ind w:firstLine="640" w:firstLineChars="200"/>
        <w:rPr>
          <w:rFonts w:hint="default" w:ascii="Nimbus Roman" w:hAnsi="Nimbus Roman" w:eastAsia="黑体" w:cs="Nimbus Roman"/>
          <w:color w:val="auto"/>
          <w:sz w:val="32"/>
          <w:szCs w:val="32"/>
          <w:highlight w:val="none"/>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三十二</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航空港科学院为科研实体提供的研发合作资金，采用拨款或拨投结合的方式，资金拨付依据必须合法合规。研发合作资金主要用于保障科研实体的建设、运行与发展，支持科研实体的研究开发、技术服务、成果转化、科技合作交流、运营管理等，不得用于购置房屋、土地、车辆，不得用于借贷、缴纳罚款及对外投资。</w:t>
      </w:r>
    </w:p>
    <w:p w14:paraId="0DD0F3B6">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三十三</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科研实体应当严格遵守财经纪律，自主建立健全内部控制体系，确保各项经济活动合法、合规、有序运行。相关制度体系应涵盖预算管理、收支管理、资产管理、合同管理、采购管理等关键环节，明确岗位职责分工，实行不相容职务分离控制，确保财务信息的真实性、完整性和准确性，有效防范财务风险。</w:t>
      </w:r>
    </w:p>
    <w:p w14:paraId="6B352BF4">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三十四</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独立法人科研实体应当将使用的财政资金与非财政资金分类核算，非财政资金按协议约定用途执行，无需纳入财政资金审批流程。对财政资金设立独立专户（或专项核算科目），实现资金账户隔离与流向可追溯。非独立法人科研实体的区财政资金由航空港科学院或依托单位统一设立专户管理，实行专项核算。</w:t>
      </w:r>
    </w:p>
    <w:p w14:paraId="198DFDCF">
      <w:pPr>
        <w:spacing w:line="560" w:lineRule="exact"/>
        <w:ind w:firstLine="640" w:firstLineChars="200"/>
        <w:rPr>
          <w:rFonts w:hint="default" w:ascii="Nimbus Roman" w:hAnsi="Nimbus Roman" w:eastAsia="仿宋_GB2312" w:cs="Nimbus Roman"/>
          <w:color w:val="auto"/>
          <w:sz w:val="32"/>
          <w:szCs w:val="32"/>
          <w:highlight w:val="none"/>
          <w:lang w:eastAsia="zh-CN"/>
        </w:rPr>
      </w:pPr>
      <w:r>
        <w:rPr>
          <w:rFonts w:hint="default" w:ascii="Nimbus Roman" w:hAnsi="Nimbus Roman" w:eastAsia="仿宋_GB2312" w:cs="Nimbus Roman"/>
          <w:color w:val="auto"/>
          <w:sz w:val="32"/>
          <w:szCs w:val="32"/>
          <w:highlight w:val="none"/>
        </w:rPr>
        <w:t>资金使用需有理有据，严禁弄虚作假、截留、挪用、挤占专项资金，以及向关联企业或个人输送利益等违法违规行为。</w:t>
      </w:r>
    </w:p>
    <w:p w14:paraId="664C56E3">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第三十</w:t>
      </w:r>
      <w:r>
        <w:rPr>
          <w:rFonts w:hint="default" w:ascii="Nimbus Roman" w:hAnsi="Nimbus Roman" w:eastAsia="黑体" w:cs="Nimbus Roman"/>
          <w:color w:val="auto"/>
          <w:sz w:val="32"/>
          <w:szCs w:val="32"/>
          <w:highlight w:val="none"/>
          <w:lang w:eastAsia="zh-CN"/>
        </w:rPr>
        <w:t>五</w:t>
      </w:r>
      <w:r>
        <w:rPr>
          <w:rFonts w:hint="default" w:ascii="Nimbus Roman" w:hAnsi="Nimbus Roman" w:eastAsia="黑体" w:cs="Nimbus Roman"/>
          <w:color w:val="auto"/>
          <w:sz w:val="32"/>
          <w:szCs w:val="32"/>
          <w:highlight w:val="none"/>
        </w:rPr>
        <w:t xml:space="preserve">条 </w:t>
      </w:r>
      <w:r>
        <w:rPr>
          <w:rFonts w:hint="default" w:ascii="Nimbus Roman" w:hAnsi="Nimbus Roman" w:eastAsia="黑体" w:cs="Nimbus Roman"/>
          <w:color w:val="auto"/>
          <w:sz w:val="32"/>
          <w:szCs w:val="32"/>
          <w:highlight w:val="none"/>
          <w:lang w:val="en-US" w:eastAsia="zh-CN"/>
        </w:rPr>
        <w:t xml:space="preserve"> </w:t>
      </w:r>
      <w:r>
        <w:rPr>
          <w:rFonts w:hint="default" w:ascii="Nimbus Roman" w:hAnsi="Nimbus Roman" w:eastAsia="仿宋_GB2312" w:cs="Nimbus Roman"/>
          <w:color w:val="auto"/>
          <w:sz w:val="32"/>
          <w:szCs w:val="32"/>
          <w:highlight w:val="none"/>
        </w:rPr>
        <w:t>使用财政资金的科研实体，应于每年年初根据年度工作任务编制资金预算，报航空港科学院审核并提请院务会研究同意后执行；由航空港科学院统一管理非独立科研实体的预算。严禁超预算、无预算支出，不得擅自调整预算用途，确因特殊情况需超预算支出的，按内部控制要求进行预算调整程序办理，并报科学院备案。</w:t>
      </w:r>
    </w:p>
    <w:p w14:paraId="6C6932AD">
      <w:pPr>
        <w:spacing w:line="560" w:lineRule="exact"/>
        <w:ind w:firstLine="640" w:firstLineChars="200"/>
        <w:rPr>
          <w:rFonts w:hint="eastAsia" w:ascii="仿宋_GB2312" w:hAnsi="仿宋_GB2312" w:eastAsia="仿宋_GB2312" w:cs="仿宋_GB2312"/>
          <w:color w:val="auto"/>
          <w:sz w:val="32"/>
          <w:szCs w:val="32"/>
          <w:highlight w:val="none"/>
        </w:rPr>
      </w:pPr>
      <w:r>
        <w:rPr>
          <w:rFonts w:hint="eastAsia" w:ascii="仿宋_GB2312" w:hAnsi="仿宋_GB2312" w:eastAsia="仿宋_GB2312" w:cs="仿宋_GB2312"/>
          <w:color w:val="auto"/>
          <w:sz w:val="32"/>
          <w:szCs w:val="32"/>
          <w:highlight w:val="none"/>
        </w:rPr>
        <w:t>单笔支出金额超过50万元且涉及重大采购的需报经航空港科学院审批。资金支出涉及技术购置、外协服务等重大事项的，需提供相关合同、验收报告等支撑材料。不得使用虚假票据报销，确保支出真实、合规、可追溯。</w:t>
      </w:r>
    </w:p>
    <w:p w14:paraId="5DD59EF9">
      <w:pPr>
        <w:spacing w:line="560" w:lineRule="exact"/>
        <w:ind w:firstLine="640" w:firstLineChars="200"/>
        <w:rPr>
          <w:rFonts w:hint="default" w:ascii="Nimbus Roman" w:hAnsi="Nimbus Roman" w:eastAsia="仿宋_GB2312" w:cs="Nimbus Roman"/>
          <w:color w:val="auto"/>
          <w:sz w:val="32"/>
          <w:szCs w:val="32"/>
          <w:highlight w:val="none"/>
          <w:lang w:eastAsia="zh-CN"/>
        </w:rPr>
      </w:pPr>
      <w:r>
        <w:rPr>
          <w:rFonts w:hint="default" w:ascii="Nimbus Roman" w:hAnsi="Nimbus Roman" w:eastAsia="仿宋_GB2312" w:cs="Nimbus Roman"/>
          <w:color w:val="auto"/>
          <w:sz w:val="32"/>
          <w:szCs w:val="32"/>
          <w:highlight w:val="none"/>
          <w:lang w:eastAsia="zh-CN"/>
        </w:rPr>
        <w:t>使用财政资金购置的固定资产，属于国有资产的需纳入国有资产管理，按相关管理规定执行，处置需报航空港科学院备案。</w:t>
      </w:r>
    </w:p>
    <w:p w14:paraId="331E6A6D">
      <w:pPr>
        <w:spacing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第三十</w:t>
      </w:r>
      <w:r>
        <w:rPr>
          <w:rFonts w:hint="default" w:ascii="Nimbus Roman" w:hAnsi="Nimbus Roman" w:eastAsia="黑体" w:cs="Nimbus Roman"/>
          <w:color w:val="auto"/>
          <w:sz w:val="32"/>
          <w:szCs w:val="32"/>
          <w:highlight w:val="none"/>
          <w:lang w:eastAsia="zh-CN"/>
        </w:rPr>
        <w:t>六</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w:t>
      </w:r>
      <w:r>
        <w:rPr>
          <w:rFonts w:hint="default" w:ascii="Nimbus Roman" w:hAnsi="Nimbus Roman" w:eastAsia="仿宋_GB2312" w:cs="Nimbus Roman"/>
          <w:color w:val="auto"/>
          <w:sz w:val="32"/>
          <w:szCs w:val="32"/>
          <w:highlight w:val="none"/>
          <w:lang w:val="en-US" w:eastAsia="zh-CN"/>
        </w:rPr>
        <w:t xml:space="preserve"> </w:t>
      </w:r>
      <w:r>
        <w:rPr>
          <w:rFonts w:hint="default" w:ascii="Nimbus Roman" w:hAnsi="Nimbus Roman" w:eastAsia="仿宋_GB2312" w:cs="Nimbus Roman"/>
          <w:color w:val="auto"/>
          <w:sz w:val="32"/>
          <w:szCs w:val="32"/>
          <w:highlight w:val="none"/>
        </w:rPr>
        <w:t>科研实体应当自觉接受航空港区相关部门和航空港科学院监督和指导，配合开展项目审计、年度审计、离任审计等。对查实的套取资金、虚假票据、挪用专项资金等行为，依据有关规定予以处理、处罚；涉嫌犯罪的，依法移送司法机关处理。</w:t>
      </w:r>
    </w:p>
    <w:p w14:paraId="6D78D7CF">
      <w:pPr>
        <w:spacing w:line="560" w:lineRule="exact"/>
        <w:rPr>
          <w:rFonts w:hint="default" w:ascii="Nimbus Roman" w:hAnsi="Nimbus Roman" w:eastAsia="仿宋_GB2312" w:cs="Nimbus Roman"/>
          <w:color w:val="auto"/>
          <w:sz w:val="32"/>
          <w:szCs w:val="32"/>
          <w:highlight w:val="none"/>
        </w:rPr>
      </w:pPr>
    </w:p>
    <w:p w14:paraId="696596F9">
      <w:pPr>
        <w:numPr>
          <w:ilvl w:val="0"/>
          <w:numId w:val="1"/>
        </w:numPr>
        <w:spacing w:line="560" w:lineRule="exact"/>
        <w:jc w:val="center"/>
        <w:rPr>
          <w:rFonts w:hint="default" w:ascii="Nimbus Roman" w:hAnsi="Nimbus Roman" w:eastAsia="黑体" w:cs="Nimbus Roman"/>
          <w:color w:val="auto"/>
          <w:sz w:val="32"/>
          <w:szCs w:val="32"/>
          <w:highlight w:val="none"/>
        </w:rPr>
      </w:pPr>
      <w:r>
        <w:rPr>
          <w:rFonts w:hint="default" w:ascii="Nimbus Roman" w:hAnsi="Nimbus Roman" w:eastAsia="黑体" w:cs="Nimbus Roman"/>
          <w:color w:val="auto"/>
          <w:sz w:val="32"/>
          <w:szCs w:val="32"/>
          <w:highlight w:val="none"/>
        </w:rPr>
        <w:t xml:space="preserve"> 动态管理</w:t>
      </w:r>
    </w:p>
    <w:p w14:paraId="4AC27EBB">
      <w:pPr>
        <w:spacing w:line="560" w:lineRule="exact"/>
        <w:rPr>
          <w:rFonts w:hint="default" w:ascii="Nimbus Roman" w:hAnsi="Nimbus Roman" w:eastAsia="仿宋_GB2312" w:cs="Nimbus Roman"/>
          <w:color w:val="auto"/>
          <w:sz w:val="32"/>
          <w:szCs w:val="32"/>
          <w:highlight w:val="none"/>
        </w:rPr>
      </w:pPr>
    </w:p>
    <w:p w14:paraId="04F5025E">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第三十</w:t>
      </w:r>
      <w:r>
        <w:rPr>
          <w:rFonts w:hint="default" w:ascii="Nimbus Roman" w:hAnsi="Nimbus Roman" w:eastAsia="黑体" w:cs="Nimbus Roman"/>
          <w:color w:val="auto"/>
          <w:sz w:val="32"/>
          <w:szCs w:val="32"/>
          <w:highlight w:val="none"/>
          <w:lang w:eastAsia="zh-CN"/>
        </w:rPr>
        <w:t>七</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航空港科学</w:t>
      </w:r>
      <w:r>
        <w:rPr>
          <w:rFonts w:hint="eastAsia" w:ascii="仿宋_GB2312" w:hAnsi="仿宋_GB2312" w:eastAsia="仿宋_GB2312" w:cs="仿宋_GB2312"/>
          <w:color w:val="auto"/>
          <w:sz w:val="32"/>
          <w:szCs w:val="32"/>
          <w:highlight w:val="none"/>
        </w:rPr>
        <w:t>院对科研实体实行“预警-整改-退出”动态</w:t>
      </w:r>
      <w:r>
        <w:rPr>
          <w:rFonts w:hint="eastAsia" w:ascii="仿宋_GB2312" w:hAnsi="仿宋_GB2312" w:eastAsia="仿宋_GB2312" w:cs="仿宋_GB2312"/>
          <w:color w:val="auto"/>
          <w:sz w:val="32"/>
          <w:szCs w:val="32"/>
          <w:highlight w:val="none"/>
          <w:lang w:eastAsia="zh-CN"/>
        </w:rPr>
        <w:t>管理</w:t>
      </w:r>
      <w:r>
        <w:rPr>
          <w:rFonts w:hint="eastAsia" w:ascii="仿宋_GB2312" w:hAnsi="仿宋_GB2312" w:eastAsia="仿宋_GB2312" w:cs="仿宋_GB2312"/>
          <w:color w:val="auto"/>
          <w:sz w:val="32"/>
          <w:szCs w:val="32"/>
          <w:highlight w:val="none"/>
        </w:rPr>
        <w:t>机制，通过全流程、分阶段的精</w:t>
      </w:r>
      <w:r>
        <w:rPr>
          <w:rFonts w:hint="default" w:ascii="Nimbus Roman" w:hAnsi="Nimbus Roman" w:eastAsia="仿宋_GB2312" w:cs="Nimbus Roman"/>
          <w:color w:val="auto"/>
          <w:sz w:val="32"/>
          <w:szCs w:val="32"/>
          <w:highlight w:val="none"/>
        </w:rPr>
        <w:t>准施策实现规范化治理。依托数据监测、定期评估等手段，对科研实体在运行中</w:t>
      </w:r>
      <w:r>
        <w:rPr>
          <w:rFonts w:hint="default" w:ascii="Nimbus Roman" w:hAnsi="Nimbus Roman" w:eastAsia="仿宋_GB2312" w:cs="Nimbus Roman"/>
          <w:color w:val="auto"/>
          <w:sz w:val="32"/>
          <w:szCs w:val="32"/>
          <w:highlight w:val="none"/>
          <w:lang w:eastAsia="zh-CN"/>
        </w:rPr>
        <w:t>的</w:t>
      </w:r>
      <w:r>
        <w:rPr>
          <w:rFonts w:hint="default" w:ascii="Nimbus Roman" w:hAnsi="Nimbus Roman" w:eastAsia="仿宋_GB2312" w:cs="Nimbus Roman"/>
          <w:color w:val="auto"/>
          <w:sz w:val="32"/>
          <w:szCs w:val="32"/>
          <w:highlight w:val="none"/>
        </w:rPr>
        <w:t>项目进度、经费使用、合规性操作等关键风险前置防范、提前提示，为风险管控争取主动</w:t>
      </w:r>
      <w:r>
        <w:rPr>
          <w:rFonts w:hint="default" w:ascii="Nimbus Roman" w:hAnsi="Nimbus Roman" w:eastAsia="仿宋_GB2312" w:cs="Nimbus Roman"/>
          <w:color w:val="auto"/>
          <w:sz w:val="32"/>
          <w:szCs w:val="32"/>
          <w:highlight w:val="none"/>
          <w:lang w:eastAsia="zh-CN"/>
        </w:rPr>
        <w:t>。</w:t>
      </w:r>
      <w:r>
        <w:rPr>
          <w:rFonts w:hint="default" w:ascii="Nimbus Roman" w:hAnsi="Nimbus Roman" w:eastAsia="仿宋_GB2312" w:cs="Nimbus Roman"/>
          <w:color w:val="auto"/>
          <w:sz w:val="32"/>
          <w:szCs w:val="32"/>
          <w:highlight w:val="none"/>
        </w:rPr>
        <w:t>针对预警提示或日常检查中发现的问题，明确整改标准、时限与责任主体，通过专项指导、跟踪督办等方式，推动科研实体补齐管理短板、纠正偏差行为，确保其回归规范运行轨道</w:t>
      </w:r>
      <w:r>
        <w:rPr>
          <w:rFonts w:hint="default" w:ascii="Nimbus Roman" w:hAnsi="Nimbus Roman" w:eastAsia="仿宋_GB2312" w:cs="Nimbus Roman"/>
          <w:color w:val="auto"/>
          <w:sz w:val="32"/>
          <w:szCs w:val="32"/>
          <w:highlight w:val="none"/>
          <w:lang w:eastAsia="zh-CN"/>
        </w:rPr>
        <w:t>。</w:t>
      </w:r>
      <w:r>
        <w:rPr>
          <w:rFonts w:hint="default" w:ascii="Nimbus Roman" w:hAnsi="Nimbus Roman" w:eastAsia="仿宋_GB2312" w:cs="Nimbus Roman"/>
          <w:color w:val="auto"/>
          <w:sz w:val="32"/>
          <w:szCs w:val="32"/>
          <w:highlight w:val="none"/>
        </w:rPr>
        <w:t>对经整改仍无法达到要求</w:t>
      </w:r>
      <w:r>
        <w:rPr>
          <w:rFonts w:hint="default" w:ascii="Nimbus Roman" w:hAnsi="Nimbus Roman" w:eastAsia="仿宋_GB2312" w:cs="Nimbus Roman"/>
          <w:color w:val="auto"/>
          <w:sz w:val="32"/>
          <w:szCs w:val="32"/>
          <w:highlight w:val="none"/>
          <w:lang w:eastAsia="zh-CN"/>
        </w:rPr>
        <w:t>，</w:t>
      </w:r>
      <w:r>
        <w:rPr>
          <w:rFonts w:hint="default" w:ascii="Nimbus Roman" w:hAnsi="Nimbus Roman" w:eastAsia="仿宋_GB2312" w:cs="Nimbus Roman"/>
          <w:color w:val="auto"/>
          <w:sz w:val="32"/>
          <w:szCs w:val="32"/>
          <w:highlight w:val="none"/>
        </w:rPr>
        <w:t>或存在严重违规行为的科研实体，按规定启动退出程序，避免资源无效占用、维护整体科研秩序。</w:t>
      </w:r>
    </w:p>
    <w:p w14:paraId="1D8D5C6A">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第三十</w:t>
      </w:r>
      <w:r>
        <w:rPr>
          <w:rFonts w:hint="default" w:ascii="Nimbus Roman" w:hAnsi="Nimbus Roman" w:eastAsia="黑体" w:cs="Nimbus Roman"/>
          <w:color w:val="auto"/>
          <w:sz w:val="32"/>
          <w:szCs w:val="32"/>
          <w:highlight w:val="none"/>
          <w:lang w:eastAsia="zh-CN"/>
        </w:rPr>
        <w:t>八</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科研实体出现以下情形之一的，经航空港科学院核查确认后，将根据情节严重程度，依据协议及有关法律法规，采取相应处理措施：</w:t>
      </w:r>
    </w:p>
    <w:p w14:paraId="0C559499">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（一）受资助项目实际开展场所不在航空港区的；</w:t>
      </w:r>
    </w:p>
    <w:p w14:paraId="59ED4D4C">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（二）无正当理由未按规定报送年度工作情况、重大事项的；</w:t>
      </w:r>
    </w:p>
    <w:p w14:paraId="53DAC533">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（三）拒不参与绩效评估，或在评估中提供虚假材料的；</w:t>
      </w:r>
    </w:p>
    <w:p w14:paraId="515B709C">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（四）在项目申报、经费使用、成果申报等环节存在严重弄虚作假行为的；</w:t>
      </w:r>
    </w:p>
    <w:p w14:paraId="7A18C1EB">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（五）存在严重违背科研伦理规范、科研诚信问题，造成不良社会影响的；</w:t>
      </w:r>
    </w:p>
    <w:p w14:paraId="74D44B68">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（六）发生重大质量事故或安全事故，造成不良影响的；</w:t>
      </w:r>
    </w:p>
    <w:p w14:paraId="5CAF4C64">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（七）独立法人科研实体被依法吊销、注销或终止法人资格的；​</w:t>
      </w:r>
    </w:p>
    <w:p w14:paraId="2796F8B2">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（八）非独立法人科研实体因隶属关系变更、撤销或失去依托单位支持导致无法存续的；</w:t>
      </w:r>
    </w:p>
    <w:p w14:paraId="18348E8A">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（九）因不可抗力导致科研实体无法存续的；</w:t>
      </w:r>
    </w:p>
    <w:p w14:paraId="4D982EE1">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（十）存在其他重大违约行为的。</w:t>
      </w:r>
    </w:p>
    <w:p w14:paraId="5D73360F">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第三十</w:t>
      </w:r>
      <w:r>
        <w:rPr>
          <w:rFonts w:hint="default" w:ascii="Nimbus Roman" w:hAnsi="Nimbus Roman" w:eastAsia="黑体" w:cs="Nimbus Roman"/>
          <w:color w:val="auto"/>
          <w:sz w:val="32"/>
          <w:szCs w:val="32"/>
          <w:highlight w:val="none"/>
          <w:lang w:eastAsia="zh-CN"/>
        </w:rPr>
        <w:t>九</w:t>
      </w:r>
      <w:r>
        <w:rPr>
          <w:rFonts w:hint="default" w:ascii="Nimbus Roman" w:hAnsi="Nimbus Roman" w:eastAsia="黑体" w:cs="Nimbus Roman"/>
          <w:color w:val="auto"/>
          <w:sz w:val="32"/>
          <w:szCs w:val="32"/>
          <w:highlight w:val="none"/>
        </w:rPr>
        <w:t>条</w:t>
      </w:r>
      <w:r>
        <w:rPr>
          <w:rFonts w:hint="default" w:ascii="Nimbus Roman" w:hAnsi="Nimbus Roman" w:eastAsia="仿宋_GB2312" w:cs="Nimbus Roman"/>
          <w:color w:val="auto"/>
          <w:sz w:val="32"/>
          <w:szCs w:val="32"/>
          <w:highlight w:val="none"/>
        </w:rPr>
        <w:t xml:space="preserve">  科研实体出现第三十</w:t>
      </w:r>
      <w:r>
        <w:rPr>
          <w:rFonts w:hint="default" w:ascii="Nimbus Roman" w:hAnsi="Nimbus Roman" w:eastAsia="仿宋_GB2312" w:cs="Nimbus Roman"/>
          <w:color w:val="auto"/>
          <w:sz w:val="32"/>
          <w:szCs w:val="32"/>
          <w:highlight w:val="none"/>
          <w:lang w:eastAsia="zh-CN"/>
        </w:rPr>
        <w:t>八</w:t>
      </w:r>
      <w:r>
        <w:rPr>
          <w:rFonts w:hint="default" w:ascii="Nimbus Roman" w:hAnsi="Nimbus Roman" w:eastAsia="仿宋_GB2312" w:cs="Nimbus Roman"/>
          <w:color w:val="auto"/>
          <w:sz w:val="32"/>
          <w:szCs w:val="32"/>
          <w:highlight w:val="none"/>
        </w:rPr>
        <w:t>条所约定情形的，航空港科学院有权采取包括但不限于以下列举的处理措施：</w:t>
      </w:r>
    </w:p>
    <w:p w14:paraId="770C7EB9">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（一）暂停拨付后续经费，或收回已拨付未使用经费；</w:t>
      </w:r>
    </w:p>
    <w:p w14:paraId="3877991C">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（二）终止协议，追回已拨付的全部或部分经费；</w:t>
      </w:r>
    </w:p>
    <w:p w14:paraId="0C2C7A4B">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（三）启动科研实体法人主体清算程序，或办理股权退出手续；</w:t>
      </w:r>
    </w:p>
    <w:p w14:paraId="39903672">
      <w:pPr>
        <w:pStyle w:val="3"/>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（四）依据协议追究违约责任，涉及违法犯罪的，移交有关部门处理。</w:t>
      </w:r>
    </w:p>
    <w:p w14:paraId="0237A0DB">
      <w:pPr>
        <w:pStyle w:val="3"/>
        <w:spacing w:after="0" w:line="560" w:lineRule="exact"/>
        <w:ind w:firstLine="640" w:firstLineChars="200"/>
        <w:rPr>
          <w:rFonts w:hint="default" w:ascii="Nimbus Roman" w:hAnsi="Nimbus Roman" w:eastAsia="仿宋_GB2312" w:cs="Nimbus Roman"/>
          <w:color w:val="auto"/>
          <w:sz w:val="32"/>
          <w:szCs w:val="32"/>
          <w:highlight w:val="none"/>
        </w:rPr>
      </w:pPr>
      <w:r>
        <w:rPr>
          <w:rFonts w:hint="default" w:ascii="Nimbus Roman" w:hAnsi="Nimbus Roman" w:eastAsia="仿宋_GB2312" w:cs="Nimbus Roman"/>
          <w:color w:val="auto"/>
          <w:sz w:val="32"/>
          <w:szCs w:val="32"/>
          <w:highlight w:val="none"/>
        </w:rPr>
        <w:t>对科研实体出现第三十</w:t>
      </w:r>
      <w:r>
        <w:rPr>
          <w:rFonts w:hint="default" w:ascii="Nimbus Roman" w:hAnsi="Nimbus Roman" w:eastAsia="仿宋_GB2312" w:cs="Nimbus Roman"/>
          <w:color w:val="auto"/>
          <w:sz w:val="32"/>
          <w:szCs w:val="32"/>
          <w:highlight w:val="none"/>
          <w:lang w:val="en-US" w:eastAsia="zh-CN"/>
        </w:rPr>
        <w:t>八</w:t>
      </w:r>
      <w:r>
        <w:rPr>
          <w:rFonts w:hint="default" w:ascii="Nimbus Roman" w:hAnsi="Nimbus Roman" w:eastAsia="仿宋_GB2312" w:cs="Nimbus Roman"/>
          <w:color w:val="auto"/>
          <w:sz w:val="32"/>
          <w:szCs w:val="32"/>
          <w:highlight w:val="none"/>
        </w:rPr>
        <w:t>条中约定的（四）、（五）、（六）、（七）、（八）所述情形及更严重情形的，经航空港科学院核查确认后，直接实行一票否决，即立即终止合作关系、追回已拨付经费并追究违约责任。对退出科研实体的财务清算规则等，以协议或另行制定的细则约定为准。</w:t>
      </w:r>
    </w:p>
    <w:p w14:paraId="6308C54D">
      <w:pPr>
        <w:pStyle w:val="3"/>
        <w:spacing w:after="0" w:line="560" w:lineRule="exact"/>
        <w:rPr>
          <w:rFonts w:hint="default" w:ascii="Nimbus Roman" w:hAnsi="Nimbus Roman" w:eastAsia="仿宋_GB2312" w:cs="Nimbus Roman"/>
          <w:color w:val="auto"/>
          <w:sz w:val="30"/>
          <w:szCs w:val="30"/>
          <w:highlight w:val="none"/>
        </w:rPr>
      </w:pPr>
    </w:p>
    <w:p w14:paraId="2A162FD1">
      <w:pPr>
        <w:pStyle w:val="3"/>
        <w:numPr>
          <w:ilvl w:val="0"/>
          <w:numId w:val="1"/>
        </w:numPr>
        <w:spacing w:after="0" w:line="560" w:lineRule="exact"/>
        <w:jc w:val="center"/>
        <w:rPr>
          <w:rFonts w:hint="default" w:ascii="Nimbus Roman" w:hAnsi="Nimbus Roman" w:eastAsia="黑体" w:cs="Nimbus Roman"/>
          <w:color w:val="auto"/>
          <w:sz w:val="30"/>
          <w:szCs w:val="30"/>
          <w:highlight w:val="none"/>
        </w:rPr>
      </w:pPr>
      <w:r>
        <w:rPr>
          <w:rFonts w:hint="default" w:ascii="Nimbus Roman" w:hAnsi="Nimbus Roman" w:eastAsia="黑体" w:cs="Nimbus Roman"/>
          <w:color w:val="auto"/>
          <w:sz w:val="30"/>
          <w:szCs w:val="30"/>
          <w:highlight w:val="none"/>
        </w:rPr>
        <w:t xml:space="preserve"> 附  则</w:t>
      </w:r>
    </w:p>
    <w:p w14:paraId="14947EFB">
      <w:pPr>
        <w:pStyle w:val="3"/>
        <w:spacing w:after="0" w:line="560" w:lineRule="exact"/>
        <w:rPr>
          <w:rFonts w:hint="default" w:ascii="Nimbus Roman" w:hAnsi="Nimbus Roman" w:eastAsia="黑体" w:cs="Nimbus Roman"/>
          <w:color w:val="auto"/>
          <w:sz w:val="30"/>
          <w:szCs w:val="30"/>
          <w:highlight w:val="none"/>
        </w:rPr>
      </w:pPr>
    </w:p>
    <w:p w14:paraId="4068DEE0">
      <w:pPr>
        <w:pStyle w:val="3"/>
        <w:numPr>
          <w:ilvl w:val="0"/>
          <w:numId w:val="0"/>
        </w:numPr>
        <w:spacing w:after="0" w:line="560" w:lineRule="exact"/>
        <w:ind w:firstLine="640"/>
        <w:rPr>
          <w:rFonts w:hint="default" w:ascii="Nimbus Roman" w:hAnsi="Nimbus Roman" w:eastAsia="仿宋_GB2312" w:cs="Nimbus Roman"/>
          <w:color w:val="auto"/>
          <w:sz w:val="32"/>
          <w:szCs w:val="32"/>
          <w:highlight w:val="none"/>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四十</w:t>
      </w:r>
      <w:r>
        <w:rPr>
          <w:rFonts w:hint="default" w:ascii="Nimbus Roman" w:hAnsi="Nimbus Roman" w:eastAsia="黑体" w:cs="Nimbus Roman"/>
          <w:color w:val="auto"/>
          <w:sz w:val="32"/>
          <w:szCs w:val="32"/>
          <w:highlight w:val="none"/>
        </w:rPr>
        <w:t xml:space="preserve">条  </w:t>
      </w:r>
      <w:r>
        <w:rPr>
          <w:rFonts w:hint="default" w:ascii="Nimbus Roman" w:hAnsi="Nimbus Roman" w:eastAsia="仿宋_GB2312" w:cs="Nimbus Roman"/>
          <w:color w:val="auto"/>
          <w:sz w:val="32"/>
          <w:szCs w:val="32"/>
          <w:highlight w:val="none"/>
        </w:rPr>
        <w:t>本办法由</w:t>
      </w:r>
      <w:bookmarkStart w:id="0" w:name="_GoBack"/>
      <w:bookmarkEnd w:id="0"/>
      <w:r>
        <w:rPr>
          <w:rFonts w:hint="default" w:ascii="Nimbus Roman" w:hAnsi="Nimbus Roman" w:eastAsia="仿宋_GB2312" w:cs="Nimbus Roman"/>
          <w:color w:val="auto"/>
          <w:sz w:val="32"/>
          <w:szCs w:val="32"/>
          <w:highlight w:val="none"/>
        </w:rPr>
        <w:t>航空港科学院负责解释。本办法未尽事宜，依据《河南省科学院航空港区分院章程》、相关法律法规及双方协议执行。</w:t>
      </w:r>
    </w:p>
    <w:p w14:paraId="71B99F84">
      <w:pPr>
        <w:pStyle w:val="3"/>
        <w:numPr>
          <w:ilvl w:val="0"/>
          <w:numId w:val="0"/>
        </w:numPr>
        <w:spacing w:after="0" w:line="560" w:lineRule="exact"/>
        <w:ind w:firstLine="640"/>
        <w:rPr>
          <w:rFonts w:hint="eastAsia" w:ascii="仿宋_GB2312" w:hAnsi="仿宋_GB2312" w:eastAsia="仿宋_GB2312" w:cs="仿宋_GB2312"/>
          <w:color w:val="auto"/>
          <w:sz w:val="32"/>
          <w:szCs w:val="32"/>
          <w:highlight w:val="none"/>
        </w:rPr>
      </w:pPr>
      <w:r>
        <w:rPr>
          <w:rFonts w:hint="default" w:ascii="Nimbus Roman" w:hAnsi="Nimbus Roman" w:eastAsia="黑体" w:cs="Nimbus Roman"/>
          <w:color w:val="auto"/>
          <w:sz w:val="32"/>
          <w:szCs w:val="32"/>
          <w:highlight w:val="none"/>
        </w:rPr>
        <w:t>第</w:t>
      </w:r>
      <w:r>
        <w:rPr>
          <w:rFonts w:hint="default" w:ascii="Nimbus Roman" w:hAnsi="Nimbus Roman" w:eastAsia="黑体" w:cs="Nimbus Roman"/>
          <w:color w:val="auto"/>
          <w:sz w:val="32"/>
          <w:szCs w:val="32"/>
          <w:highlight w:val="none"/>
          <w:lang w:eastAsia="zh-CN"/>
        </w:rPr>
        <w:t>四十一</w:t>
      </w:r>
      <w:r>
        <w:rPr>
          <w:rFonts w:hint="default" w:ascii="Nimbus Roman" w:hAnsi="Nimbus Roman" w:eastAsia="黑体" w:cs="Nimbus Roman"/>
          <w:color w:val="auto"/>
          <w:sz w:val="32"/>
          <w:szCs w:val="32"/>
          <w:highlight w:val="none"/>
        </w:rPr>
        <w:t xml:space="preserve">条  </w:t>
      </w:r>
      <w:r>
        <w:rPr>
          <w:rFonts w:hint="eastAsia" w:ascii="仿宋_GB2312" w:hAnsi="仿宋_GB2312" w:eastAsia="仿宋_GB2312" w:cs="仿宋_GB2312"/>
          <w:color w:val="auto"/>
          <w:sz w:val="32"/>
          <w:szCs w:val="32"/>
          <w:highlight w:val="none"/>
        </w:rPr>
        <w:t>本办法自发布之日起施行</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执行期2年</w:t>
      </w:r>
      <w:r>
        <w:rPr>
          <w:rFonts w:hint="eastAsia" w:ascii="仿宋_GB2312" w:hAnsi="仿宋_GB2312" w:eastAsia="仿宋_GB2312" w:cs="仿宋_GB2312"/>
          <w:color w:val="auto"/>
          <w:sz w:val="32"/>
          <w:szCs w:val="32"/>
          <w:highlight w:val="none"/>
        </w:rPr>
        <w:t>。</w:t>
      </w:r>
      <w:r>
        <w:rPr>
          <w:rFonts w:hint="eastAsia" w:ascii="仿宋_GB2312" w:hAnsi="仿宋_GB2312" w:eastAsia="仿宋_GB2312" w:cs="仿宋_GB2312"/>
          <w:color w:val="auto"/>
          <w:sz w:val="32"/>
          <w:szCs w:val="32"/>
          <w:highlight w:val="none"/>
          <w:lang w:val="en-US" w:eastAsia="zh-CN"/>
        </w:rPr>
        <w:t>本办法实施满1年后，由航空港科学院对执行情况进行总体评估，根据评估结果提出修改建议；后续可结合政策调整、区域发展需求，适时修订完善。</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DCC406A-5E79-4F78-96A3-4764A0FFAAC6}"/>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2" w:fontKey="{2FA7CF4E-4F34-4C7C-B5BC-2266D770F396}"/>
  </w:font>
  <w:font w:name="仿宋_GB2312">
    <w:panose1 w:val="02010609030101010101"/>
    <w:charset w:val="86"/>
    <w:family w:val="modern"/>
    <w:pitch w:val="default"/>
    <w:sig w:usb0="00000001" w:usb1="080E0000" w:usb2="00000000" w:usb3="00000000" w:csb0="00040000" w:csb1="00000000"/>
    <w:embedRegular r:id="rId3" w:fontKey="{5A67756E-D443-4E04-8A68-AEBE53E5992E}"/>
  </w:font>
  <w:font w:name="Nimbus Roman">
    <w:altName w:val="Segoe Print"/>
    <w:panose1 w:val="00000500000000000000"/>
    <w:charset w:val="00"/>
    <w:family w:val="auto"/>
    <w:pitch w:val="default"/>
    <w:sig w:usb0="00000000" w:usb1="00000000" w:usb2="00000000" w:usb3="00000000" w:csb0="6000009F" w:csb1="00000000"/>
    <w:embedRegular r:id="rId4" w:fontKey="{E607B6D6-5898-4996-94D5-BCB341FB62A9}"/>
  </w:font>
  <w:font w:name="Segoe Print">
    <w:panose1 w:val="02000600000000000000"/>
    <w:charset w:val="00"/>
    <w:family w:val="auto"/>
    <w:pitch w:val="default"/>
    <w:sig w:usb0="0000028F" w:usb1="00000000" w:usb2="00000000" w:usb3="00000000" w:csb0="2000009F" w:csb1="47010000"/>
  </w:font>
  <w:font w:name="CESI黑体-GB2312">
    <w:altName w:val="黑体"/>
    <w:panose1 w:val="02000500000000000000"/>
    <w:charset w:val="86"/>
    <w:family w:val="auto"/>
    <w:pitch w:val="default"/>
    <w:sig w:usb0="00000000" w:usb1="00000000" w:usb2="00000012" w:usb3="00000000" w:csb0="0004000F" w:csb1="00000000"/>
    <w:embedRegular r:id="rId5" w:fontKey="{04750ED8-77D8-4991-8C71-06550E26622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40BF68">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907415" cy="1828800"/>
              <wp:effectExtent l="0" t="0" r="6985" b="10795"/>
              <wp:wrapNone/>
              <wp:docPr id="1" name="文本框 1"/>
              <wp:cNvGraphicFramePr/>
              <a:graphic xmlns:a="http://schemas.openxmlformats.org/drawingml/2006/main">
                <a:graphicData uri="http://schemas.microsoft.com/office/word/2010/wordprocessingShape">
                  <wps:wsp>
                    <wps:cNvSpPr txBox="1"/>
                    <wps:spPr>
                      <a:xfrm>
                        <a:off x="0" y="0"/>
                        <a:ext cx="907576"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12C02FB">
                          <w:pPr>
                            <w:pStyle w:val="4"/>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71.45pt;mso-position-horizontal:outside;mso-position-horizontal-relative:margin;z-index:251659264;mso-width-relative:page;mso-height-relative:page;" filled="f" stroked="f" coordsize="21600,21600" o:gfxdata="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C16jV1AAAAAUBAAAPAAAAAAAAAAEAIAAAACIAAABkcnMvZG93bnJldi54bWxQSwEC&#10;FAAUAAAACACHTuJAUHUySTECAABWBAAADgAAAAAAAAABACAAAAAjAQAAZHJzL2Uyb0RvYy54bWxQ&#10;SwUGAAAAAAYABgBZAQAAxgUAAAAA&#10;">
              <v:fill on="f" focussize="0,0"/>
              <v:stroke on="f" weight="0.5pt"/>
              <v:imagedata o:title=""/>
              <o:lock v:ext="edit" aspectratio="f"/>
              <v:textbox inset="0mm,0mm,0mm,0mm" style="mso-fit-shape-to-text:t;">
                <w:txbxContent>
                  <w:p w14:paraId="012C02FB">
                    <w:pPr>
                      <w:pStyle w:val="4"/>
                      <w:rPr>
                        <w:rFonts w:hint="eastAsia" w:asciiTheme="minorEastAsia" w:hAnsiTheme="minorEastAsia" w:cstheme="minorEastAsia"/>
                        <w:sz w:val="28"/>
                        <w:szCs w:val="28"/>
                      </w:rPr>
                    </w:pPr>
                    <w:r>
                      <w:rPr>
                        <w:rFonts w:hint="eastAsia" w:asciiTheme="minorEastAsia" w:hAnsiTheme="minorEastAsia" w:cstheme="minorEastAsia"/>
                        <w:sz w:val="28"/>
                        <w:szCs w:val="28"/>
                      </w:rPr>
                      <w:t xml:space="preserve">— </w:t>
                    </w: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hint="eastAsia" w:asciiTheme="minorEastAsia" w:hAnsiTheme="minorEastAsia" w:cstheme="minorEastAsia"/>
                        <w:sz w:val="28"/>
                        <w:szCs w:val="28"/>
                      </w:rPr>
                      <w:t>1</w:t>
                    </w:r>
                    <w:r>
                      <w:rPr>
                        <w:rFonts w:hint="eastAsia" w:asciiTheme="minorEastAsia" w:hAnsiTheme="minorEastAsia" w:cstheme="minorEastAsia"/>
                        <w:sz w:val="28"/>
                        <w:szCs w:val="28"/>
                      </w:rPr>
                      <w:fldChar w:fldCharType="end"/>
                    </w:r>
                    <w:r>
                      <w:rPr>
                        <w:rFonts w:hint="eastAsia" w:asciiTheme="minorEastAsia" w:hAnsiTheme="minorEastAsia" w:cstheme="minorEastAsia"/>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5FC16C"/>
    <w:multiLevelType w:val="singleLevel"/>
    <w:tmpl w:val="9F5FC16C"/>
    <w:lvl w:ilvl="0" w:tentative="0">
      <w:start w:val="1"/>
      <w:numFmt w:val="chineseCounting"/>
      <w:suff w:val="nothing"/>
      <w:lvlText w:val="（%1）"/>
      <w:lvlJc w:val="left"/>
      <w:rPr>
        <w:rFonts w:hint="eastAsia"/>
      </w:rPr>
    </w:lvl>
  </w:abstractNum>
  <w:abstractNum w:abstractNumId="1">
    <w:nsid w:val="C3EA7E86"/>
    <w:multiLevelType w:val="singleLevel"/>
    <w:tmpl w:val="C3EA7E86"/>
    <w:lvl w:ilvl="0" w:tentative="0">
      <w:start w:val="1"/>
      <w:numFmt w:val="chineseCounting"/>
      <w:suff w:val="space"/>
      <w:lvlText w:val="第%1章"/>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NotDisplayPageBoundaries w:val="1"/>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27C8"/>
    <w:rsid w:val="001A5B0A"/>
    <w:rsid w:val="002C681B"/>
    <w:rsid w:val="003942AD"/>
    <w:rsid w:val="00433766"/>
    <w:rsid w:val="00463798"/>
    <w:rsid w:val="00582FDE"/>
    <w:rsid w:val="007E4CA5"/>
    <w:rsid w:val="008E3C04"/>
    <w:rsid w:val="009527C8"/>
    <w:rsid w:val="00D72607"/>
    <w:rsid w:val="03CA29C7"/>
    <w:rsid w:val="03DD7F34"/>
    <w:rsid w:val="05D13AC9"/>
    <w:rsid w:val="0E3F5C57"/>
    <w:rsid w:val="14281FD4"/>
    <w:rsid w:val="17832749"/>
    <w:rsid w:val="178D0000"/>
    <w:rsid w:val="1E5AFF60"/>
    <w:rsid w:val="1FFB057C"/>
    <w:rsid w:val="249B5397"/>
    <w:rsid w:val="26EB5E35"/>
    <w:rsid w:val="2A4735B1"/>
    <w:rsid w:val="2A662182"/>
    <w:rsid w:val="2CFA3055"/>
    <w:rsid w:val="35A73E7B"/>
    <w:rsid w:val="35B77D36"/>
    <w:rsid w:val="37770813"/>
    <w:rsid w:val="38AF343B"/>
    <w:rsid w:val="3A267238"/>
    <w:rsid w:val="3B1473FD"/>
    <w:rsid w:val="3B5E96DE"/>
    <w:rsid w:val="3B9A61F9"/>
    <w:rsid w:val="3BB77D30"/>
    <w:rsid w:val="3BEF31CA"/>
    <w:rsid w:val="3C7E15AD"/>
    <w:rsid w:val="3CFFA8C8"/>
    <w:rsid w:val="3D04617B"/>
    <w:rsid w:val="3E9A7CCD"/>
    <w:rsid w:val="3F7D81B2"/>
    <w:rsid w:val="402838E5"/>
    <w:rsid w:val="4479401E"/>
    <w:rsid w:val="47A62704"/>
    <w:rsid w:val="4C6A7509"/>
    <w:rsid w:val="4C982217"/>
    <w:rsid w:val="51BC6D8B"/>
    <w:rsid w:val="536015B5"/>
    <w:rsid w:val="589927C0"/>
    <w:rsid w:val="59FF4A79"/>
    <w:rsid w:val="5AA844C3"/>
    <w:rsid w:val="5B173DE5"/>
    <w:rsid w:val="5E084D23"/>
    <w:rsid w:val="5EFDD568"/>
    <w:rsid w:val="5FFD6B7B"/>
    <w:rsid w:val="603911C4"/>
    <w:rsid w:val="615362B5"/>
    <w:rsid w:val="61A65893"/>
    <w:rsid w:val="633A597E"/>
    <w:rsid w:val="665C20B0"/>
    <w:rsid w:val="67BDF0B8"/>
    <w:rsid w:val="69A73642"/>
    <w:rsid w:val="6C6C6456"/>
    <w:rsid w:val="6F345978"/>
    <w:rsid w:val="6F6C2090"/>
    <w:rsid w:val="6FFADEAF"/>
    <w:rsid w:val="7A543372"/>
    <w:rsid w:val="7A6F678D"/>
    <w:rsid w:val="7A7FF9F0"/>
    <w:rsid w:val="7BAD16E2"/>
    <w:rsid w:val="7E1626EC"/>
    <w:rsid w:val="7EDFED43"/>
    <w:rsid w:val="7F7AC179"/>
    <w:rsid w:val="8CE765CC"/>
    <w:rsid w:val="9B7FFCF9"/>
    <w:rsid w:val="C7EC5BCB"/>
    <w:rsid w:val="CF8FFCF1"/>
    <w:rsid w:val="CF9B7FD3"/>
    <w:rsid w:val="D77F8723"/>
    <w:rsid w:val="DD4757FF"/>
    <w:rsid w:val="EDF188F1"/>
    <w:rsid w:val="EFFF3F55"/>
    <w:rsid w:val="F9FF1562"/>
    <w:rsid w:val="FB9F6921"/>
    <w:rsid w:val="FEFF8E83"/>
    <w:rsid w:val="FF77ED6D"/>
    <w:rsid w:val="FFDE4445"/>
    <w:rsid w:val="FFF35A73"/>
    <w:rsid w:val="FFFFD5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0"/>
    <w:rPr>
      <w:rFonts w:ascii="仿宋" w:hAnsi="仿宋" w:eastAsia="仿宋" w:cs="仿宋"/>
      <w:sz w:val="31"/>
      <w:szCs w:val="31"/>
      <w:lang w:eastAsia="en-US"/>
    </w:rPr>
  </w:style>
  <w:style w:type="paragraph" w:styleId="3">
    <w:name w:val="Body Text 2"/>
    <w:basedOn w:val="1"/>
    <w:qFormat/>
    <w:uiPriority w:val="0"/>
    <w:pPr>
      <w:spacing w:after="120" w:line="480" w:lineRule="auto"/>
    </w:pPr>
    <w:rPr>
      <w:rFonts w:ascii="Times New Roman" w:hAnsi="Times New Roma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21</Pages>
  <Words>12009</Words>
  <Characters>12046</Characters>
  <Lines>78</Lines>
  <Paragraphs>22</Paragraphs>
  <TotalTime>152</TotalTime>
  <ScaleCrop>false</ScaleCrop>
  <LinksUpToDate>false</LinksUpToDate>
  <CharactersWithSpaces>12147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2025-09-04T17:28:00Z</dcterms:created>
  <dc:creator>86137</dc:creator>
  <cp:lastModifiedBy>火锅</cp:lastModifiedBy>
  <cp:lastPrinted>2025-09-30T06:36:43Z</cp:lastPrinted>
  <dcterms:modified xsi:type="dcterms:W3CDTF">2025-09-30T06:42:27Z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eyJoZGlkIjoiNmJmNDE3MDA4MWZhOWE1M2Y2MzhmMTU2NDdjNDQyMWIiLCJ1c2VySWQiOiI0NTU4Mjc1OTYifQ==</vt:lpwstr>
  </property>
  <property fmtid="{D5CDD505-2E9C-101B-9397-08002B2CF9AE}" pid="4" name="ICV">
    <vt:lpwstr>971E384C76034CF1834720967F081F89_13</vt:lpwstr>
  </property>
</Properties>
</file>